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2B" w:rsidRDefault="00887297" w:rsidP="00887297">
      <w:pPr>
        <w:pStyle w:val="Heading1"/>
      </w:pPr>
      <w:bookmarkStart w:id="0" w:name="ChapterNumber"/>
      <w:bookmarkStart w:id="1" w:name="_Toc341199915"/>
      <w:bookmarkStart w:id="2" w:name="_Toc370803124"/>
      <w:bookmarkStart w:id="3" w:name="_GoBack"/>
      <w:bookmarkEnd w:id="3"/>
      <w:r>
        <w:t>13</w:t>
      </w:r>
      <w:bookmarkEnd w:id="0"/>
      <w:r>
        <w:tab/>
      </w:r>
      <w:bookmarkStart w:id="4" w:name="ChapterTitle"/>
      <w:r>
        <w:t>Aged care services</w:t>
      </w:r>
      <w:bookmarkEnd w:id="1"/>
      <w:bookmarkEnd w:id="2"/>
      <w:bookmarkEnd w:id="4"/>
    </w:p>
    <w:p w:rsidR="006B1291" w:rsidRDefault="00AC1998" w:rsidP="004161F2">
      <w:pPr>
        <w:pStyle w:val="BodyText"/>
        <w:spacing w:before="480" w:after="60"/>
        <w:rPr>
          <w:noProof/>
        </w:rPr>
      </w:pPr>
      <w:r w:rsidRPr="008B4F34">
        <w:rPr>
          <w:b/>
        </w:rPr>
        <w:t>CONTENTS</w:t>
      </w:r>
    </w:p>
    <w:p w:rsidR="006B1291" w:rsidRDefault="006B1291">
      <w:pPr>
        <w:pStyle w:val="TOC2"/>
        <w:rPr>
          <w:rFonts w:asciiTheme="minorHAnsi" w:eastAsiaTheme="minorEastAsia" w:hAnsiTheme="minorHAnsi" w:cstheme="minorBidi"/>
          <w:b w:val="0"/>
          <w:noProof/>
          <w:sz w:val="22"/>
          <w:szCs w:val="22"/>
        </w:rPr>
      </w:pPr>
      <w:r>
        <w:rPr>
          <w:noProof/>
        </w:rPr>
        <w:t>13.1</w:t>
      </w:r>
      <w:r>
        <w:rPr>
          <w:rFonts w:asciiTheme="minorHAnsi" w:eastAsiaTheme="minorEastAsia" w:hAnsiTheme="minorHAnsi" w:cstheme="minorBidi"/>
          <w:b w:val="0"/>
          <w:noProof/>
          <w:sz w:val="22"/>
          <w:szCs w:val="22"/>
        </w:rPr>
        <w:tab/>
      </w:r>
      <w:r>
        <w:rPr>
          <w:noProof/>
        </w:rPr>
        <w:t>Profile of aged care services</w:t>
      </w:r>
      <w:r>
        <w:rPr>
          <w:noProof/>
        </w:rPr>
        <w:tab/>
        <w:t>13.</w:t>
      </w:r>
      <w:r w:rsidR="008D7C98">
        <w:rPr>
          <w:noProof/>
        </w:rPr>
        <w:t>2</w:t>
      </w:r>
    </w:p>
    <w:p w:rsidR="006B1291" w:rsidRDefault="006B1291">
      <w:pPr>
        <w:pStyle w:val="TOC2"/>
        <w:rPr>
          <w:rFonts w:asciiTheme="minorHAnsi" w:eastAsiaTheme="minorEastAsia" w:hAnsiTheme="minorHAnsi" w:cstheme="minorBidi"/>
          <w:b w:val="0"/>
          <w:noProof/>
          <w:sz w:val="22"/>
          <w:szCs w:val="22"/>
        </w:rPr>
      </w:pPr>
      <w:r>
        <w:rPr>
          <w:noProof/>
        </w:rPr>
        <w:t>13.2</w:t>
      </w:r>
      <w:r>
        <w:rPr>
          <w:rFonts w:asciiTheme="minorHAnsi" w:eastAsiaTheme="minorEastAsia" w:hAnsiTheme="minorHAnsi" w:cstheme="minorBidi"/>
          <w:b w:val="0"/>
          <w:noProof/>
          <w:sz w:val="22"/>
          <w:szCs w:val="22"/>
        </w:rPr>
        <w:tab/>
      </w:r>
      <w:r>
        <w:rPr>
          <w:noProof/>
        </w:rPr>
        <w:t>Framework of performance indicators</w:t>
      </w:r>
      <w:r>
        <w:rPr>
          <w:noProof/>
        </w:rPr>
        <w:tab/>
        <w:t>13.</w:t>
      </w:r>
      <w:r w:rsidR="008D7C98">
        <w:rPr>
          <w:noProof/>
        </w:rPr>
        <w:t>23</w:t>
      </w:r>
    </w:p>
    <w:p w:rsidR="006B1291" w:rsidRDefault="006B1291">
      <w:pPr>
        <w:pStyle w:val="TOC2"/>
        <w:rPr>
          <w:rFonts w:asciiTheme="minorHAnsi" w:eastAsiaTheme="minorEastAsia" w:hAnsiTheme="minorHAnsi" w:cstheme="minorBidi"/>
          <w:b w:val="0"/>
          <w:noProof/>
          <w:sz w:val="22"/>
          <w:szCs w:val="22"/>
        </w:rPr>
      </w:pPr>
      <w:r>
        <w:rPr>
          <w:noProof/>
        </w:rPr>
        <w:t>13.3</w:t>
      </w:r>
      <w:r>
        <w:rPr>
          <w:rFonts w:asciiTheme="minorHAnsi" w:eastAsiaTheme="minorEastAsia" w:hAnsiTheme="minorHAnsi" w:cstheme="minorBidi"/>
          <w:b w:val="0"/>
          <w:noProof/>
          <w:sz w:val="22"/>
          <w:szCs w:val="22"/>
        </w:rPr>
        <w:tab/>
      </w:r>
      <w:r>
        <w:rPr>
          <w:noProof/>
        </w:rPr>
        <w:t>Key performance indicator results</w:t>
      </w:r>
      <w:r>
        <w:rPr>
          <w:noProof/>
        </w:rPr>
        <w:tab/>
        <w:t>13.</w:t>
      </w:r>
      <w:r w:rsidR="008D7C98">
        <w:rPr>
          <w:noProof/>
        </w:rPr>
        <w:t>25</w:t>
      </w:r>
    </w:p>
    <w:p w:rsidR="006B1291" w:rsidRDefault="006B1291">
      <w:pPr>
        <w:pStyle w:val="TOC2"/>
        <w:rPr>
          <w:rFonts w:asciiTheme="minorHAnsi" w:eastAsiaTheme="minorEastAsia" w:hAnsiTheme="minorHAnsi" w:cstheme="minorBidi"/>
          <w:b w:val="0"/>
          <w:noProof/>
          <w:sz w:val="22"/>
          <w:szCs w:val="22"/>
        </w:rPr>
      </w:pPr>
      <w:r>
        <w:rPr>
          <w:noProof/>
        </w:rPr>
        <w:t>13.4</w:t>
      </w:r>
      <w:r>
        <w:rPr>
          <w:rFonts w:asciiTheme="minorHAnsi" w:eastAsiaTheme="minorEastAsia" w:hAnsiTheme="minorHAnsi" w:cstheme="minorBidi"/>
          <w:b w:val="0"/>
          <w:noProof/>
          <w:sz w:val="22"/>
          <w:szCs w:val="22"/>
        </w:rPr>
        <w:tab/>
      </w:r>
      <w:r>
        <w:rPr>
          <w:noProof/>
        </w:rPr>
        <w:t>Future directions in performance reporting</w:t>
      </w:r>
      <w:r>
        <w:rPr>
          <w:noProof/>
        </w:rPr>
        <w:tab/>
        <w:t>13.</w:t>
      </w:r>
      <w:r w:rsidR="008D7C98">
        <w:rPr>
          <w:noProof/>
        </w:rPr>
        <w:t>72</w:t>
      </w:r>
    </w:p>
    <w:p w:rsidR="006B1291" w:rsidRDefault="006B1291">
      <w:pPr>
        <w:pStyle w:val="TOC2"/>
        <w:rPr>
          <w:rFonts w:asciiTheme="minorHAnsi" w:eastAsiaTheme="minorEastAsia" w:hAnsiTheme="minorHAnsi" w:cstheme="minorBidi"/>
          <w:b w:val="0"/>
          <w:noProof/>
          <w:sz w:val="22"/>
          <w:szCs w:val="22"/>
        </w:rPr>
      </w:pPr>
      <w:r>
        <w:rPr>
          <w:noProof/>
        </w:rPr>
        <w:t>13.5</w:t>
      </w:r>
      <w:r>
        <w:rPr>
          <w:rFonts w:asciiTheme="minorHAnsi" w:eastAsiaTheme="minorEastAsia" w:hAnsiTheme="minorHAnsi" w:cstheme="minorBidi"/>
          <w:b w:val="0"/>
          <w:noProof/>
          <w:sz w:val="22"/>
          <w:szCs w:val="22"/>
        </w:rPr>
        <w:tab/>
      </w:r>
      <w:r>
        <w:rPr>
          <w:noProof/>
        </w:rPr>
        <w:t>Jurisdictions’ comments</w:t>
      </w:r>
      <w:r>
        <w:rPr>
          <w:noProof/>
        </w:rPr>
        <w:tab/>
        <w:t>13.</w:t>
      </w:r>
      <w:r w:rsidR="008D7C98">
        <w:rPr>
          <w:noProof/>
        </w:rPr>
        <w:t>74</w:t>
      </w:r>
    </w:p>
    <w:p w:rsidR="006B1291" w:rsidRDefault="006B1291">
      <w:pPr>
        <w:pStyle w:val="TOC2"/>
        <w:rPr>
          <w:rFonts w:asciiTheme="minorHAnsi" w:eastAsiaTheme="minorEastAsia" w:hAnsiTheme="minorHAnsi" w:cstheme="minorBidi"/>
          <w:b w:val="0"/>
          <w:noProof/>
          <w:sz w:val="22"/>
          <w:szCs w:val="22"/>
        </w:rPr>
      </w:pPr>
      <w:r>
        <w:rPr>
          <w:noProof/>
        </w:rPr>
        <w:t>13.6</w:t>
      </w:r>
      <w:r>
        <w:rPr>
          <w:rFonts w:asciiTheme="minorHAnsi" w:eastAsiaTheme="minorEastAsia" w:hAnsiTheme="minorHAnsi" w:cstheme="minorBidi"/>
          <w:b w:val="0"/>
          <w:noProof/>
          <w:sz w:val="22"/>
          <w:szCs w:val="22"/>
        </w:rPr>
        <w:tab/>
      </w:r>
      <w:r>
        <w:rPr>
          <w:noProof/>
        </w:rPr>
        <w:t>Definitions of key terms</w:t>
      </w:r>
      <w:r>
        <w:rPr>
          <w:noProof/>
        </w:rPr>
        <w:tab/>
        <w:t>13.</w:t>
      </w:r>
      <w:r w:rsidR="008D7C98">
        <w:rPr>
          <w:noProof/>
        </w:rPr>
        <w:t>84</w:t>
      </w:r>
    </w:p>
    <w:p w:rsidR="006B1291" w:rsidRDefault="006B1291">
      <w:pPr>
        <w:pStyle w:val="TOC2"/>
        <w:rPr>
          <w:rFonts w:asciiTheme="minorHAnsi" w:eastAsiaTheme="minorEastAsia" w:hAnsiTheme="minorHAnsi" w:cstheme="minorBidi"/>
          <w:b w:val="0"/>
          <w:noProof/>
          <w:sz w:val="22"/>
          <w:szCs w:val="22"/>
        </w:rPr>
      </w:pPr>
      <w:r>
        <w:rPr>
          <w:noProof/>
        </w:rPr>
        <w:t>13.7</w:t>
      </w:r>
      <w:r>
        <w:rPr>
          <w:rFonts w:asciiTheme="minorHAnsi" w:eastAsiaTheme="minorEastAsia" w:hAnsiTheme="minorHAnsi" w:cstheme="minorBidi"/>
          <w:b w:val="0"/>
          <w:noProof/>
          <w:sz w:val="22"/>
          <w:szCs w:val="22"/>
        </w:rPr>
        <w:tab/>
      </w:r>
      <w:r>
        <w:rPr>
          <w:noProof/>
        </w:rPr>
        <w:t>List of attachment tables</w:t>
      </w:r>
      <w:r>
        <w:rPr>
          <w:noProof/>
        </w:rPr>
        <w:tab/>
        <w:t>13.</w:t>
      </w:r>
      <w:r w:rsidR="008D7C98">
        <w:rPr>
          <w:noProof/>
        </w:rPr>
        <w:t>87</w:t>
      </w:r>
    </w:p>
    <w:p w:rsidR="006B1291" w:rsidRDefault="006B1291">
      <w:pPr>
        <w:pStyle w:val="TOC2"/>
        <w:rPr>
          <w:rFonts w:asciiTheme="minorHAnsi" w:eastAsiaTheme="minorEastAsia" w:hAnsiTheme="minorHAnsi" w:cstheme="minorBidi"/>
          <w:b w:val="0"/>
          <w:noProof/>
          <w:sz w:val="22"/>
          <w:szCs w:val="22"/>
        </w:rPr>
      </w:pPr>
      <w:r>
        <w:rPr>
          <w:noProof/>
        </w:rPr>
        <w:t>13.8</w:t>
      </w:r>
      <w:r>
        <w:rPr>
          <w:rFonts w:asciiTheme="minorHAnsi" w:eastAsiaTheme="minorEastAsia" w:hAnsiTheme="minorHAnsi" w:cstheme="minorBidi"/>
          <w:b w:val="0"/>
          <w:noProof/>
          <w:sz w:val="22"/>
          <w:szCs w:val="22"/>
        </w:rPr>
        <w:tab/>
      </w:r>
      <w:r>
        <w:rPr>
          <w:noProof/>
        </w:rPr>
        <w:t>References</w:t>
      </w:r>
      <w:r>
        <w:rPr>
          <w:noProof/>
        </w:rPr>
        <w:tab/>
        <w:t>13.</w:t>
      </w:r>
      <w:r w:rsidR="008D7C98">
        <w:rPr>
          <w:noProof/>
        </w:rPr>
        <w:t>91</w:t>
      </w:r>
    </w:p>
    <w:p w:rsidR="00B52210" w:rsidRPr="00EB7F29" w:rsidRDefault="00B52210" w:rsidP="00453307">
      <w:pPr>
        <w:pStyle w:val="BodyText"/>
        <w:rPr>
          <w:szCs w:val="24"/>
        </w:rPr>
      </w:pPr>
    </w:p>
    <w:tbl>
      <w:tblPr>
        <w:tblW w:w="0" w:type="auto"/>
        <w:tblInd w:w="164" w:type="dxa"/>
        <w:tblBorders>
          <w:top w:val="single" w:sz="4" w:space="0" w:color="auto"/>
          <w:left w:val="single" w:sz="4" w:space="0" w:color="auto"/>
          <w:bottom w:val="single" w:sz="4" w:space="0" w:color="auto"/>
          <w:right w:val="single" w:sz="4" w:space="0" w:color="auto"/>
        </w:tblBorders>
        <w:shd w:val="clear" w:color="auto" w:fill="E6E6E6"/>
        <w:tblLayout w:type="fixed"/>
        <w:tblCellMar>
          <w:left w:w="142" w:type="dxa"/>
          <w:right w:w="142" w:type="dxa"/>
        </w:tblCellMar>
        <w:tblLook w:val="0000" w:firstRow="0" w:lastRow="0" w:firstColumn="0" w:lastColumn="0" w:noHBand="0" w:noVBand="0"/>
      </w:tblPr>
      <w:tblGrid>
        <w:gridCol w:w="8771"/>
      </w:tblGrid>
      <w:tr w:rsidR="00FE4DB3" w:rsidTr="00FE4DB3">
        <w:trPr>
          <w:cantSplit/>
        </w:trPr>
        <w:tc>
          <w:tcPr>
            <w:tcW w:w="8771" w:type="dxa"/>
            <w:tcBorders>
              <w:bottom w:val="nil"/>
            </w:tcBorders>
            <w:shd w:val="clear" w:color="auto" w:fill="E6E6E6"/>
          </w:tcPr>
          <w:p w:rsidR="00FE4DB3" w:rsidRPr="00F964A9" w:rsidRDefault="00FE4DB3" w:rsidP="00FE4DB3">
            <w:pPr>
              <w:pStyle w:val="BoxTitle"/>
            </w:pPr>
            <w:r w:rsidRPr="00F964A9">
              <w:t>Attachment tables</w:t>
            </w:r>
          </w:p>
        </w:tc>
      </w:tr>
      <w:tr w:rsidR="00FE4DB3" w:rsidTr="00FE4DB3">
        <w:trPr>
          <w:cantSplit/>
        </w:trPr>
        <w:tc>
          <w:tcPr>
            <w:tcW w:w="8771" w:type="dxa"/>
            <w:tcBorders>
              <w:top w:val="nil"/>
              <w:bottom w:val="nil"/>
            </w:tcBorders>
            <w:shd w:val="clear" w:color="auto" w:fill="E6E6E6"/>
          </w:tcPr>
          <w:p w:rsidR="00FE4DB3" w:rsidRPr="00FB4855" w:rsidRDefault="00076A86" w:rsidP="00FE4DB3">
            <w:pPr>
              <w:pStyle w:val="Box"/>
            </w:pPr>
            <w:r w:rsidRPr="00F91D1A">
              <w:t>Attachment tables are identified in references throughout this chapter by a ‘</w:t>
            </w:r>
            <w:proofErr w:type="spellStart"/>
            <w:r>
              <w:t>13</w:t>
            </w:r>
            <w:r w:rsidR="00EA2D50">
              <w:t>A</w:t>
            </w:r>
            <w:proofErr w:type="spellEnd"/>
            <w:r w:rsidR="00EA2D50">
              <w:t>’ pre</w:t>
            </w:r>
            <w:r w:rsidRPr="00F91D1A">
              <w:t>fix (for example, table</w:t>
            </w:r>
            <w:r w:rsidR="00AA68A5">
              <w:t> </w:t>
            </w:r>
            <w:proofErr w:type="spellStart"/>
            <w:r>
              <w:t>13A.1</w:t>
            </w:r>
            <w:proofErr w:type="spellEnd"/>
            <w:r w:rsidRPr="00F91D1A">
              <w:t>). A full list of attachment tables is provided at the end of this chapter, and the attachment tables are availa</w:t>
            </w:r>
            <w:r>
              <w:t xml:space="preserve">ble from the Review website at </w:t>
            </w:r>
            <w:proofErr w:type="spellStart"/>
            <w:r w:rsidRPr="00712EF0">
              <w:t>www.pc.gov.au</w:t>
            </w:r>
            <w:proofErr w:type="spellEnd"/>
            <w:r w:rsidRPr="00712EF0">
              <w:t>/</w:t>
            </w:r>
            <w:proofErr w:type="spellStart"/>
            <w:r w:rsidRPr="00712EF0">
              <w:t>gsp</w:t>
            </w:r>
            <w:proofErr w:type="spellEnd"/>
            <w:r w:rsidR="00340BA2">
              <w:t>.</w:t>
            </w:r>
          </w:p>
        </w:tc>
      </w:tr>
      <w:tr w:rsidR="00FE4DB3" w:rsidRPr="00FE4DB3" w:rsidTr="00FE4DB3">
        <w:tblPrEx>
          <w:tblBorders>
            <w:top w:val="single" w:sz="6" w:space="0" w:color="auto"/>
            <w:left w:val="single" w:sz="6" w:space="0" w:color="auto"/>
            <w:bottom w:val="single" w:sz="6" w:space="0" w:color="auto"/>
            <w:right w:val="single" w:sz="6" w:space="0" w:color="auto"/>
          </w:tblBorders>
          <w:shd w:val="clear" w:color="auto" w:fill="auto"/>
        </w:tblPrEx>
        <w:tc>
          <w:tcPr>
            <w:tcW w:w="8771" w:type="dxa"/>
            <w:tcBorders>
              <w:top w:val="nil"/>
              <w:left w:val="single" w:sz="4" w:space="0" w:color="auto"/>
              <w:bottom w:val="single" w:sz="4" w:space="0" w:color="auto"/>
              <w:right w:val="single" w:sz="4" w:space="0" w:color="auto"/>
            </w:tcBorders>
            <w:shd w:val="clear" w:color="auto" w:fill="E0E0E0"/>
          </w:tcPr>
          <w:p w:rsidR="00FE4DB3" w:rsidRPr="00FE4DB3" w:rsidRDefault="00FE4DB3" w:rsidP="00FE4DB3">
            <w:pPr>
              <w:pStyle w:val="Box"/>
              <w:spacing w:before="0" w:line="120" w:lineRule="exact"/>
            </w:pPr>
          </w:p>
        </w:tc>
      </w:tr>
      <w:tr w:rsidR="00FE4DB3" w:rsidRPr="00195D59" w:rsidTr="00FE4DB3">
        <w:trPr>
          <w:trHeight w:val="170"/>
        </w:trPr>
        <w:tc>
          <w:tcPr>
            <w:tcW w:w="8771" w:type="dxa"/>
            <w:tcBorders>
              <w:top w:val="single" w:sz="4" w:space="0" w:color="auto"/>
              <w:left w:val="nil"/>
              <w:bottom w:val="nil"/>
              <w:right w:val="nil"/>
            </w:tcBorders>
            <w:shd w:val="clear" w:color="auto" w:fill="auto"/>
          </w:tcPr>
          <w:p w:rsidR="00FE4DB3" w:rsidRDefault="00FE4DB3" w:rsidP="00FE4DB3">
            <w:pPr>
              <w:pStyle w:val="Box"/>
              <w:keepNext w:val="0"/>
              <w:spacing w:before="60" w:after="60" w:line="80" w:lineRule="exact"/>
            </w:pPr>
          </w:p>
        </w:tc>
      </w:tr>
    </w:tbl>
    <w:p w:rsidR="00056221" w:rsidRDefault="00056221" w:rsidP="00056221">
      <w:pPr>
        <w:pStyle w:val="BodyText"/>
      </w:pPr>
      <w:bookmarkStart w:id="5" w:name="_Toc211788423"/>
      <w:r w:rsidRPr="00E23FE4">
        <w:t>The aged care system comprises all services specifically designed to meet the care and support needs of older people living in Australia. This</w:t>
      </w:r>
      <w:r>
        <w:t xml:space="preserve"> chapter focuses on government funded residential and community care for older people and services designed for the carers of older people. Some government expenditure on aged care is not reported, but continual improvements are being made to the coverage and quality of the data.</w:t>
      </w:r>
    </w:p>
    <w:p w:rsidR="009D3B90" w:rsidRDefault="007068F2" w:rsidP="004B357F">
      <w:pPr>
        <w:pStyle w:val="BodyText"/>
        <w:keepNext/>
        <w:keepLines/>
      </w:pPr>
      <w:r w:rsidRPr="00BD2A6C">
        <w:t xml:space="preserve">Major improvements in reporting on </w:t>
      </w:r>
      <w:r w:rsidR="006C37B5">
        <w:t xml:space="preserve">aged care services </w:t>
      </w:r>
      <w:r w:rsidR="004B357F">
        <w:t xml:space="preserve">this year </w:t>
      </w:r>
      <w:r w:rsidR="005A63C1">
        <w:t>are</w:t>
      </w:r>
      <w:r w:rsidR="009D3B90">
        <w:t>:</w:t>
      </w:r>
    </w:p>
    <w:p w:rsidR="00032AD0" w:rsidRPr="00032AD0" w:rsidRDefault="00032AD0" w:rsidP="00032AD0">
      <w:pPr>
        <w:pStyle w:val="ListBullet"/>
      </w:pPr>
      <w:r w:rsidRPr="00032AD0">
        <w:t>inclusion of additional data for the ‘compliance with service standards for residential aged care’ indicator on the proportion of all re</w:t>
      </w:r>
      <w:r w:rsidR="00AA68A5">
        <w:noBreakHyphen/>
      </w:r>
      <w:r w:rsidRPr="00032AD0">
        <w:t xml:space="preserve">accredited services that are three year accredited </w:t>
      </w:r>
    </w:p>
    <w:p w:rsidR="00BE04D3" w:rsidRPr="00032AD0" w:rsidRDefault="00032AD0" w:rsidP="008625F4">
      <w:pPr>
        <w:pStyle w:val="ListBullet"/>
        <w:shd w:val="clear" w:color="auto" w:fill="FFFFFF" w:themeFill="background1"/>
        <w:rPr>
          <w:shd w:val="clear" w:color="auto" w:fill="FFFFFF" w:themeFill="background1"/>
        </w:rPr>
      </w:pPr>
      <w:r w:rsidRPr="008625F4">
        <w:rPr>
          <w:shd w:val="clear" w:color="auto" w:fill="FFFFFF" w:themeFill="background1"/>
        </w:rPr>
        <w:lastRenderedPageBreak/>
        <w:t>data quality information (</w:t>
      </w:r>
      <w:proofErr w:type="spellStart"/>
      <w:r w:rsidRPr="008625F4">
        <w:rPr>
          <w:shd w:val="clear" w:color="auto" w:fill="FFFFFF" w:themeFill="background1"/>
        </w:rPr>
        <w:t>DQI</w:t>
      </w:r>
      <w:proofErr w:type="spellEnd"/>
      <w:r w:rsidRPr="008625F4">
        <w:rPr>
          <w:shd w:val="clear" w:color="auto" w:fill="FFFFFF" w:themeFill="background1"/>
        </w:rPr>
        <w:t xml:space="preserve">) </w:t>
      </w:r>
      <w:r w:rsidR="005A63C1">
        <w:rPr>
          <w:shd w:val="clear" w:color="auto" w:fill="FFFFFF" w:themeFill="background1"/>
        </w:rPr>
        <w:t xml:space="preserve">is </w:t>
      </w:r>
      <w:r w:rsidRPr="008625F4">
        <w:rPr>
          <w:shd w:val="clear" w:color="auto" w:fill="FFFFFF" w:themeFill="background1"/>
        </w:rPr>
        <w:t>available for the first time for the measures ‘use by different groups — access to H</w:t>
      </w:r>
      <w:r w:rsidR="00AA68A5">
        <w:rPr>
          <w:shd w:val="clear" w:color="auto" w:fill="FFFFFF" w:themeFill="background1"/>
        </w:rPr>
        <w:t xml:space="preserve">ome and </w:t>
      </w:r>
      <w:r w:rsidRPr="008625F4">
        <w:rPr>
          <w:shd w:val="clear" w:color="auto" w:fill="FFFFFF" w:themeFill="background1"/>
        </w:rPr>
        <w:t>C</w:t>
      </w:r>
      <w:r w:rsidR="001D6278">
        <w:rPr>
          <w:shd w:val="clear" w:color="auto" w:fill="FFFFFF" w:themeFill="background1"/>
        </w:rPr>
        <w:t>ommunity Care (HACC)</w:t>
      </w:r>
      <w:r w:rsidRPr="008625F4">
        <w:rPr>
          <w:shd w:val="clear" w:color="auto" w:fill="FFFFFF" w:themeFill="background1"/>
        </w:rPr>
        <w:t xml:space="preserve"> services, by remoteness’, ‘cost per output unit — government funding per hour of HACC service’ and ‘expenditure per head of </w:t>
      </w:r>
      <w:r w:rsidR="00932F26" w:rsidRPr="008625F4">
        <w:rPr>
          <w:shd w:val="clear" w:color="auto" w:fill="FFFFFF" w:themeFill="background1"/>
        </w:rPr>
        <w:t xml:space="preserve">aged care </w:t>
      </w:r>
      <w:r w:rsidRPr="008625F4">
        <w:rPr>
          <w:shd w:val="clear" w:color="auto" w:fill="FFFFFF" w:themeFill="background1"/>
        </w:rPr>
        <w:t>target population — HACC’</w:t>
      </w:r>
      <w:r>
        <w:t>.</w:t>
      </w:r>
    </w:p>
    <w:p w:rsidR="00056221" w:rsidRDefault="00F14A89" w:rsidP="008625F4">
      <w:pPr>
        <w:pStyle w:val="BodyText"/>
        <w:shd w:val="clear" w:color="auto" w:fill="FFFFFF" w:themeFill="background1"/>
      </w:pPr>
      <w:r>
        <w:t xml:space="preserve">Older Australians are also </w:t>
      </w:r>
      <w:r w:rsidR="00056221">
        <w:t xml:space="preserve">users of other government services covered in this Report, including </w:t>
      </w:r>
      <w:r w:rsidR="008D5605" w:rsidRPr="008625F4">
        <w:rPr>
          <w:shd w:val="clear" w:color="auto" w:fill="FFFFFF" w:themeFill="background1"/>
        </w:rPr>
        <w:t>public hospitals (chapter</w:t>
      </w:r>
      <w:r w:rsidR="00AA68A5">
        <w:rPr>
          <w:shd w:val="clear" w:color="auto" w:fill="FFFFFF" w:themeFill="background1"/>
        </w:rPr>
        <w:t> </w:t>
      </w:r>
      <w:r w:rsidR="008D5605" w:rsidRPr="008625F4">
        <w:rPr>
          <w:shd w:val="clear" w:color="auto" w:fill="FFFFFF" w:themeFill="background1"/>
        </w:rPr>
        <w:t>10), primary and community health services (chapter</w:t>
      </w:r>
      <w:r w:rsidR="00AA68A5">
        <w:rPr>
          <w:shd w:val="clear" w:color="auto" w:fill="FFFFFF" w:themeFill="background1"/>
        </w:rPr>
        <w:t> </w:t>
      </w:r>
      <w:r w:rsidR="008D5605" w:rsidRPr="008625F4">
        <w:rPr>
          <w:shd w:val="clear" w:color="auto" w:fill="FFFFFF" w:themeFill="background1"/>
        </w:rPr>
        <w:t>11),</w:t>
      </w:r>
      <w:r w:rsidR="008D5605">
        <w:t xml:space="preserve"> </w:t>
      </w:r>
      <w:r w:rsidR="00056221">
        <w:t>specialised mental health services (chapter</w:t>
      </w:r>
      <w:r w:rsidR="00AA68A5">
        <w:t> </w:t>
      </w:r>
      <w:r w:rsidR="00056221">
        <w:t xml:space="preserve">12), </w:t>
      </w:r>
      <w:r w:rsidR="00C05C11">
        <w:t>disability services (chapter</w:t>
      </w:r>
      <w:r w:rsidR="00AA68A5">
        <w:t> </w:t>
      </w:r>
      <w:r w:rsidR="00C05C11">
        <w:t xml:space="preserve">14), </w:t>
      </w:r>
      <w:r w:rsidR="00056221">
        <w:t>and housing assistance (chapter</w:t>
      </w:r>
      <w:r w:rsidR="00AA68A5">
        <w:t> </w:t>
      </w:r>
      <w:r w:rsidR="00056221">
        <w:t>1</w:t>
      </w:r>
      <w:r w:rsidR="003C6EB0">
        <w:t>7</w:t>
      </w:r>
      <w:r w:rsidR="00056221">
        <w:t>). Understanding the relation</w:t>
      </w:r>
      <w:r w:rsidR="002A4C5C">
        <w:t>ship</w:t>
      </w:r>
      <w:r w:rsidR="00056221">
        <w:t xml:space="preserve"> between the health system and the aged care system is of particular importance (</w:t>
      </w:r>
      <w:r w:rsidR="00E16794">
        <w:t xml:space="preserve">sector </w:t>
      </w:r>
      <w:r w:rsidR="0098132F">
        <w:t>overview</w:t>
      </w:r>
      <w:r w:rsidR="00056221">
        <w:t xml:space="preserve"> E and chapters</w:t>
      </w:r>
      <w:r w:rsidR="00AA68A5">
        <w:t> </w:t>
      </w:r>
      <w:r w:rsidR="00056221">
        <w:t xml:space="preserve">10–12), given that people aged 65 years or over account for around 50 per cent of all patient days in public hospitals </w:t>
      </w:r>
      <w:r w:rsidR="008D5605">
        <w:br/>
      </w:r>
      <w:r w:rsidR="00056221">
        <w:t>(AIHW 20</w:t>
      </w:r>
      <w:r w:rsidR="004A32D8">
        <w:t>1</w:t>
      </w:r>
      <w:r w:rsidR="0038266F">
        <w:t>3</w:t>
      </w:r>
      <w:r w:rsidR="00056221">
        <w:t xml:space="preserve">). Interactions between health and aged care services are critical for </w:t>
      </w:r>
      <w:r w:rsidR="00D45C4B">
        <w:t>the performance of both systems;</w:t>
      </w:r>
      <w:r w:rsidR="00056221">
        <w:t xml:space="preserve"> for example, the number of operational residential aged care places can affect demand for public hospital beds, and throughput of older patients in acute and sub</w:t>
      </w:r>
      <w:r w:rsidR="00AA68A5">
        <w:noBreakHyphen/>
      </w:r>
      <w:r w:rsidR="00056221">
        <w:t xml:space="preserve">acute care has a substantial effect on </w:t>
      </w:r>
      <w:r w:rsidR="006779A3">
        <w:t xml:space="preserve">the </w:t>
      </w:r>
      <w:r w:rsidR="00056221">
        <w:t xml:space="preserve">demand for residential and community aged care. </w:t>
      </w:r>
    </w:p>
    <w:p w:rsidR="0088002B" w:rsidRDefault="00C82353" w:rsidP="0088002B">
      <w:pPr>
        <w:pStyle w:val="Heading2"/>
      </w:pPr>
      <w:bookmarkStart w:id="6" w:name="_Toc274671835"/>
      <w:bookmarkStart w:id="7" w:name="_Toc274671872"/>
      <w:bookmarkStart w:id="8" w:name="_Toc370803125"/>
      <w:r>
        <w:t>13.</w:t>
      </w:r>
      <w:r w:rsidR="00E4728C">
        <w:rPr>
          <w:noProof/>
        </w:rPr>
        <w:t>1</w:t>
      </w:r>
      <w:r w:rsidR="0088002B">
        <w:tab/>
        <w:t>Profile of aged care services</w:t>
      </w:r>
      <w:bookmarkEnd w:id="6"/>
      <w:bookmarkEnd w:id="7"/>
      <w:bookmarkEnd w:id="8"/>
    </w:p>
    <w:p w:rsidR="00056221" w:rsidRDefault="00056221" w:rsidP="00056221">
      <w:pPr>
        <w:pStyle w:val="Heading3"/>
      </w:pPr>
      <w:r>
        <w:t>Service overview</w:t>
      </w:r>
    </w:p>
    <w:p w:rsidR="00056221" w:rsidRDefault="009E2B55" w:rsidP="008625F4">
      <w:pPr>
        <w:pStyle w:val="BodyText"/>
        <w:shd w:val="clear" w:color="auto" w:fill="FFFFFF" w:themeFill="background1"/>
      </w:pPr>
      <w:r>
        <w:t xml:space="preserve">Services for older people are provided on the basis of frailty </w:t>
      </w:r>
      <w:r w:rsidRPr="008625F4">
        <w:rPr>
          <w:shd w:val="clear" w:color="auto" w:fill="FFFFFF" w:themeFill="background1"/>
        </w:rPr>
        <w:t>or disability</w:t>
      </w:r>
      <w:r>
        <w:t>. Government funded aged care services covered in this chapter include:</w:t>
      </w:r>
    </w:p>
    <w:p w:rsidR="00056221" w:rsidRDefault="00056221" w:rsidP="00056221">
      <w:pPr>
        <w:pStyle w:val="ListBullet"/>
      </w:pPr>
      <w:r>
        <w:t xml:space="preserve">assessment and information services, which are largely provided </w:t>
      </w:r>
      <w:r w:rsidR="00EF2CEB">
        <w:t xml:space="preserve">under </w:t>
      </w:r>
      <w:r>
        <w:t xml:space="preserve">the </w:t>
      </w:r>
      <w:bookmarkStart w:id="9" w:name="OLE_LINK71"/>
      <w:r>
        <w:t xml:space="preserve">Aged Care Assessment Program (ACAP) </w:t>
      </w:r>
    </w:p>
    <w:bookmarkEnd w:id="9"/>
    <w:p w:rsidR="00056221" w:rsidRDefault="00056221" w:rsidP="00056221">
      <w:pPr>
        <w:pStyle w:val="ListBullet"/>
      </w:pPr>
      <w:r>
        <w:t>residential care services, which provide</w:t>
      </w:r>
      <w:r w:rsidRPr="008E2487">
        <w:t xml:space="preserve"> </w:t>
      </w:r>
      <w:r>
        <w:t xml:space="preserve">permanent high </w:t>
      </w:r>
      <w:r w:rsidR="00C42DFF">
        <w:t>and</w:t>
      </w:r>
      <w:r>
        <w:t xml:space="preserve"> </w:t>
      </w:r>
      <w:r w:rsidR="00C42DFF">
        <w:t xml:space="preserve">low level </w:t>
      </w:r>
      <w:r>
        <w:t>care, and respite</w:t>
      </w:r>
      <w:r w:rsidR="00C42DFF">
        <w:t xml:space="preserve"> </w:t>
      </w:r>
      <w:r>
        <w:t>high</w:t>
      </w:r>
      <w:r w:rsidR="00C05C11">
        <w:t xml:space="preserve"> and </w:t>
      </w:r>
      <w:r w:rsidR="00C42DFF">
        <w:t>low</w:t>
      </w:r>
      <w:r>
        <w:t xml:space="preserve"> level care</w:t>
      </w:r>
    </w:p>
    <w:p w:rsidR="00056221" w:rsidRDefault="00056221" w:rsidP="00F279AF">
      <w:pPr>
        <w:pStyle w:val="ListBullet"/>
        <w:keepNext/>
      </w:pPr>
      <w:r>
        <w:t xml:space="preserve">community care services, </w:t>
      </w:r>
      <w:r w:rsidR="009079A7">
        <w:t>including</w:t>
      </w:r>
      <w:r>
        <w:t xml:space="preserve"> home</w:t>
      </w:r>
      <w:r w:rsidR="00AA68A5">
        <w:noBreakHyphen/>
      </w:r>
      <w:r>
        <w:t>based care and assistance to help older people remain,</w:t>
      </w:r>
      <w:r w:rsidRPr="00161A30">
        <w:t xml:space="preserve"> </w:t>
      </w:r>
      <w:r>
        <w:t>or return to, living independently in th</w:t>
      </w:r>
      <w:r w:rsidR="00567128">
        <w:t>e community as long as possible. T</w:t>
      </w:r>
      <w:r>
        <w:t xml:space="preserve">hese services include: </w:t>
      </w:r>
    </w:p>
    <w:p w:rsidR="00056221" w:rsidRDefault="00056221" w:rsidP="00056221">
      <w:pPr>
        <w:pStyle w:val="ListBullet2"/>
      </w:pPr>
      <w:r>
        <w:t xml:space="preserve">HACC program services </w:t>
      </w:r>
    </w:p>
    <w:p w:rsidR="00056221" w:rsidRDefault="00F746A1" w:rsidP="00056221">
      <w:pPr>
        <w:pStyle w:val="ListBullet2"/>
      </w:pPr>
      <w:r>
        <w:t>C</w:t>
      </w:r>
      <w:r w:rsidR="00F74F3F">
        <w:t xml:space="preserve">ommunity </w:t>
      </w:r>
      <w:r>
        <w:t>A</w:t>
      </w:r>
      <w:r w:rsidR="00F74F3F">
        <w:t xml:space="preserve">ged </w:t>
      </w:r>
      <w:r>
        <w:t>C</w:t>
      </w:r>
      <w:r w:rsidR="00F74F3F">
        <w:t xml:space="preserve">are </w:t>
      </w:r>
      <w:r>
        <w:t>P</w:t>
      </w:r>
      <w:r w:rsidR="00F74F3F">
        <w:t>ackages (CACP)</w:t>
      </w:r>
      <w:r w:rsidR="00056221">
        <w:t xml:space="preserve"> </w:t>
      </w:r>
    </w:p>
    <w:p w:rsidR="00056221" w:rsidRDefault="00056221" w:rsidP="00644475">
      <w:pPr>
        <w:pStyle w:val="ListBullet2"/>
        <w:tabs>
          <w:tab w:val="left" w:pos="5245"/>
        </w:tabs>
      </w:pPr>
      <w:r>
        <w:t xml:space="preserve">flexible care </w:t>
      </w:r>
      <w:r w:rsidR="00464478">
        <w:t xml:space="preserve">packages </w:t>
      </w:r>
      <w:r>
        <w:t xml:space="preserve">provided under the </w:t>
      </w:r>
      <w:r w:rsidR="00644475">
        <w:t>E</w:t>
      </w:r>
      <w:r w:rsidR="00422009">
        <w:t xml:space="preserve">xtended </w:t>
      </w:r>
      <w:r w:rsidR="00644475">
        <w:t>A</w:t>
      </w:r>
      <w:r w:rsidR="00422009">
        <w:t xml:space="preserve">ged </w:t>
      </w:r>
      <w:r w:rsidR="00644475">
        <w:t>C</w:t>
      </w:r>
      <w:r w:rsidR="00422009">
        <w:t xml:space="preserve">are at </w:t>
      </w:r>
      <w:r w:rsidR="00644475">
        <w:t>H</w:t>
      </w:r>
      <w:r w:rsidR="00422009">
        <w:t>ome (EACH)</w:t>
      </w:r>
      <w:r>
        <w:t xml:space="preserve"> </w:t>
      </w:r>
      <w:r w:rsidR="00A31A44">
        <w:t xml:space="preserve">and </w:t>
      </w:r>
      <w:r>
        <w:t xml:space="preserve">the </w:t>
      </w:r>
      <w:r w:rsidR="00644475">
        <w:t>EACH</w:t>
      </w:r>
      <w:r w:rsidR="00AA68A5">
        <w:noBreakHyphen/>
      </w:r>
      <w:r w:rsidR="00644475">
        <w:t>D</w:t>
      </w:r>
      <w:r w:rsidR="00422009">
        <w:t>ementia (EACH</w:t>
      </w:r>
      <w:r w:rsidR="00AA68A5">
        <w:noBreakHyphen/>
      </w:r>
      <w:r w:rsidR="00422009">
        <w:t>D)</w:t>
      </w:r>
      <w:r w:rsidR="00644475">
        <w:t xml:space="preserve"> </w:t>
      </w:r>
      <w:r>
        <w:t xml:space="preserve">programs </w:t>
      </w:r>
    </w:p>
    <w:p w:rsidR="00056221" w:rsidRDefault="00056221" w:rsidP="00056221">
      <w:pPr>
        <w:pStyle w:val="ListBullet2"/>
      </w:pPr>
      <w:r>
        <w:lastRenderedPageBreak/>
        <w:t>services provided by the Department of Veterans’ Affairs (DVA) under the Veterans’ Home Care (VHC)</w:t>
      </w:r>
      <w:r>
        <w:rPr>
          <w:rStyle w:val="FootnoteReference"/>
        </w:rPr>
        <w:footnoteReference w:id="1"/>
      </w:r>
      <w:r>
        <w:t xml:space="preserve"> and Community Nursing programs</w:t>
      </w:r>
      <w:r w:rsidRPr="00BC2AD1">
        <w:t xml:space="preserve"> </w:t>
      </w:r>
    </w:p>
    <w:p w:rsidR="00056221" w:rsidRDefault="00056221" w:rsidP="00056221">
      <w:pPr>
        <w:pStyle w:val="ListBullet"/>
      </w:pPr>
      <w:r>
        <w:t xml:space="preserve">community </w:t>
      </w:r>
      <w:r w:rsidR="006241AE">
        <w:t xml:space="preserve">care </w:t>
      </w:r>
      <w:r>
        <w:t>respite services, which include HACC respite and centre</w:t>
      </w:r>
      <w:r w:rsidR="00AA68A5">
        <w:noBreakHyphen/>
      </w:r>
      <w:r>
        <w:t xml:space="preserve">based day care services and services provided under </w:t>
      </w:r>
      <w:r w:rsidR="00567128">
        <w:t xml:space="preserve">the </w:t>
      </w:r>
      <w:r>
        <w:t>N</w:t>
      </w:r>
      <w:r w:rsidR="00422009">
        <w:t xml:space="preserve">ational </w:t>
      </w:r>
      <w:r>
        <w:t>R</w:t>
      </w:r>
      <w:r w:rsidR="00422009">
        <w:t xml:space="preserve">espite for </w:t>
      </w:r>
      <w:r>
        <w:t>C</w:t>
      </w:r>
      <w:r w:rsidR="00422009">
        <w:t xml:space="preserve">arers </w:t>
      </w:r>
      <w:r>
        <w:t>P</w:t>
      </w:r>
      <w:r w:rsidR="00422009">
        <w:t>rogram (NRCP)</w:t>
      </w:r>
      <w:r>
        <w:t xml:space="preserve"> </w:t>
      </w:r>
    </w:p>
    <w:p w:rsidR="00056221" w:rsidRDefault="00056221" w:rsidP="00056221">
      <w:pPr>
        <w:pStyle w:val="ListBullet"/>
      </w:pPr>
      <w:r>
        <w:t>services provided in mixed delivery settings, which are designed to provide flexible care or specific</w:t>
      </w:r>
      <w:r w:rsidRPr="00AA0B53">
        <w:t xml:space="preserve"> support</w:t>
      </w:r>
      <w:r w:rsidR="00A31A44">
        <w:t>:</w:t>
      </w:r>
      <w:r>
        <w:t xml:space="preserve"> </w:t>
      </w:r>
    </w:p>
    <w:p w:rsidR="00056221" w:rsidRDefault="00056221" w:rsidP="00BA6E14">
      <w:pPr>
        <w:pStyle w:val="ListBullet2"/>
      </w:pPr>
      <w:r w:rsidRPr="00BA6E14">
        <w:t xml:space="preserve">flexible care services, which address the needs of care recipients in ways other than that provided through mainstream residential and community care — services are provided under the Transition Care Program (TCP), </w:t>
      </w:r>
      <w:r w:rsidRPr="00BA6E14">
        <w:br/>
        <w:t>Multi</w:t>
      </w:r>
      <w:r w:rsidR="00AA68A5">
        <w:noBreakHyphen/>
      </w:r>
      <w:r w:rsidR="00B563E6">
        <w:t>P</w:t>
      </w:r>
      <w:r w:rsidRPr="00BA6E14">
        <w:t xml:space="preserve">urpose Service </w:t>
      </w:r>
      <w:r w:rsidR="00E64CE9" w:rsidRPr="00BA6E14">
        <w:t>(MPS)</w:t>
      </w:r>
      <w:r w:rsidR="00E64CE9">
        <w:t xml:space="preserve"> </w:t>
      </w:r>
      <w:r w:rsidR="00360EB5">
        <w:t>p</w:t>
      </w:r>
      <w:r w:rsidRPr="00BA6E14">
        <w:t>rogram, Innovative Care Pool and National Aboriginal and Torres Strait Islander Flexible Aged Care Program</w:t>
      </w:r>
      <w:r w:rsidRPr="0019107E">
        <w:rPr>
          <w:shd w:val="clear" w:color="auto" w:fill="CCCCCC"/>
        </w:rPr>
        <w:t xml:space="preserve"> </w:t>
      </w:r>
    </w:p>
    <w:p w:rsidR="00056221" w:rsidRDefault="00056221" w:rsidP="008A6E13">
      <w:pPr>
        <w:pStyle w:val="ListBullet2"/>
      </w:pPr>
      <w:r>
        <w:t xml:space="preserve">specific support services, which are provided to address particular needs such as those under the </w:t>
      </w:r>
      <w:r w:rsidR="008A6E13" w:rsidRPr="008A6E13">
        <w:t>Community Visitors Scheme</w:t>
      </w:r>
      <w:r w:rsidR="008A6E13">
        <w:t xml:space="preserve"> </w:t>
      </w:r>
      <w:r>
        <w:t xml:space="preserve">and in </w:t>
      </w:r>
      <w:r w:rsidRPr="00C97D38">
        <w:t>Day Therapy Centres</w:t>
      </w:r>
      <w:r>
        <w:t>.</w:t>
      </w:r>
      <w:r w:rsidRPr="00C97D38">
        <w:t xml:space="preserve"> </w:t>
      </w:r>
    </w:p>
    <w:p w:rsidR="007C08C8" w:rsidRDefault="007C4648" w:rsidP="008625F4">
      <w:pPr>
        <w:pStyle w:val="BodyText"/>
      </w:pPr>
      <w:r>
        <w:t>The formal</w:t>
      </w:r>
      <w:r w:rsidR="00056221">
        <w:t xml:space="preserve"> publicly funded services covered represent only a small proportion of total assistance provided to older people. Extended family and partners are the largest source of emotional, practical and fin</w:t>
      </w:r>
      <w:r w:rsidR="00C05C11">
        <w:t xml:space="preserve">ancial support for older people. </w:t>
      </w:r>
      <w:r w:rsidR="005D463F" w:rsidRPr="008625F4">
        <w:rPr>
          <w:shd w:val="clear" w:color="auto" w:fill="FFFFFF" w:themeFill="background1"/>
        </w:rPr>
        <w:t>Around 85 per cent of older people living in the community in 2012 who required help with self</w:t>
      </w:r>
      <w:r w:rsidR="00AA68A5">
        <w:rPr>
          <w:shd w:val="clear" w:color="auto" w:fill="FFFFFF" w:themeFill="background1"/>
        </w:rPr>
        <w:noBreakHyphen/>
      </w:r>
      <w:r w:rsidR="005D463F" w:rsidRPr="008625F4">
        <w:rPr>
          <w:shd w:val="clear" w:color="auto" w:fill="FFFFFF" w:themeFill="background1"/>
        </w:rPr>
        <w:t xml:space="preserve">care, mobility or communications received assistance from the informal care network of family, friends and neighbours (ABS unpublished, </w:t>
      </w:r>
      <w:r w:rsidR="007E089B" w:rsidRPr="008625F4">
        <w:rPr>
          <w:i/>
          <w:shd w:val="clear" w:color="auto" w:fill="FFFFFF" w:themeFill="background1"/>
        </w:rPr>
        <w:t>Survey of Disability, Ageing and Carers 2012</w:t>
      </w:r>
      <w:r w:rsidR="007E089B" w:rsidRPr="008625F4">
        <w:rPr>
          <w:shd w:val="clear" w:color="auto" w:fill="FFFFFF" w:themeFill="background1"/>
        </w:rPr>
        <w:t xml:space="preserve">, </w:t>
      </w:r>
      <w:r w:rsidR="005D463F" w:rsidRPr="008625F4">
        <w:rPr>
          <w:shd w:val="clear" w:color="auto" w:fill="FFFFFF" w:themeFill="background1"/>
        </w:rPr>
        <w:t>Cat. no. 4430.0).</w:t>
      </w:r>
      <w:r w:rsidR="00056221" w:rsidRPr="0059781A">
        <w:t xml:space="preserve"> Many pe</w:t>
      </w:r>
      <w:r w:rsidR="00056221">
        <w:t xml:space="preserve">ople receive assistance from both formal aged care services and informal sources. Older people also purchase support services in the private market, and these services are not covered in this chapter. </w:t>
      </w:r>
    </w:p>
    <w:p w:rsidR="00056221" w:rsidRDefault="00056221" w:rsidP="00056221">
      <w:pPr>
        <w:pStyle w:val="Heading3"/>
      </w:pPr>
      <w:r>
        <w:t>Roles and responsibilities</w:t>
      </w:r>
    </w:p>
    <w:p w:rsidR="00D90862" w:rsidRDefault="00D90862" w:rsidP="008625F4">
      <w:pPr>
        <w:pStyle w:val="BodyText"/>
        <w:shd w:val="clear" w:color="auto" w:fill="FFFFFF" w:themeFill="background1"/>
      </w:pPr>
      <w:r>
        <w:t>U</w:t>
      </w:r>
      <w:r w:rsidRPr="00BA6E14">
        <w:t xml:space="preserve">nder the </w:t>
      </w:r>
      <w:r w:rsidRPr="00BA6E14">
        <w:rPr>
          <w:i/>
          <w:iCs/>
        </w:rPr>
        <w:t xml:space="preserve">National Health Reform </w:t>
      </w:r>
      <w:r>
        <w:rPr>
          <w:i/>
          <w:iCs/>
        </w:rPr>
        <w:t>Agreement</w:t>
      </w:r>
      <w:r w:rsidR="003C6EB0">
        <w:rPr>
          <w:i/>
          <w:iCs/>
        </w:rPr>
        <w:t xml:space="preserve"> </w:t>
      </w:r>
      <w:r w:rsidR="003C6EB0" w:rsidRPr="003C6EB0">
        <w:rPr>
          <w:iCs/>
        </w:rPr>
        <w:t>(</w:t>
      </w:r>
      <w:proofErr w:type="spellStart"/>
      <w:r w:rsidR="003C6EB0" w:rsidRPr="003C6EB0">
        <w:rPr>
          <w:iCs/>
        </w:rPr>
        <w:t>NHRA</w:t>
      </w:r>
      <w:proofErr w:type="spellEnd"/>
      <w:r w:rsidR="003C6EB0" w:rsidRPr="003C6EB0">
        <w:rPr>
          <w:iCs/>
        </w:rPr>
        <w:t>)</w:t>
      </w:r>
      <w:r>
        <w:rPr>
          <w:i/>
          <w:iCs/>
        </w:rPr>
        <w:t xml:space="preserve">, </w:t>
      </w:r>
      <w:r>
        <w:t>t</w:t>
      </w:r>
      <w:r w:rsidRPr="00BA6E14">
        <w:t xml:space="preserve">he roles and responsibilities that apply </w:t>
      </w:r>
      <w:r>
        <w:t xml:space="preserve">across the </w:t>
      </w:r>
      <w:r w:rsidRPr="00BA6E14">
        <w:t xml:space="preserve">aged care </w:t>
      </w:r>
      <w:r>
        <w:t>and disability service</w:t>
      </w:r>
      <w:r w:rsidR="003C6EB0">
        <w:t>s’</w:t>
      </w:r>
      <w:r>
        <w:t xml:space="preserve"> systems </w:t>
      </w:r>
      <w:r w:rsidRPr="00BA6E14">
        <w:t xml:space="preserve">changed </w:t>
      </w:r>
      <w:r w:rsidRPr="00840D33">
        <w:rPr>
          <w:iCs/>
        </w:rPr>
        <w:t>from 1</w:t>
      </w:r>
      <w:r w:rsidR="00AA68A5">
        <w:rPr>
          <w:iCs/>
        </w:rPr>
        <w:t> </w:t>
      </w:r>
      <w:r w:rsidRPr="00840D33">
        <w:rPr>
          <w:iCs/>
        </w:rPr>
        <w:t>July 2011</w:t>
      </w:r>
      <w:r w:rsidR="00036167">
        <w:rPr>
          <w:iCs/>
        </w:rPr>
        <w:t xml:space="preserve"> </w:t>
      </w:r>
      <w:r w:rsidR="00036167">
        <w:t>(for more details see the Community services sector overview</w:t>
      </w:r>
      <w:r w:rsidR="003C6EB0">
        <w:t xml:space="preserve"> F</w:t>
      </w:r>
      <w:r w:rsidR="00036167">
        <w:t>)</w:t>
      </w:r>
      <w:r w:rsidRPr="00BA6E14">
        <w:t xml:space="preserve">. The roles and responsibilities outlined in this </w:t>
      </w:r>
      <w:r w:rsidR="001E7E98">
        <w:t>chapter</w:t>
      </w:r>
      <w:r w:rsidRPr="00BA6E14">
        <w:t xml:space="preserve"> </w:t>
      </w:r>
      <w:r>
        <w:t>reflect th</w:t>
      </w:r>
      <w:r w:rsidR="003C6EB0">
        <w:t>e</w:t>
      </w:r>
      <w:r>
        <w:t xml:space="preserve"> </w:t>
      </w:r>
      <w:proofErr w:type="spellStart"/>
      <w:r w:rsidR="003C6EB0">
        <w:t>NHRA</w:t>
      </w:r>
      <w:proofErr w:type="spellEnd"/>
      <w:r w:rsidR="00CC7928">
        <w:t>.</w:t>
      </w:r>
      <w:r w:rsidR="00036167">
        <w:t xml:space="preserve"> </w:t>
      </w:r>
    </w:p>
    <w:p w:rsidR="00840D33" w:rsidRDefault="00056221" w:rsidP="00840D33">
      <w:pPr>
        <w:pStyle w:val="BodyText"/>
      </w:pPr>
      <w:r>
        <w:t xml:space="preserve">The </w:t>
      </w:r>
      <w:r w:rsidR="00A31A44">
        <w:t xml:space="preserve">funding </w:t>
      </w:r>
      <w:r>
        <w:t>and regulation of aged care services are predominantly the rol</w:t>
      </w:r>
      <w:r w:rsidR="002F3484">
        <w:t xml:space="preserve">e of the Australian </w:t>
      </w:r>
      <w:r w:rsidR="002F3484" w:rsidRPr="008625F4">
        <w:rPr>
          <w:shd w:val="clear" w:color="auto" w:fill="FFFFFF" w:themeFill="background1"/>
        </w:rPr>
        <w:t xml:space="preserve">Government, </w:t>
      </w:r>
      <w:r w:rsidRPr="008625F4">
        <w:rPr>
          <w:shd w:val="clear" w:color="auto" w:fill="FFFFFF" w:themeFill="background1"/>
        </w:rPr>
        <w:t>although all three levels of government are in</w:t>
      </w:r>
      <w:r w:rsidR="002F3484" w:rsidRPr="008625F4">
        <w:rPr>
          <w:shd w:val="clear" w:color="auto" w:fill="FFFFFF" w:themeFill="background1"/>
        </w:rPr>
        <w:t>volved</w:t>
      </w:r>
      <w:r w:rsidRPr="008625F4">
        <w:rPr>
          <w:shd w:val="clear" w:color="auto" w:fill="FFFFFF" w:themeFill="background1"/>
        </w:rPr>
        <w:t>.</w:t>
      </w:r>
      <w:r>
        <w:t xml:space="preserve"> </w:t>
      </w:r>
      <w:r w:rsidR="00840D33">
        <w:t xml:space="preserve">In September 2013, the Australian Government’s </w:t>
      </w:r>
      <w:r w:rsidR="00840D33" w:rsidRPr="00AC1F15">
        <w:t xml:space="preserve">responsibility for Ageing and Aged </w:t>
      </w:r>
      <w:r w:rsidR="00840D33" w:rsidRPr="00AC1F15">
        <w:lastRenderedPageBreak/>
        <w:t xml:space="preserve">Care moved from the Department of Health and Ageing </w:t>
      </w:r>
      <w:r w:rsidR="00840D33">
        <w:t xml:space="preserve">(DoHA) </w:t>
      </w:r>
      <w:r w:rsidR="00840D33" w:rsidRPr="00AC1F15">
        <w:t>to the Department of Social Services</w:t>
      </w:r>
      <w:r w:rsidR="00840D33">
        <w:t xml:space="preserve"> (DSS)</w:t>
      </w:r>
      <w:r w:rsidR="00840D33" w:rsidRPr="00AC1F15">
        <w:t xml:space="preserve">. </w:t>
      </w:r>
    </w:p>
    <w:p w:rsidR="00A85FE0" w:rsidRDefault="00056221" w:rsidP="00764810">
      <w:pPr>
        <w:pStyle w:val="BodyText"/>
      </w:pPr>
      <w:r>
        <w:t xml:space="preserve">The </w:t>
      </w:r>
      <w:r>
        <w:rPr>
          <w:i/>
        </w:rPr>
        <w:t>Aged Care Act 1997</w:t>
      </w:r>
      <w:r>
        <w:t xml:space="preserve">, together with the accompanying </w:t>
      </w:r>
      <w:r>
        <w:rPr>
          <w:i/>
        </w:rPr>
        <w:t>Aged Care Principles</w:t>
      </w:r>
      <w:r>
        <w:t xml:space="preserve">, are the main regulatory instruments establishing the aged care framework. Key provisions covered include service planning, user rights, eligibility for care, </w:t>
      </w:r>
      <w:r w:rsidR="00A31A44">
        <w:t>funding</w:t>
      </w:r>
      <w:r w:rsidR="009079A7">
        <w:t>,</w:t>
      </w:r>
      <w:r w:rsidR="00A31A44">
        <w:t xml:space="preserve"> </w:t>
      </w:r>
      <w:r>
        <w:t>quality assurance and accountability</w:t>
      </w:r>
      <w:r w:rsidR="004B3AB7">
        <w:t xml:space="preserve"> (P</w:t>
      </w:r>
      <w:r w:rsidR="00567128">
        <w:t xml:space="preserve">roductivity </w:t>
      </w:r>
      <w:r w:rsidR="004B3AB7">
        <w:t>C</w:t>
      </w:r>
      <w:r w:rsidR="00567128">
        <w:t>ommission</w:t>
      </w:r>
      <w:r w:rsidR="004B3AB7">
        <w:t xml:space="preserve"> 2010)</w:t>
      </w:r>
      <w:r>
        <w:t xml:space="preserve">. </w:t>
      </w:r>
    </w:p>
    <w:p w:rsidR="00056221" w:rsidRDefault="00056221" w:rsidP="00056221">
      <w:pPr>
        <w:pStyle w:val="Heading4"/>
      </w:pPr>
      <w:r>
        <w:t>Aged Care Assessment Program</w:t>
      </w:r>
    </w:p>
    <w:p w:rsidR="00056221" w:rsidRDefault="00EF2CEB" w:rsidP="008625F4">
      <w:pPr>
        <w:pStyle w:val="BodyText"/>
        <w:shd w:val="clear" w:color="auto" w:fill="FFFFFF" w:themeFill="background1"/>
      </w:pPr>
      <w:r w:rsidRPr="00600C5C">
        <w:rPr>
          <w:lang w:val="en-US"/>
        </w:rPr>
        <w:t>A</w:t>
      </w:r>
      <w:r w:rsidR="00243860">
        <w:rPr>
          <w:lang w:val="en-US"/>
        </w:rPr>
        <w:t>ged Care Assessment Teams (ACATs</w:t>
      </w:r>
      <w:r w:rsidRPr="00600C5C">
        <w:rPr>
          <w:lang w:val="en-US"/>
        </w:rPr>
        <w:t xml:space="preserve">) assess and approve clients </w:t>
      </w:r>
      <w:r w:rsidRPr="00E72979">
        <w:rPr>
          <w:lang w:val="en-US"/>
        </w:rPr>
        <w:t xml:space="preserve">as eligible </w:t>
      </w:r>
      <w:r>
        <w:rPr>
          <w:lang w:val="en-US"/>
        </w:rPr>
        <w:t xml:space="preserve">for </w:t>
      </w:r>
      <w:r w:rsidRPr="00600C5C">
        <w:rPr>
          <w:lang w:val="en-US"/>
        </w:rPr>
        <w:t xml:space="preserve">residential </w:t>
      </w:r>
      <w:r>
        <w:rPr>
          <w:lang w:val="en-US"/>
        </w:rPr>
        <w:t>and community care</w:t>
      </w:r>
      <w:r w:rsidR="0091187D">
        <w:rPr>
          <w:rStyle w:val="FootnoteReference"/>
          <w:lang w:val="en-US"/>
        </w:rPr>
        <w:footnoteReference w:id="2"/>
      </w:r>
      <w:r>
        <w:rPr>
          <w:lang w:val="en-US"/>
        </w:rPr>
        <w:t>.</w:t>
      </w:r>
      <w:r w:rsidRPr="00600C5C">
        <w:rPr>
          <w:lang w:val="en-US"/>
        </w:rPr>
        <w:t xml:space="preserve"> </w:t>
      </w:r>
      <w:r w:rsidR="00635A48">
        <w:t xml:space="preserve">An </w:t>
      </w:r>
      <w:r w:rsidR="00635A48" w:rsidRPr="008625F4">
        <w:rPr>
          <w:shd w:val="clear" w:color="auto" w:fill="FFFFFF" w:themeFill="background1"/>
        </w:rPr>
        <w:t>ACA</w:t>
      </w:r>
      <w:r w:rsidR="00243860" w:rsidRPr="008625F4">
        <w:rPr>
          <w:shd w:val="clear" w:color="auto" w:fill="FFFFFF" w:themeFill="background1"/>
        </w:rPr>
        <w:t>T</w:t>
      </w:r>
      <w:r w:rsidR="00635A48" w:rsidRPr="008625F4">
        <w:rPr>
          <w:shd w:val="clear" w:color="auto" w:fill="FFFFFF" w:themeFill="background1"/>
        </w:rPr>
        <w:t xml:space="preserve"> </w:t>
      </w:r>
      <w:r w:rsidR="00635A48" w:rsidRPr="00E23FE4">
        <w:t xml:space="preserve">approval </w:t>
      </w:r>
      <w:r w:rsidR="00635A48">
        <w:t>is</w:t>
      </w:r>
      <w:r w:rsidR="00635A48" w:rsidRPr="00E23FE4">
        <w:t xml:space="preserve"> mandatory for admission to Australian Government subsidised residential care </w:t>
      </w:r>
      <w:r w:rsidR="00635A48">
        <w:t xml:space="preserve">(including respite) </w:t>
      </w:r>
      <w:r w:rsidR="00635A48" w:rsidRPr="00E23FE4">
        <w:t xml:space="preserve">or </w:t>
      </w:r>
      <w:r w:rsidR="00635A48">
        <w:t>to receive</w:t>
      </w:r>
      <w:r w:rsidR="00635A48" w:rsidRPr="00E23FE4">
        <w:t xml:space="preserve"> a CACP, EACH package, EACH</w:t>
      </w:r>
      <w:r w:rsidR="00AA68A5">
        <w:noBreakHyphen/>
      </w:r>
      <w:r w:rsidR="00635A48" w:rsidRPr="00E23FE4">
        <w:t xml:space="preserve">D package or </w:t>
      </w:r>
      <w:r w:rsidR="00635A48">
        <w:t xml:space="preserve">enter the </w:t>
      </w:r>
      <w:r w:rsidR="00635A48" w:rsidRPr="00E23FE4">
        <w:t>TCP.</w:t>
      </w:r>
      <w:r w:rsidR="00635A48">
        <w:t xml:space="preserve"> </w:t>
      </w:r>
      <w:r w:rsidR="00056221" w:rsidRPr="00E23FE4">
        <w:t>People</w:t>
      </w:r>
      <w:r w:rsidR="00056221">
        <w:t xml:space="preserve"> can also be referred by </w:t>
      </w:r>
      <w:r w:rsidR="00C43FE4">
        <w:t xml:space="preserve">an </w:t>
      </w:r>
      <w:r w:rsidR="001C3600">
        <w:t>ACAT</w:t>
      </w:r>
      <w:r w:rsidR="00C35AC2" w:rsidRPr="00C35AC2">
        <w:t xml:space="preserve"> </w:t>
      </w:r>
      <w:r w:rsidR="00056221">
        <w:t xml:space="preserve">to other services, such as those funded by the HACC program (although </w:t>
      </w:r>
      <w:r w:rsidR="001C3600">
        <w:t>a</w:t>
      </w:r>
      <w:r w:rsidR="00056221">
        <w:t xml:space="preserve"> referral </w:t>
      </w:r>
      <w:r w:rsidR="001C3600">
        <w:t xml:space="preserve">under the ACAP </w:t>
      </w:r>
      <w:r w:rsidR="00056221">
        <w:t>is not mandatory for receipt of these other services).</w:t>
      </w:r>
    </w:p>
    <w:p w:rsidR="00056221" w:rsidRDefault="00056221" w:rsidP="008625F4">
      <w:pPr>
        <w:pStyle w:val="BodyText"/>
        <w:shd w:val="clear" w:color="auto" w:fill="FFFFFF" w:themeFill="background1"/>
      </w:pPr>
      <w:r>
        <w:t xml:space="preserve">The Australian Government has oversight of policy and guidelines, and </w:t>
      </w:r>
      <w:r w:rsidR="00CB53CF" w:rsidRPr="00CB53CF">
        <w:t xml:space="preserve">engages </w:t>
      </w:r>
      <w:r w:rsidR="00CB53CF">
        <w:t>S</w:t>
      </w:r>
      <w:r w:rsidR="00CB53CF" w:rsidRPr="00CB53CF">
        <w:t xml:space="preserve">tate and </w:t>
      </w:r>
      <w:r w:rsidR="00CB53CF">
        <w:t>T</w:t>
      </w:r>
      <w:r w:rsidR="00CB53CF" w:rsidRPr="00CB53CF">
        <w:t>erritory governments to operate ACATs</w:t>
      </w:r>
      <w:r w:rsidR="00635A48">
        <w:t xml:space="preserve"> who undertake the a</w:t>
      </w:r>
      <w:r w:rsidR="00635A48" w:rsidRPr="00E23FE4">
        <w:t>ssessment</w:t>
      </w:r>
      <w:r w:rsidR="00635A48">
        <w:t>s</w:t>
      </w:r>
      <w:r>
        <w:t xml:space="preserve">. State and Territory governments are responsible for the day to day operation and administration of </w:t>
      </w:r>
      <w:r w:rsidRPr="008625F4">
        <w:rPr>
          <w:shd w:val="clear" w:color="auto" w:fill="FFFFFF" w:themeFill="background1"/>
        </w:rPr>
        <w:t>ACA</w:t>
      </w:r>
      <w:r w:rsidR="00243860" w:rsidRPr="008625F4">
        <w:rPr>
          <w:shd w:val="clear" w:color="auto" w:fill="FFFFFF" w:themeFill="background1"/>
        </w:rPr>
        <w:t>Ts</w:t>
      </w:r>
      <w:r w:rsidRPr="008625F4">
        <w:rPr>
          <w:shd w:val="clear" w:color="auto" w:fill="FFFFFF" w:themeFill="background1"/>
        </w:rPr>
        <w:t>. The</w:t>
      </w:r>
      <w:r>
        <w:t xml:space="preserve"> scope and practice of ACATs differ across and within jurisdictions, partly reflecting the service setting and location (for example, whether the team is attached to a hospital or a community service) and this has an effect on program outputs.</w:t>
      </w:r>
    </w:p>
    <w:p w:rsidR="00056221" w:rsidRDefault="00056221" w:rsidP="00056221">
      <w:pPr>
        <w:pStyle w:val="Heading4"/>
      </w:pPr>
      <w:r>
        <w:t>Residential care services</w:t>
      </w:r>
    </w:p>
    <w:p w:rsidR="000641AF" w:rsidRDefault="00056221" w:rsidP="00056221">
      <w:pPr>
        <w:pStyle w:val="BodyText"/>
      </w:pPr>
      <w:r>
        <w:t xml:space="preserve">The Australian Government is responsible for most of </w:t>
      </w:r>
      <w:r w:rsidR="002C4400">
        <w:t>the</w:t>
      </w:r>
      <w:r w:rsidR="009D6768">
        <w:t xml:space="preserve"> policy</w:t>
      </w:r>
      <w:r w:rsidR="002C4400">
        <w:t xml:space="preserve"> </w:t>
      </w:r>
      <w:r w:rsidR="009D6768">
        <w:t xml:space="preserve">oversight and </w:t>
      </w:r>
      <w:r>
        <w:t>regulation of Australian Government subsidised residential aged care services, including</w:t>
      </w:r>
      <w:r w:rsidR="000641AF">
        <w:t>:</w:t>
      </w:r>
    </w:p>
    <w:p w:rsidR="00635A48" w:rsidRDefault="000D1406" w:rsidP="00635A48">
      <w:pPr>
        <w:pStyle w:val="ListBullet"/>
      </w:pPr>
      <w:r>
        <w:t xml:space="preserve">control over the number </w:t>
      </w:r>
      <w:r w:rsidR="00635A48">
        <w:t xml:space="preserve">of </w:t>
      </w:r>
      <w:r>
        <w:t xml:space="preserve">subsidised residential care places </w:t>
      </w:r>
      <w:r w:rsidR="00C629F6" w:rsidRPr="00AC0CD5">
        <w:t>through the</w:t>
      </w:r>
      <w:r w:rsidR="00635A48" w:rsidRPr="00635A48">
        <w:t xml:space="preserve"> provision ratio </w:t>
      </w:r>
    </w:p>
    <w:p w:rsidR="000D1406" w:rsidRDefault="00635A48" w:rsidP="00635A48">
      <w:pPr>
        <w:pStyle w:val="ListBullet"/>
      </w:pPr>
      <w:r>
        <w:t xml:space="preserve">requirements that </w:t>
      </w:r>
      <w:r w:rsidR="00FC1098">
        <w:t>regulate</w:t>
      </w:r>
      <w:r>
        <w:t xml:space="preserve"> the nature </w:t>
      </w:r>
      <w:r w:rsidRPr="00635A48">
        <w:t xml:space="preserve">of </w:t>
      </w:r>
      <w:r>
        <w:t xml:space="preserve">the </w:t>
      </w:r>
      <w:r w:rsidRPr="00635A48">
        <w:t>subsidised residential care places</w:t>
      </w:r>
      <w:r w:rsidR="00FC1098">
        <w:t xml:space="preserve"> offered</w:t>
      </w:r>
      <w:r w:rsidR="00D45C4B">
        <w:t>;</w:t>
      </w:r>
      <w:r w:rsidR="000D1406">
        <w:t xml:space="preserve"> </w:t>
      </w:r>
      <w:r>
        <w:t xml:space="preserve">for example </w:t>
      </w:r>
      <w:r w:rsidR="000D1406" w:rsidRPr="00AE2AB4">
        <w:t>services are expected to meet regional targets for places for concessional, assisted and supported residents</w:t>
      </w:r>
      <w:r w:rsidR="000D1406">
        <w:t xml:space="preserve"> and </w:t>
      </w:r>
      <w:r w:rsidR="009D6768">
        <w:t>the number of</w:t>
      </w:r>
      <w:r w:rsidR="00C629F6">
        <w:t xml:space="preserve"> </w:t>
      </w:r>
      <w:r w:rsidR="000D1406">
        <w:t>extra service places are restricted</w:t>
      </w:r>
    </w:p>
    <w:p w:rsidR="004F478D" w:rsidRDefault="00FC1098" w:rsidP="000D1406">
      <w:pPr>
        <w:pStyle w:val="ListBullet"/>
      </w:pPr>
      <w:r>
        <w:lastRenderedPageBreak/>
        <w:t xml:space="preserve">accreditation </w:t>
      </w:r>
      <w:r w:rsidR="00056221">
        <w:t xml:space="preserve">of </w:t>
      </w:r>
      <w:r w:rsidR="002C4400">
        <w:t xml:space="preserve">the </w:t>
      </w:r>
      <w:r w:rsidR="00056221">
        <w:t>service</w:t>
      </w:r>
      <w:r>
        <w:t>,</w:t>
      </w:r>
      <w:r w:rsidR="00056221">
        <w:t xml:space="preserve"> certification of facilities</w:t>
      </w:r>
      <w:r w:rsidRPr="00FC1098">
        <w:t xml:space="preserve"> </w:t>
      </w:r>
      <w:r>
        <w:t xml:space="preserve">and the </w:t>
      </w:r>
      <w:r w:rsidR="00F62BEA">
        <w:t>ongoing monitoring of</w:t>
      </w:r>
      <w:r>
        <w:t xml:space="preserve"> quality of care through the complaints scheme</w:t>
      </w:r>
      <w:r w:rsidR="00056221">
        <w:t>.</w:t>
      </w:r>
    </w:p>
    <w:p w:rsidR="00032AD0" w:rsidRDefault="00056221" w:rsidP="0079479E">
      <w:pPr>
        <w:pStyle w:val="BodyText"/>
      </w:pPr>
      <w:r w:rsidRPr="000B17F4">
        <w:t>State, Territory and local governments</w:t>
      </w:r>
      <w:r w:rsidRPr="0079479E">
        <w:rPr>
          <w:shd w:val="clear" w:color="auto" w:fill="FFFFFF" w:themeFill="background1"/>
        </w:rPr>
        <w:t xml:space="preserve"> </w:t>
      </w:r>
      <w:r w:rsidR="00E643F5" w:rsidRPr="0079479E">
        <w:rPr>
          <w:shd w:val="clear" w:color="auto" w:fill="FFFFFF" w:themeFill="background1"/>
        </w:rPr>
        <w:t xml:space="preserve">may </w:t>
      </w:r>
      <w:r w:rsidRPr="000B17F4">
        <w:t xml:space="preserve">also have a regulatory role in areas </w:t>
      </w:r>
      <w:r w:rsidRPr="0079479E">
        <w:rPr>
          <w:shd w:val="clear" w:color="auto" w:fill="FFFFFF" w:themeFill="background1"/>
        </w:rPr>
        <w:t>such as</w:t>
      </w:r>
      <w:r w:rsidR="000641AF" w:rsidRPr="0079479E">
        <w:rPr>
          <w:shd w:val="clear" w:color="auto" w:fill="FFFFFF" w:themeFill="background1"/>
        </w:rPr>
        <w:t xml:space="preserve"> </w:t>
      </w:r>
      <w:r w:rsidR="0095400D" w:rsidRPr="0079479E">
        <w:rPr>
          <w:shd w:val="clear" w:color="auto" w:fill="FFFFFF" w:themeFill="background1"/>
        </w:rPr>
        <w:t>work</w:t>
      </w:r>
      <w:r w:rsidR="000641AF" w:rsidRPr="0079479E">
        <w:rPr>
          <w:shd w:val="clear" w:color="auto" w:fill="FFFFFF" w:themeFill="background1"/>
        </w:rPr>
        <w:t xml:space="preserve"> health</w:t>
      </w:r>
      <w:r w:rsidR="000641AF" w:rsidRPr="000B17F4">
        <w:t xml:space="preserve"> and safety, workers compensation requirements, building standards, and fire prevention and </w:t>
      </w:r>
      <w:proofErr w:type="spellStart"/>
      <w:r w:rsidR="000641AF" w:rsidRPr="000B17F4">
        <w:t>firefighting</w:t>
      </w:r>
      <w:proofErr w:type="spellEnd"/>
      <w:r w:rsidR="000641AF" w:rsidRPr="000B17F4">
        <w:t xml:space="preserve"> measures. Industrial relations arrangements and outcomes vary between and within jurisdictions.</w:t>
      </w:r>
      <w:r w:rsidRPr="000B17F4">
        <w:t xml:space="preserve"> </w:t>
      </w:r>
    </w:p>
    <w:p w:rsidR="00056221" w:rsidRDefault="00056221" w:rsidP="00E90074">
      <w:pPr>
        <w:pStyle w:val="BodyText"/>
      </w:pPr>
      <w:r w:rsidRPr="00AD08FC">
        <w:t>Religious and private for</w:t>
      </w:r>
      <w:r w:rsidR="00AA68A5">
        <w:noBreakHyphen/>
      </w:r>
      <w:r w:rsidRPr="00AD08FC">
        <w:t xml:space="preserve">profit </w:t>
      </w:r>
      <w:r w:rsidRPr="00182F1B">
        <w:t xml:space="preserve">organisations </w:t>
      </w:r>
      <w:r w:rsidR="00C629F6">
        <w:t>a</w:t>
      </w:r>
      <w:r w:rsidR="00C629F6" w:rsidRPr="00182F1B">
        <w:t xml:space="preserve">re </w:t>
      </w:r>
      <w:r w:rsidRPr="00182F1B">
        <w:t>the main providers of residential care</w:t>
      </w:r>
      <w:r w:rsidR="00C629F6">
        <w:t>.</w:t>
      </w:r>
      <w:r w:rsidRPr="00182F1B">
        <w:t xml:space="preserve"> </w:t>
      </w:r>
      <w:r w:rsidR="00C629F6">
        <w:t>At</w:t>
      </w:r>
      <w:r w:rsidR="00C629F6" w:rsidRPr="00182F1B">
        <w:t xml:space="preserve"> </w:t>
      </w:r>
      <w:r w:rsidR="00714EDC">
        <w:t>June 201</w:t>
      </w:r>
      <w:r w:rsidR="000641AF">
        <w:t>3</w:t>
      </w:r>
      <w:r w:rsidRPr="00182F1B">
        <w:t xml:space="preserve">, </w:t>
      </w:r>
      <w:r w:rsidR="00C629F6">
        <w:t xml:space="preserve">they </w:t>
      </w:r>
      <w:r w:rsidR="00C629F6" w:rsidRPr="00182F1B">
        <w:t>account</w:t>
      </w:r>
      <w:r w:rsidR="00C629F6">
        <w:t>ed</w:t>
      </w:r>
      <w:r w:rsidR="00C629F6" w:rsidRPr="00182F1B">
        <w:t xml:space="preserve"> </w:t>
      </w:r>
      <w:r w:rsidRPr="00182F1B">
        <w:t>for</w:t>
      </w:r>
      <w:r w:rsidRPr="00BB6059">
        <w:t xml:space="preserve"> </w:t>
      </w:r>
      <w:r w:rsidR="00032AD0">
        <w:t>27.2</w:t>
      </w:r>
      <w:r w:rsidRPr="00BB6059">
        <w:t xml:space="preserve"> </w:t>
      </w:r>
      <w:r w:rsidRPr="00182F1B">
        <w:t xml:space="preserve">per cent and </w:t>
      </w:r>
      <w:r w:rsidR="00032AD0">
        <w:t>36.2</w:t>
      </w:r>
      <w:r w:rsidRPr="00BB6059">
        <w:t xml:space="preserve"> </w:t>
      </w:r>
      <w:r w:rsidRPr="00182F1B">
        <w:t xml:space="preserve">per cent respectively of all Australian Government subsidised residential aged care places. </w:t>
      </w:r>
      <w:r w:rsidR="00032AD0">
        <w:br/>
      </w:r>
      <w:r w:rsidRPr="00182F1B">
        <w:t>Community</w:t>
      </w:r>
      <w:r w:rsidR="00AA68A5">
        <w:noBreakHyphen/>
      </w:r>
      <w:r w:rsidRPr="00182F1B">
        <w:t xml:space="preserve">based organisations and charitable organisations accounted for a further </w:t>
      </w:r>
      <w:r w:rsidR="00F91A7F">
        <w:t>13.5</w:t>
      </w:r>
      <w:r w:rsidRPr="004F40CD">
        <w:t> </w:t>
      </w:r>
      <w:r w:rsidRPr="00182F1B">
        <w:t xml:space="preserve">per cent and </w:t>
      </w:r>
      <w:r w:rsidR="00F91A7F">
        <w:t>17.6</w:t>
      </w:r>
      <w:r w:rsidR="00E74698">
        <w:t xml:space="preserve"> </w:t>
      </w:r>
      <w:r w:rsidRPr="00182F1B">
        <w:t>per cent respectively. State and local governments provided the remaining</w:t>
      </w:r>
      <w:r w:rsidRPr="004F40CD">
        <w:t xml:space="preserve"> </w:t>
      </w:r>
      <w:r w:rsidR="00F91A7F">
        <w:t>5.5</w:t>
      </w:r>
      <w:r w:rsidRPr="004F40CD">
        <w:t xml:space="preserve"> </w:t>
      </w:r>
      <w:r w:rsidRPr="00182F1B">
        <w:t>per cent</w:t>
      </w:r>
      <w:r w:rsidRPr="00AD08FC">
        <w:t xml:space="preserve"> (figure</w:t>
      </w:r>
      <w:r w:rsidR="00AA68A5">
        <w:t> </w:t>
      </w:r>
      <w:r w:rsidRPr="00AD08FC">
        <w:t>13.</w:t>
      </w:r>
      <w:r>
        <w:t>1</w:t>
      </w:r>
      <w:r w:rsidRPr="00AD08FC">
        <w:t>).</w:t>
      </w:r>
    </w:p>
    <w:p w:rsidR="00056221" w:rsidRDefault="00056221" w:rsidP="00056221">
      <w:pPr>
        <w:pStyle w:val="FigureTitle"/>
      </w:pPr>
      <w:r w:rsidRPr="00D50682">
        <w:rPr>
          <w:b w:val="0"/>
          <w:sz w:val="24"/>
        </w:rPr>
        <w:t xml:space="preserve">Figure </w:t>
      </w:r>
      <w:r w:rsidR="003D39B8">
        <w:rPr>
          <w:b w:val="0"/>
          <w:sz w:val="24"/>
        </w:rPr>
        <w:t>13.</w:t>
      </w:r>
      <w:r w:rsidR="00E4728C">
        <w:rPr>
          <w:b w:val="0"/>
          <w:noProof/>
          <w:sz w:val="24"/>
        </w:rPr>
        <w:t>1</w:t>
      </w:r>
      <w:r w:rsidRPr="00D50682">
        <w:rPr>
          <w:sz w:val="24"/>
        </w:rPr>
        <w:tab/>
        <w:t xml:space="preserve">Ownership of operational residential places, </w:t>
      </w:r>
      <w:r w:rsidR="00714EDC" w:rsidRPr="00D50682">
        <w:rPr>
          <w:sz w:val="24"/>
        </w:rPr>
        <w:t>June 201</w:t>
      </w:r>
      <w:r w:rsidR="000641AF">
        <w:rPr>
          <w:sz w:val="24"/>
        </w:rPr>
        <w:t>3</w:t>
      </w:r>
      <w:r w:rsidRPr="00257AD3">
        <w:rPr>
          <w:rStyle w:val="NoteLabel"/>
          <w:b/>
        </w:rPr>
        <w:t>a, b</w:t>
      </w:r>
      <w:r w:rsidR="00AE3B2B">
        <w:rPr>
          <w:rStyle w:val="NoteLabel"/>
          <w:b/>
        </w:rPr>
        <w:t>, c</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777"/>
      </w:tblGrid>
      <w:tr w:rsidR="00056221" w:rsidTr="00056221">
        <w:tc>
          <w:tcPr>
            <w:tcW w:w="8777" w:type="dxa"/>
          </w:tcPr>
          <w:p w:rsidR="00F72515" w:rsidRPr="00043CD9" w:rsidRDefault="008018D4" w:rsidP="00A54EB7">
            <w:pPr>
              <w:pStyle w:val="Figure"/>
              <w:tabs>
                <w:tab w:val="left" w:pos="3844"/>
              </w:tabs>
            </w:pPr>
            <w:r>
              <w:rPr>
                <w:noProof/>
              </w:rPr>
              <w:drawing>
                <wp:inline distT="0" distB="0" distL="0" distR="0">
                  <wp:extent cx="5391150" cy="2686050"/>
                  <wp:effectExtent l="0" t="0" r="0" b="0"/>
                  <wp:docPr id="1" name="Picture 1" descr="Figure 13.1 Ownership of operational residential places, Jun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3B2966" w:rsidRDefault="00056221" w:rsidP="00BA6E14">
      <w:pPr>
        <w:pStyle w:val="Note"/>
      </w:pPr>
      <w:r>
        <w:rPr>
          <w:rStyle w:val="NoteLabel"/>
        </w:rPr>
        <w:t>a</w:t>
      </w:r>
      <w:r>
        <w:t> </w:t>
      </w:r>
      <w:r w:rsidR="00C43FE4">
        <w:t>Community</w:t>
      </w:r>
      <w:r w:rsidR="00AA68A5">
        <w:noBreakHyphen/>
      </w:r>
      <w:r w:rsidR="00C43FE4">
        <w:t>based</w:t>
      </w:r>
      <w:r>
        <w:t xml:space="preserve"> residential services provide a service for an identifiable community based on locality or ethnicity, not for financial gain. </w:t>
      </w:r>
      <w:r w:rsidRPr="00DE6691">
        <w:rPr>
          <w:rStyle w:val="NoteLabel"/>
        </w:rPr>
        <w:t>b</w:t>
      </w:r>
      <w:r>
        <w:rPr>
          <w:rStyle w:val="NoteLabel"/>
        </w:rPr>
        <w:t> </w:t>
      </w:r>
      <w:r w:rsidR="00C43FE4">
        <w:t>Charitable</w:t>
      </w:r>
      <w:r>
        <w:t xml:space="preserve"> residential services provide a service for the general community or an appreciable section of the public, not for financial gain.</w:t>
      </w:r>
      <w:r w:rsidR="008057C0">
        <w:t xml:space="preserve"> </w:t>
      </w:r>
      <w:r w:rsidR="003B2966" w:rsidRPr="00AE3B2B">
        <w:rPr>
          <w:rStyle w:val="NoteLabel"/>
        </w:rPr>
        <w:t>c</w:t>
      </w:r>
      <w:r w:rsidR="003B2966">
        <w:t xml:space="preserve"> Data exclude the </w:t>
      </w:r>
      <w:r w:rsidR="003B2966" w:rsidRPr="00AE3B2B">
        <w:t xml:space="preserve">flexible places </w:t>
      </w:r>
      <w:r w:rsidR="003B2966">
        <w:t xml:space="preserve">provided </w:t>
      </w:r>
      <w:r w:rsidR="003B2966" w:rsidRPr="00AE3B2B">
        <w:t xml:space="preserve">under the </w:t>
      </w:r>
      <w:r w:rsidR="005F7FAB" w:rsidRPr="00BA6E14">
        <w:t>National Aboriginal and Torres Strait Islander Flexible Aged Care Program</w:t>
      </w:r>
      <w:r w:rsidR="003B2966" w:rsidRPr="00BA6E14">
        <w:t xml:space="preserve">, </w:t>
      </w:r>
      <w:r w:rsidR="003B2966" w:rsidRPr="00AE3B2B">
        <w:t>Innovative Pool programs and care provided by Multi</w:t>
      </w:r>
      <w:r w:rsidR="00AA68A5">
        <w:noBreakHyphen/>
      </w:r>
      <w:r w:rsidR="008D0208">
        <w:t>P</w:t>
      </w:r>
      <w:r w:rsidR="008D0208" w:rsidRPr="00AE3B2B">
        <w:t xml:space="preserve">urpose </w:t>
      </w:r>
      <w:r w:rsidR="003B2966" w:rsidRPr="00AE3B2B">
        <w:t>Services</w:t>
      </w:r>
      <w:r w:rsidR="003B2966">
        <w:t>.</w:t>
      </w:r>
    </w:p>
    <w:p w:rsidR="00056221" w:rsidRDefault="00056221" w:rsidP="0079479E">
      <w:pPr>
        <w:pStyle w:val="Source"/>
      </w:pPr>
      <w:r>
        <w:rPr>
          <w:i/>
        </w:rPr>
        <w:t>Source</w:t>
      </w:r>
      <w:r>
        <w:t xml:space="preserve">: </w:t>
      </w:r>
      <w:proofErr w:type="spellStart"/>
      <w:r w:rsidR="000D51AD" w:rsidRPr="0079479E">
        <w:rPr>
          <w:shd w:val="clear" w:color="auto" w:fill="FFFFFF" w:themeFill="background1"/>
        </w:rPr>
        <w:t>D</w:t>
      </w:r>
      <w:r w:rsidR="00E46620" w:rsidRPr="0079479E">
        <w:rPr>
          <w:shd w:val="clear" w:color="auto" w:fill="FFFFFF" w:themeFill="background1"/>
        </w:rPr>
        <w:t>SS</w:t>
      </w:r>
      <w:proofErr w:type="spellEnd"/>
      <w:r>
        <w:t xml:space="preserve"> (unpublished); table</w:t>
      </w:r>
      <w:r w:rsidR="00AA68A5">
        <w:t> </w:t>
      </w:r>
      <w:proofErr w:type="spellStart"/>
      <w:r>
        <w:t>13A.16</w:t>
      </w:r>
      <w:proofErr w:type="spellEnd"/>
      <w:r>
        <w:t>.</w:t>
      </w:r>
    </w:p>
    <w:p w:rsidR="00056221" w:rsidRDefault="00056221" w:rsidP="00056221">
      <w:pPr>
        <w:pStyle w:val="Heading4"/>
      </w:pPr>
      <w:r>
        <w:t>Community care services</w:t>
      </w:r>
    </w:p>
    <w:p w:rsidR="00C629F6" w:rsidRDefault="00056221" w:rsidP="00135631">
      <w:pPr>
        <w:pStyle w:val="BodyText"/>
      </w:pPr>
      <w:bookmarkStart w:id="10" w:name="OLE_LINK19"/>
      <w:bookmarkStart w:id="11" w:name="OLE_LINK20"/>
      <w:r>
        <w:t>The main community care programs reported in this chapter are the HACC, CACP, EACH, EACH</w:t>
      </w:r>
      <w:r w:rsidR="00AA68A5">
        <w:noBreakHyphen/>
      </w:r>
      <w:r>
        <w:t xml:space="preserve">D </w:t>
      </w:r>
      <w:r w:rsidR="00AE3B2B">
        <w:t>and</w:t>
      </w:r>
      <w:r w:rsidR="00AE3B2B" w:rsidDel="00AE3B2B">
        <w:t xml:space="preserve"> </w:t>
      </w:r>
      <w:r>
        <w:t xml:space="preserve">the </w:t>
      </w:r>
      <w:r w:rsidR="00AE3B2B">
        <w:t xml:space="preserve">DVA </w:t>
      </w:r>
      <w:r>
        <w:t xml:space="preserve">VHC </w:t>
      </w:r>
      <w:r w:rsidR="00AE3B2B">
        <w:t xml:space="preserve">and </w:t>
      </w:r>
      <w:r w:rsidR="001A3390">
        <w:t xml:space="preserve">Veterans’ </w:t>
      </w:r>
      <w:r w:rsidR="00AE3B2B">
        <w:t xml:space="preserve">community nursing </w:t>
      </w:r>
      <w:r>
        <w:t>programs</w:t>
      </w:r>
      <w:r w:rsidRPr="006A6B05">
        <w:t xml:space="preserve">. </w:t>
      </w:r>
      <w:r w:rsidR="00C629F6">
        <w:t>EACH and EACH</w:t>
      </w:r>
      <w:r w:rsidR="00AA68A5">
        <w:noBreakHyphen/>
      </w:r>
      <w:r w:rsidR="00C629F6">
        <w:t xml:space="preserve">D services are considered flexible care under the </w:t>
      </w:r>
      <w:r w:rsidR="00C629F6" w:rsidRPr="00B939F8">
        <w:rPr>
          <w:i/>
        </w:rPr>
        <w:t>Aged Care Act 1997</w:t>
      </w:r>
      <w:r w:rsidR="00C629F6">
        <w:t xml:space="preserve">, but because of their nature are classified in this chapter as community care. </w:t>
      </w:r>
    </w:p>
    <w:p w:rsidR="00056221" w:rsidRDefault="0033431D" w:rsidP="0079479E">
      <w:pPr>
        <w:pStyle w:val="BodyText"/>
      </w:pPr>
      <w:r>
        <w:lastRenderedPageBreak/>
        <w:t>The Australian Government</w:t>
      </w:r>
      <w:r w:rsidR="004F478D">
        <w:t xml:space="preserve"> </w:t>
      </w:r>
      <w:r w:rsidR="004F478D" w:rsidRPr="0079479E">
        <w:rPr>
          <w:shd w:val="clear" w:color="auto" w:fill="FFFFFF" w:themeFill="background1"/>
        </w:rPr>
        <w:t>(</w:t>
      </w:r>
      <w:r w:rsidR="00D57FE5" w:rsidRPr="0079479E">
        <w:rPr>
          <w:shd w:val="clear" w:color="auto" w:fill="FFFFFF" w:themeFill="background1"/>
        </w:rPr>
        <w:t>DSS</w:t>
      </w:r>
      <w:r w:rsidR="00E46620" w:rsidRPr="0079479E">
        <w:rPr>
          <w:shd w:val="clear" w:color="auto" w:fill="FFFFFF" w:themeFill="background1"/>
        </w:rPr>
        <w:t>)</w:t>
      </w:r>
      <w:r w:rsidR="004F478D" w:rsidRPr="00FA439F">
        <w:t xml:space="preserve"> </w:t>
      </w:r>
      <w:r w:rsidR="000D1406">
        <w:t>is responsible</w:t>
      </w:r>
      <w:r w:rsidR="004F478D">
        <w:t xml:space="preserve"> </w:t>
      </w:r>
      <w:r>
        <w:t xml:space="preserve">for </w:t>
      </w:r>
      <w:r w:rsidR="00AC0CD5">
        <w:t xml:space="preserve">the policy oversight and regulation of </w:t>
      </w:r>
      <w:r>
        <w:t xml:space="preserve">HACC aged care services </w:t>
      </w:r>
      <w:r w:rsidR="004F478D">
        <w:t>except in</w:t>
      </w:r>
      <w:r w:rsidRPr="0033431D">
        <w:t xml:space="preserve"> Victoria and </w:t>
      </w:r>
      <w:r>
        <w:t>WA</w:t>
      </w:r>
      <w:r w:rsidRPr="0033431D">
        <w:t xml:space="preserve"> </w:t>
      </w:r>
      <w:r w:rsidR="004F478D">
        <w:t>where it is</w:t>
      </w:r>
      <w:r w:rsidR="004F478D" w:rsidRPr="0033431D">
        <w:t xml:space="preserve"> </w:t>
      </w:r>
      <w:r w:rsidRPr="0033431D">
        <w:t xml:space="preserve">a joint Australian Government, and State governments’ initiative administered under the </w:t>
      </w:r>
      <w:r w:rsidRPr="0033431D">
        <w:rPr>
          <w:i/>
        </w:rPr>
        <w:t>Home and Community Care Review Agreement 2007</w:t>
      </w:r>
      <w:r w:rsidR="00056221">
        <w:t>. HACC s</w:t>
      </w:r>
      <w:r w:rsidR="00056221" w:rsidRPr="00D94BC2">
        <w:t>ervice prov</w:t>
      </w:r>
      <w:r w:rsidR="00056221">
        <w:t>iders vary from small community</w:t>
      </w:r>
      <w:r w:rsidR="00AA68A5">
        <w:noBreakHyphen/>
      </w:r>
      <w:r w:rsidR="00056221" w:rsidRPr="00D94BC2">
        <w:t xml:space="preserve">based </w:t>
      </w:r>
      <w:r w:rsidR="000105BF">
        <w:t>groups to large charitable and public sector organisations</w:t>
      </w:r>
      <w:r w:rsidR="00056221" w:rsidRPr="00D94BC2">
        <w:t>.</w:t>
      </w:r>
    </w:p>
    <w:p w:rsidR="00D57FE5" w:rsidRPr="004B1E52" w:rsidRDefault="00056221" w:rsidP="0079479E">
      <w:pPr>
        <w:pStyle w:val="BodyText"/>
      </w:pPr>
      <w:r>
        <w:t xml:space="preserve">The Australian Government </w:t>
      </w:r>
      <w:r w:rsidR="00034D92" w:rsidRPr="0079479E">
        <w:rPr>
          <w:shd w:val="clear" w:color="auto" w:fill="FFFFFF" w:themeFill="background1"/>
        </w:rPr>
        <w:t>(</w:t>
      </w:r>
      <w:r w:rsidR="003424A5" w:rsidRPr="0079479E">
        <w:rPr>
          <w:shd w:val="clear" w:color="auto" w:fill="FFFFFF" w:themeFill="background1"/>
        </w:rPr>
        <w:t>D</w:t>
      </w:r>
      <w:r w:rsidR="00E46620" w:rsidRPr="0079479E">
        <w:rPr>
          <w:shd w:val="clear" w:color="auto" w:fill="FFFFFF" w:themeFill="background1"/>
        </w:rPr>
        <w:t>SS</w:t>
      </w:r>
      <w:r w:rsidR="003424A5" w:rsidRPr="0079479E">
        <w:rPr>
          <w:shd w:val="clear" w:color="auto" w:fill="FFFFFF" w:themeFill="background1"/>
        </w:rPr>
        <w:t>)</w:t>
      </w:r>
      <w:r w:rsidR="00E46620">
        <w:t xml:space="preserve"> </w:t>
      </w:r>
      <w:r w:rsidRPr="00BA6E14">
        <w:t xml:space="preserve">is responsible </w:t>
      </w:r>
      <w:r>
        <w:t>for the policy oversight and regulation of the CACP, EACH and EACH</w:t>
      </w:r>
      <w:r w:rsidR="00AA68A5">
        <w:noBreakHyphen/>
      </w:r>
      <w:r>
        <w:t>D programs.</w:t>
      </w:r>
      <w:r w:rsidRPr="00AA2DF5">
        <w:t xml:space="preserve"> </w:t>
      </w:r>
      <w:r>
        <w:t>Religious</w:t>
      </w:r>
      <w:r w:rsidRPr="00CF7DAB">
        <w:t xml:space="preserve"> </w:t>
      </w:r>
      <w:r>
        <w:t xml:space="preserve">and charitable </w:t>
      </w:r>
      <w:r w:rsidRPr="00182F1B">
        <w:t>organisations</w:t>
      </w:r>
      <w:r>
        <w:t xml:space="preserve"> </w:t>
      </w:r>
      <w:r w:rsidR="00C629F6">
        <w:t>a</w:t>
      </w:r>
      <w:r w:rsidR="00C629F6" w:rsidRPr="00182F1B">
        <w:t xml:space="preserve">re </w:t>
      </w:r>
      <w:r w:rsidRPr="00182F1B">
        <w:t xml:space="preserve">the main providers </w:t>
      </w:r>
      <w:r>
        <w:t xml:space="preserve">of </w:t>
      </w:r>
      <w:r w:rsidRPr="00182F1B">
        <w:t xml:space="preserve">Australian Government subsidised </w:t>
      </w:r>
      <w:r>
        <w:t>community</w:t>
      </w:r>
      <w:r w:rsidRPr="00182F1B">
        <w:t xml:space="preserve"> care </w:t>
      </w:r>
      <w:r>
        <w:t>p</w:t>
      </w:r>
      <w:r w:rsidR="003E3548">
        <w:t>laces across the three programs</w:t>
      </w:r>
      <w:r>
        <w:t xml:space="preserve"> </w:t>
      </w:r>
      <w:r w:rsidRPr="00AD08FC">
        <w:t>(figure</w:t>
      </w:r>
      <w:r w:rsidR="00AA68A5">
        <w:t> </w:t>
      </w:r>
      <w:r w:rsidRPr="00AD08FC">
        <w:t>13.</w:t>
      </w:r>
      <w:r>
        <w:t>2</w:t>
      </w:r>
      <w:r w:rsidRPr="00AD08FC">
        <w:t>).</w:t>
      </w:r>
      <w:r w:rsidRPr="00FB517E">
        <w:t xml:space="preserve"> </w:t>
      </w:r>
    </w:p>
    <w:p w:rsidR="00056221" w:rsidRDefault="00056221" w:rsidP="000D1406">
      <w:pPr>
        <w:pStyle w:val="FigureTitle"/>
      </w:pPr>
      <w:r w:rsidRPr="00D50682">
        <w:rPr>
          <w:b w:val="0"/>
          <w:sz w:val="24"/>
        </w:rPr>
        <w:t xml:space="preserve">Figure </w:t>
      </w:r>
      <w:r w:rsidR="00D635CA" w:rsidRPr="00D50682">
        <w:rPr>
          <w:b w:val="0"/>
          <w:sz w:val="24"/>
        </w:rPr>
        <w:t>13.</w:t>
      </w:r>
      <w:r w:rsidR="00E4728C">
        <w:rPr>
          <w:b w:val="0"/>
          <w:noProof/>
          <w:sz w:val="24"/>
        </w:rPr>
        <w:t>2</w:t>
      </w:r>
      <w:r w:rsidRPr="00D50682">
        <w:rPr>
          <w:sz w:val="24"/>
        </w:rPr>
        <w:tab/>
        <w:t>Operational CACP, EACH and EACH</w:t>
      </w:r>
      <w:r w:rsidR="00AA68A5">
        <w:rPr>
          <w:sz w:val="24"/>
        </w:rPr>
        <w:noBreakHyphen/>
      </w:r>
      <w:r w:rsidRPr="00D50682">
        <w:rPr>
          <w:sz w:val="24"/>
        </w:rPr>
        <w:t xml:space="preserve">D places, by provider type, </w:t>
      </w:r>
      <w:r w:rsidR="00714EDC" w:rsidRPr="00D50682">
        <w:rPr>
          <w:sz w:val="24"/>
        </w:rPr>
        <w:t>June 201</w:t>
      </w:r>
      <w:r w:rsidR="000D1406">
        <w:rPr>
          <w:sz w:val="24"/>
        </w:rPr>
        <w:t>3</w:t>
      </w:r>
      <w:r w:rsidRPr="00257AD3">
        <w:rPr>
          <w:rStyle w:val="NoteLabel"/>
          <w:b/>
        </w:rPr>
        <w:t>a, b</w:t>
      </w:r>
    </w:p>
    <w:tbl>
      <w:tblPr>
        <w:tblW w:w="0" w:type="auto"/>
        <w:tblInd w:w="11"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8665"/>
      </w:tblGrid>
      <w:tr w:rsidR="00056221" w:rsidTr="00857D89">
        <w:tc>
          <w:tcPr>
            <w:tcW w:w="8665" w:type="dxa"/>
          </w:tcPr>
          <w:p w:rsidR="00F72515" w:rsidRPr="00043CD9" w:rsidRDefault="008018D4" w:rsidP="000D1406">
            <w:pPr>
              <w:pStyle w:val="Figure"/>
              <w:keepLines/>
              <w:tabs>
                <w:tab w:val="left" w:pos="300"/>
              </w:tabs>
            </w:pPr>
            <w:r>
              <w:rPr>
                <w:noProof/>
              </w:rPr>
              <w:drawing>
                <wp:inline distT="0" distB="0" distL="0" distR="0">
                  <wp:extent cx="5400675" cy="2638425"/>
                  <wp:effectExtent l="0" t="0" r="9525" b="9525"/>
                  <wp:docPr id="3" name="Picture 3" descr="Figure 13.2 Operational CACP, EACH and EACH D places, by provider type, June 2013&#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675" cy="2638425"/>
                          </a:xfrm>
                          <a:prstGeom prst="rect">
                            <a:avLst/>
                          </a:prstGeom>
                          <a:noFill/>
                          <a:ln>
                            <a:noFill/>
                          </a:ln>
                        </pic:spPr>
                      </pic:pic>
                    </a:graphicData>
                  </a:graphic>
                </wp:inline>
              </w:drawing>
            </w:r>
          </w:p>
        </w:tc>
      </w:tr>
    </w:tbl>
    <w:p w:rsidR="00056221" w:rsidRDefault="00056221" w:rsidP="000D1406">
      <w:pPr>
        <w:pStyle w:val="Note"/>
        <w:keepNext/>
      </w:pPr>
      <w:r>
        <w:rPr>
          <w:rStyle w:val="NoteLabel"/>
        </w:rPr>
        <w:t>a</w:t>
      </w:r>
      <w:r w:rsidR="00C43FE4">
        <w:t> </w:t>
      </w:r>
      <w:r>
        <w:t>Community</w:t>
      </w:r>
      <w:r w:rsidR="00AA68A5">
        <w:noBreakHyphen/>
      </w:r>
      <w:r>
        <w:t xml:space="preserve">based </w:t>
      </w:r>
      <w:r w:rsidR="00647FF5">
        <w:t xml:space="preserve">organisations </w:t>
      </w:r>
      <w:r>
        <w:t xml:space="preserve">provide a service for an identifiable community based on </w:t>
      </w:r>
      <w:r w:rsidR="00FB07DB">
        <w:t>location</w:t>
      </w:r>
      <w:r>
        <w:t xml:space="preserve"> or ethnicity, not for financial gain. </w:t>
      </w:r>
      <w:r w:rsidRPr="00DE6691">
        <w:rPr>
          <w:rStyle w:val="NoteLabel"/>
        </w:rPr>
        <w:t>b</w:t>
      </w:r>
      <w:r>
        <w:rPr>
          <w:rStyle w:val="NoteLabel"/>
        </w:rPr>
        <w:t> </w:t>
      </w:r>
      <w:r w:rsidR="00C43FE4">
        <w:t xml:space="preserve">Charitable </w:t>
      </w:r>
      <w:r w:rsidR="00647FF5">
        <w:t xml:space="preserve">organisations </w:t>
      </w:r>
      <w:r>
        <w:t>provide a service for the general community or an appreciable section of the public, not for financial gain.</w:t>
      </w:r>
      <w:r w:rsidR="00647FF5">
        <w:t xml:space="preserve"> </w:t>
      </w:r>
    </w:p>
    <w:p w:rsidR="00056221" w:rsidRDefault="00056221" w:rsidP="000D1406">
      <w:pPr>
        <w:pStyle w:val="Source"/>
        <w:keepNext/>
      </w:pPr>
      <w:r>
        <w:rPr>
          <w:i/>
        </w:rPr>
        <w:t>Source</w:t>
      </w:r>
      <w:r w:rsidR="00594EEB">
        <w:t xml:space="preserve">: </w:t>
      </w:r>
      <w:r w:rsidR="00594EEB" w:rsidRPr="0079479E">
        <w:rPr>
          <w:shd w:val="clear" w:color="auto" w:fill="FFFFFF" w:themeFill="background1"/>
        </w:rPr>
        <w:t>D</w:t>
      </w:r>
      <w:r w:rsidR="00E46620" w:rsidRPr="0079479E">
        <w:rPr>
          <w:shd w:val="clear" w:color="auto" w:fill="FFFFFF" w:themeFill="background1"/>
        </w:rPr>
        <w:t>SS</w:t>
      </w:r>
      <w:r>
        <w:t xml:space="preserve"> (unpublished).</w:t>
      </w:r>
    </w:p>
    <w:p w:rsidR="00056221" w:rsidRDefault="00056221" w:rsidP="0079479E">
      <w:pPr>
        <w:pStyle w:val="BodyText"/>
        <w:tabs>
          <w:tab w:val="left" w:pos="5812"/>
        </w:tabs>
      </w:pPr>
      <w:r w:rsidRPr="00B92235">
        <w:rPr>
          <w:shd w:val="clear" w:color="auto" w:fill="FFFFFF" w:themeFill="background1"/>
        </w:rPr>
        <w:t xml:space="preserve">The Australian Government (DVA) is primarily responsible for policy oversight and </w:t>
      </w:r>
      <w:r w:rsidR="006C28B2" w:rsidRPr="00B92235">
        <w:rPr>
          <w:shd w:val="clear" w:color="auto" w:fill="FFFFFF" w:themeFill="background1"/>
        </w:rPr>
        <w:t>provision</w:t>
      </w:r>
      <w:r w:rsidRPr="00B92235">
        <w:rPr>
          <w:shd w:val="clear" w:color="auto" w:fill="FFFFFF" w:themeFill="background1"/>
        </w:rPr>
        <w:t xml:space="preserve"> of </w:t>
      </w:r>
      <w:r w:rsidR="007B46B3" w:rsidRPr="00B92235">
        <w:rPr>
          <w:shd w:val="clear" w:color="auto" w:fill="FFFFFF" w:themeFill="background1"/>
        </w:rPr>
        <w:t xml:space="preserve">the </w:t>
      </w:r>
      <w:r w:rsidRPr="0079479E">
        <w:rPr>
          <w:shd w:val="clear" w:color="auto" w:fill="FFFFFF" w:themeFill="background1"/>
        </w:rPr>
        <w:t xml:space="preserve">VHC </w:t>
      </w:r>
      <w:r w:rsidR="00360EB5" w:rsidRPr="0079479E">
        <w:rPr>
          <w:shd w:val="clear" w:color="auto" w:fill="FFFFFF" w:themeFill="background1"/>
        </w:rPr>
        <w:t xml:space="preserve">and </w:t>
      </w:r>
      <w:r w:rsidR="003E3548" w:rsidRPr="0079479E">
        <w:rPr>
          <w:shd w:val="clear" w:color="auto" w:fill="FFFFFF" w:themeFill="background1"/>
        </w:rPr>
        <w:t>c</w:t>
      </w:r>
      <w:r w:rsidRPr="0079479E">
        <w:rPr>
          <w:shd w:val="clear" w:color="auto" w:fill="FFFFFF" w:themeFill="background1"/>
        </w:rPr>
        <w:t xml:space="preserve">ommunity </w:t>
      </w:r>
      <w:r w:rsidR="003E3548" w:rsidRPr="0079479E">
        <w:rPr>
          <w:shd w:val="clear" w:color="auto" w:fill="FFFFFF" w:themeFill="background1"/>
        </w:rPr>
        <w:t>n</w:t>
      </w:r>
      <w:r w:rsidRPr="0079479E">
        <w:rPr>
          <w:shd w:val="clear" w:color="auto" w:fill="FFFFFF" w:themeFill="background1"/>
        </w:rPr>
        <w:t xml:space="preserve">ursing </w:t>
      </w:r>
      <w:r w:rsidR="00360EB5" w:rsidRPr="0079479E">
        <w:rPr>
          <w:shd w:val="clear" w:color="auto" w:fill="FFFFFF" w:themeFill="background1"/>
        </w:rPr>
        <w:t>programs</w:t>
      </w:r>
      <w:r w:rsidR="00360EB5" w:rsidRPr="00B92235">
        <w:rPr>
          <w:shd w:val="clear" w:color="auto" w:fill="FFFFFF" w:themeFill="background1"/>
        </w:rPr>
        <w:t xml:space="preserve"> </w:t>
      </w:r>
      <w:r w:rsidR="007B46B3" w:rsidRPr="00B92235">
        <w:rPr>
          <w:shd w:val="clear" w:color="auto" w:fill="FFFFFF" w:themeFill="background1"/>
        </w:rPr>
        <w:t>for veterans and war widows/widowers</w:t>
      </w:r>
      <w:r w:rsidRPr="00B92235">
        <w:rPr>
          <w:shd w:val="clear" w:color="auto" w:fill="FFFFFF" w:themeFill="background1"/>
        </w:rPr>
        <w:t xml:space="preserve">. </w:t>
      </w:r>
      <w:r w:rsidR="007A7FA5" w:rsidRPr="00B92235">
        <w:rPr>
          <w:shd w:val="clear" w:color="auto" w:fill="FFFFFF" w:themeFill="background1"/>
        </w:rPr>
        <w:t xml:space="preserve">These services are </w:t>
      </w:r>
      <w:r w:rsidR="007A7FA5" w:rsidRPr="0079479E">
        <w:rPr>
          <w:shd w:val="clear" w:color="auto" w:fill="FFFFFF" w:themeFill="background1"/>
        </w:rPr>
        <w:t>delivered by</w:t>
      </w:r>
      <w:r w:rsidR="007A7FA5" w:rsidRPr="00B92235">
        <w:rPr>
          <w:shd w:val="clear" w:color="auto" w:fill="FFFFFF" w:themeFill="background1"/>
        </w:rPr>
        <w:t xml:space="preserve"> organisations contracted by DVA. </w:t>
      </w:r>
      <w:r w:rsidRPr="00B92235">
        <w:rPr>
          <w:shd w:val="clear" w:color="auto" w:fill="FFFFFF" w:themeFill="background1"/>
        </w:rPr>
        <w:t xml:space="preserve">There were </w:t>
      </w:r>
      <w:r w:rsidR="00360EB5" w:rsidRPr="0079479E">
        <w:rPr>
          <w:shd w:val="clear" w:color="auto" w:fill="FFFFFF" w:themeFill="background1"/>
        </w:rPr>
        <w:t>approximately 66</w:t>
      </w:r>
      <w:r w:rsidRPr="0079479E">
        <w:rPr>
          <w:shd w:val="clear" w:color="auto" w:fill="FFFFFF" w:themeFill="background1"/>
        </w:rPr>
        <w:t xml:space="preserve"> </w:t>
      </w:r>
      <w:r w:rsidR="00360EB5" w:rsidRPr="0079479E">
        <w:rPr>
          <w:shd w:val="clear" w:color="auto" w:fill="FFFFFF" w:themeFill="background1"/>
        </w:rPr>
        <w:t>000</w:t>
      </w:r>
      <w:r w:rsidR="00360EB5">
        <w:rPr>
          <w:shd w:val="clear" w:color="auto" w:fill="FFFFFF" w:themeFill="background1"/>
        </w:rPr>
        <w:t xml:space="preserve"> </w:t>
      </w:r>
      <w:r w:rsidRPr="00B92235">
        <w:rPr>
          <w:shd w:val="clear" w:color="auto" w:fill="FFFFFF" w:themeFill="background1"/>
        </w:rPr>
        <w:t xml:space="preserve">people </w:t>
      </w:r>
      <w:r w:rsidR="00C72804" w:rsidRPr="00B92235">
        <w:rPr>
          <w:shd w:val="clear" w:color="auto" w:fill="FFFFFF" w:themeFill="background1"/>
        </w:rPr>
        <w:t xml:space="preserve">aged 65 years or over </w:t>
      </w:r>
      <w:r w:rsidRPr="00B92235">
        <w:rPr>
          <w:shd w:val="clear" w:color="auto" w:fill="FFFFFF" w:themeFill="background1"/>
        </w:rPr>
        <w:t>approved for VHC services in</w:t>
      </w:r>
      <w:r w:rsidR="00F40BB4" w:rsidRPr="00B92235">
        <w:rPr>
          <w:shd w:val="clear" w:color="auto" w:fill="FFFFFF" w:themeFill="background1"/>
        </w:rPr>
        <w:t xml:space="preserve"> </w:t>
      </w:r>
      <w:r w:rsidR="00714EDC" w:rsidRPr="00B92235">
        <w:rPr>
          <w:shd w:val="clear" w:color="auto" w:fill="FFFFFF" w:themeFill="background1"/>
        </w:rPr>
        <w:t>201</w:t>
      </w:r>
      <w:r w:rsidR="000D1406">
        <w:rPr>
          <w:shd w:val="clear" w:color="auto" w:fill="FFFFFF" w:themeFill="background1"/>
        </w:rPr>
        <w:t>2</w:t>
      </w:r>
      <w:r w:rsidR="00AA68A5">
        <w:rPr>
          <w:shd w:val="clear" w:color="auto" w:fill="FFFFFF" w:themeFill="background1"/>
        </w:rPr>
        <w:noBreakHyphen/>
      </w:r>
      <w:r w:rsidR="00714EDC" w:rsidRPr="00B92235">
        <w:rPr>
          <w:shd w:val="clear" w:color="auto" w:fill="FFFFFF" w:themeFill="background1"/>
        </w:rPr>
        <w:t>1</w:t>
      </w:r>
      <w:r w:rsidR="000D1406">
        <w:rPr>
          <w:shd w:val="clear" w:color="auto" w:fill="FFFFFF" w:themeFill="background1"/>
        </w:rPr>
        <w:t>3</w:t>
      </w:r>
      <w:r w:rsidRPr="00B92235">
        <w:rPr>
          <w:shd w:val="clear" w:color="auto" w:fill="FFFFFF" w:themeFill="background1"/>
        </w:rPr>
        <w:t xml:space="preserve"> and </w:t>
      </w:r>
      <w:r w:rsidR="00360EB5" w:rsidRPr="0079479E">
        <w:rPr>
          <w:shd w:val="clear" w:color="auto" w:fill="FFFFFF" w:themeFill="background1"/>
        </w:rPr>
        <w:t xml:space="preserve">around </w:t>
      </w:r>
      <w:r w:rsidR="00B05A8D" w:rsidRPr="0079479E">
        <w:rPr>
          <w:shd w:val="clear" w:color="auto" w:fill="FFFFFF" w:themeFill="background1"/>
        </w:rPr>
        <w:t>28 </w:t>
      </w:r>
      <w:r w:rsidR="00B103FB">
        <w:rPr>
          <w:shd w:val="clear" w:color="auto" w:fill="FFFFFF" w:themeFill="background1"/>
        </w:rPr>
        <w:t>5</w:t>
      </w:r>
      <w:r w:rsidR="00360EB5" w:rsidRPr="0079479E">
        <w:rPr>
          <w:shd w:val="clear" w:color="auto" w:fill="FFFFFF" w:themeFill="background1"/>
        </w:rPr>
        <w:t>00</w:t>
      </w:r>
      <w:r w:rsidRPr="00B92235">
        <w:rPr>
          <w:shd w:val="clear" w:color="auto" w:fill="FFFFFF" w:themeFill="background1"/>
        </w:rPr>
        <w:t xml:space="preserve"> </w:t>
      </w:r>
      <w:r w:rsidR="00B05A8D" w:rsidRPr="00B05A8D">
        <w:rPr>
          <w:shd w:val="clear" w:color="auto" w:fill="FFFFFF" w:themeFill="background1"/>
        </w:rPr>
        <w:t>people aged 65 years or over</w:t>
      </w:r>
      <w:r w:rsidRPr="00B92235">
        <w:rPr>
          <w:shd w:val="clear" w:color="auto" w:fill="FFFFFF" w:themeFill="background1"/>
        </w:rPr>
        <w:t xml:space="preserve"> </w:t>
      </w:r>
      <w:r w:rsidR="001F508D" w:rsidRPr="00B92235">
        <w:rPr>
          <w:shd w:val="clear" w:color="auto" w:fill="FFFFFF" w:themeFill="background1"/>
        </w:rPr>
        <w:t>receiving</w:t>
      </w:r>
      <w:r w:rsidRPr="00B92235">
        <w:rPr>
          <w:shd w:val="clear" w:color="auto" w:fill="FFFFFF" w:themeFill="background1"/>
        </w:rPr>
        <w:t xml:space="preserve"> community nursing </w:t>
      </w:r>
      <w:r w:rsidR="001F508D" w:rsidRPr="00B92235">
        <w:rPr>
          <w:shd w:val="clear" w:color="auto" w:fill="FFFFFF" w:themeFill="background1"/>
        </w:rPr>
        <w:t xml:space="preserve">services </w:t>
      </w:r>
      <w:r w:rsidRPr="00B92235">
        <w:rPr>
          <w:shd w:val="clear" w:color="auto" w:fill="FFFFFF" w:themeFill="background1"/>
        </w:rPr>
        <w:t>(table</w:t>
      </w:r>
      <w:r w:rsidR="00AA68A5">
        <w:rPr>
          <w:shd w:val="clear" w:color="auto" w:fill="FFFFFF" w:themeFill="background1"/>
        </w:rPr>
        <w:t> </w:t>
      </w:r>
      <w:proofErr w:type="spellStart"/>
      <w:r w:rsidRPr="00B92235">
        <w:rPr>
          <w:shd w:val="clear" w:color="auto" w:fill="FFFFFF" w:themeFill="background1"/>
        </w:rPr>
        <w:t>13A.13</w:t>
      </w:r>
      <w:proofErr w:type="spellEnd"/>
      <w:r w:rsidRPr="00B92235">
        <w:rPr>
          <w:shd w:val="clear" w:color="auto" w:fill="FFFFFF" w:themeFill="background1"/>
        </w:rPr>
        <w:t>)</w:t>
      </w:r>
      <w:r w:rsidR="00C43FE4" w:rsidRPr="00B92235">
        <w:rPr>
          <w:shd w:val="clear" w:color="auto" w:fill="FFFFFF" w:themeFill="background1"/>
        </w:rPr>
        <w:t xml:space="preserve">, including </w:t>
      </w:r>
      <w:r w:rsidRPr="00B92235">
        <w:rPr>
          <w:shd w:val="clear" w:color="auto" w:fill="FFFFFF" w:themeFill="background1"/>
        </w:rPr>
        <w:t>services provided to assist carers</w:t>
      </w:r>
      <w:r w:rsidRPr="006A6B05">
        <w:t xml:space="preserve">. </w:t>
      </w:r>
    </w:p>
    <w:bookmarkEnd w:id="10"/>
    <w:bookmarkEnd w:id="11"/>
    <w:p w:rsidR="00056221" w:rsidRDefault="00056221" w:rsidP="00056221">
      <w:pPr>
        <w:pStyle w:val="Heading4"/>
      </w:pPr>
      <w:r>
        <w:lastRenderedPageBreak/>
        <w:t>Services provided in mixed delivery setting</w:t>
      </w:r>
      <w:r w:rsidRPr="005471D0">
        <w:t xml:space="preserve"> </w:t>
      </w:r>
    </w:p>
    <w:p w:rsidR="0075355F" w:rsidRDefault="0075355F" w:rsidP="00056221">
      <w:pPr>
        <w:pStyle w:val="BodyText"/>
      </w:pPr>
      <w:r>
        <w:t>Two categories of services are defined in this Report as being provided in mixed delivery settings:</w:t>
      </w:r>
    </w:p>
    <w:p w:rsidR="009E5487" w:rsidRDefault="0075355F" w:rsidP="003C2A7C">
      <w:pPr>
        <w:pStyle w:val="ListBullet"/>
      </w:pPr>
      <w:r>
        <w:t xml:space="preserve">flexible care services </w:t>
      </w:r>
    </w:p>
    <w:p w:rsidR="0075355F" w:rsidRDefault="0075355F" w:rsidP="0075355F">
      <w:pPr>
        <w:pStyle w:val="ListBullet"/>
      </w:pPr>
      <w:r>
        <w:t>specific support services</w:t>
      </w:r>
      <w:r w:rsidR="009E5487">
        <w:t>.</w:t>
      </w:r>
    </w:p>
    <w:p w:rsidR="007B3532" w:rsidRDefault="007B3532" w:rsidP="007B3532">
      <w:pPr>
        <w:pStyle w:val="Heading5"/>
      </w:pPr>
      <w:r>
        <w:t xml:space="preserve">Flexible care services </w:t>
      </w:r>
    </w:p>
    <w:p w:rsidR="00056221" w:rsidRDefault="00056221" w:rsidP="009E5487">
      <w:pPr>
        <w:pStyle w:val="BodyText"/>
        <w:keepNext/>
      </w:pPr>
      <w:r>
        <w:t xml:space="preserve">Flexible care </w:t>
      </w:r>
      <w:r w:rsidR="009E5487">
        <w:t xml:space="preserve">services </w:t>
      </w:r>
      <w:r w:rsidR="00DB3668">
        <w:t>comprise those</w:t>
      </w:r>
      <w:r>
        <w:t xml:space="preserve"> </w:t>
      </w:r>
      <w:r w:rsidR="00DB3668">
        <w:t xml:space="preserve">provided under the </w:t>
      </w:r>
      <w:r w:rsidR="00DB3668" w:rsidRPr="00C4102A">
        <w:rPr>
          <w:i/>
        </w:rPr>
        <w:t>Aged Care Act 1997</w:t>
      </w:r>
      <w:r w:rsidR="00DB3668">
        <w:t xml:space="preserve"> (TCP,</w:t>
      </w:r>
      <w:r w:rsidR="00DB3668" w:rsidRPr="001A047F">
        <w:t xml:space="preserve"> M</w:t>
      </w:r>
      <w:r w:rsidR="00DB3668">
        <w:t>PS innovative care places)</w:t>
      </w:r>
      <w:r w:rsidR="00DB3668" w:rsidRPr="00C4102A">
        <w:t xml:space="preserve"> </w:t>
      </w:r>
      <w:r w:rsidR="00DB3668">
        <w:t xml:space="preserve">and the </w:t>
      </w:r>
      <w:r w:rsidR="00DB3668" w:rsidRPr="00AC0CD5">
        <w:t>National Aboriginal and Torres Strait Islander Flexible Aged Care Program</w:t>
      </w:r>
      <w:r>
        <w:t xml:space="preserve">. </w:t>
      </w:r>
    </w:p>
    <w:p w:rsidR="008D5BC4" w:rsidRDefault="008D5BC4" w:rsidP="008D5BC4">
      <w:pPr>
        <w:pStyle w:val="ListBullet"/>
      </w:pPr>
      <w:bookmarkStart w:id="12" w:name="OLE_LINK22"/>
      <w:bookmarkStart w:id="13" w:name="OLE_LINK39"/>
      <w:r>
        <w:t>The TCP was established to assist older people in regaining physical and psychosocial functioning following an episode of inpatient care, to maximise independence and to help avoid premature entry to residential aged care. Services are delivered to patients in their own homes or in dedicated, home</w:t>
      </w:r>
      <w:r w:rsidR="00AA68A5">
        <w:noBreakHyphen/>
      </w:r>
      <w:r>
        <w:t>like residential facilities for a period of up to 12 weeks. To be eligible, patients must have been assessed by an ACAT as having the potential to benefit from Transition Care, be approved as eligible for residential aged care, and they must begin to receive Transition Care directly on discharge from hospital. The TCP is jointly funded by the Australian, State and Territory governments. Its implementation is overseen by the Transition Care Working Group, which includes representatives from all State and Territory governments and the Australian Government. State and Territory governments, as approved providers, develop their own service delivery models within the framework of the Program.</w:t>
      </w:r>
    </w:p>
    <w:p w:rsidR="00056221" w:rsidRDefault="00D27BE3" w:rsidP="0079479E">
      <w:pPr>
        <w:pStyle w:val="ListBullet"/>
      </w:pPr>
      <w:r w:rsidRPr="00B92235">
        <w:rPr>
          <w:shd w:val="clear" w:color="auto" w:fill="FFFFFF" w:themeFill="background1"/>
        </w:rPr>
        <w:t xml:space="preserve">The </w:t>
      </w:r>
      <w:r w:rsidR="00056221" w:rsidRPr="00B92235">
        <w:rPr>
          <w:shd w:val="clear" w:color="auto" w:fill="FFFFFF" w:themeFill="background1"/>
        </w:rPr>
        <w:t xml:space="preserve">MPS </w:t>
      </w:r>
      <w:r w:rsidRPr="00B92235">
        <w:rPr>
          <w:shd w:val="clear" w:color="auto" w:fill="FFFFFF" w:themeFill="background1"/>
        </w:rPr>
        <w:t>program is</w:t>
      </w:r>
      <w:r w:rsidR="00056221" w:rsidRPr="00B92235">
        <w:rPr>
          <w:shd w:val="clear" w:color="auto" w:fill="FFFFFF" w:themeFill="background1"/>
        </w:rPr>
        <w:t xml:space="preserve"> a joint initiative between the Australian Government and State and Territory governments</w:t>
      </w:r>
      <w:r w:rsidRPr="00B92235">
        <w:rPr>
          <w:shd w:val="clear" w:color="auto" w:fill="FFFFFF" w:themeFill="background1"/>
        </w:rPr>
        <w:t xml:space="preserve">, which aims to deliver flexible and integrated health and aged care services </w:t>
      </w:r>
      <w:r w:rsidR="00BB2122" w:rsidRPr="00B92235">
        <w:rPr>
          <w:shd w:val="clear" w:color="auto" w:fill="FFFFFF" w:themeFill="background1"/>
        </w:rPr>
        <w:t>to</w:t>
      </w:r>
      <w:r w:rsidRPr="00B92235">
        <w:rPr>
          <w:shd w:val="clear" w:color="auto" w:fill="FFFFFF" w:themeFill="background1"/>
        </w:rPr>
        <w:t xml:space="preserve"> small rural and remote communities</w:t>
      </w:r>
      <w:r w:rsidR="00332830">
        <w:rPr>
          <w:shd w:val="clear" w:color="auto" w:fill="FFFFFF" w:themeFill="background1"/>
        </w:rPr>
        <w:t>. Some h</w:t>
      </w:r>
      <w:r w:rsidR="00332830" w:rsidRPr="009F1C7E">
        <w:t>ealth, aged and community care services may not be viable in a small community if provided separately</w:t>
      </w:r>
      <w:r w:rsidR="00332830">
        <w:t>.</w:t>
      </w:r>
      <w:r w:rsidR="00056221" w:rsidRPr="00B92235">
        <w:rPr>
          <w:shd w:val="clear" w:color="auto" w:fill="FFFFFF" w:themeFill="background1"/>
        </w:rPr>
        <w:t xml:space="preserve"> Australian Government aged care funding is combined with </w:t>
      </w:r>
      <w:r w:rsidRPr="00B92235">
        <w:rPr>
          <w:shd w:val="clear" w:color="auto" w:fill="FFFFFF" w:themeFill="background1"/>
        </w:rPr>
        <w:t>State and Territory governments’ health services funding</w:t>
      </w:r>
      <w:r w:rsidR="00056221" w:rsidRPr="00B92235">
        <w:rPr>
          <w:shd w:val="clear" w:color="auto" w:fill="FFFFFF" w:themeFill="background1"/>
        </w:rPr>
        <w:t xml:space="preserve">. </w:t>
      </w:r>
      <w:r w:rsidR="00337D40" w:rsidRPr="0079479E">
        <w:rPr>
          <w:shd w:val="clear" w:color="auto" w:fill="FFFFFF" w:themeFill="background1"/>
        </w:rPr>
        <w:t xml:space="preserve">Services are primarily located in small rural hospital settings, where the MPS </w:t>
      </w:r>
      <w:r w:rsidR="009E7EB1" w:rsidRPr="0079479E">
        <w:rPr>
          <w:shd w:val="clear" w:color="auto" w:fill="FFFFFF" w:themeFill="background1"/>
        </w:rPr>
        <w:t>providers are State governments</w:t>
      </w:r>
      <w:r w:rsidR="00360EB5" w:rsidRPr="00C17B47">
        <w:t xml:space="preserve"> </w:t>
      </w:r>
      <w:r w:rsidR="00360EB5" w:rsidRPr="00B92235">
        <w:rPr>
          <w:shd w:val="clear" w:color="auto" w:fill="FFFFFF" w:themeFill="background1"/>
        </w:rPr>
        <w:t>(DoHA 2012)</w:t>
      </w:r>
      <w:r w:rsidR="00360EB5" w:rsidRPr="004E4B7F">
        <w:t>.</w:t>
      </w:r>
      <w:r w:rsidR="00056221" w:rsidRPr="00B92235">
        <w:rPr>
          <w:shd w:val="clear" w:color="auto" w:fill="FFFFFF" w:themeFill="background1"/>
        </w:rPr>
        <w:t xml:space="preserve"> </w:t>
      </w:r>
      <w:bookmarkEnd w:id="12"/>
      <w:bookmarkEnd w:id="13"/>
    </w:p>
    <w:p w:rsidR="00056221" w:rsidRDefault="00056221" w:rsidP="00332830">
      <w:pPr>
        <w:pStyle w:val="ListBullet"/>
      </w:pPr>
      <w:r>
        <w:t xml:space="preserve">The Aged Care Innovative Pool </w:t>
      </w:r>
      <w:r w:rsidR="00332830" w:rsidRPr="00332830">
        <w:t>supports the development and testing of flexible models of service delivery in areas where mainstream aged care services might not appropriately meet the needs of a location or target group</w:t>
      </w:r>
      <w:r w:rsidR="00332830">
        <w:t xml:space="preserve"> </w:t>
      </w:r>
      <w:r>
        <w:t xml:space="preserve">. </w:t>
      </w:r>
      <w:r w:rsidRPr="00B874A0">
        <w:t>At the beginning of each financial year</w:t>
      </w:r>
      <w:r>
        <w:t>,</w:t>
      </w:r>
      <w:r w:rsidRPr="00B874A0">
        <w:t xml:space="preserve"> the </w:t>
      </w:r>
      <w:r>
        <w:t xml:space="preserve">Australian Government’s </w:t>
      </w:r>
      <w:r w:rsidRPr="00B874A0">
        <w:t>Minister for Ageing determines the flexible care</w:t>
      </w:r>
      <w:r>
        <w:t xml:space="preserve"> </w:t>
      </w:r>
      <w:r w:rsidRPr="00B874A0">
        <w:t>subsidy rates for the Innovative Pool pilots.</w:t>
      </w:r>
      <w:r w:rsidRPr="00CA56F1">
        <w:t xml:space="preserve"> </w:t>
      </w:r>
    </w:p>
    <w:p w:rsidR="00C4102A" w:rsidRDefault="00DB3668" w:rsidP="00E90074">
      <w:pPr>
        <w:pStyle w:val="ListBullet"/>
      </w:pPr>
      <w:r>
        <w:lastRenderedPageBreak/>
        <w:t>Under the National Aboriginal and Torres Strait Islander Flexible Aged Care Program the Australian Government funds organisations</w:t>
      </w:r>
      <w:r w:rsidRPr="00624FDB">
        <w:t xml:space="preserve"> to provide quality, flexible, culturally appropriate aged care to older Aboriginal and Torres Strait Islander people close to home and community.</w:t>
      </w:r>
      <w:r>
        <w:t xml:space="preserve"> </w:t>
      </w:r>
      <w:r w:rsidRPr="00624FDB">
        <w:t xml:space="preserve">Flexible Aged Care services </w:t>
      </w:r>
      <w:r w:rsidRPr="009E5ECB">
        <w:t>can deliver</w:t>
      </w:r>
      <w:r w:rsidRPr="00624FDB">
        <w:t xml:space="preserve"> a mix of residential and community aged care services to </w:t>
      </w:r>
      <w:r>
        <w:t>meet the needs of the community.</w:t>
      </w:r>
      <w:r w:rsidRPr="00DB3668">
        <w:t xml:space="preserve"> </w:t>
      </w:r>
      <w:r>
        <w:t>Services funded under th</w:t>
      </w:r>
      <w:r w:rsidR="00CA5C98">
        <w:t>is</w:t>
      </w:r>
      <w:r>
        <w:t xml:space="preserve"> Program operate outside the regulatory framework of the </w:t>
      </w:r>
      <w:r w:rsidRPr="003531BD">
        <w:rPr>
          <w:i/>
        </w:rPr>
        <w:t>Aged Care Act 1997</w:t>
      </w:r>
      <w:r>
        <w:rPr>
          <w:i/>
        </w:rPr>
        <w:t>.</w:t>
      </w:r>
    </w:p>
    <w:p w:rsidR="00056221" w:rsidRDefault="009E5487" w:rsidP="008445EB">
      <w:pPr>
        <w:pStyle w:val="Heading5"/>
        <w:spacing w:before="400"/>
      </w:pPr>
      <w:r>
        <w:t>S</w:t>
      </w:r>
      <w:r w:rsidR="00056221">
        <w:t>pecific support</w:t>
      </w:r>
      <w:r>
        <w:t xml:space="preserve"> services</w:t>
      </w:r>
    </w:p>
    <w:p w:rsidR="00056221" w:rsidRDefault="00056221" w:rsidP="000F2C6A">
      <w:pPr>
        <w:pStyle w:val="BodyText"/>
      </w:pPr>
      <w:r>
        <w:t xml:space="preserve">A range of programs designed to meet </w:t>
      </w:r>
      <w:r w:rsidR="00F53177">
        <w:t xml:space="preserve">the </w:t>
      </w:r>
      <w:r>
        <w:t xml:space="preserve">specific support needs of older people across care settings are funded and operate outside the regulatory framework of the </w:t>
      </w:r>
      <w:r w:rsidRPr="001A4776">
        <w:rPr>
          <w:i/>
        </w:rPr>
        <w:t>Aged Care Act 1997</w:t>
      </w:r>
      <w:r>
        <w:t xml:space="preserve">. The Day Therapy Centre Program, for example, provides a wide range of therapy services to older people living in the community and to </w:t>
      </w:r>
      <w:r w:rsidR="00336760" w:rsidRPr="000F2C6A">
        <w:t xml:space="preserve">low care </w:t>
      </w:r>
      <w:r w:rsidRPr="000F2C6A">
        <w:t xml:space="preserve">residents of Australian Government funded residential aged care facilities. </w:t>
      </w:r>
    </w:p>
    <w:p w:rsidR="00AA230D" w:rsidRDefault="00056221" w:rsidP="005D41C0">
      <w:pPr>
        <w:pStyle w:val="BodyText"/>
      </w:pPr>
      <w:r>
        <w:t xml:space="preserve">The Australian Government </w:t>
      </w:r>
      <w:r w:rsidR="00CA5C98">
        <w:t>is responsible for</w:t>
      </w:r>
      <w:r>
        <w:t xml:space="preserve"> </w:t>
      </w:r>
      <w:r w:rsidR="008D0208">
        <w:t xml:space="preserve">the </w:t>
      </w:r>
      <w:r w:rsidR="00CA5C98">
        <w:t>funding and oversight</w:t>
      </w:r>
      <w:r w:rsidR="008D0208">
        <w:t xml:space="preserve"> of </w:t>
      </w:r>
      <w:r>
        <w:t xml:space="preserve">most of these programs. </w:t>
      </w:r>
      <w:r w:rsidR="00AA230D">
        <w:t xml:space="preserve">Programs </w:t>
      </w:r>
      <w:r w:rsidR="00AA230D" w:rsidRPr="00D758BB">
        <w:t>focused on the care of long stay older pati</w:t>
      </w:r>
      <w:r w:rsidR="00AA230D">
        <w:t xml:space="preserve">ents (LSOP) in public hospitals are an exception. </w:t>
      </w:r>
      <w:r w:rsidR="00AA230D" w:rsidRPr="00D758BB">
        <w:t>Since 2006, the Australian, State and Territory governments have had bilateral Agreements in place</w:t>
      </w:r>
      <w:r w:rsidR="00AA230D">
        <w:t>:</w:t>
      </w:r>
    </w:p>
    <w:p w:rsidR="00AA230D" w:rsidRDefault="00AA230D" w:rsidP="00B05A8D">
      <w:pPr>
        <w:pStyle w:val="ListBullet"/>
      </w:pPr>
      <w:r w:rsidRPr="00D758BB">
        <w:t xml:space="preserve">The </w:t>
      </w:r>
      <w:r w:rsidRPr="00D758BB">
        <w:rPr>
          <w:i/>
        </w:rPr>
        <w:t>C</w:t>
      </w:r>
      <w:r w:rsidR="001D6278">
        <w:rPr>
          <w:i/>
        </w:rPr>
        <w:t xml:space="preserve">ouncil of Australian </w:t>
      </w:r>
      <w:r w:rsidRPr="00D758BB">
        <w:rPr>
          <w:i/>
        </w:rPr>
        <w:t>G</w:t>
      </w:r>
      <w:r w:rsidR="001D6278">
        <w:rPr>
          <w:i/>
        </w:rPr>
        <w:t>overnments (COAG)</w:t>
      </w:r>
      <w:r w:rsidRPr="00D758BB">
        <w:rPr>
          <w:i/>
        </w:rPr>
        <w:t xml:space="preserve"> LSOP Initiative ― 2006</w:t>
      </w:r>
      <w:r w:rsidR="00AA68A5">
        <w:rPr>
          <w:i/>
        </w:rPr>
        <w:noBreakHyphen/>
      </w:r>
      <w:r w:rsidRPr="00D758BB">
        <w:rPr>
          <w:i/>
        </w:rPr>
        <w:t>07 to 2011</w:t>
      </w:r>
      <w:r w:rsidR="00AA68A5">
        <w:rPr>
          <w:i/>
        </w:rPr>
        <w:noBreakHyphen/>
      </w:r>
      <w:r w:rsidRPr="00D758BB">
        <w:rPr>
          <w:i/>
        </w:rPr>
        <w:t xml:space="preserve">12 </w:t>
      </w:r>
      <w:r w:rsidRPr="00D758BB">
        <w:t>sought to ensure that older Australians at risk of unnecessary and prolonged hospital stays received appropriate and quali</w:t>
      </w:r>
      <w:r>
        <w:t>ty health care that better met</w:t>
      </w:r>
      <w:r w:rsidRPr="00D758BB">
        <w:t xml:space="preserve"> their needs</w:t>
      </w:r>
      <w:r w:rsidR="00B05A8D" w:rsidRPr="00B05A8D">
        <w:t>, and improved this group’s access to appropriate long</w:t>
      </w:r>
      <w:r w:rsidR="00AA68A5">
        <w:noBreakHyphen/>
      </w:r>
      <w:r w:rsidR="00B05A8D" w:rsidRPr="00B05A8D">
        <w:t>term care options</w:t>
      </w:r>
      <w:r>
        <w:t>.</w:t>
      </w:r>
    </w:p>
    <w:p w:rsidR="00AA230D" w:rsidRDefault="00AA230D" w:rsidP="00B05A8D">
      <w:pPr>
        <w:pStyle w:val="ListBullet"/>
      </w:pPr>
      <w:r w:rsidRPr="00D758BB">
        <w:t xml:space="preserve">Under the </w:t>
      </w:r>
      <w:r w:rsidR="00B05A8D" w:rsidRPr="00B05A8D">
        <w:t xml:space="preserve">expiring </w:t>
      </w:r>
      <w:r w:rsidRPr="00D758BB">
        <w:rPr>
          <w:i/>
        </w:rPr>
        <w:t>National Partnership Agreement (</w:t>
      </w:r>
      <w:proofErr w:type="spellStart"/>
      <w:r w:rsidRPr="00D758BB">
        <w:rPr>
          <w:i/>
        </w:rPr>
        <w:t>NPA</w:t>
      </w:r>
      <w:proofErr w:type="spellEnd"/>
      <w:r w:rsidRPr="00D758BB">
        <w:rPr>
          <w:i/>
        </w:rPr>
        <w:t>) on Financial Assistance for LSOP ― 2011</w:t>
      </w:r>
      <w:r w:rsidR="00AA68A5">
        <w:rPr>
          <w:i/>
        </w:rPr>
        <w:noBreakHyphen/>
      </w:r>
      <w:r w:rsidRPr="00D758BB">
        <w:rPr>
          <w:i/>
        </w:rPr>
        <w:t>12 to 2013</w:t>
      </w:r>
      <w:r w:rsidR="00AA68A5">
        <w:rPr>
          <w:i/>
        </w:rPr>
        <w:noBreakHyphen/>
      </w:r>
      <w:r w:rsidRPr="00D758BB">
        <w:rPr>
          <w:i/>
        </w:rPr>
        <w:t>14</w:t>
      </w:r>
      <w:r>
        <w:rPr>
          <w:i/>
        </w:rPr>
        <w:t>,</w:t>
      </w:r>
      <w:r w:rsidRPr="00D758BB">
        <w:t xml:space="preserve"> the Australian Government provides funding to State and Territory governments to support a range of services relevant to their own service systems that improve care outcomes for older patients in public hospitals who no longer require acute or subacute care and who are </w:t>
      </w:r>
      <w:r w:rsidR="00B05A8D" w:rsidRPr="00B05A8D">
        <w:t xml:space="preserve">eligible and waiting for a </w:t>
      </w:r>
      <w:r w:rsidR="00B05A8D">
        <w:t>Australian Government</w:t>
      </w:r>
      <w:r w:rsidR="00AA68A5">
        <w:noBreakHyphen/>
      </w:r>
      <w:r w:rsidR="00B05A8D" w:rsidRPr="00B05A8D">
        <w:t>subsidised aged care service.</w:t>
      </w:r>
    </w:p>
    <w:p w:rsidR="00AA230D" w:rsidRDefault="00383105" w:rsidP="0079479E">
      <w:pPr>
        <w:pStyle w:val="BodyText"/>
        <w:shd w:val="clear" w:color="auto" w:fill="FFFFFF" w:themeFill="background1"/>
      </w:pPr>
      <w:r w:rsidRPr="00383105">
        <w:t xml:space="preserve">Most State and Territory governments report that both the COAG Initiative and the </w:t>
      </w:r>
      <w:proofErr w:type="spellStart"/>
      <w:r w:rsidRPr="00383105">
        <w:t>NPA</w:t>
      </w:r>
      <w:proofErr w:type="spellEnd"/>
      <w:r w:rsidRPr="00383105">
        <w:t xml:space="preserve"> have enabled the introduction of valuable programs and strategies by hospitals, securing a successful decline in LSOP numbers over the life of those initiatives, including the number of very long stay patients (over 400 days).</w:t>
      </w:r>
      <w:r w:rsidR="00926F6B">
        <w:t xml:space="preserve"> </w:t>
      </w:r>
    </w:p>
    <w:p w:rsidR="00056221" w:rsidRPr="00A247DC" w:rsidRDefault="00056221" w:rsidP="00056221">
      <w:pPr>
        <w:pStyle w:val="Heading3"/>
      </w:pPr>
      <w:r w:rsidRPr="00A247DC">
        <w:lastRenderedPageBreak/>
        <w:t>Funding</w:t>
      </w:r>
    </w:p>
    <w:p w:rsidR="00056221" w:rsidRDefault="00056221" w:rsidP="00056221">
      <w:pPr>
        <w:pStyle w:val="BodyText"/>
      </w:pPr>
      <w:r w:rsidRPr="00A247DC">
        <w:t>Recurrent expenditure on aged care services reported in this chapter was $</w:t>
      </w:r>
      <w:r w:rsidR="00926856">
        <w:t>13.6</w:t>
      </w:r>
      <w:r w:rsidRPr="00A247DC">
        <w:t xml:space="preserve"> billion in </w:t>
      </w:r>
      <w:r w:rsidR="00DB3668">
        <w:t>2012</w:t>
      </w:r>
      <w:r w:rsidR="00AA68A5">
        <w:noBreakHyphen/>
      </w:r>
      <w:r w:rsidR="00DB3668">
        <w:t>13</w:t>
      </w:r>
      <w:r w:rsidR="00DB3668" w:rsidRPr="00A247DC">
        <w:t xml:space="preserve"> </w:t>
      </w:r>
      <w:r w:rsidRPr="00A247DC">
        <w:t>(table</w:t>
      </w:r>
      <w:r w:rsidR="00AA68A5">
        <w:t> </w:t>
      </w:r>
      <w:r w:rsidRPr="00A247DC">
        <w:t>13.</w:t>
      </w:r>
      <w:r w:rsidR="0090159D">
        <w:t>1</w:t>
      </w:r>
      <w:r w:rsidRPr="00A247DC">
        <w:t xml:space="preserve">). </w:t>
      </w:r>
      <w:r w:rsidRPr="008114E8">
        <w:t>Table</w:t>
      </w:r>
      <w:r w:rsidR="00AA68A5">
        <w:t> </w:t>
      </w:r>
      <w:r w:rsidRPr="008114E8">
        <w:t xml:space="preserve">13.1 does not include all </w:t>
      </w:r>
      <w:r w:rsidR="00C72804">
        <w:t xml:space="preserve">Australian, </w:t>
      </w:r>
      <w:r w:rsidRPr="008114E8">
        <w:t>State and Territory government expenditure</w:t>
      </w:r>
      <w:r w:rsidR="00C72804">
        <w:t xml:space="preserve"> on caring for older people</w:t>
      </w:r>
      <w:r w:rsidRPr="008114E8">
        <w:t>, for example, the experimental estimates of expenditure on non</w:t>
      </w:r>
      <w:r w:rsidR="00AA68A5">
        <w:noBreakHyphen/>
      </w:r>
      <w:r w:rsidRPr="008114E8">
        <w:t xml:space="preserve">HACC </w:t>
      </w:r>
      <w:r w:rsidR="0090159D" w:rsidRPr="008114E8">
        <w:t>post</w:t>
      </w:r>
      <w:r w:rsidR="00AA68A5">
        <w:noBreakHyphen/>
      </w:r>
      <w:r w:rsidR="0090159D" w:rsidRPr="008114E8">
        <w:t>acute</w:t>
      </w:r>
      <w:r w:rsidRPr="008114E8">
        <w:t xml:space="preserve"> packages of care </w:t>
      </w:r>
      <w:r w:rsidR="00C72804">
        <w:t xml:space="preserve">and funding provided for </w:t>
      </w:r>
      <w:r w:rsidR="00612BAA">
        <w:t xml:space="preserve">older people in </w:t>
      </w:r>
      <w:r w:rsidR="00C72804">
        <w:t xml:space="preserve">specialist disability services </w:t>
      </w:r>
      <w:r w:rsidR="00377C96">
        <w:br/>
      </w:r>
      <w:r w:rsidRPr="008114E8">
        <w:t>(t</w:t>
      </w:r>
      <w:r w:rsidR="00F53177">
        <w:t>able</w:t>
      </w:r>
      <w:r w:rsidR="00AA68A5">
        <w:t> </w:t>
      </w:r>
      <w:proofErr w:type="spellStart"/>
      <w:r w:rsidR="00F53177">
        <w:t>13A.</w:t>
      </w:r>
      <w:r w:rsidR="00C72804">
        <w:t>11</w:t>
      </w:r>
      <w:proofErr w:type="spellEnd"/>
      <w:r w:rsidR="00F53177">
        <w:t xml:space="preserve">), </w:t>
      </w:r>
      <w:r w:rsidR="005B36E9">
        <w:t>and</w:t>
      </w:r>
      <w:r w:rsidR="00F53177">
        <w:t xml:space="preserve"> Australian, </w:t>
      </w:r>
      <w:r w:rsidRPr="008114E8">
        <w:t xml:space="preserve">State </w:t>
      </w:r>
      <w:r w:rsidR="00F53177" w:rsidRPr="008114E8">
        <w:t xml:space="preserve">or </w:t>
      </w:r>
      <w:r w:rsidR="00F53177">
        <w:t>T</w:t>
      </w:r>
      <w:r w:rsidRPr="008114E8">
        <w:t xml:space="preserve">erritory government capital expenditure </w:t>
      </w:r>
      <w:r w:rsidR="005B36E9">
        <w:t xml:space="preserve">are excluded </w:t>
      </w:r>
      <w:r w:rsidRPr="008114E8">
        <w:t>(table </w:t>
      </w:r>
      <w:proofErr w:type="spellStart"/>
      <w:r w:rsidRPr="008114E8">
        <w:t>13A.</w:t>
      </w:r>
      <w:r w:rsidR="007B0541">
        <w:t>12</w:t>
      </w:r>
      <w:proofErr w:type="spellEnd"/>
      <w:r w:rsidR="00590609">
        <w:t>)</w:t>
      </w:r>
      <w:r w:rsidR="0090159D">
        <w:t xml:space="preserve">. </w:t>
      </w:r>
      <w:r w:rsidR="007A235C">
        <w:t>Data on Australian, State and Territory g</w:t>
      </w:r>
      <w:r w:rsidR="007A235C" w:rsidRPr="002B025F">
        <w:t>overnment</w:t>
      </w:r>
      <w:r w:rsidR="007A235C">
        <w:t>s’</w:t>
      </w:r>
      <w:r w:rsidR="007A235C" w:rsidRPr="002B025F">
        <w:t xml:space="preserve"> expenditure per person in the </w:t>
      </w:r>
      <w:r w:rsidR="00784EE9">
        <w:t xml:space="preserve">aged care </w:t>
      </w:r>
      <w:r w:rsidR="007A235C" w:rsidRPr="002B025F">
        <w:t xml:space="preserve">target population by </w:t>
      </w:r>
      <w:r w:rsidR="007A235C">
        <w:t xml:space="preserve">program, </w:t>
      </w:r>
      <w:r w:rsidR="007A235C" w:rsidRPr="002B025F">
        <w:t xml:space="preserve">jurisdiction </w:t>
      </w:r>
      <w:r w:rsidR="007A235C">
        <w:t xml:space="preserve">and over time </w:t>
      </w:r>
      <w:r w:rsidR="007A235C" w:rsidRPr="002B025F">
        <w:t>are in table</w:t>
      </w:r>
      <w:r w:rsidR="00AA68A5">
        <w:t> </w:t>
      </w:r>
      <w:proofErr w:type="spellStart"/>
      <w:r w:rsidR="007A235C" w:rsidRPr="002B025F">
        <w:t>13A.</w:t>
      </w:r>
      <w:r w:rsidR="007B0541">
        <w:t>6</w:t>
      </w:r>
      <w:proofErr w:type="spellEnd"/>
      <w:r w:rsidR="007A235C" w:rsidRPr="002B025F">
        <w:t>.</w:t>
      </w:r>
      <w:r w:rsidR="0090159D">
        <w:t xml:space="preserve"> </w:t>
      </w:r>
    </w:p>
    <w:p w:rsidR="00673BC9" w:rsidRPr="000E2C64" w:rsidRDefault="00673BC9" w:rsidP="000E2C64">
      <w:pPr>
        <w:pStyle w:val="TableTitle"/>
        <w:rPr>
          <w:sz w:val="24"/>
        </w:rPr>
      </w:pPr>
      <w:r w:rsidRPr="007218AB">
        <w:rPr>
          <w:b w:val="0"/>
          <w:sz w:val="24"/>
        </w:rPr>
        <w:t>Table 13.</w:t>
      </w:r>
      <w:r w:rsidR="00E4728C">
        <w:rPr>
          <w:b w:val="0"/>
          <w:noProof/>
          <w:sz w:val="24"/>
        </w:rPr>
        <w:t>1</w:t>
      </w:r>
      <w:r w:rsidRPr="007218AB">
        <w:rPr>
          <w:sz w:val="24"/>
        </w:rPr>
        <w:tab/>
        <w:t>Recurrent expenditure on aged care services, 201</w:t>
      </w:r>
      <w:r w:rsidR="007E2A31">
        <w:rPr>
          <w:sz w:val="24"/>
        </w:rPr>
        <w:t>2</w:t>
      </w:r>
      <w:r w:rsidR="00AA68A5">
        <w:rPr>
          <w:sz w:val="24"/>
        </w:rPr>
        <w:noBreakHyphen/>
      </w:r>
      <w:r w:rsidRPr="007218AB">
        <w:rPr>
          <w:sz w:val="24"/>
        </w:rPr>
        <w:t>1</w:t>
      </w:r>
      <w:r w:rsidR="007E2A31">
        <w:rPr>
          <w:sz w:val="24"/>
        </w:rPr>
        <w:t>3</w:t>
      </w:r>
      <w:r>
        <w:rPr>
          <w:sz w:val="24"/>
        </w:rPr>
        <w:t xml:space="preserve"> </w:t>
      </w:r>
      <w:r w:rsidR="00202CB1">
        <w:rPr>
          <w:sz w:val="24"/>
        </w:rPr>
        <w:br/>
      </w:r>
      <w:r>
        <w:rPr>
          <w:sz w:val="24"/>
        </w:rPr>
        <w:t>($ million)</w:t>
      </w:r>
    </w:p>
    <w:tbl>
      <w:tblPr>
        <w:tblW w:w="8789" w:type="dxa"/>
        <w:tblLayout w:type="fixed"/>
        <w:tblCellMar>
          <w:left w:w="0" w:type="dxa"/>
          <w:right w:w="0" w:type="dxa"/>
        </w:tblCellMar>
        <w:tblLook w:val="0000" w:firstRow="0" w:lastRow="0" w:firstColumn="0" w:lastColumn="0" w:noHBand="0" w:noVBand="0"/>
      </w:tblPr>
      <w:tblGrid>
        <w:gridCol w:w="1843"/>
        <w:gridCol w:w="771"/>
        <w:gridCol w:w="772"/>
        <w:gridCol w:w="772"/>
        <w:gridCol w:w="772"/>
        <w:gridCol w:w="771"/>
        <w:gridCol w:w="772"/>
        <w:gridCol w:w="772"/>
        <w:gridCol w:w="772"/>
        <w:gridCol w:w="772"/>
      </w:tblGrid>
      <w:tr w:rsidR="00E869E2" w:rsidRPr="002B025F" w:rsidTr="00D0458F">
        <w:tc>
          <w:tcPr>
            <w:tcW w:w="1843" w:type="dxa"/>
            <w:tcBorders>
              <w:top w:val="single" w:sz="6" w:space="0" w:color="auto"/>
              <w:bottom w:val="single" w:sz="6" w:space="0" w:color="auto"/>
            </w:tcBorders>
            <w:shd w:val="clear" w:color="auto" w:fill="auto"/>
          </w:tcPr>
          <w:p w:rsidR="00574D9C" w:rsidRPr="002B025F" w:rsidRDefault="00574D9C" w:rsidP="000E2C64">
            <w:pPr>
              <w:pStyle w:val="TableColumnHeading"/>
              <w:jc w:val="left"/>
            </w:pPr>
          </w:p>
        </w:tc>
        <w:tc>
          <w:tcPr>
            <w:tcW w:w="771" w:type="dxa"/>
            <w:tcBorders>
              <w:top w:val="single" w:sz="6" w:space="0" w:color="auto"/>
              <w:bottom w:val="single" w:sz="6" w:space="0" w:color="auto"/>
            </w:tcBorders>
            <w:shd w:val="clear" w:color="auto" w:fill="auto"/>
          </w:tcPr>
          <w:p w:rsidR="00574D9C" w:rsidRPr="002B025F" w:rsidRDefault="00574D9C" w:rsidP="00AA68A5">
            <w:pPr>
              <w:pStyle w:val="TableColumnHeading"/>
              <w:rPr>
                <w:sz w:val="18"/>
                <w:szCs w:val="18"/>
              </w:rPr>
            </w:pPr>
            <w:r w:rsidRPr="002B025F">
              <w:rPr>
                <w:sz w:val="18"/>
                <w:szCs w:val="18"/>
              </w:rPr>
              <w:t>NSW</w:t>
            </w:r>
          </w:p>
        </w:tc>
        <w:tc>
          <w:tcPr>
            <w:tcW w:w="772" w:type="dxa"/>
            <w:tcBorders>
              <w:top w:val="single" w:sz="6" w:space="0" w:color="auto"/>
              <w:bottom w:val="single" w:sz="6" w:space="0" w:color="auto"/>
            </w:tcBorders>
            <w:shd w:val="clear" w:color="auto" w:fill="auto"/>
          </w:tcPr>
          <w:p w:rsidR="00574D9C" w:rsidRPr="002B025F" w:rsidRDefault="00574D9C" w:rsidP="00AA68A5">
            <w:pPr>
              <w:pStyle w:val="TableColumnHeading"/>
              <w:rPr>
                <w:sz w:val="18"/>
                <w:szCs w:val="18"/>
              </w:rPr>
            </w:pPr>
            <w:r w:rsidRPr="002B025F">
              <w:rPr>
                <w:sz w:val="18"/>
                <w:szCs w:val="18"/>
              </w:rPr>
              <w:t>Vic</w:t>
            </w:r>
          </w:p>
        </w:tc>
        <w:tc>
          <w:tcPr>
            <w:tcW w:w="772" w:type="dxa"/>
            <w:tcBorders>
              <w:top w:val="single" w:sz="6" w:space="0" w:color="auto"/>
              <w:bottom w:val="single" w:sz="6" w:space="0" w:color="auto"/>
            </w:tcBorders>
            <w:shd w:val="clear" w:color="auto" w:fill="auto"/>
          </w:tcPr>
          <w:p w:rsidR="00574D9C" w:rsidRPr="002B025F" w:rsidRDefault="00574D9C" w:rsidP="00AA68A5">
            <w:pPr>
              <w:pStyle w:val="TableColumnHeading"/>
              <w:rPr>
                <w:sz w:val="18"/>
                <w:szCs w:val="18"/>
              </w:rPr>
            </w:pPr>
            <w:r w:rsidRPr="002B025F">
              <w:rPr>
                <w:sz w:val="18"/>
                <w:szCs w:val="18"/>
              </w:rPr>
              <w:t>Qld</w:t>
            </w:r>
          </w:p>
        </w:tc>
        <w:tc>
          <w:tcPr>
            <w:tcW w:w="772" w:type="dxa"/>
            <w:tcBorders>
              <w:top w:val="single" w:sz="6" w:space="0" w:color="auto"/>
              <w:bottom w:val="single" w:sz="6" w:space="0" w:color="auto"/>
            </w:tcBorders>
            <w:shd w:val="clear" w:color="auto" w:fill="auto"/>
          </w:tcPr>
          <w:p w:rsidR="00574D9C" w:rsidRPr="002B025F" w:rsidRDefault="00574D9C" w:rsidP="00AA68A5">
            <w:pPr>
              <w:pStyle w:val="TableColumnHeading"/>
              <w:rPr>
                <w:sz w:val="18"/>
                <w:szCs w:val="18"/>
              </w:rPr>
            </w:pPr>
            <w:r w:rsidRPr="002B025F">
              <w:rPr>
                <w:sz w:val="18"/>
                <w:szCs w:val="18"/>
              </w:rPr>
              <w:t>WA</w:t>
            </w:r>
          </w:p>
        </w:tc>
        <w:tc>
          <w:tcPr>
            <w:tcW w:w="771" w:type="dxa"/>
            <w:tcBorders>
              <w:top w:val="single" w:sz="6" w:space="0" w:color="auto"/>
              <w:bottom w:val="single" w:sz="6" w:space="0" w:color="auto"/>
            </w:tcBorders>
            <w:shd w:val="clear" w:color="auto" w:fill="auto"/>
          </w:tcPr>
          <w:p w:rsidR="00574D9C" w:rsidRPr="002B025F" w:rsidRDefault="00574D9C" w:rsidP="00AA68A5">
            <w:pPr>
              <w:pStyle w:val="TableColumnHeading"/>
              <w:rPr>
                <w:sz w:val="18"/>
                <w:szCs w:val="18"/>
              </w:rPr>
            </w:pPr>
            <w:r w:rsidRPr="002B025F">
              <w:rPr>
                <w:sz w:val="18"/>
                <w:szCs w:val="18"/>
              </w:rPr>
              <w:t>SA</w:t>
            </w:r>
          </w:p>
        </w:tc>
        <w:tc>
          <w:tcPr>
            <w:tcW w:w="772" w:type="dxa"/>
            <w:tcBorders>
              <w:top w:val="single" w:sz="6" w:space="0" w:color="auto"/>
              <w:bottom w:val="single" w:sz="6" w:space="0" w:color="auto"/>
            </w:tcBorders>
            <w:shd w:val="clear" w:color="auto" w:fill="auto"/>
          </w:tcPr>
          <w:p w:rsidR="00574D9C" w:rsidRPr="002B025F" w:rsidRDefault="00574D9C" w:rsidP="00AA68A5">
            <w:pPr>
              <w:pStyle w:val="TableColumnHeading"/>
              <w:rPr>
                <w:sz w:val="18"/>
                <w:szCs w:val="18"/>
              </w:rPr>
            </w:pPr>
            <w:r w:rsidRPr="002B025F">
              <w:rPr>
                <w:sz w:val="18"/>
                <w:szCs w:val="18"/>
              </w:rPr>
              <w:t>Tas</w:t>
            </w:r>
          </w:p>
        </w:tc>
        <w:tc>
          <w:tcPr>
            <w:tcW w:w="772" w:type="dxa"/>
            <w:tcBorders>
              <w:top w:val="single" w:sz="6" w:space="0" w:color="auto"/>
              <w:bottom w:val="single" w:sz="6" w:space="0" w:color="auto"/>
            </w:tcBorders>
            <w:shd w:val="clear" w:color="auto" w:fill="auto"/>
          </w:tcPr>
          <w:p w:rsidR="00574D9C" w:rsidRPr="002B025F" w:rsidRDefault="00574D9C" w:rsidP="00AA68A5">
            <w:pPr>
              <w:pStyle w:val="TableColumnHeading"/>
              <w:rPr>
                <w:sz w:val="18"/>
                <w:szCs w:val="18"/>
              </w:rPr>
            </w:pPr>
            <w:r w:rsidRPr="002B025F">
              <w:rPr>
                <w:sz w:val="18"/>
                <w:szCs w:val="18"/>
              </w:rPr>
              <w:t>ACT</w:t>
            </w:r>
          </w:p>
        </w:tc>
        <w:tc>
          <w:tcPr>
            <w:tcW w:w="772" w:type="dxa"/>
            <w:tcBorders>
              <w:top w:val="single" w:sz="6" w:space="0" w:color="auto"/>
              <w:bottom w:val="single" w:sz="6" w:space="0" w:color="auto"/>
            </w:tcBorders>
            <w:shd w:val="clear" w:color="auto" w:fill="auto"/>
          </w:tcPr>
          <w:p w:rsidR="00574D9C" w:rsidRPr="002B025F" w:rsidRDefault="00574D9C" w:rsidP="00AA68A5">
            <w:pPr>
              <w:pStyle w:val="TableColumnHeading"/>
              <w:rPr>
                <w:sz w:val="18"/>
                <w:szCs w:val="18"/>
              </w:rPr>
            </w:pPr>
            <w:r w:rsidRPr="002B025F">
              <w:rPr>
                <w:sz w:val="18"/>
                <w:szCs w:val="18"/>
              </w:rPr>
              <w:t>NT</w:t>
            </w:r>
          </w:p>
        </w:tc>
        <w:tc>
          <w:tcPr>
            <w:tcW w:w="772" w:type="dxa"/>
            <w:tcBorders>
              <w:top w:val="single" w:sz="6" w:space="0" w:color="auto"/>
              <w:bottom w:val="single" w:sz="6" w:space="0" w:color="auto"/>
            </w:tcBorders>
            <w:shd w:val="clear" w:color="auto" w:fill="auto"/>
          </w:tcPr>
          <w:p w:rsidR="00574D9C" w:rsidRPr="002B025F" w:rsidRDefault="00574D9C" w:rsidP="00AA68A5">
            <w:pPr>
              <w:pStyle w:val="TableColumnHeading"/>
              <w:spacing w:before="0"/>
              <w:ind w:right="28"/>
              <w:rPr>
                <w:sz w:val="18"/>
                <w:szCs w:val="18"/>
              </w:rPr>
            </w:pPr>
            <w:r w:rsidRPr="002B025F">
              <w:rPr>
                <w:sz w:val="18"/>
                <w:szCs w:val="18"/>
              </w:rPr>
              <w:t>Aust</w:t>
            </w:r>
            <w:r w:rsidR="004421A0" w:rsidRPr="004421A0">
              <w:rPr>
                <w:rStyle w:val="NoteLabel"/>
                <w:i w:val="0"/>
              </w:rPr>
              <w:t>a</w:t>
            </w:r>
          </w:p>
        </w:tc>
      </w:tr>
      <w:tr w:rsidR="00926856" w:rsidTr="00D0458F">
        <w:tc>
          <w:tcPr>
            <w:tcW w:w="1843" w:type="dxa"/>
          </w:tcPr>
          <w:p w:rsidR="00926856" w:rsidRPr="00D0458F" w:rsidRDefault="00926856" w:rsidP="001E2D3E">
            <w:pPr>
              <w:pStyle w:val="TableBodyText"/>
              <w:jc w:val="left"/>
              <w:rPr>
                <w:sz w:val="18"/>
                <w:szCs w:val="18"/>
              </w:rPr>
            </w:pPr>
            <w:r w:rsidRPr="00D0458F">
              <w:rPr>
                <w:sz w:val="18"/>
                <w:szCs w:val="18"/>
              </w:rPr>
              <w:t>Assessment and information services</w:t>
            </w:r>
            <w:r w:rsidRPr="00D0458F">
              <w:rPr>
                <w:rStyle w:val="NoteLabel"/>
                <w:szCs w:val="18"/>
              </w:rPr>
              <w:t>b</w:t>
            </w:r>
          </w:p>
        </w:tc>
        <w:tc>
          <w:tcPr>
            <w:tcW w:w="771" w:type="dxa"/>
            <w:vAlign w:val="center"/>
          </w:tcPr>
          <w:p w:rsidR="00926856" w:rsidRPr="00202CB1" w:rsidRDefault="00AA68A5" w:rsidP="00AA68A5">
            <w:pPr>
              <w:pStyle w:val="TableBodyText"/>
              <w:rPr>
                <w:sz w:val="18"/>
                <w:szCs w:val="18"/>
              </w:rPr>
            </w:pPr>
            <w:r>
              <w:rPr>
                <w:sz w:val="18"/>
                <w:szCs w:val="18"/>
              </w:rPr>
              <w:t xml:space="preserve"> </w:t>
            </w:r>
            <w:r w:rsidR="00926856" w:rsidRPr="00202CB1">
              <w:rPr>
                <w:sz w:val="18"/>
                <w:szCs w:val="18"/>
              </w:rPr>
              <w:t>39.0</w:t>
            </w:r>
          </w:p>
        </w:tc>
        <w:tc>
          <w:tcPr>
            <w:tcW w:w="772" w:type="dxa"/>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27.6</w:t>
            </w:r>
          </w:p>
        </w:tc>
        <w:tc>
          <w:tcPr>
            <w:tcW w:w="772" w:type="dxa"/>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21.0</w:t>
            </w:r>
          </w:p>
        </w:tc>
        <w:tc>
          <w:tcPr>
            <w:tcW w:w="772" w:type="dxa"/>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12.6</w:t>
            </w:r>
          </w:p>
        </w:tc>
        <w:tc>
          <w:tcPr>
            <w:tcW w:w="771" w:type="dxa"/>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10.4</w:t>
            </w:r>
          </w:p>
        </w:tc>
        <w:tc>
          <w:tcPr>
            <w:tcW w:w="772" w:type="dxa"/>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3.4</w:t>
            </w:r>
          </w:p>
        </w:tc>
        <w:tc>
          <w:tcPr>
            <w:tcW w:w="772" w:type="dxa"/>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1.4</w:t>
            </w:r>
          </w:p>
        </w:tc>
        <w:tc>
          <w:tcPr>
            <w:tcW w:w="772" w:type="dxa"/>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1.8</w:t>
            </w:r>
          </w:p>
        </w:tc>
        <w:tc>
          <w:tcPr>
            <w:tcW w:w="772" w:type="dxa"/>
            <w:vAlign w:val="center"/>
          </w:tcPr>
          <w:p w:rsidR="00926856" w:rsidRPr="00202CB1" w:rsidRDefault="00926F6B" w:rsidP="001D6278">
            <w:pPr>
              <w:pStyle w:val="TableBodyText"/>
              <w:ind w:right="0"/>
              <w:rPr>
                <w:sz w:val="18"/>
                <w:szCs w:val="18"/>
              </w:rPr>
            </w:pPr>
            <w:r>
              <w:rPr>
                <w:sz w:val="18"/>
                <w:szCs w:val="18"/>
              </w:rPr>
              <w:t xml:space="preserve"> </w:t>
            </w:r>
            <w:r w:rsidR="00926856" w:rsidRPr="00202CB1">
              <w:rPr>
                <w:sz w:val="18"/>
                <w:szCs w:val="18"/>
              </w:rPr>
              <w:t>120.8</w:t>
            </w:r>
          </w:p>
        </w:tc>
      </w:tr>
      <w:tr w:rsidR="00926856" w:rsidTr="00D0458F">
        <w:tc>
          <w:tcPr>
            <w:tcW w:w="1843" w:type="dxa"/>
          </w:tcPr>
          <w:p w:rsidR="00926856" w:rsidRPr="00D0458F" w:rsidRDefault="00926856" w:rsidP="001E2D3E">
            <w:pPr>
              <w:pStyle w:val="TableBodyText"/>
              <w:jc w:val="left"/>
              <w:rPr>
                <w:sz w:val="18"/>
                <w:szCs w:val="18"/>
              </w:rPr>
            </w:pPr>
            <w:r w:rsidRPr="00D0458F">
              <w:rPr>
                <w:sz w:val="18"/>
                <w:szCs w:val="18"/>
              </w:rPr>
              <w:t>Residential care services</w:t>
            </w:r>
            <w:r w:rsidRPr="00D0458F">
              <w:rPr>
                <w:rStyle w:val="NoteLabel"/>
                <w:szCs w:val="18"/>
              </w:rPr>
              <w:t>c</w:t>
            </w:r>
          </w:p>
        </w:tc>
        <w:tc>
          <w:tcPr>
            <w:tcW w:w="771" w:type="dxa"/>
            <w:vAlign w:val="center"/>
          </w:tcPr>
          <w:p w:rsidR="00926856" w:rsidRPr="00202CB1" w:rsidRDefault="00926856" w:rsidP="00AA68A5">
            <w:pPr>
              <w:pStyle w:val="TableBodyText"/>
              <w:rPr>
                <w:sz w:val="18"/>
                <w:szCs w:val="18"/>
              </w:rPr>
            </w:pPr>
            <w:r w:rsidRPr="00202CB1">
              <w:rPr>
                <w:sz w:val="18"/>
                <w:szCs w:val="18"/>
              </w:rPr>
              <w:t xml:space="preserve"> 3 117.0</w:t>
            </w:r>
          </w:p>
        </w:tc>
        <w:tc>
          <w:tcPr>
            <w:tcW w:w="772" w:type="dxa"/>
            <w:vAlign w:val="center"/>
          </w:tcPr>
          <w:p w:rsidR="00926856" w:rsidRPr="00202CB1" w:rsidRDefault="00926856" w:rsidP="00AA68A5">
            <w:pPr>
              <w:pStyle w:val="TableBodyText"/>
              <w:rPr>
                <w:sz w:val="18"/>
                <w:szCs w:val="18"/>
              </w:rPr>
            </w:pPr>
            <w:r w:rsidRPr="00202CB1">
              <w:rPr>
                <w:sz w:val="18"/>
                <w:szCs w:val="18"/>
              </w:rPr>
              <w:t xml:space="preserve"> 2 466.1</w:t>
            </w:r>
          </w:p>
        </w:tc>
        <w:tc>
          <w:tcPr>
            <w:tcW w:w="772" w:type="dxa"/>
            <w:vAlign w:val="center"/>
          </w:tcPr>
          <w:p w:rsidR="00926856" w:rsidRPr="00202CB1" w:rsidRDefault="00926856" w:rsidP="00AA68A5">
            <w:pPr>
              <w:pStyle w:val="TableBodyText"/>
              <w:rPr>
                <w:sz w:val="18"/>
                <w:szCs w:val="18"/>
              </w:rPr>
            </w:pPr>
            <w:r w:rsidRPr="00202CB1">
              <w:rPr>
                <w:sz w:val="18"/>
                <w:szCs w:val="18"/>
              </w:rPr>
              <w:t xml:space="preserve"> 1 754.2</w:t>
            </w:r>
          </w:p>
        </w:tc>
        <w:tc>
          <w:tcPr>
            <w:tcW w:w="772" w:type="dxa"/>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791.8</w:t>
            </w:r>
          </w:p>
        </w:tc>
        <w:tc>
          <w:tcPr>
            <w:tcW w:w="771" w:type="dxa"/>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912.5</w:t>
            </w:r>
          </w:p>
        </w:tc>
        <w:tc>
          <w:tcPr>
            <w:tcW w:w="772" w:type="dxa"/>
            <w:vAlign w:val="center"/>
          </w:tcPr>
          <w:p w:rsidR="00926856" w:rsidRPr="00202CB1" w:rsidRDefault="00926856" w:rsidP="00AA68A5">
            <w:pPr>
              <w:pStyle w:val="TableBodyText"/>
              <w:rPr>
                <w:sz w:val="18"/>
                <w:szCs w:val="18"/>
              </w:rPr>
            </w:pPr>
            <w:r w:rsidRPr="00202CB1">
              <w:rPr>
                <w:sz w:val="18"/>
                <w:szCs w:val="18"/>
              </w:rPr>
              <w:t xml:space="preserve"> 247.7</w:t>
            </w:r>
          </w:p>
        </w:tc>
        <w:tc>
          <w:tcPr>
            <w:tcW w:w="772" w:type="dxa"/>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96.9</w:t>
            </w:r>
          </w:p>
        </w:tc>
        <w:tc>
          <w:tcPr>
            <w:tcW w:w="772" w:type="dxa"/>
            <w:vAlign w:val="center"/>
          </w:tcPr>
          <w:p w:rsidR="00926856" w:rsidRPr="00202CB1" w:rsidRDefault="00926856" w:rsidP="00AA68A5">
            <w:pPr>
              <w:pStyle w:val="TableBodyText"/>
              <w:rPr>
                <w:sz w:val="18"/>
                <w:szCs w:val="18"/>
              </w:rPr>
            </w:pPr>
            <w:r w:rsidRPr="00202CB1">
              <w:rPr>
                <w:sz w:val="18"/>
                <w:szCs w:val="18"/>
              </w:rPr>
              <w:t xml:space="preserve"> 34.0</w:t>
            </w:r>
          </w:p>
        </w:tc>
        <w:tc>
          <w:tcPr>
            <w:tcW w:w="772" w:type="dxa"/>
            <w:vAlign w:val="center"/>
          </w:tcPr>
          <w:p w:rsidR="00926856" w:rsidRPr="00202CB1" w:rsidRDefault="00926856" w:rsidP="001D6278">
            <w:pPr>
              <w:pStyle w:val="TableBodyText"/>
              <w:ind w:right="0"/>
              <w:rPr>
                <w:sz w:val="18"/>
                <w:szCs w:val="18"/>
              </w:rPr>
            </w:pPr>
            <w:r w:rsidRPr="00202CB1">
              <w:rPr>
                <w:sz w:val="18"/>
                <w:szCs w:val="18"/>
              </w:rPr>
              <w:t>9 409.6</w:t>
            </w:r>
          </w:p>
        </w:tc>
      </w:tr>
      <w:tr w:rsidR="00CC6EEF" w:rsidTr="00D0458F">
        <w:tc>
          <w:tcPr>
            <w:tcW w:w="1843" w:type="dxa"/>
          </w:tcPr>
          <w:p w:rsidR="00CC6EEF" w:rsidRPr="00D0458F" w:rsidRDefault="00CC6EEF" w:rsidP="001E2D3E">
            <w:pPr>
              <w:pStyle w:val="TableBodyText"/>
              <w:jc w:val="left"/>
              <w:rPr>
                <w:sz w:val="18"/>
                <w:szCs w:val="18"/>
              </w:rPr>
            </w:pPr>
            <w:r w:rsidRPr="00D0458F">
              <w:rPr>
                <w:sz w:val="18"/>
                <w:szCs w:val="18"/>
              </w:rPr>
              <w:t>Community care services</w:t>
            </w:r>
            <w:r w:rsidRPr="00D0458F">
              <w:rPr>
                <w:rStyle w:val="NoteLabel"/>
                <w:szCs w:val="18"/>
              </w:rPr>
              <w:t>d</w:t>
            </w:r>
          </w:p>
        </w:tc>
        <w:tc>
          <w:tcPr>
            <w:tcW w:w="771" w:type="dxa"/>
            <w:shd w:val="clear" w:color="auto" w:fill="FFFFFF" w:themeFill="background1"/>
            <w:vAlign w:val="center"/>
          </w:tcPr>
          <w:p w:rsidR="00CC6EEF" w:rsidRPr="00202CB1" w:rsidRDefault="00CC6EEF" w:rsidP="00AA68A5">
            <w:pPr>
              <w:pStyle w:val="TableBodyText"/>
              <w:rPr>
                <w:sz w:val="18"/>
                <w:szCs w:val="18"/>
              </w:rPr>
            </w:pPr>
            <w:r w:rsidRPr="00202CB1">
              <w:rPr>
                <w:sz w:val="18"/>
                <w:szCs w:val="18"/>
              </w:rPr>
              <w:t xml:space="preserve"> 1 005.1</w:t>
            </w:r>
          </w:p>
        </w:tc>
        <w:tc>
          <w:tcPr>
            <w:tcW w:w="772" w:type="dxa"/>
            <w:shd w:val="clear" w:color="auto" w:fill="FFFFFF" w:themeFill="background1"/>
            <w:vAlign w:val="center"/>
          </w:tcPr>
          <w:p w:rsidR="00CC6EEF" w:rsidRPr="00202CB1" w:rsidRDefault="00926F6B" w:rsidP="00AA68A5">
            <w:pPr>
              <w:pStyle w:val="TableBodyText"/>
              <w:rPr>
                <w:sz w:val="18"/>
                <w:szCs w:val="18"/>
              </w:rPr>
            </w:pPr>
            <w:r>
              <w:rPr>
                <w:sz w:val="18"/>
                <w:szCs w:val="18"/>
              </w:rPr>
              <w:t xml:space="preserve"> </w:t>
            </w:r>
            <w:r w:rsidR="00CC6EEF" w:rsidRPr="00202CB1">
              <w:rPr>
                <w:sz w:val="18"/>
                <w:szCs w:val="18"/>
              </w:rPr>
              <w:t>796.5</w:t>
            </w:r>
          </w:p>
        </w:tc>
        <w:tc>
          <w:tcPr>
            <w:tcW w:w="772" w:type="dxa"/>
            <w:shd w:val="clear" w:color="auto" w:fill="FFFFFF" w:themeFill="background1"/>
            <w:vAlign w:val="center"/>
          </w:tcPr>
          <w:p w:rsidR="00CC6EEF" w:rsidRPr="00202CB1" w:rsidRDefault="00926F6B" w:rsidP="00AA68A5">
            <w:pPr>
              <w:pStyle w:val="TableBodyText"/>
              <w:rPr>
                <w:sz w:val="18"/>
                <w:szCs w:val="18"/>
              </w:rPr>
            </w:pPr>
            <w:r>
              <w:rPr>
                <w:sz w:val="18"/>
                <w:szCs w:val="18"/>
              </w:rPr>
              <w:t xml:space="preserve"> </w:t>
            </w:r>
            <w:r w:rsidR="00CC6EEF" w:rsidRPr="00202CB1">
              <w:rPr>
                <w:sz w:val="18"/>
                <w:szCs w:val="18"/>
              </w:rPr>
              <w:t>688.2</w:t>
            </w:r>
          </w:p>
        </w:tc>
        <w:tc>
          <w:tcPr>
            <w:tcW w:w="772" w:type="dxa"/>
            <w:shd w:val="clear" w:color="auto" w:fill="FFFFFF" w:themeFill="background1"/>
            <w:vAlign w:val="center"/>
          </w:tcPr>
          <w:p w:rsidR="00CC6EEF" w:rsidRPr="00202CB1" w:rsidRDefault="00926F6B" w:rsidP="00AA68A5">
            <w:pPr>
              <w:pStyle w:val="TableBodyText"/>
              <w:rPr>
                <w:sz w:val="18"/>
                <w:szCs w:val="18"/>
              </w:rPr>
            </w:pPr>
            <w:r>
              <w:rPr>
                <w:sz w:val="18"/>
                <w:szCs w:val="18"/>
              </w:rPr>
              <w:t xml:space="preserve"> </w:t>
            </w:r>
            <w:r w:rsidR="00CC6EEF" w:rsidRPr="00202CB1">
              <w:rPr>
                <w:sz w:val="18"/>
                <w:szCs w:val="18"/>
              </w:rPr>
              <w:t>370.6</w:t>
            </w:r>
          </w:p>
        </w:tc>
        <w:tc>
          <w:tcPr>
            <w:tcW w:w="771" w:type="dxa"/>
            <w:shd w:val="clear" w:color="auto" w:fill="FFFFFF" w:themeFill="background1"/>
            <w:vAlign w:val="center"/>
          </w:tcPr>
          <w:p w:rsidR="00CC6EEF" w:rsidRPr="00202CB1" w:rsidRDefault="00926F6B" w:rsidP="00AA68A5">
            <w:pPr>
              <w:pStyle w:val="TableBodyText"/>
              <w:rPr>
                <w:sz w:val="18"/>
                <w:szCs w:val="18"/>
              </w:rPr>
            </w:pPr>
            <w:r>
              <w:rPr>
                <w:sz w:val="18"/>
                <w:szCs w:val="18"/>
              </w:rPr>
              <w:t xml:space="preserve"> </w:t>
            </w:r>
            <w:r w:rsidR="00CC6EEF" w:rsidRPr="00202CB1">
              <w:rPr>
                <w:sz w:val="18"/>
                <w:szCs w:val="18"/>
              </w:rPr>
              <w:t>266.3</w:t>
            </w:r>
          </w:p>
        </w:tc>
        <w:tc>
          <w:tcPr>
            <w:tcW w:w="772" w:type="dxa"/>
            <w:shd w:val="clear" w:color="auto" w:fill="FFFFFF" w:themeFill="background1"/>
            <w:vAlign w:val="center"/>
          </w:tcPr>
          <w:p w:rsidR="00CC6EEF" w:rsidRPr="00202CB1" w:rsidRDefault="00926F6B" w:rsidP="00AA68A5">
            <w:pPr>
              <w:pStyle w:val="TableBodyText"/>
              <w:rPr>
                <w:sz w:val="18"/>
                <w:szCs w:val="18"/>
              </w:rPr>
            </w:pPr>
            <w:r>
              <w:rPr>
                <w:sz w:val="18"/>
                <w:szCs w:val="18"/>
              </w:rPr>
              <w:t xml:space="preserve"> </w:t>
            </w:r>
            <w:r w:rsidR="00CC6EEF" w:rsidRPr="00202CB1">
              <w:rPr>
                <w:sz w:val="18"/>
                <w:szCs w:val="18"/>
              </w:rPr>
              <w:t>94.7</w:t>
            </w:r>
          </w:p>
        </w:tc>
        <w:tc>
          <w:tcPr>
            <w:tcW w:w="772" w:type="dxa"/>
            <w:shd w:val="clear" w:color="auto" w:fill="FFFFFF" w:themeFill="background1"/>
            <w:vAlign w:val="center"/>
          </w:tcPr>
          <w:p w:rsidR="00CC6EEF" w:rsidRPr="00202CB1" w:rsidRDefault="00926F6B" w:rsidP="00AA68A5">
            <w:pPr>
              <w:pStyle w:val="TableBodyText"/>
              <w:rPr>
                <w:sz w:val="18"/>
                <w:szCs w:val="18"/>
              </w:rPr>
            </w:pPr>
            <w:r>
              <w:rPr>
                <w:sz w:val="18"/>
                <w:szCs w:val="18"/>
              </w:rPr>
              <w:t xml:space="preserve"> </w:t>
            </w:r>
            <w:r w:rsidR="00CC6EEF" w:rsidRPr="00202CB1">
              <w:rPr>
                <w:sz w:val="18"/>
                <w:szCs w:val="18"/>
              </w:rPr>
              <w:t>54.6</w:t>
            </w:r>
          </w:p>
        </w:tc>
        <w:tc>
          <w:tcPr>
            <w:tcW w:w="772" w:type="dxa"/>
            <w:shd w:val="clear" w:color="auto" w:fill="FFFFFF" w:themeFill="background1"/>
            <w:vAlign w:val="center"/>
          </w:tcPr>
          <w:p w:rsidR="00CC6EEF" w:rsidRPr="00202CB1" w:rsidRDefault="00CC6EEF" w:rsidP="00AA68A5">
            <w:pPr>
              <w:pStyle w:val="TableBodyText"/>
              <w:rPr>
                <w:sz w:val="18"/>
                <w:szCs w:val="18"/>
              </w:rPr>
            </w:pPr>
            <w:r w:rsidRPr="00202CB1">
              <w:rPr>
                <w:sz w:val="18"/>
                <w:szCs w:val="18"/>
              </w:rPr>
              <w:t xml:space="preserve"> 32.9</w:t>
            </w:r>
          </w:p>
        </w:tc>
        <w:tc>
          <w:tcPr>
            <w:tcW w:w="772" w:type="dxa"/>
            <w:shd w:val="clear" w:color="auto" w:fill="FFFFFF" w:themeFill="background1"/>
            <w:vAlign w:val="center"/>
          </w:tcPr>
          <w:p w:rsidR="00CC6EEF" w:rsidRPr="00202CB1" w:rsidRDefault="00CC6EEF" w:rsidP="001D6278">
            <w:pPr>
              <w:pStyle w:val="TableBodyText"/>
              <w:ind w:right="0"/>
              <w:rPr>
                <w:sz w:val="18"/>
                <w:szCs w:val="18"/>
              </w:rPr>
            </w:pPr>
            <w:r w:rsidRPr="00202CB1">
              <w:rPr>
                <w:sz w:val="18"/>
                <w:szCs w:val="18"/>
              </w:rPr>
              <w:t>3 322.9</w:t>
            </w:r>
          </w:p>
        </w:tc>
      </w:tr>
      <w:tr w:rsidR="00926856" w:rsidTr="00D0458F">
        <w:tc>
          <w:tcPr>
            <w:tcW w:w="1843" w:type="dxa"/>
          </w:tcPr>
          <w:p w:rsidR="00926856" w:rsidRPr="00D0458F" w:rsidRDefault="00926856" w:rsidP="00202CB1">
            <w:pPr>
              <w:pStyle w:val="TableBodyText"/>
              <w:spacing w:line="240" w:lineRule="auto"/>
              <w:jc w:val="left"/>
              <w:rPr>
                <w:sz w:val="18"/>
                <w:szCs w:val="18"/>
              </w:rPr>
            </w:pPr>
            <w:r w:rsidRPr="00D0458F">
              <w:rPr>
                <w:sz w:val="18"/>
                <w:szCs w:val="18"/>
              </w:rPr>
              <w:t>Services provided in mixed delivery settings</w:t>
            </w:r>
            <w:r w:rsidRPr="00D0458F">
              <w:rPr>
                <w:rStyle w:val="NoteLabel"/>
                <w:szCs w:val="18"/>
              </w:rPr>
              <w:t>e</w:t>
            </w:r>
          </w:p>
        </w:tc>
        <w:tc>
          <w:tcPr>
            <w:tcW w:w="771" w:type="dxa"/>
            <w:shd w:val="clear" w:color="auto" w:fill="FFFFFF" w:themeFill="background1"/>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189.7</w:t>
            </w:r>
          </w:p>
        </w:tc>
        <w:tc>
          <w:tcPr>
            <w:tcW w:w="772" w:type="dxa"/>
            <w:shd w:val="clear" w:color="auto" w:fill="FFFFFF" w:themeFill="background1"/>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140.6</w:t>
            </w:r>
          </w:p>
        </w:tc>
        <w:tc>
          <w:tcPr>
            <w:tcW w:w="772" w:type="dxa"/>
            <w:shd w:val="clear" w:color="auto" w:fill="FFFFFF" w:themeFill="background1"/>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127.6</w:t>
            </w:r>
          </w:p>
        </w:tc>
        <w:tc>
          <w:tcPr>
            <w:tcW w:w="772" w:type="dxa"/>
            <w:shd w:val="clear" w:color="auto" w:fill="FFFFFF" w:themeFill="background1"/>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81.4</w:t>
            </w:r>
          </w:p>
        </w:tc>
        <w:tc>
          <w:tcPr>
            <w:tcW w:w="771" w:type="dxa"/>
            <w:shd w:val="clear" w:color="auto" w:fill="FFFFFF" w:themeFill="background1"/>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90.3</w:t>
            </w:r>
          </w:p>
        </w:tc>
        <w:tc>
          <w:tcPr>
            <w:tcW w:w="772" w:type="dxa"/>
            <w:shd w:val="clear" w:color="auto" w:fill="FFFFFF" w:themeFill="background1"/>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24.0</w:t>
            </w:r>
          </w:p>
        </w:tc>
        <w:tc>
          <w:tcPr>
            <w:tcW w:w="772" w:type="dxa"/>
            <w:shd w:val="clear" w:color="auto" w:fill="FFFFFF" w:themeFill="background1"/>
            <w:vAlign w:val="center"/>
          </w:tcPr>
          <w:p w:rsidR="00926856" w:rsidRPr="00202CB1" w:rsidRDefault="00926F6B" w:rsidP="00AA68A5">
            <w:pPr>
              <w:pStyle w:val="TableBodyText"/>
              <w:rPr>
                <w:sz w:val="18"/>
                <w:szCs w:val="18"/>
              </w:rPr>
            </w:pPr>
            <w:r>
              <w:rPr>
                <w:sz w:val="18"/>
                <w:szCs w:val="18"/>
              </w:rPr>
              <w:t xml:space="preserve"> </w:t>
            </w:r>
            <w:r w:rsidR="00926856" w:rsidRPr="00202CB1">
              <w:rPr>
                <w:sz w:val="18"/>
                <w:szCs w:val="18"/>
              </w:rPr>
              <w:t>8.8</w:t>
            </w:r>
          </w:p>
        </w:tc>
        <w:tc>
          <w:tcPr>
            <w:tcW w:w="772" w:type="dxa"/>
            <w:shd w:val="clear" w:color="auto" w:fill="FFFFFF" w:themeFill="background1"/>
            <w:vAlign w:val="center"/>
          </w:tcPr>
          <w:p w:rsidR="00926856" w:rsidRPr="00202CB1" w:rsidRDefault="00926856" w:rsidP="00AA68A5">
            <w:pPr>
              <w:pStyle w:val="TableBodyText"/>
              <w:rPr>
                <w:sz w:val="18"/>
                <w:szCs w:val="18"/>
              </w:rPr>
            </w:pPr>
            <w:r w:rsidRPr="00202CB1">
              <w:rPr>
                <w:sz w:val="18"/>
                <w:szCs w:val="18"/>
              </w:rPr>
              <w:t xml:space="preserve"> 13.1</w:t>
            </w:r>
          </w:p>
        </w:tc>
        <w:tc>
          <w:tcPr>
            <w:tcW w:w="772" w:type="dxa"/>
            <w:shd w:val="clear" w:color="auto" w:fill="FFFFFF" w:themeFill="background1"/>
            <w:vAlign w:val="center"/>
          </w:tcPr>
          <w:p w:rsidR="00926856" w:rsidRPr="00202CB1" w:rsidRDefault="00926F6B" w:rsidP="001D6278">
            <w:pPr>
              <w:pStyle w:val="TableBodyText"/>
              <w:ind w:right="0"/>
              <w:rPr>
                <w:sz w:val="18"/>
                <w:szCs w:val="18"/>
              </w:rPr>
            </w:pPr>
            <w:r>
              <w:rPr>
                <w:sz w:val="18"/>
                <w:szCs w:val="18"/>
              </w:rPr>
              <w:t xml:space="preserve"> </w:t>
            </w:r>
            <w:r w:rsidR="00926856" w:rsidRPr="00202CB1">
              <w:rPr>
                <w:sz w:val="18"/>
                <w:szCs w:val="18"/>
              </w:rPr>
              <w:t>776.4</w:t>
            </w:r>
          </w:p>
        </w:tc>
      </w:tr>
      <w:tr w:rsidR="00CC6EEF" w:rsidTr="00D0458F">
        <w:tc>
          <w:tcPr>
            <w:tcW w:w="1843" w:type="dxa"/>
            <w:tcBorders>
              <w:bottom w:val="single" w:sz="4" w:space="0" w:color="auto"/>
            </w:tcBorders>
            <w:vAlign w:val="bottom"/>
          </w:tcPr>
          <w:p w:rsidR="00CC6EEF" w:rsidRPr="00D0458F" w:rsidRDefault="00CC6EEF" w:rsidP="001E2D3E">
            <w:pPr>
              <w:pStyle w:val="TableBodyText"/>
              <w:jc w:val="left"/>
              <w:rPr>
                <w:sz w:val="18"/>
                <w:szCs w:val="18"/>
              </w:rPr>
            </w:pPr>
            <w:r w:rsidRPr="00D0458F">
              <w:rPr>
                <w:sz w:val="18"/>
                <w:szCs w:val="18"/>
              </w:rPr>
              <w:t>Total</w:t>
            </w:r>
          </w:p>
        </w:tc>
        <w:tc>
          <w:tcPr>
            <w:tcW w:w="771" w:type="dxa"/>
            <w:tcBorders>
              <w:bottom w:val="single" w:sz="4" w:space="0" w:color="auto"/>
            </w:tcBorders>
            <w:shd w:val="clear" w:color="auto" w:fill="FFFFFF" w:themeFill="background1"/>
            <w:vAlign w:val="center"/>
          </w:tcPr>
          <w:p w:rsidR="00CC6EEF" w:rsidRPr="00202CB1" w:rsidRDefault="00CC6EEF" w:rsidP="00AA68A5">
            <w:pPr>
              <w:pStyle w:val="TableBodyText"/>
              <w:rPr>
                <w:b/>
                <w:sz w:val="18"/>
                <w:szCs w:val="18"/>
              </w:rPr>
            </w:pPr>
            <w:r w:rsidRPr="00202CB1">
              <w:rPr>
                <w:b/>
                <w:sz w:val="18"/>
                <w:szCs w:val="18"/>
              </w:rPr>
              <w:t xml:space="preserve"> 4 350.9</w:t>
            </w:r>
          </w:p>
        </w:tc>
        <w:tc>
          <w:tcPr>
            <w:tcW w:w="772" w:type="dxa"/>
            <w:tcBorders>
              <w:bottom w:val="single" w:sz="4" w:space="0" w:color="auto"/>
            </w:tcBorders>
            <w:shd w:val="clear" w:color="auto" w:fill="FFFFFF" w:themeFill="background1"/>
            <w:vAlign w:val="center"/>
          </w:tcPr>
          <w:p w:rsidR="00CC6EEF" w:rsidRPr="00202CB1" w:rsidRDefault="00CC6EEF" w:rsidP="00AA68A5">
            <w:pPr>
              <w:pStyle w:val="TableBodyText"/>
              <w:rPr>
                <w:b/>
                <w:sz w:val="18"/>
                <w:szCs w:val="18"/>
              </w:rPr>
            </w:pPr>
            <w:r w:rsidRPr="00202CB1">
              <w:rPr>
                <w:b/>
                <w:sz w:val="18"/>
                <w:szCs w:val="18"/>
              </w:rPr>
              <w:t xml:space="preserve"> 3 430.7</w:t>
            </w:r>
          </w:p>
        </w:tc>
        <w:tc>
          <w:tcPr>
            <w:tcW w:w="772" w:type="dxa"/>
            <w:tcBorders>
              <w:bottom w:val="single" w:sz="4" w:space="0" w:color="auto"/>
            </w:tcBorders>
            <w:shd w:val="clear" w:color="auto" w:fill="FFFFFF" w:themeFill="background1"/>
            <w:vAlign w:val="center"/>
          </w:tcPr>
          <w:p w:rsidR="00CC6EEF" w:rsidRPr="00202CB1" w:rsidRDefault="00CC6EEF" w:rsidP="00AA68A5">
            <w:pPr>
              <w:pStyle w:val="TableBodyText"/>
              <w:rPr>
                <w:b/>
                <w:sz w:val="18"/>
                <w:szCs w:val="18"/>
              </w:rPr>
            </w:pPr>
            <w:r w:rsidRPr="00202CB1">
              <w:rPr>
                <w:b/>
                <w:sz w:val="18"/>
                <w:szCs w:val="18"/>
              </w:rPr>
              <w:t xml:space="preserve"> 2 591.0</w:t>
            </w:r>
          </w:p>
        </w:tc>
        <w:tc>
          <w:tcPr>
            <w:tcW w:w="772" w:type="dxa"/>
            <w:tcBorders>
              <w:bottom w:val="single" w:sz="4" w:space="0" w:color="auto"/>
            </w:tcBorders>
            <w:shd w:val="clear" w:color="auto" w:fill="FFFFFF" w:themeFill="background1"/>
            <w:vAlign w:val="center"/>
          </w:tcPr>
          <w:p w:rsidR="00CC6EEF" w:rsidRPr="00202CB1" w:rsidRDefault="00CC6EEF" w:rsidP="00AA68A5">
            <w:pPr>
              <w:pStyle w:val="TableBodyText"/>
              <w:rPr>
                <w:b/>
                <w:sz w:val="18"/>
                <w:szCs w:val="18"/>
              </w:rPr>
            </w:pPr>
            <w:r w:rsidRPr="00202CB1">
              <w:rPr>
                <w:b/>
                <w:sz w:val="18"/>
                <w:szCs w:val="18"/>
              </w:rPr>
              <w:t xml:space="preserve"> 1 256.4</w:t>
            </w:r>
          </w:p>
        </w:tc>
        <w:tc>
          <w:tcPr>
            <w:tcW w:w="771" w:type="dxa"/>
            <w:tcBorders>
              <w:bottom w:val="single" w:sz="4" w:space="0" w:color="auto"/>
            </w:tcBorders>
            <w:shd w:val="clear" w:color="auto" w:fill="FFFFFF" w:themeFill="background1"/>
            <w:vAlign w:val="center"/>
          </w:tcPr>
          <w:p w:rsidR="00CC6EEF" w:rsidRPr="00202CB1" w:rsidRDefault="00CC6EEF" w:rsidP="00AA68A5">
            <w:pPr>
              <w:pStyle w:val="TableBodyText"/>
              <w:rPr>
                <w:b/>
                <w:sz w:val="18"/>
                <w:szCs w:val="18"/>
              </w:rPr>
            </w:pPr>
            <w:r w:rsidRPr="00202CB1">
              <w:rPr>
                <w:b/>
                <w:sz w:val="18"/>
                <w:szCs w:val="18"/>
              </w:rPr>
              <w:t xml:space="preserve"> 1 279.4</w:t>
            </w:r>
          </w:p>
        </w:tc>
        <w:tc>
          <w:tcPr>
            <w:tcW w:w="772" w:type="dxa"/>
            <w:tcBorders>
              <w:bottom w:val="single" w:sz="4" w:space="0" w:color="auto"/>
            </w:tcBorders>
            <w:shd w:val="clear" w:color="auto" w:fill="FFFFFF" w:themeFill="background1"/>
            <w:vAlign w:val="center"/>
          </w:tcPr>
          <w:p w:rsidR="00CC6EEF" w:rsidRPr="00202CB1" w:rsidRDefault="00CC6EEF" w:rsidP="00AA68A5">
            <w:pPr>
              <w:pStyle w:val="TableBodyText"/>
              <w:rPr>
                <w:b/>
                <w:sz w:val="18"/>
                <w:szCs w:val="18"/>
              </w:rPr>
            </w:pPr>
            <w:r w:rsidRPr="00202CB1">
              <w:rPr>
                <w:b/>
                <w:sz w:val="18"/>
                <w:szCs w:val="18"/>
              </w:rPr>
              <w:t xml:space="preserve"> 369.9</w:t>
            </w:r>
          </w:p>
        </w:tc>
        <w:tc>
          <w:tcPr>
            <w:tcW w:w="772" w:type="dxa"/>
            <w:tcBorders>
              <w:bottom w:val="single" w:sz="4" w:space="0" w:color="auto"/>
            </w:tcBorders>
            <w:shd w:val="clear" w:color="auto" w:fill="FFFFFF" w:themeFill="background1"/>
            <w:vAlign w:val="center"/>
          </w:tcPr>
          <w:p w:rsidR="00CC6EEF" w:rsidRPr="00202CB1" w:rsidRDefault="00CC6EEF" w:rsidP="00AA68A5">
            <w:pPr>
              <w:pStyle w:val="TableBodyText"/>
              <w:rPr>
                <w:b/>
                <w:sz w:val="18"/>
                <w:szCs w:val="18"/>
              </w:rPr>
            </w:pPr>
            <w:r w:rsidRPr="00202CB1">
              <w:rPr>
                <w:b/>
                <w:sz w:val="18"/>
                <w:szCs w:val="18"/>
              </w:rPr>
              <w:t xml:space="preserve"> 161.7</w:t>
            </w:r>
          </w:p>
        </w:tc>
        <w:tc>
          <w:tcPr>
            <w:tcW w:w="772" w:type="dxa"/>
            <w:tcBorders>
              <w:bottom w:val="single" w:sz="4" w:space="0" w:color="auto"/>
            </w:tcBorders>
            <w:shd w:val="clear" w:color="auto" w:fill="FFFFFF" w:themeFill="background1"/>
            <w:vAlign w:val="center"/>
          </w:tcPr>
          <w:p w:rsidR="00CC6EEF" w:rsidRPr="00202CB1" w:rsidRDefault="00CC6EEF" w:rsidP="00AA68A5">
            <w:pPr>
              <w:pStyle w:val="TableBodyText"/>
              <w:rPr>
                <w:b/>
                <w:sz w:val="18"/>
                <w:szCs w:val="18"/>
              </w:rPr>
            </w:pPr>
            <w:r w:rsidRPr="00202CB1">
              <w:rPr>
                <w:b/>
                <w:sz w:val="18"/>
                <w:szCs w:val="18"/>
              </w:rPr>
              <w:t xml:space="preserve"> 81.9</w:t>
            </w:r>
          </w:p>
        </w:tc>
        <w:tc>
          <w:tcPr>
            <w:tcW w:w="772" w:type="dxa"/>
            <w:tcBorders>
              <w:bottom w:val="single" w:sz="4" w:space="0" w:color="auto"/>
            </w:tcBorders>
            <w:shd w:val="clear" w:color="auto" w:fill="FFFFFF" w:themeFill="background1"/>
            <w:vAlign w:val="center"/>
          </w:tcPr>
          <w:p w:rsidR="00CC6EEF" w:rsidRPr="00202CB1" w:rsidRDefault="00CC6EEF" w:rsidP="001D6278">
            <w:pPr>
              <w:pStyle w:val="TableBodyText"/>
              <w:ind w:right="0"/>
              <w:rPr>
                <w:b/>
                <w:sz w:val="18"/>
                <w:szCs w:val="18"/>
              </w:rPr>
            </w:pPr>
            <w:r w:rsidRPr="00202CB1">
              <w:rPr>
                <w:b/>
                <w:sz w:val="18"/>
                <w:szCs w:val="18"/>
              </w:rPr>
              <w:t>13 629.7</w:t>
            </w:r>
          </w:p>
        </w:tc>
      </w:tr>
    </w:tbl>
    <w:p w:rsidR="00056221" w:rsidRPr="008114E8" w:rsidRDefault="00056221" w:rsidP="005D41C0">
      <w:pPr>
        <w:pStyle w:val="Note"/>
      </w:pPr>
      <w:r w:rsidRPr="003424A5">
        <w:rPr>
          <w:rStyle w:val="NoteLabel"/>
        </w:rPr>
        <w:t>a </w:t>
      </w:r>
      <w:r w:rsidR="004421A0" w:rsidRPr="003424A5">
        <w:t xml:space="preserve">Australian total includes ‘other’ Australian Government expenditure that cannot be attributed to individual states or territories. </w:t>
      </w:r>
      <w:r w:rsidR="004421A0" w:rsidRPr="003424A5">
        <w:rPr>
          <w:rStyle w:val="NoteLabel"/>
        </w:rPr>
        <w:t>b</w:t>
      </w:r>
      <w:r w:rsidR="004421A0" w:rsidRPr="003424A5">
        <w:t xml:space="preserve"> </w:t>
      </w:r>
      <w:r w:rsidR="00771952" w:rsidRPr="003424A5">
        <w:t xml:space="preserve">Assessment and information services include only Australian Government expenditure on </w:t>
      </w:r>
      <w:r w:rsidR="005B4BF0" w:rsidRPr="003424A5">
        <w:t xml:space="preserve">the </w:t>
      </w:r>
      <w:r w:rsidR="00771952" w:rsidRPr="003424A5">
        <w:t>AC</w:t>
      </w:r>
      <w:r w:rsidR="004D3BE8">
        <w:t>A</w:t>
      </w:r>
      <w:r w:rsidR="00771952" w:rsidRPr="003424A5">
        <w:t xml:space="preserve">P, </w:t>
      </w:r>
      <w:r w:rsidR="00174AB9" w:rsidRPr="003424A5">
        <w:t>a</w:t>
      </w:r>
      <w:r w:rsidR="00771952" w:rsidRPr="003424A5">
        <w:t>dditional COAG funding for ACATs, Commonwealth Carelink Centres and Carers Information and Support</w:t>
      </w:r>
      <w:r w:rsidRPr="003424A5">
        <w:t xml:space="preserve">. </w:t>
      </w:r>
      <w:r w:rsidR="004421A0" w:rsidRPr="003424A5">
        <w:rPr>
          <w:rStyle w:val="NoteLabel"/>
        </w:rPr>
        <w:t>c</w:t>
      </w:r>
      <w:r w:rsidRPr="003424A5">
        <w:t> Residential care services include D</w:t>
      </w:r>
      <w:r w:rsidR="00E46620">
        <w:t>SS</w:t>
      </w:r>
      <w:r w:rsidRPr="003424A5">
        <w:t xml:space="preserve"> and DVA (including payroll tax supplement) and State and Territory </w:t>
      </w:r>
      <w:r w:rsidR="005617B7" w:rsidRPr="003424A5">
        <w:t>governments’</w:t>
      </w:r>
      <w:r w:rsidRPr="003424A5">
        <w:t xml:space="preserve"> expenditure</w:t>
      </w:r>
      <w:r w:rsidR="002D3C34" w:rsidRPr="003424A5">
        <w:t xml:space="preserve"> and funding</w:t>
      </w:r>
      <w:r w:rsidRPr="003424A5">
        <w:t xml:space="preserve">. </w:t>
      </w:r>
      <w:r w:rsidR="004421A0" w:rsidRPr="003424A5">
        <w:rPr>
          <w:rStyle w:val="NoteLabel"/>
        </w:rPr>
        <w:t>d</w:t>
      </w:r>
      <w:r w:rsidRPr="003424A5">
        <w:rPr>
          <w:rStyle w:val="NoteLabel"/>
        </w:rPr>
        <w:t> </w:t>
      </w:r>
      <w:r w:rsidRPr="003424A5">
        <w:t>Community care se</w:t>
      </w:r>
      <w:r w:rsidR="00027555" w:rsidRPr="003424A5">
        <w:t xml:space="preserve">rvices include HACC, CACP, EACH, </w:t>
      </w:r>
      <w:r w:rsidRPr="003424A5">
        <w:t>EACH</w:t>
      </w:r>
      <w:r w:rsidR="00AA68A5">
        <w:noBreakHyphen/>
      </w:r>
      <w:r w:rsidRPr="003424A5">
        <w:t>D, NRCP, VHC, DVA Community Nursing</w:t>
      </w:r>
      <w:r w:rsidR="003B398A" w:rsidRPr="003424A5">
        <w:t xml:space="preserve"> and</w:t>
      </w:r>
      <w:r w:rsidRPr="003424A5">
        <w:t xml:space="preserve"> Assistance with Care and Housing for the Aged. </w:t>
      </w:r>
      <w:r w:rsidR="00174AB9" w:rsidRPr="003424A5">
        <w:t>Expenditure on HACC in Victoria and WA i</w:t>
      </w:r>
      <w:r w:rsidR="00926856">
        <w:t>s</w:t>
      </w:r>
      <w:r w:rsidR="00174AB9" w:rsidRPr="003424A5">
        <w:t xml:space="preserve"> </w:t>
      </w:r>
      <w:r w:rsidR="00926856">
        <w:t>an estimate of</w:t>
      </w:r>
      <w:r w:rsidR="00174AB9" w:rsidRPr="003424A5">
        <w:t xml:space="preserve"> that </w:t>
      </w:r>
      <w:r w:rsidR="00926856">
        <w:t xml:space="preserve">spent </w:t>
      </w:r>
      <w:r w:rsidR="00377C96">
        <w:t xml:space="preserve">on older people </w:t>
      </w:r>
      <w:r w:rsidR="00174AB9" w:rsidRPr="003424A5">
        <w:t xml:space="preserve">under the HACC </w:t>
      </w:r>
      <w:r w:rsidR="005B4BF0" w:rsidRPr="003424A5">
        <w:t>Review Agreement</w:t>
      </w:r>
      <w:r w:rsidR="00174AB9" w:rsidRPr="003424A5">
        <w:t xml:space="preserve">. </w:t>
      </w:r>
      <w:r w:rsidR="004421A0" w:rsidRPr="003424A5">
        <w:rPr>
          <w:rStyle w:val="NoteLabel"/>
        </w:rPr>
        <w:t>e</w:t>
      </w:r>
      <w:r w:rsidRPr="003424A5">
        <w:t xml:space="preserve"> Services provided in mixed delivery settings include </w:t>
      </w:r>
      <w:r w:rsidR="00457663" w:rsidRPr="003424A5">
        <w:t xml:space="preserve">MPS, </w:t>
      </w:r>
      <w:r w:rsidR="00027555" w:rsidRPr="003424A5">
        <w:t>TCP</w:t>
      </w:r>
      <w:r w:rsidRPr="003424A5">
        <w:t xml:space="preserve">, </w:t>
      </w:r>
      <w:r w:rsidR="005F7FAB" w:rsidRPr="003424A5">
        <w:t>National Aboriginal and Torres Strait Islander Flexible Aged Care Program</w:t>
      </w:r>
      <w:r w:rsidRPr="003424A5">
        <w:t xml:space="preserve">, Day Therapy Centres, </w:t>
      </w:r>
      <w:r w:rsidR="00B10269" w:rsidRPr="003424A5">
        <w:t>Continence Aids Payment Scheme, National Continence Program,</w:t>
      </w:r>
      <w:r w:rsidR="002D3C34" w:rsidRPr="003424A5">
        <w:t xml:space="preserve"> Innovative Care Pool, </w:t>
      </w:r>
      <w:r w:rsidRPr="003424A5">
        <w:t xml:space="preserve">Dementia Education and Support, </w:t>
      </w:r>
      <w:r w:rsidR="00612BAA" w:rsidRPr="003424A5">
        <w:t>Financial Assistance for LSOP,</w:t>
      </w:r>
      <w:r w:rsidRPr="003424A5">
        <w:t xml:space="preserve"> Community Visitors Scheme and </w:t>
      </w:r>
      <w:r w:rsidR="003B2ACF" w:rsidRPr="003B2ACF">
        <w:t>Support for older people from diverse backgrounds</w:t>
      </w:r>
      <w:r w:rsidRPr="003424A5">
        <w:t>.</w:t>
      </w:r>
      <w:r w:rsidRPr="008114E8">
        <w:t xml:space="preserve"> </w:t>
      </w:r>
    </w:p>
    <w:p w:rsidR="00056221" w:rsidRPr="008114E8" w:rsidRDefault="00056221" w:rsidP="00056221">
      <w:pPr>
        <w:pStyle w:val="Source"/>
      </w:pPr>
      <w:r w:rsidRPr="008114E8">
        <w:rPr>
          <w:i/>
        </w:rPr>
        <w:t>Source</w:t>
      </w:r>
      <w:r w:rsidRPr="008114E8">
        <w:t xml:space="preserve">: </w:t>
      </w:r>
      <w:r w:rsidR="00867EFE" w:rsidRPr="008114E8">
        <w:t>D</w:t>
      </w:r>
      <w:r w:rsidR="00E46620">
        <w:t>SS</w:t>
      </w:r>
      <w:r w:rsidR="00867EFE" w:rsidRPr="008114E8">
        <w:t xml:space="preserve"> (unpublished); State and Territory governments (unpublished); t</w:t>
      </w:r>
      <w:r w:rsidRPr="008114E8">
        <w:t>able</w:t>
      </w:r>
      <w:r w:rsidR="00AA68A5">
        <w:t> </w:t>
      </w:r>
      <w:proofErr w:type="spellStart"/>
      <w:r w:rsidRPr="008114E8">
        <w:t>13A.5</w:t>
      </w:r>
      <w:proofErr w:type="spellEnd"/>
      <w:r w:rsidRPr="008114E8">
        <w:t>.</w:t>
      </w:r>
    </w:p>
    <w:p w:rsidR="00056221" w:rsidRPr="008114E8" w:rsidRDefault="00056221" w:rsidP="00056221">
      <w:pPr>
        <w:pStyle w:val="Heading4"/>
      </w:pPr>
      <w:r w:rsidRPr="008114E8">
        <w:t xml:space="preserve">Assessment </w:t>
      </w:r>
      <w:r w:rsidR="00AA1C14">
        <w:t xml:space="preserve">and information </w:t>
      </w:r>
      <w:r w:rsidRPr="008114E8">
        <w:t>services</w:t>
      </w:r>
    </w:p>
    <w:p w:rsidR="00056221" w:rsidRDefault="00056221" w:rsidP="0079479E">
      <w:pPr>
        <w:pStyle w:val="BodyText"/>
      </w:pPr>
      <w:r w:rsidRPr="008114E8">
        <w:t xml:space="preserve">In </w:t>
      </w:r>
      <w:r w:rsidR="002F6EF1" w:rsidRPr="008114E8">
        <w:t>20</w:t>
      </w:r>
      <w:r w:rsidR="002F6EF1">
        <w:t>12</w:t>
      </w:r>
      <w:r w:rsidR="00AA68A5">
        <w:noBreakHyphen/>
      </w:r>
      <w:r w:rsidR="002F6EF1">
        <w:t>13</w:t>
      </w:r>
      <w:r w:rsidRPr="008114E8">
        <w:t>, the Australian Government provided funding of $</w:t>
      </w:r>
      <w:r w:rsidR="00926856">
        <w:t>102.2</w:t>
      </w:r>
      <w:r w:rsidRPr="008114E8">
        <w:t xml:space="preserve"> million nationally for the </w:t>
      </w:r>
      <w:r w:rsidR="007D6142">
        <w:t>ACAP</w:t>
      </w:r>
      <w:r w:rsidR="00EC0F9F" w:rsidRPr="0079479E">
        <w:rPr>
          <w:shd w:val="clear" w:color="auto" w:fill="FFFFFF" w:themeFill="background1"/>
        </w:rPr>
        <w:t>, which includes $8.7 million of funding from the previous year</w:t>
      </w:r>
      <w:r w:rsidRPr="0079479E">
        <w:rPr>
          <w:shd w:val="clear" w:color="auto" w:fill="FFFFFF" w:themeFill="background1"/>
        </w:rPr>
        <w:t xml:space="preserve"> </w:t>
      </w:r>
      <w:r w:rsidRPr="008114E8">
        <w:t>(table </w:t>
      </w:r>
      <w:proofErr w:type="spellStart"/>
      <w:r w:rsidRPr="008114E8">
        <w:t>13A.</w:t>
      </w:r>
      <w:r w:rsidR="008114E8" w:rsidRPr="008114E8">
        <w:t>7</w:t>
      </w:r>
      <w:proofErr w:type="spellEnd"/>
      <w:r w:rsidRPr="008114E8">
        <w:t>). Australian Government ACA</w:t>
      </w:r>
      <w:r w:rsidR="007D6142">
        <w:t>P</w:t>
      </w:r>
      <w:r w:rsidRPr="008114E8">
        <w:t xml:space="preserve"> expenditure per person aged </w:t>
      </w:r>
      <w:r w:rsidR="002D3C34">
        <w:t>65</w:t>
      </w:r>
      <w:r w:rsidRPr="008114E8">
        <w:t xml:space="preserve"> years or </w:t>
      </w:r>
      <w:r w:rsidR="00C05C11">
        <w:t xml:space="preserve">over </w:t>
      </w:r>
      <w:r w:rsidR="000A2177" w:rsidRPr="00BA6E14">
        <w:t>and</w:t>
      </w:r>
      <w:r w:rsidRPr="008114E8">
        <w:t xml:space="preserve"> </w:t>
      </w:r>
      <w:r w:rsidR="00EB2705">
        <w:t>Indigenous Australians</w:t>
      </w:r>
      <w:r w:rsidRPr="008114E8">
        <w:t xml:space="preserve"> aged 50–6</w:t>
      </w:r>
      <w:r w:rsidR="002D3C34">
        <w:t>4</w:t>
      </w:r>
      <w:r w:rsidRPr="008114E8">
        <w:t xml:space="preserve"> years was $</w:t>
      </w:r>
      <w:r w:rsidR="00926856">
        <w:t>3</w:t>
      </w:r>
      <w:r w:rsidR="00291FA1">
        <w:t>0</w:t>
      </w:r>
      <w:r w:rsidR="002F6EF1" w:rsidRPr="008114E8">
        <w:t xml:space="preserve"> </w:t>
      </w:r>
      <w:r w:rsidRPr="008114E8">
        <w:t xml:space="preserve">nationally during </w:t>
      </w:r>
      <w:r w:rsidR="002F6EF1">
        <w:t>2012</w:t>
      </w:r>
      <w:r w:rsidR="00AA68A5">
        <w:noBreakHyphen/>
      </w:r>
      <w:r w:rsidR="002F6EF1">
        <w:t>13</w:t>
      </w:r>
      <w:r w:rsidR="002F6EF1" w:rsidRPr="008114E8">
        <w:t xml:space="preserve"> </w:t>
      </w:r>
      <w:r w:rsidRPr="008114E8">
        <w:t>(table </w:t>
      </w:r>
      <w:proofErr w:type="spellStart"/>
      <w:r w:rsidRPr="008114E8">
        <w:t>13A.</w:t>
      </w:r>
      <w:r w:rsidR="00457663" w:rsidRPr="008114E8">
        <w:t>7</w:t>
      </w:r>
      <w:proofErr w:type="spellEnd"/>
      <w:r w:rsidRPr="008114E8">
        <w:t xml:space="preserve">). State and Territory governments also contribute funding for </w:t>
      </w:r>
      <w:r w:rsidR="00315037">
        <w:t xml:space="preserve">the </w:t>
      </w:r>
      <w:r w:rsidRPr="008114E8">
        <w:t>ACA</w:t>
      </w:r>
      <w:r w:rsidR="00315037">
        <w:t>P</w:t>
      </w:r>
      <w:r w:rsidRPr="008114E8">
        <w:t xml:space="preserve">, but this expenditure is not </w:t>
      </w:r>
      <w:r w:rsidR="00502828">
        <w:t>available for reporting</w:t>
      </w:r>
      <w:r w:rsidRPr="008114E8">
        <w:t>.</w:t>
      </w:r>
      <w:r w:rsidR="0090159D">
        <w:t xml:space="preserve"> </w:t>
      </w:r>
      <w:r w:rsidRPr="008114E8">
        <w:t xml:space="preserve">Aged care </w:t>
      </w:r>
      <w:r w:rsidRPr="008114E8">
        <w:lastRenderedPageBreak/>
        <w:t xml:space="preserve">assessment program activities </w:t>
      </w:r>
      <w:r w:rsidR="002707B3">
        <w:t xml:space="preserve">and expenditure for </w:t>
      </w:r>
      <w:r w:rsidR="002F6EF1">
        <w:t>2011</w:t>
      </w:r>
      <w:r w:rsidR="00AA68A5">
        <w:noBreakHyphen/>
      </w:r>
      <w:r w:rsidR="002F6EF1">
        <w:t xml:space="preserve">12 </w:t>
      </w:r>
      <w:r w:rsidRPr="008114E8">
        <w:t xml:space="preserve">and costs </w:t>
      </w:r>
      <w:r w:rsidR="002707B3">
        <w:t xml:space="preserve">per person </w:t>
      </w:r>
      <w:r w:rsidRPr="008114E8">
        <w:t xml:space="preserve">for </w:t>
      </w:r>
      <w:r w:rsidR="002F6EF1">
        <w:t>2005</w:t>
      </w:r>
      <w:r w:rsidR="00AA68A5">
        <w:noBreakHyphen/>
      </w:r>
      <w:r w:rsidR="002F6EF1">
        <w:t xml:space="preserve">06 </w:t>
      </w:r>
      <w:r w:rsidR="002707B3">
        <w:t xml:space="preserve">to </w:t>
      </w:r>
      <w:r w:rsidR="002F6EF1" w:rsidRPr="008114E8">
        <w:t>20</w:t>
      </w:r>
      <w:r w:rsidR="002F6EF1">
        <w:t>11</w:t>
      </w:r>
      <w:r w:rsidR="00AA68A5">
        <w:noBreakHyphen/>
      </w:r>
      <w:r w:rsidR="002F6EF1">
        <w:t>12</w:t>
      </w:r>
      <w:r w:rsidR="002F6EF1" w:rsidRPr="008114E8">
        <w:t xml:space="preserve"> </w:t>
      </w:r>
      <w:r w:rsidRPr="008114E8">
        <w:t>are reported in table </w:t>
      </w:r>
      <w:proofErr w:type="spellStart"/>
      <w:r w:rsidRPr="008114E8">
        <w:t>13A.</w:t>
      </w:r>
      <w:r w:rsidR="00291FA1">
        <w:t>84</w:t>
      </w:r>
      <w:proofErr w:type="spellEnd"/>
      <w:r w:rsidRPr="008114E8">
        <w:t>.</w:t>
      </w:r>
    </w:p>
    <w:p w:rsidR="00AA1C14" w:rsidRPr="008114E8" w:rsidRDefault="00AA1C14" w:rsidP="00BA6E14">
      <w:pPr>
        <w:pStyle w:val="BodyText"/>
      </w:pPr>
      <w:r>
        <w:t>Expenditure on information services (Commonwealth Carelink Centres, and Carers Information and Support) was $18.3 million in 2012</w:t>
      </w:r>
      <w:r w:rsidR="00AA68A5">
        <w:noBreakHyphen/>
      </w:r>
      <w:r>
        <w:t>13</w:t>
      </w:r>
      <w:r w:rsidR="005361B1">
        <w:t xml:space="preserve"> (table</w:t>
      </w:r>
      <w:r w:rsidR="00AA68A5">
        <w:t> </w:t>
      </w:r>
      <w:proofErr w:type="spellStart"/>
      <w:r w:rsidR="005361B1">
        <w:t>13A.7</w:t>
      </w:r>
      <w:proofErr w:type="spellEnd"/>
      <w:r w:rsidR="005361B1">
        <w:t>)</w:t>
      </w:r>
      <w:r>
        <w:t>.</w:t>
      </w:r>
    </w:p>
    <w:p w:rsidR="00056221" w:rsidRPr="008114E8" w:rsidRDefault="00056221" w:rsidP="00056221">
      <w:pPr>
        <w:pStyle w:val="Heading4"/>
      </w:pPr>
      <w:r w:rsidRPr="008114E8">
        <w:t>Residential care services</w:t>
      </w:r>
    </w:p>
    <w:p w:rsidR="004146C7" w:rsidRDefault="00056221" w:rsidP="0079479E">
      <w:pPr>
        <w:pStyle w:val="BodyText"/>
      </w:pPr>
      <w:r w:rsidRPr="008114E8">
        <w:t xml:space="preserve">The Australian Government provides most of the recurrent funding for residential aged care services. </w:t>
      </w:r>
      <w:r w:rsidR="00AC5BB5" w:rsidRPr="0079479E">
        <w:rPr>
          <w:szCs w:val="18"/>
          <w:shd w:val="clear" w:color="auto" w:fill="FFFFFF" w:themeFill="background1"/>
        </w:rPr>
        <w:t xml:space="preserve">State and Territory governments provide funding for residential aged care for younger people and places provided by </w:t>
      </w:r>
      <w:r w:rsidR="00A407A5" w:rsidRPr="0079479E">
        <w:rPr>
          <w:szCs w:val="18"/>
          <w:shd w:val="clear" w:color="auto" w:fill="FFFFFF" w:themeFill="background1"/>
        </w:rPr>
        <w:t xml:space="preserve">some </w:t>
      </w:r>
      <w:r w:rsidR="00AC5BB5" w:rsidRPr="0079479E">
        <w:rPr>
          <w:szCs w:val="18"/>
          <w:shd w:val="clear" w:color="auto" w:fill="FFFFFF" w:themeFill="background1"/>
        </w:rPr>
        <w:t>public sector organisations</w:t>
      </w:r>
      <w:r w:rsidR="00AC5BB5" w:rsidRPr="0079479E">
        <w:rPr>
          <w:shd w:val="clear" w:color="auto" w:fill="FFFFFF" w:themeFill="background1"/>
        </w:rPr>
        <w:t>.</w:t>
      </w:r>
      <w:r w:rsidR="00AC5BB5">
        <w:t xml:space="preserve"> </w:t>
      </w:r>
      <w:r w:rsidRPr="008114E8">
        <w:t xml:space="preserve">Residents provide most of the remaining service revenue, with some income derived from charitable sources and donations. </w:t>
      </w:r>
      <w:bookmarkStart w:id="14" w:name="OLE_LINK9"/>
    </w:p>
    <w:p w:rsidR="00056221" w:rsidRPr="008114E8" w:rsidRDefault="00EE0402" w:rsidP="00056221">
      <w:pPr>
        <w:pStyle w:val="BodyText"/>
      </w:pPr>
      <w:r>
        <w:t xml:space="preserve">Total </w:t>
      </w:r>
      <w:r w:rsidR="00C828AB">
        <w:t xml:space="preserve">recurrent </w:t>
      </w:r>
      <w:r>
        <w:t>expenditure on residential aged care was $</w:t>
      </w:r>
      <w:r w:rsidR="00926856">
        <w:t>9.4</w:t>
      </w:r>
      <w:r>
        <w:t xml:space="preserve"> billion in </w:t>
      </w:r>
      <w:r w:rsidR="004146C7">
        <w:t>2012</w:t>
      </w:r>
      <w:r w:rsidR="00AA68A5">
        <w:noBreakHyphen/>
      </w:r>
      <w:r w:rsidR="004146C7">
        <w:t xml:space="preserve">13 </w:t>
      </w:r>
      <w:r>
        <w:t>(table</w:t>
      </w:r>
      <w:r w:rsidR="00AA68A5">
        <w:t> </w:t>
      </w:r>
      <w:proofErr w:type="spellStart"/>
      <w:r>
        <w:t>13A.5</w:t>
      </w:r>
      <w:proofErr w:type="spellEnd"/>
      <w:r>
        <w:t>).</w:t>
      </w:r>
      <w:r w:rsidR="004146C7">
        <w:t xml:space="preserve"> </w:t>
      </w:r>
      <w:r w:rsidR="00A77B27" w:rsidRPr="008114E8">
        <w:t xml:space="preserve">Australian Government expenditure </w:t>
      </w:r>
      <w:r w:rsidR="00A77B27">
        <w:t xml:space="preserve">(including payroll tax) </w:t>
      </w:r>
      <w:r w:rsidR="00A77B27" w:rsidRPr="008114E8">
        <w:t>on residential aged care was $</w:t>
      </w:r>
      <w:r w:rsidR="001F59B3">
        <w:t xml:space="preserve">9.0 </w:t>
      </w:r>
      <w:r w:rsidR="00A77B27" w:rsidRPr="008114E8">
        <w:t xml:space="preserve">billion in </w:t>
      </w:r>
      <w:r w:rsidR="00A77B27">
        <w:t>2012</w:t>
      </w:r>
      <w:r w:rsidR="00AA68A5">
        <w:noBreakHyphen/>
      </w:r>
      <w:r w:rsidR="00A77B27">
        <w:t>13</w:t>
      </w:r>
      <w:r w:rsidR="00A77B27" w:rsidRPr="008114E8">
        <w:t>, comprising DoHA expenditure of $</w:t>
      </w:r>
      <w:r w:rsidR="001F59B3">
        <w:t>7.7</w:t>
      </w:r>
      <w:r w:rsidR="00A77B27" w:rsidRPr="008114E8">
        <w:t xml:space="preserve"> billion (table</w:t>
      </w:r>
      <w:r w:rsidR="00AA68A5">
        <w:t> </w:t>
      </w:r>
      <w:proofErr w:type="spellStart"/>
      <w:r w:rsidR="00A77B27" w:rsidRPr="008114E8">
        <w:t>13A.8</w:t>
      </w:r>
      <w:proofErr w:type="spellEnd"/>
      <w:r w:rsidR="00A77B27" w:rsidRPr="008114E8">
        <w:t xml:space="preserve">) and </w:t>
      </w:r>
      <w:proofErr w:type="spellStart"/>
      <w:r w:rsidR="00A77B27" w:rsidRPr="008114E8">
        <w:t>DVA</w:t>
      </w:r>
      <w:proofErr w:type="spellEnd"/>
      <w:r w:rsidR="00A77B27" w:rsidRPr="008114E8">
        <w:t xml:space="preserve"> expenditure of $</w:t>
      </w:r>
      <w:r w:rsidR="001F59B3">
        <w:t>1.3</w:t>
      </w:r>
      <w:r w:rsidR="00A77B27" w:rsidRPr="008114E8">
        <w:t xml:space="preserve"> billion (table </w:t>
      </w:r>
      <w:proofErr w:type="spellStart"/>
      <w:r w:rsidR="00A77B27" w:rsidRPr="008114E8">
        <w:t>13A.8</w:t>
      </w:r>
      <w:proofErr w:type="spellEnd"/>
      <w:r w:rsidR="00A77B27" w:rsidRPr="008114E8">
        <w:t>).</w:t>
      </w:r>
      <w:r w:rsidR="00A77B27">
        <w:t xml:space="preserve"> </w:t>
      </w:r>
      <w:r w:rsidR="00A77B27" w:rsidRPr="002B025F">
        <w:t xml:space="preserve">State and Territory government expenditure </w:t>
      </w:r>
      <w:r w:rsidR="00A77B27">
        <w:t>was $</w:t>
      </w:r>
      <w:r w:rsidR="001F59B3">
        <w:t>375.</w:t>
      </w:r>
      <w:r w:rsidR="001C30FE">
        <w:t>7</w:t>
      </w:r>
      <w:r w:rsidR="00A77B27">
        <w:t xml:space="preserve"> million from four</w:t>
      </w:r>
      <w:r w:rsidR="00A77B27" w:rsidRPr="002B025F">
        <w:t xml:space="preserve"> categories of residential care expenditure</w:t>
      </w:r>
      <w:r w:rsidR="00A77B27">
        <w:t>/funding</w:t>
      </w:r>
      <w:r w:rsidR="00C975C0">
        <w:t xml:space="preserve">: </w:t>
      </w:r>
      <w:r w:rsidR="00A77B27" w:rsidRPr="002B025F">
        <w:t>adjusted subsidy reduction supplement</w:t>
      </w:r>
      <w:r w:rsidR="00A77B27">
        <w:t xml:space="preserve"> ($</w:t>
      </w:r>
      <w:r w:rsidR="001F59B3">
        <w:t>20.7</w:t>
      </w:r>
      <w:r w:rsidR="00457E9F">
        <w:t> </w:t>
      </w:r>
      <w:r w:rsidR="00A77B27">
        <w:t>million)</w:t>
      </w:r>
      <w:r w:rsidR="00A77B27" w:rsidRPr="002B025F">
        <w:t>, enterprise bargaining agreement supplement</w:t>
      </w:r>
      <w:r w:rsidR="00A77B27">
        <w:t xml:space="preserve"> ($</w:t>
      </w:r>
      <w:r w:rsidR="001F59B3">
        <w:t>179.6</w:t>
      </w:r>
      <w:r w:rsidR="00A77B27">
        <w:t xml:space="preserve"> million)</w:t>
      </w:r>
      <w:r w:rsidR="00A77B27" w:rsidRPr="002B025F">
        <w:t>, rural small nursing home supplement</w:t>
      </w:r>
      <w:r w:rsidR="00A77B27" w:rsidRPr="00950A13">
        <w:t xml:space="preserve"> </w:t>
      </w:r>
      <w:r w:rsidR="00A77B27">
        <w:t>($</w:t>
      </w:r>
      <w:r w:rsidR="001F59B3">
        <w:t>17.2</w:t>
      </w:r>
      <w:r w:rsidR="00A77B27">
        <w:t xml:space="preserve"> million) </w:t>
      </w:r>
      <w:r w:rsidR="00A77B27" w:rsidRPr="002B025F">
        <w:t>and</w:t>
      </w:r>
      <w:r w:rsidR="00A77B27">
        <w:t xml:space="preserve"> funding of younger people with disability in </w:t>
      </w:r>
      <w:r w:rsidR="00A77B27" w:rsidRPr="00950A13">
        <w:t>residential care</w:t>
      </w:r>
      <w:r w:rsidR="00A77B27">
        <w:t xml:space="preserve"> </w:t>
      </w:r>
      <w:r w:rsidR="00A77B27" w:rsidRPr="002D403E">
        <w:t>(</w:t>
      </w:r>
      <w:r w:rsidR="00A77B27">
        <w:t xml:space="preserve">excluding for </w:t>
      </w:r>
      <w:r w:rsidR="00A77B27" w:rsidRPr="002D403E">
        <w:t>Victoria and WA)</w:t>
      </w:r>
      <w:r w:rsidR="001F59B3">
        <w:t xml:space="preserve"> ($158.1</w:t>
      </w:r>
      <w:r w:rsidR="00A77B27">
        <w:t xml:space="preserve"> million)</w:t>
      </w:r>
      <w:r w:rsidR="00A77B27" w:rsidRPr="002B025F">
        <w:t>.</w:t>
      </w:r>
    </w:p>
    <w:bookmarkEnd w:id="14"/>
    <w:p w:rsidR="00056221" w:rsidRDefault="00056221" w:rsidP="0062395E">
      <w:pPr>
        <w:pStyle w:val="Heading5"/>
      </w:pPr>
      <w:r w:rsidRPr="008114E8">
        <w:t>Australian Government basic subsidy</w:t>
      </w:r>
    </w:p>
    <w:p w:rsidR="00384E4A" w:rsidRDefault="00056221" w:rsidP="0079479E">
      <w:pPr>
        <w:pStyle w:val="BodyText"/>
      </w:pPr>
      <w:r w:rsidRPr="008114E8">
        <w:t xml:space="preserve">The Australian Government annual basic subsidy for each occupied place varies according to clients’ levels </w:t>
      </w:r>
      <w:r w:rsidRPr="0079479E">
        <w:rPr>
          <w:shd w:val="clear" w:color="auto" w:fill="FFFFFF" w:themeFill="background1"/>
        </w:rPr>
        <w:t>of dependency.</w:t>
      </w:r>
      <w:r w:rsidRPr="008114E8">
        <w:t xml:space="preserve"> </w:t>
      </w:r>
      <w:r w:rsidR="00B73B49" w:rsidRPr="002B025F">
        <w:t xml:space="preserve">Each </w:t>
      </w:r>
      <w:r w:rsidR="00B73B49">
        <w:t>permanent resident</w:t>
      </w:r>
      <w:r w:rsidR="00B73B49" w:rsidRPr="002B025F">
        <w:t xml:space="preserve"> has a dependency level for each of three domains</w:t>
      </w:r>
      <w:r w:rsidR="00B73B49">
        <w:t xml:space="preserve"> (activities of daily living, behaviours and complex health care)</w:t>
      </w:r>
      <w:r w:rsidR="00B73B49" w:rsidRPr="002B025F">
        <w:t xml:space="preserve">. </w:t>
      </w:r>
      <w:r w:rsidR="00493D48" w:rsidRPr="0079479E">
        <w:rPr>
          <w:shd w:val="clear" w:color="auto" w:fill="FFFFFF" w:themeFill="background1"/>
        </w:rPr>
        <w:t>The total average annual subsidy including the basic subsidy and the Conditional Adjustment Payment (CAP) is reported in table</w:t>
      </w:r>
      <w:r w:rsidR="00AA68A5">
        <w:rPr>
          <w:shd w:val="clear" w:color="auto" w:fill="FFFFFF" w:themeFill="background1"/>
        </w:rPr>
        <w:t> </w:t>
      </w:r>
      <w:proofErr w:type="spellStart"/>
      <w:r w:rsidR="00493D48" w:rsidRPr="0079479E">
        <w:rPr>
          <w:shd w:val="clear" w:color="auto" w:fill="FFFFFF" w:themeFill="background1"/>
        </w:rPr>
        <w:t>13A.17</w:t>
      </w:r>
      <w:proofErr w:type="spellEnd"/>
      <w:r w:rsidR="00493D48" w:rsidRPr="0079479E">
        <w:rPr>
          <w:shd w:val="clear" w:color="auto" w:fill="FFFFFF" w:themeFill="background1"/>
        </w:rPr>
        <w:t>.</w:t>
      </w:r>
      <w:r w:rsidR="00926F6B">
        <w:rPr>
          <w:shd w:val="clear" w:color="auto" w:fill="BFBFBF" w:themeFill="background1" w:themeFillShade="BF"/>
        </w:rPr>
        <w:t xml:space="preserve"> </w:t>
      </w:r>
      <w:r w:rsidR="006A66BA">
        <w:t xml:space="preserve">The </w:t>
      </w:r>
      <w:r w:rsidR="000718D2" w:rsidRPr="002B025F">
        <w:t>amount of CAP payable in respect of a resident is calculated as a percentage of the basic subsidy amount</w:t>
      </w:r>
      <w:r w:rsidR="00C828AB">
        <w:t xml:space="preserve"> (</w:t>
      </w:r>
      <w:r w:rsidR="00C828AB" w:rsidRPr="00647FF5">
        <w:t>8.75 per cent</w:t>
      </w:r>
      <w:r w:rsidR="00C828AB" w:rsidRPr="00BE2003" w:rsidDel="00C828AB">
        <w:t xml:space="preserve"> </w:t>
      </w:r>
      <w:r w:rsidR="00C828AB">
        <w:t>s</w:t>
      </w:r>
      <w:r w:rsidR="00C828AB" w:rsidRPr="00647FF5">
        <w:t xml:space="preserve">ince </w:t>
      </w:r>
      <w:r w:rsidR="00BE2003" w:rsidRPr="00647FF5">
        <w:t>2008</w:t>
      </w:r>
      <w:r w:rsidR="00AA68A5">
        <w:noBreakHyphen/>
      </w:r>
      <w:r w:rsidR="00BE2003" w:rsidRPr="00647FF5">
        <w:t>09</w:t>
      </w:r>
      <w:r w:rsidR="00C828AB">
        <w:t>)</w:t>
      </w:r>
      <w:r w:rsidR="00BE2003" w:rsidRPr="00647FF5">
        <w:t>.</w:t>
      </w:r>
      <w:r w:rsidR="005335A9">
        <w:t xml:space="preserve"> </w:t>
      </w:r>
    </w:p>
    <w:p w:rsidR="00E90074" w:rsidRDefault="00C828AB" w:rsidP="00E90074">
      <w:pPr>
        <w:pStyle w:val="BodyText"/>
      </w:pPr>
      <w:r w:rsidRPr="00882F92">
        <w:t xml:space="preserve">At </w:t>
      </w:r>
      <w:r w:rsidRPr="00C16403">
        <w:t>30</w:t>
      </w:r>
      <w:r w:rsidR="00AA68A5">
        <w:t> </w:t>
      </w:r>
      <w:r>
        <w:t>June 2</w:t>
      </w:r>
      <w:r w:rsidR="00A32E3D">
        <w:t>013</w:t>
      </w:r>
      <w:r w:rsidRPr="00882F92">
        <w:t>, the average annual subsidy per residential place, including the CAP, was $</w:t>
      </w:r>
      <w:r w:rsidR="00C975C0">
        <w:t>48</w:t>
      </w:r>
      <w:r w:rsidR="00E11C10">
        <w:t> </w:t>
      </w:r>
      <w:r w:rsidR="00C975C0">
        <w:t>870</w:t>
      </w:r>
      <w:r w:rsidRPr="00882F92">
        <w:t xml:space="preserve"> nationally</w:t>
      </w:r>
      <w:r w:rsidR="00384E4A">
        <w:t xml:space="preserve"> (table</w:t>
      </w:r>
      <w:r w:rsidR="00AA68A5">
        <w:t> </w:t>
      </w:r>
      <w:proofErr w:type="spellStart"/>
      <w:r w:rsidR="00384E4A">
        <w:t>13A.17</w:t>
      </w:r>
      <w:proofErr w:type="spellEnd"/>
      <w:r w:rsidR="00384E4A">
        <w:t>)</w:t>
      </w:r>
      <w:r w:rsidRPr="00882F92">
        <w:t>.</w:t>
      </w:r>
      <w:r w:rsidR="00384E4A">
        <w:t xml:space="preserve"> </w:t>
      </w:r>
      <w:r w:rsidR="00B73B49">
        <w:t>T</w:t>
      </w:r>
      <w:r w:rsidR="00B73B49" w:rsidRPr="00384E4A">
        <w:t>he</w:t>
      </w:r>
      <w:r w:rsidR="00384E4A" w:rsidRPr="00384E4A">
        <w:t xml:space="preserve"> average annual subsidy per residential place</w:t>
      </w:r>
      <w:r w:rsidR="00384E4A">
        <w:t xml:space="preserve"> varied across services with predomina</w:t>
      </w:r>
      <w:r w:rsidR="006F1F14">
        <w:t>tely high, mixed or low care, $55 357</w:t>
      </w:r>
      <w:r w:rsidR="00384E4A">
        <w:t>, $</w:t>
      </w:r>
      <w:r w:rsidR="006F1F14">
        <w:t>40 099</w:t>
      </w:r>
      <w:r w:rsidR="00384E4A">
        <w:t xml:space="preserve"> and $</w:t>
      </w:r>
      <w:r w:rsidR="006F1F14">
        <w:t>20 863</w:t>
      </w:r>
      <w:r w:rsidR="00384E4A">
        <w:t xml:space="preserve"> respectively. </w:t>
      </w:r>
      <w:r w:rsidR="00F3363F">
        <w:t>Detailed d</w:t>
      </w:r>
      <w:r w:rsidR="00B73B49" w:rsidRPr="00C828AB">
        <w:t>ata on the dependency levels of permanent residents categorised by the proportion of high and low care places provided are shown in table</w:t>
      </w:r>
      <w:r w:rsidR="00AA68A5">
        <w:t> </w:t>
      </w:r>
      <w:proofErr w:type="spellStart"/>
      <w:r w:rsidR="00B73B49" w:rsidRPr="00C828AB">
        <w:t>13A.17</w:t>
      </w:r>
      <w:proofErr w:type="spellEnd"/>
      <w:r w:rsidR="00B73B49">
        <w:t>.</w:t>
      </w:r>
    </w:p>
    <w:p w:rsidR="00056221" w:rsidRPr="000E0703" w:rsidRDefault="00056221" w:rsidP="006A66BA">
      <w:pPr>
        <w:pStyle w:val="BodyText"/>
        <w:keepNext/>
        <w:rPr>
          <w:rStyle w:val="Heading5Char"/>
        </w:rPr>
      </w:pPr>
      <w:r w:rsidRPr="000E0703">
        <w:rPr>
          <w:rStyle w:val="Heading5Char"/>
        </w:rPr>
        <w:lastRenderedPageBreak/>
        <w:t>Capital expenditure</w:t>
      </w:r>
    </w:p>
    <w:p w:rsidR="00056221" w:rsidRPr="002B025F" w:rsidRDefault="002B1ED5" w:rsidP="00135631">
      <w:pPr>
        <w:pStyle w:val="BodyText"/>
      </w:pPr>
      <w:r w:rsidRPr="002B025F">
        <w:t xml:space="preserve">Capital expenditure on aged care services in </w:t>
      </w:r>
      <w:r>
        <w:t>2012</w:t>
      </w:r>
      <w:r w:rsidR="00AA68A5">
        <w:noBreakHyphen/>
      </w:r>
      <w:r>
        <w:t>13</w:t>
      </w:r>
      <w:r w:rsidRPr="002B025F">
        <w:t xml:space="preserve"> is summarised in table </w:t>
      </w:r>
      <w:proofErr w:type="spellStart"/>
      <w:r w:rsidRPr="002B025F">
        <w:t>13A.12</w:t>
      </w:r>
      <w:proofErr w:type="spellEnd"/>
      <w:r w:rsidRPr="002B025F">
        <w:t xml:space="preserve">. </w:t>
      </w:r>
      <w:r w:rsidR="00AE2B0E">
        <w:t>T</w:t>
      </w:r>
      <w:r w:rsidR="00056221" w:rsidRPr="002B025F">
        <w:t>he Australian Government provided $</w:t>
      </w:r>
      <w:r>
        <w:t>40.9</w:t>
      </w:r>
      <w:r w:rsidR="00056221" w:rsidRPr="002B025F">
        <w:t xml:space="preserve"> million in </w:t>
      </w:r>
      <w:r w:rsidR="00C828AB">
        <w:t>2012</w:t>
      </w:r>
      <w:r w:rsidR="00AA68A5">
        <w:noBreakHyphen/>
      </w:r>
      <w:r w:rsidR="00C828AB">
        <w:t>13</w:t>
      </w:r>
      <w:r w:rsidR="00C828AB" w:rsidRPr="002B025F">
        <w:t xml:space="preserve"> </w:t>
      </w:r>
      <w:r w:rsidR="00056221" w:rsidRPr="002B025F">
        <w:t xml:space="preserve">to fund </w:t>
      </w:r>
      <w:r w:rsidR="00D35832">
        <w:t xml:space="preserve">programs </w:t>
      </w:r>
      <w:r w:rsidR="0061095D">
        <w:t xml:space="preserve">that </w:t>
      </w:r>
      <w:r w:rsidR="00D35832">
        <w:t>offer</w:t>
      </w:r>
      <w:r w:rsidR="00950A13">
        <w:t xml:space="preserve"> a range of</w:t>
      </w:r>
      <w:r w:rsidR="00D35832">
        <w:t xml:space="preserve"> financial assistance</w:t>
      </w:r>
      <w:r w:rsidR="00950A13">
        <w:t xml:space="preserve"> to address the capital needs </w:t>
      </w:r>
      <w:r w:rsidR="00B66BA0" w:rsidRPr="00E72979">
        <w:t xml:space="preserve">(including for </w:t>
      </w:r>
      <w:r w:rsidR="00836B6B" w:rsidRPr="00836B6B">
        <w:t xml:space="preserve">construction, expansion </w:t>
      </w:r>
      <w:r w:rsidR="00B66BA0" w:rsidRPr="00E72979">
        <w:t>and upgrades)</w:t>
      </w:r>
      <w:r w:rsidR="00B66BA0" w:rsidRPr="00AE2B0E">
        <w:t xml:space="preserve"> </w:t>
      </w:r>
      <w:r w:rsidR="00950A13">
        <w:t xml:space="preserve">of services that are located in rural or remote areas, provide care to Aboriginal and Torres Strait Islander people or are in areas of </w:t>
      </w:r>
      <w:r w:rsidR="00B563E6">
        <w:t>special/</w:t>
      </w:r>
      <w:r w:rsidR="00950A13">
        <w:t>high need</w:t>
      </w:r>
      <w:r w:rsidR="00D35832">
        <w:t>.</w:t>
      </w:r>
      <w:r w:rsidR="00D92775" w:rsidRPr="00F343E0">
        <w:t xml:space="preserve"> </w:t>
      </w:r>
      <w:r w:rsidR="00F343E0" w:rsidRPr="002B025F">
        <w:t xml:space="preserve">State governments </w:t>
      </w:r>
      <w:r w:rsidR="00F343E0">
        <w:t>also</w:t>
      </w:r>
      <w:r w:rsidR="00F343E0" w:rsidRPr="002B025F">
        <w:t xml:space="preserve"> provided $</w:t>
      </w:r>
      <w:r>
        <w:t>42.1</w:t>
      </w:r>
      <w:r w:rsidR="00F343E0" w:rsidRPr="002B025F">
        <w:t xml:space="preserve"> million in </w:t>
      </w:r>
      <w:r w:rsidR="00AE2B0E">
        <w:t>2012</w:t>
      </w:r>
      <w:r w:rsidR="00AA68A5">
        <w:noBreakHyphen/>
      </w:r>
      <w:r w:rsidR="00AE2B0E">
        <w:t>13</w:t>
      </w:r>
      <w:r w:rsidR="00AE2B0E" w:rsidRPr="002B025F">
        <w:t xml:space="preserve"> </w:t>
      </w:r>
      <w:r w:rsidR="00F343E0">
        <w:t xml:space="preserve">for </w:t>
      </w:r>
      <w:r w:rsidR="00056221" w:rsidRPr="002B025F">
        <w:t>capital expenditure on residential aged care services (table </w:t>
      </w:r>
      <w:proofErr w:type="spellStart"/>
      <w:r w:rsidR="00056221" w:rsidRPr="002B025F">
        <w:t>13A.12</w:t>
      </w:r>
      <w:proofErr w:type="spellEnd"/>
      <w:r w:rsidR="00056221" w:rsidRPr="002B025F">
        <w:t>).</w:t>
      </w:r>
      <w:r w:rsidR="00F343E0">
        <w:t xml:space="preserve"> </w:t>
      </w:r>
      <w:r w:rsidR="00056221" w:rsidRPr="002B025F">
        <w:t xml:space="preserve">These capital funds are in addition to </w:t>
      </w:r>
      <w:r w:rsidR="00F53177">
        <w:t xml:space="preserve">the </w:t>
      </w:r>
      <w:r w:rsidR="00056221" w:rsidRPr="002B025F">
        <w:t>total recurrent expenditure</w:t>
      </w:r>
      <w:r w:rsidR="00F53177" w:rsidRPr="00F53177">
        <w:t xml:space="preserve"> </w:t>
      </w:r>
      <w:r w:rsidR="00F53177" w:rsidRPr="002B025F">
        <w:t>reported in table</w:t>
      </w:r>
      <w:r w:rsidR="00AA68A5">
        <w:t> </w:t>
      </w:r>
      <w:r w:rsidR="00F53177" w:rsidRPr="002B025F">
        <w:t>13.1</w:t>
      </w:r>
      <w:r w:rsidR="00056221" w:rsidRPr="002B025F">
        <w:t>.</w:t>
      </w:r>
    </w:p>
    <w:p w:rsidR="00056221" w:rsidRPr="002B025F" w:rsidRDefault="00056221" w:rsidP="00135631">
      <w:pPr>
        <w:pStyle w:val="Heading4"/>
      </w:pPr>
      <w:r w:rsidRPr="002B025F">
        <w:t>Community care services</w:t>
      </w:r>
    </w:p>
    <w:p w:rsidR="000E0703" w:rsidRDefault="00CA5C98" w:rsidP="00135631">
      <w:pPr>
        <w:pStyle w:val="BodyText"/>
      </w:pPr>
      <w:r>
        <w:t>Changing government policies over the past decade — shifting the balance of care away from the more intensive types of residential care towards community</w:t>
      </w:r>
      <w:r w:rsidR="00AA68A5">
        <w:noBreakHyphen/>
      </w:r>
      <w:r>
        <w:t>based care — have meant that the HACC, CACP, EACH, EACH</w:t>
      </w:r>
      <w:r w:rsidR="00AA68A5">
        <w:noBreakHyphen/>
      </w:r>
      <w:r>
        <w:t>D and DVA VHC and community nursing programs have become increasingly important components of the aged care system.</w:t>
      </w:r>
      <w:r w:rsidR="00C06D80">
        <w:t xml:space="preserve"> </w:t>
      </w:r>
    </w:p>
    <w:p w:rsidR="00922AEF" w:rsidRDefault="00CA5C98" w:rsidP="00922AEF">
      <w:pPr>
        <w:pStyle w:val="BodyText"/>
      </w:pPr>
      <w:r>
        <w:t xml:space="preserve">Total </w:t>
      </w:r>
      <w:r w:rsidR="00D77DA4">
        <w:t xml:space="preserve">government </w:t>
      </w:r>
      <w:r>
        <w:t xml:space="preserve">expenditure on community care services for older people in </w:t>
      </w:r>
      <w:r w:rsidR="000E0703">
        <w:br/>
      </w:r>
      <w:r>
        <w:t>2012</w:t>
      </w:r>
      <w:r w:rsidR="00AA68A5">
        <w:noBreakHyphen/>
      </w:r>
      <w:r>
        <w:t>13 was $</w:t>
      </w:r>
      <w:r w:rsidR="001F59B3">
        <w:t>3.3</w:t>
      </w:r>
      <w:r>
        <w:t xml:space="preserve"> billion</w:t>
      </w:r>
      <w:r w:rsidR="00D77DA4">
        <w:t xml:space="preserve"> (table</w:t>
      </w:r>
      <w:r w:rsidR="00AA68A5">
        <w:t> </w:t>
      </w:r>
      <w:proofErr w:type="spellStart"/>
      <w:r w:rsidR="00D77DA4">
        <w:t>13A.5</w:t>
      </w:r>
      <w:proofErr w:type="spellEnd"/>
      <w:r w:rsidR="00D77DA4">
        <w:t>)</w:t>
      </w:r>
      <w:r>
        <w:t>.</w:t>
      </w:r>
      <w:r w:rsidRPr="002B025F">
        <w:t xml:space="preserve"> </w:t>
      </w:r>
      <w:r w:rsidR="00D77DA4">
        <w:t>Many recipients</w:t>
      </w:r>
      <w:r>
        <w:t xml:space="preserve"> of these services also contribute to the costs.</w:t>
      </w:r>
      <w:r w:rsidR="00D77DA4" w:rsidRPr="00D77DA4">
        <w:t xml:space="preserve"> </w:t>
      </w:r>
    </w:p>
    <w:p w:rsidR="00922AEF" w:rsidRDefault="00922AEF" w:rsidP="00922AEF">
      <w:pPr>
        <w:pStyle w:val="ListBullet"/>
      </w:pPr>
      <w:r>
        <w:t>T</w:t>
      </w:r>
      <w:r w:rsidR="00D77DA4">
        <w:t>otal government expenditure on</w:t>
      </w:r>
      <w:r w:rsidR="002B1ED5">
        <w:t xml:space="preserve"> </w:t>
      </w:r>
      <w:r w:rsidR="00056221" w:rsidRPr="002B025F">
        <w:t xml:space="preserve">HACC </w:t>
      </w:r>
      <w:r w:rsidR="00950A13">
        <w:t xml:space="preserve">services </w:t>
      </w:r>
      <w:r w:rsidR="0043676A">
        <w:t xml:space="preserve">to older people </w:t>
      </w:r>
      <w:r w:rsidR="00056221" w:rsidRPr="002B025F">
        <w:t xml:space="preserve">was </w:t>
      </w:r>
      <w:r w:rsidR="00D6392C">
        <w:br/>
      </w:r>
      <w:r w:rsidR="00056221" w:rsidRPr="002B025F">
        <w:t>$</w:t>
      </w:r>
      <w:r w:rsidR="003D76B0">
        <w:t>1.</w:t>
      </w:r>
      <w:r w:rsidR="001F59B3">
        <w:t>7</w:t>
      </w:r>
      <w:r w:rsidR="00056221" w:rsidRPr="002B025F">
        <w:t xml:space="preserve"> billion in </w:t>
      </w:r>
      <w:r w:rsidR="00714EDC">
        <w:t>201</w:t>
      </w:r>
      <w:r w:rsidR="00CA5C98">
        <w:t>2</w:t>
      </w:r>
      <w:r w:rsidR="00AA68A5">
        <w:noBreakHyphen/>
      </w:r>
      <w:r w:rsidR="00714EDC">
        <w:t>1</w:t>
      </w:r>
      <w:r w:rsidR="00CA5C98">
        <w:t xml:space="preserve">3 </w:t>
      </w:r>
      <w:r w:rsidR="003942B1">
        <w:t>(</w:t>
      </w:r>
      <w:r w:rsidR="003942B1" w:rsidRPr="0079479E">
        <w:rPr>
          <w:shd w:val="clear" w:color="auto" w:fill="FFFFFF" w:themeFill="background1"/>
        </w:rPr>
        <w:t>table</w:t>
      </w:r>
      <w:r w:rsidR="00AA68A5">
        <w:rPr>
          <w:shd w:val="clear" w:color="auto" w:fill="FFFFFF" w:themeFill="background1"/>
        </w:rPr>
        <w:t> </w:t>
      </w:r>
      <w:r w:rsidR="003942B1" w:rsidRPr="0079479E">
        <w:rPr>
          <w:shd w:val="clear" w:color="auto" w:fill="FFFFFF" w:themeFill="background1"/>
        </w:rPr>
        <w:t>13.2</w:t>
      </w:r>
      <w:r w:rsidR="003942B1">
        <w:t xml:space="preserve">) </w:t>
      </w:r>
      <w:r w:rsidR="00CA5C98" w:rsidRPr="00D77DA4">
        <w:rPr>
          <w:rFonts w:ascii="Calibri" w:hAnsi="Calibri"/>
        </w:rPr>
        <w:t>―</w:t>
      </w:r>
      <w:r w:rsidR="00056221" w:rsidRPr="002B025F">
        <w:t xml:space="preserve"> consisting of $</w:t>
      </w:r>
      <w:r w:rsidR="003D76B0">
        <w:t>1.</w:t>
      </w:r>
      <w:r w:rsidR="001F59B3">
        <w:t>5</w:t>
      </w:r>
      <w:r w:rsidR="00056221" w:rsidRPr="002B025F">
        <w:t xml:space="preserve"> billion from the Australian Government and </w:t>
      </w:r>
      <w:bookmarkStart w:id="15" w:name="OLE_LINK45"/>
      <w:r w:rsidR="00056221" w:rsidRPr="002B025F">
        <w:t>$</w:t>
      </w:r>
      <w:r w:rsidR="003D76B0">
        <w:t>2</w:t>
      </w:r>
      <w:r w:rsidR="001F59B3">
        <w:t>47</w:t>
      </w:r>
      <w:r w:rsidR="003D76B0">
        <w:t>.</w:t>
      </w:r>
      <w:r w:rsidR="001F59B3">
        <w:t>3</w:t>
      </w:r>
      <w:r w:rsidR="00056221" w:rsidRPr="002B025F">
        <w:t xml:space="preserve"> million</w:t>
      </w:r>
      <w:bookmarkEnd w:id="15"/>
      <w:r w:rsidR="00056221" w:rsidRPr="002B025F">
        <w:t xml:space="preserve"> from the </w:t>
      </w:r>
      <w:r w:rsidR="00950A13">
        <w:t>Victorian and WA</w:t>
      </w:r>
      <w:r w:rsidR="00056221" w:rsidRPr="002B025F">
        <w:t xml:space="preserve"> governments</w:t>
      </w:r>
      <w:r>
        <w:t xml:space="preserve"> (table</w:t>
      </w:r>
      <w:r w:rsidR="00AA68A5">
        <w:t> </w:t>
      </w:r>
      <w:proofErr w:type="spellStart"/>
      <w:r>
        <w:t>13A.5</w:t>
      </w:r>
      <w:proofErr w:type="spellEnd"/>
      <w:r>
        <w:t>).</w:t>
      </w:r>
      <w:r w:rsidR="00926F6B">
        <w:t xml:space="preserve"> </w:t>
      </w:r>
    </w:p>
    <w:p w:rsidR="00922AEF" w:rsidRDefault="00922AEF" w:rsidP="00922AEF">
      <w:pPr>
        <w:pStyle w:val="ListBullet"/>
      </w:pPr>
      <w:r>
        <w:t xml:space="preserve">Total government expenditure on </w:t>
      </w:r>
      <w:r w:rsidR="002B1ED5">
        <w:t>community packaged care was $1.</w:t>
      </w:r>
      <w:r>
        <w:t>2</w:t>
      </w:r>
      <w:r w:rsidR="002B1ED5">
        <w:t xml:space="preserve"> billion in 2012</w:t>
      </w:r>
      <w:r w:rsidR="00AA68A5">
        <w:noBreakHyphen/>
      </w:r>
      <w:r w:rsidR="002B1ED5">
        <w:t xml:space="preserve">13, comprising </w:t>
      </w:r>
      <w:r w:rsidR="00056221" w:rsidRPr="002B025F">
        <w:t>$</w:t>
      </w:r>
      <w:r>
        <w:t>598.9</w:t>
      </w:r>
      <w:r w:rsidR="00056221" w:rsidRPr="002B025F">
        <w:t xml:space="preserve"> million </w:t>
      </w:r>
      <w:r w:rsidR="002B1ED5">
        <w:t xml:space="preserve">on the CACP program, </w:t>
      </w:r>
      <w:r w:rsidR="002B1ED5" w:rsidRPr="002B025F">
        <w:t>$</w:t>
      </w:r>
      <w:r>
        <w:t>372.6</w:t>
      </w:r>
      <w:r w:rsidR="002B1ED5">
        <w:t xml:space="preserve"> </w:t>
      </w:r>
      <w:r w:rsidR="002B1ED5" w:rsidRPr="002B025F">
        <w:t>million</w:t>
      </w:r>
      <w:r w:rsidR="002B1ED5">
        <w:t xml:space="preserve"> on EACH and $</w:t>
      </w:r>
      <w:r>
        <w:t>185.1</w:t>
      </w:r>
      <w:r w:rsidR="002B1ED5">
        <w:t xml:space="preserve"> million on EACH</w:t>
      </w:r>
      <w:r w:rsidR="00AA68A5">
        <w:noBreakHyphen/>
      </w:r>
      <w:r w:rsidR="002B1ED5">
        <w:t>D</w:t>
      </w:r>
      <w:r w:rsidR="002B1ED5" w:rsidRPr="002B025F">
        <w:t xml:space="preserve"> </w:t>
      </w:r>
      <w:r w:rsidR="00056221" w:rsidRPr="002B025F">
        <w:t>(table</w:t>
      </w:r>
      <w:r w:rsidR="00AA68A5">
        <w:t> </w:t>
      </w:r>
      <w:r w:rsidR="00056221" w:rsidRPr="002B025F">
        <w:t>13</w:t>
      </w:r>
      <w:r w:rsidR="00A958FF">
        <w:t>.</w:t>
      </w:r>
      <w:r w:rsidR="001E2D3E">
        <w:t>2</w:t>
      </w:r>
      <w:r w:rsidR="00D77DA4" w:rsidRPr="002B025F">
        <w:t>)</w:t>
      </w:r>
      <w:r w:rsidR="002B1ED5">
        <w:t xml:space="preserve">. This was </w:t>
      </w:r>
      <w:r w:rsidR="007601FF">
        <w:t>largely funded by the Australian Government (</w:t>
      </w:r>
      <w:r>
        <w:t>99.0</w:t>
      </w:r>
      <w:r w:rsidR="007601FF">
        <w:t xml:space="preserve"> per cent)</w:t>
      </w:r>
      <w:r>
        <w:t>,</w:t>
      </w:r>
      <w:r w:rsidR="007601FF">
        <w:t xml:space="preserve"> with the remaining funding </w:t>
      </w:r>
      <w:r w:rsidR="00CA41D2">
        <w:br/>
      </w:r>
      <w:r w:rsidR="002B1ED5">
        <w:t>($12.0 million</w:t>
      </w:r>
      <w:r>
        <w:t xml:space="preserve"> or 1.0 per cent</w:t>
      </w:r>
      <w:r w:rsidR="002B1ED5">
        <w:t xml:space="preserve">) </w:t>
      </w:r>
      <w:r w:rsidR="007601FF">
        <w:t xml:space="preserve">contributed by the State and Territory governments for younger people </w:t>
      </w:r>
      <w:r w:rsidR="00EE0402">
        <w:t xml:space="preserve">with disability </w:t>
      </w:r>
      <w:r w:rsidR="007601FF">
        <w:t>(except in Victoria and WA)</w:t>
      </w:r>
      <w:r w:rsidRPr="00922AEF">
        <w:t xml:space="preserve"> </w:t>
      </w:r>
      <w:r w:rsidRPr="002B025F">
        <w:t>(table </w:t>
      </w:r>
      <w:proofErr w:type="spellStart"/>
      <w:r w:rsidRPr="002B025F">
        <w:t>13</w:t>
      </w:r>
      <w:r>
        <w:t>A.</w:t>
      </w:r>
      <w:r w:rsidR="00F41730">
        <w:t>5</w:t>
      </w:r>
      <w:proofErr w:type="spellEnd"/>
      <w:r w:rsidRPr="002B025F">
        <w:t>)</w:t>
      </w:r>
      <w:r w:rsidR="007601FF">
        <w:t xml:space="preserve">. </w:t>
      </w:r>
    </w:p>
    <w:p w:rsidR="00056221" w:rsidRPr="002B025F" w:rsidRDefault="00922AEF" w:rsidP="00922AEF">
      <w:pPr>
        <w:pStyle w:val="ListBullet"/>
      </w:pPr>
      <w:r>
        <w:t xml:space="preserve">Expenditure on the </w:t>
      </w:r>
      <w:r w:rsidR="00056221" w:rsidRPr="002B025F">
        <w:t>NRCP was $</w:t>
      </w:r>
      <w:r>
        <w:t>206.6</w:t>
      </w:r>
      <w:r w:rsidR="00056221" w:rsidRPr="002B025F">
        <w:t xml:space="preserve"> million </w:t>
      </w:r>
      <w:r w:rsidR="000E0703">
        <w:t xml:space="preserve">from the Australian Government </w:t>
      </w:r>
      <w:r w:rsidR="00056221" w:rsidRPr="002B025F">
        <w:t>(table </w:t>
      </w:r>
      <w:r w:rsidR="00A958FF">
        <w:t>13.</w:t>
      </w:r>
      <w:r w:rsidR="001E2D3E">
        <w:t>2</w:t>
      </w:r>
      <w:r w:rsidR="00056221" w:rsidRPr="002B025F">
        <w:t xml:space="preserve">). </w:t>
      </w:r>
    </w:p>
    <w:p w:rsidR="00056221" w:rsidRPr="007218AB" w:rsidRDefault="00056221" w:rsidP="00E90074">
      <w:pPr>
        <w:pStyle w:val="TableTitle"/>
        <w:rPr>
          <w:sz w:val="24"/>
        </w:rPr>
      </w:pPr>
      <w:r w:rsidRPr="007218AB">
        <w:rPr>
          <w:b w:val="0"/>
          <w:sz w:val="24"/>
        </w:rPr>
        <w:lastRenderedPageBreak/>
        <w:t xml:space="preserve">Table </w:t>
      </w:r>
      <w:r w:rsidR="00C82353" w:rsidRPr="007218AB">
        <w:rPr>
          <w:b w:val="0"/>
          <w:sz w:val="24"/>
        </w:rPr>
        <w:t>13.</w:t>
      </w:r>
      <w:r w:rsidR="00E4728C">
        <w:rPr>
          <w:b w:val="0"/>
          <w:noProof/>
          <w:sz w:val="24"/>
        </w:rPr>
        <w:t>2</w:t>
      </w:r>
      <w:r w:rsidR="00303B89" w:rsidRPr="007218AB">
        <w:rPr>
          <w:sz w:val="24"/>
        </w:rPr>
        <w:tab/>
      </w:r>
      <w:r w:rsidR="00693595" w:rsidRPr="007218AB">
        <w:rPr>
          <w:sz w:val="24"/>
        </w:rPr>
        <w:t>G</w:t>
      </w:r>
      <w:r w:rsidRPr="007218AB">
        <w:rPr>
          <w:sz w:val="24"/>
        </w:rPr>
        <w:t>overnment</w:t>
      </w:r>
      <w:r w:rsidR="00303B89" w:rsidRPr="007218AB">
        <w:rPr>
          <w:sz w:val="24"/>
        </w:rPr>
        <w:t>s</w:t>
      </w:r>
      <w:r w:rsidR="004468E5" w:rsidRPr="007218AB">
        <w:rPr>
          <w:sz w:val="24"/>
        </w:rPr>
        <w:t>’</w:t>
      </w:r>
      <w:r w:rsidRPr="007218AB">
        <w:rPr>
          <w:sz w:val="24"/>
        </w:rPr>
        <w:t xml:space="preserve"> expenditure</w:t>
      </w:r>
      <w:r w:rsidR="00303B89" w:rsidRPr="007218AB">
        <w:rPr>
          <w:sz w:val="24"/>
        </w:rPr>
        <w:t xml:space="preserve"> on </w:t>
      </w:r>
      <w:r w:rsidR="004468E5" w:rsidRPr="007218AB">
        <w:rPr>
          <w:sz w:val="24"/>
        </w:rPr>
        <w:t xml:space="preserve">selected </w:t>
      </w:r>
      <w:r w:rsidR="00303B89" w:rsidRPr="007218AB">
        <w:rPr>
          <w:sz w:val="24"/>
        </w:rPr>
        <w:t xml:space="preserve">community </w:t>
      </w:r>
      <w:r w:rsidR="009238E5" w:rsidRPr="007218AB">
        <w:rPr>
          <w:sz w:val="24"/>
        </w:rPr>
        <w:t xml:space="preserve">aged </w:t>
      </w:r>
      <w:r w:rsidR="00303B89" w:rsidRPr="007218AB">
        <w:rPr>
          <w:sz w:val="24"/>
        </w:rPr>
        <w:t>care programs</w:t>
      </w:r>
      <w:r w:rsidRPr="007218AB">
        <w:rPr>
          <w:sz w:val="24"/>
        </w:rPr>
        <w:t xml:space="preserve">, </w:t>
      </w:r>
      <w:r w:rsidR="002C1E35" w:rsidRPr="007218AB">
        <w:rPr>
          <w:sz w:val="24"/>
        </w:rPr>
        <w:t>20</w:t>
      </w:r>
      <w:r w:rsidR="002C1E35">
        <w:rPr>
          <w:sz w:val="24"/>
        </w:rPr>
        <w:t>12</w:t>
      </w:r>
      <w:r w:rsidR="00AA68A5">
        <w:rPr>
          <w:sz w:val="24"/>
        </w:rPr>
        <w:noBreakHyphen/>
      </w:r>
      <w:r w:rsidR="002C1E35">
        <w:rPr>
          <w:sz w:val="24"/>
        </w:rPr>
        <w:t>13</w:t>
      </w:r>
      <w:r w:rsidR="002C1E35" w:rsidRPr="007218AB">
        <w:rPr>
          <w:sz w:val="24"/>
        </w:rPr>
        <w:t xml:space="preserve"> </w:t>
      </w:r>
      <w:r w:rsidRPr="007218AB">
        <w:rPr>
          <w:sz w:val="24"/>
        </w:rPr>
        <w:t>($million)</w:t>
      </w:r>
      <w:r w:rsidRPr="007218AB">
        <w:rPr>
          <w:rStyle w:val="NoteLabel"/>
          <w:b/>
          <w:sz w:val="24"/>
        </w:rPr>
        <w:t xml:space="preserve"> </w:t>
      </w:r>
    </w:p>
    <w:tbl>
      <w:tblPr>
        <w:tblW w:w="8789" w:type="dxa"/>
        <w:tblLayout w:type="fixed"/>
        <w:tblCellMar>
          <w:left w:w="0" w:type="dxa"/>
          <w:right w:w="0" w:type="dxa"/>
        </w:tblCellMar>
        <w:tblLook w:val="0000" w:firstRow="0" w:lastRow="0" w:firstColumn="0" w:lastColumn="0" w:noHBand="0" w:noVBand="0"/>
      </w:tblPr>
      <w:tblGrid>
        <w:gridCol w:w="993"/>
        <w:gridCol w:w="992"/>
        <w:gridCol w:w="709"/>
        <w:gridCol w:w="803"/>
        <w:gridCol w:w="882"/>
        <w:gridCol w:w="882"/>
        <w:gridCol w:w="882"/>
        <w:gridCol w:w="882"/>
        <w:gridCol w:w="882"/>
        <w:gridCol w:w="882"/>
      </w:tblGrid>
      <w:tr w:rsidR="00693595" w:rsidRPr="002B025F" w:rsidTr="005A77E2">
        <w:tc>
          <w:tcPr>
            <w:tcW w:w="993" w:type="dxa"/>
            <w:tcBorders>
              <w:top w:val="single" w:sz="6" w:space="0" w:color="auto"/>
              <w:bottom w:val="single" w:sz="4" w:space="0" w:color="auto"/>
            </w:tcBorders>
            <w:shd w:val="clear" w:color="auto" w:fill="auto"/>
          </w:tcPr>
          <w:p w:rsidR="00693595" w:rsidRPr="00182F91" w:rsidRDefault="00693595" w:rsidP="00693595">
            <w:pPr>
              <w:pStyle w:val="TableColumnHeading"/>
              <w:jc w:val="left"/>
              <w:rPr>
                <w:rFonts w:cs="Arial"/>
              </w:rPr>
            </w:pPr>
          </w:p>
        </w:tc>
        <w:tc>
          <w:tcPr>
            <w:tcW w:w="992" w:type="dxa"/>
            <w:tcBorders>
              <w:top w:val="single" w:sz="6" w:space="0" w:color="auto"/>
              <w:left w:val="nil"/>
              <w:bottom w:val="single" w:sz="4" w:space="0" w:color="auto"/>
            </w:tcBorders>
            <w:shd w:val="clear" w:color="auto" w:fill="auto"/>
          </w:tcPr>
          <w:p w:rsidR="00693595" w:rsidRPr="00182F91" w:rsidRDefault="00693595" w:rsidP="00AA68A5">
            <w:pPr>
              <w:pStyle w:val="TableColumnHeading"/>
              <w:rPr>
                <w:rFonts w:cs="Arial"/>
              </w:rPr>
            </w:pPr>
            <w:r w:rsidRPr="00182F91">
              <w:rPr>
                <w:rFonts w:cs="Arial"/>
              </w:rPr>
              <w:t>NSW</w:t>
            </w:r>
          </w:p>
        </w:tc>
        <w:tc>
          <w:tcPr>
            <w:tcW w:w="709" w:type="dxa"/>
            <w:tcBorders>
              <w:top w:val="single" w:sz="6" w:space="0" w:color="auto"/>
              <w:bottom w:val="single" w:sz="4" w:space="0" w:color="auto"/>
            </w:tcBorders>
            <w:shd w:val="clear" w:color="auto" w:fill="auto"/>
          </w:tcPr>
          <w:p w:rsidR="00693595" w:rsidRPr="00182F91" w:rsidRDefault="00693595" w:rsidP="00AA68A5">
            <w:pPr>
              <w:pStyle w:val="TableColumnHeading"/>
              <w:rPr>
                <w:rFonts w:cs="Arial"/>
              </w:rPr>
            </w:pPr>
            <w:r w:rsidRPr="00182F91">
              <w:rPr>
                <w:rFonts w:cs="Arial"/>
              </w:rPr>
              <w:t>Vic</w:t>
            </w:r>
          </w:p>
        </w:tc>
        <w:tc>
          <w:tcPr>
            <w:tcW w:w="803" w:type="dxa"/>
            <w:tcBorders>
              <w:top w:val="single" w:sz="6" w:space="0" w:color="auto"/>
              <w:bottom w:val="single" w:sz="4" w:space="0" w:color="auto"/>
            </w:tcBorders>
            <w:shd w:val="clear" w:color="auto" w:fill="auto"/>
          </w:tcPr>
          <w:p w:rsidR="00693595" w:rsidRPr="00182F91" w:rsidRDefault="00693595" w:rsidP="00AA68A5">
            <w:pPr>
              <w:pStyle w:val="TableColumnHeading"/>
              <w:rPr>
                <w:rFonts w:cs="Arial"/>
              </w:rPr>
            </w:pPr>
            <w:r w:rsidRPr="00182F91">
              <w:rPr>
                <w:rFonts w:cs="Arial"/>
              </w:rPr>
              <w:t>Qld</w:t>
            </w:r>
          </w:p>
        </w:tc>
        <w:tc>
          <w:tcPr>
            <w:tcW w:w="882" w:type="dxa"/>
            <w:tcBorders>
              <w:top w:val="single" w:sz="6" w:space="0" w:color="auto"/>
              <w:bottom w:val="single" w:sz="4" w:space="0" w:color="auto"/>
            </w:tcBorders>
            <w:shd w:val="clear" w:color="auto" w:fill="auto"/>
          </w:tcPr>
          <w:p w:rsidR="00693595" w:rsidRPr="00182F91" w:rsidRDefault="00693595" w:rsidP="00AA68A5">
            <w:pPr>
              <w:pStyle w:val="TableColumnHeading"/>
              <w:rPr>
                <w:rFonts w:cs="Arial"/>
              </w:rPr>
            </w:pPr>
            <w:r w:rsidRPr="00182F91">
              <w:rPr>
                <w:rFonts w:cs="Arial"/>
              </w:rPr>
              <w:t>WA</w:t>
            </w:r>
          </w:p>
        </w:tc>
        <w:tc>
          <w:tcPr>
            <w:tcW w:w="882" w:type="dxa"/>
            <w:tcBorders>
              <w:top w:val="single" w:sz="6" w:space="0" w:color="auto"/>
              <w:bottom w:val="single" w:sz="4" w:space="0" w:color="auto"/>
            </w:tcBorders>
            <w:shd w:val="clear" w:color="auto" w:fill="auto"/>
          </w:tcPr>
          <w:p w:rsidR="00693595" w:rsidRPr="00182F91" w:rsidRDefault="00693595" w:rsidP="00AA68A5">
            <w:pPr>
              <w:pStyle w:val="TableColumnHeading"/>
              <w:rPr>
                <w:rFonts w:cs="Arial"/>
              </w:rPr>
            </w:pPr>
            <w:r w:rsidRPr="00182F91">
              <w:rPr>
                <w:rFonts w:cs="Arial"/>
              </w:rPr>
              <w:t>SA</w:t>
            </w:r>
          </w:p>
        </w:tc>
        <w:tc>
          <w:tcPr>
            <w:tcW w:w="882" w:type="dxa"/>
            <w:tcBorders>
              <w:top w:val="single" w:sz="6" w:space="0" w:color="auto"/>
              <w:bottom w:val="single" w:sz="4" w:space="0" w:color="auto"/>
            </w:tcBorders>
            <w:shd w:val="clear" w:color="auto" w:fill="auto"/>
          </w:tcPr>
          <w:p w:rsidR="00693595" w:rsidRPr="00182F91" w:rsidRDefault="00693595" w:rsidP="00AA68A5">
            <w:pPr>
              <w:pStyle w:val="TableColumnHeading"/>
              <w:rPr>
                <w:rFonts w:cs="Arial"/>
              </w:rPr>
            </w:pPr>
            <w:r w:rsidRPr="00182F91">
              <w:rPr>
                <w:rFonts w:cs="Arial"/>
              </w:rPr>
              <w:t>Tas</w:t>
            </w:r>
          </w:p>
        </w:tc>
        <w:tc>
          <w:tcPr>
            <w:tcW w:w="882" w:type="dxa"/>
            <w:tcBorders>
              <w:top w:val="single" w:sz="6" w:space="0" w:color="auto"/>
              <w:bottom w:val="single" w:sz="4" w:space="0" w:color="auto"/>
            </w:tcBorders>
            <w:shd w:val="clear" w:color="auto" w:fill="auto"/>
          </w:tcPr>
          <w:p w:rsidR="00693595" w:rsidRPr="00182F91" w:rsidRDefault="00693595" w:rsidP="00AA68A5">
            <w:pPr>
              <w:pStyle w:val="TableColumnHeading"/>
              <w:rPr>
                <w:rFonts w:cs="Arial"/>
              </w:rPr>
            </w:pPr>
            <w:r w:rsidRPr="00182F91">
              <w:rPr>
                <w:rFonts w:cs="Arial"/>
              </w:rPr>
              <w:t>ACT</w:t>
            </w:r>
          </w:p>
        </w:tc>
        <w:tc>
          <w:tcPr>
            <w:tcW w:w="882" w:type="dxa"/>
            <w:tcBorders>
              <w:top w:val="single" w:sz="6" w:space="0" w:color="auto"/>
              <w:bottom w:val="single" w:sz="4" w:space="0" w:color="auto"/>
            </w:tcBorders>
            <w:shd w:val="clear" w:color="auto" w:fill="auto"/>
          </w:tcPr>
          <w:p w:rsidR="00693595" w:rsidRPr="00182F91" w:rsidRDefault="00693595" w:rsidP="00AA68A5">
            <w:pPr>
              <w:pStyle w:val="TableColumnHeading"/>
              <w:rPr>
                <w:rFonts w:cs="Arial"/>
              </w:rPr>
            </w:pPr>
            <w:r w:rsidRPr="00182F91">
              <w:rPr>
                <w:rFonts w:cs="Arial"/>
              </w:rPr>
              <w:t>NT</w:t>
            </w:r>
          </w:p>
        </w:tc>
        <w:tc>
          <w:tcPr>
            <w:tcW w:w="882" w:type="dxa"/>
            <w:tcBorders>
              <w:top w:val="single" w:sz="6" w:space="0" w:color="auto"/>
              <w:bottom w:val="single" w:sz="4" w:space="0" w:color="auto"/>
            </w:tcBorders>
            <w:shd w:val="clear" w:color="auto" w:fill="auto"/>
          </w:tcPr>
          <w:p w:rsidR="00693595" w:rsidRPr="00182F91" w:rsidRDefault="00693595" w:rsidP="001B2B43">
            <w:pPr>
              <w:pStyle w:val="TableColumnHeading"/>
              <w:tabs>
                <w:tab w:val="left" w:pos="1024"/>
              </w:tabs>
              <w:ind w:right="0"/>
              <w:rPr>
                <w:rFonts w:cs="Arial"/>
              </w:rPr>
            </w:pPr>
            <w:r w:rsidRPr="00182F91">
              <w:rPr>
                <w:rFonts w:cs="Arial"/>
              </w:rPr>
              <w:t>Aust</w:t>
            </w:r>
          </w:p>
        </w:tc>
      </w:tr>
      <w:tr w:rsidR="00693595" w:rsidRPr="002B025F" w:rsidTr="005A77E2">
        <w:tc>
          <w:tcPr>
            <w:tcW w:w="8789" w:type="dxa"/>
            <w:gridSpan w:val="10"/>
            <w:tcBorders>
              <w:top w:val="single" w:sz="4" w:space="0" w:color="auto"/>
            </w:tcBorders>
            <w:vAlign w:val="center"/>
          </w:tcPr>
          <w:p w:rsidR="00693595" w:rsidRPr="00182F91" w:rsidRDefault="00693595" w:rsidP="00BE2718">
            <w:pPr>
              <w:pStyle w:val="TableBodyText"/>
              <w:ind w:right="0"/>
              <w:jc w:val="left"/>
              <w:rPr>
                <w:rFonts w:cs="Arial"/>
                <w:i/>
              </w:rPr>
            </w:pPr>
            <w:r w:rsidRPr="00182F91">
              <w:rPr>
                <w:rFonts w:cs="Arial"/>
                <w:i/>
              </w:rPr>
              <w:t xml:space="preserve">HACC </w:t>
            </w:r>
            <w:r w:rsidR="007601FF">
              <w:rPr>
                <w:rFonts w:cs="Arial"/>
                <w:i/>
              </w:rPr>
              <w:t xml:space="preserve">aged care services </w:t>
            </w:r>
            <w:r w:rsidRPr="00182F91">
              <w:rPr>
                <w:rFonts w:cs="Arial"/>
                <w:i/>
              </w:rPr>
              <w:t xml:space="preserve">expenditure </w:t>
            </w:r>
            <w:r>
              <w:rPr>
                <w:rFonts w:cs="Arial"/>
                <w:i/>
              </w:rPr>
              <w:t xml:space="preserve">by the </w:t>
            </w:r>
            <w:r w:rsidRPr="00182F91">
              <w:rPr>
                <w:rFonts w:cs="Arial"/>
                <w:i/>
              </w:rPr>
              <w:t xml:space="preserve">Australian, </w:t>
            </w:r>
            <w:r w:rsidR="007601FF">
              <w:rPr>
                <w:rFonts w:cs="Arial"/>
                <w:i/>
              </w:rPr>
              <w:t>Victoria</w:t>
            </w:r>
            <w:r w:rsidR="005F1515">
              <w:rPr>
                <w:rFonts w:cs="Arial"/>
                <w:i/>
              </w:rPr>
              <w:t>n</w:t>
            </w:r>
            <w:r w:rsidR="007601FF">
              <w:rPr>
                <w:rFonts w:cs="Arial"/>
                <w:i/>
              </w:rPr>
              <w:t xml:space="preserve"> and WA </w:t>
            </w:r>
            <w:r>
              <w:rPr>
                <w:rFonts w:cs="Arial"/>
                <w:i/>
              </w:rPr>
              <w:t>governments</w:t>
            </w:r>
            <w:r w:rsidR="00BE2718" w:rsidRPr="00BE2718">
              <w:rPr>
                <w:rStyle w:val="NoteLabel"/>
              </w:rPr>
              <w:t>a</w:t>
            </w:r>
            <w:r>
              <w:rPr>
                <w:rFonts w:cs="Arial"/>
                <w:i/>
              </w:rPr>
              <w:t xml:space="preserve"> </w:t>
            </w:r>
          </w:p>
        </w:tc>
      </w:tr>
      <w:tr w:rsidR="001F59B3" w:rsidRPr="002B025F" w:rsidTr="00E72979">
        <w:tc>
          <w:tcPr>
            <w:tcW w:w="993" w:type="dxa"/>
            <w:vAlign w:val="center"/>
          </w:tcPr>
          <w:p w:rsidR="001F59B3" w:rsidRPr="006F588E" w:rsidRDefault="001F59B3" w:rsidP="00922AEF">
            <w:pPr>
              <w:pStyle w:val="TableBullet"/>
              <w:numPr>
                <w:ilvl w:val="0"/>
                <w:numId w:val="0"/>
              </w:numPr>
              <w:ind w:left="170"/>
            </w:pPr>
          </w:p>
        </w:tc>
        <w:tc>
          <w:tcPr>
            <w:tcW w:w="992" w:type="dxa"/>
            <w:shd w:val="clear" w:color="auto" w:fill="FFFFFF" w:themeFill="background1"/>
            <w:vAlign w:val="bottom"/>
          </w:tcPr>
          <w:p w:rsidR="001F59B3" w:rsidRDefault="001F59B3" w:rsidP="00AA68A5">
            <w:pPr>
              <w:pStyle w:val="TableBodyText"/>
            </w:pPr>
            <w:r>
              <w:t xml:space="preserve"> 501.1</w:t>
            </w:r>
          </w:p>
        </w:tc>
        <w:tc>
          <w:tcPr>
            <w:tcW w:w="709" w:type="dxa"/>
            <w:shd w:val="clear" w:color="auto" w:fill="FFFFFF" w:themeFill="background1"/>
            <w:vAlign w:val="bottom"/>
          </w:tcPr>
          <w:p w:rsidR="001F59B3" w:rsidRDefault="001F59B3" w:rsidP="00AA68A5">
            <w:pPr>
              <w:pStyle w:val="TableBodyText"/>
            </w:pPr>
            <w:r>
              <w:t xml:space="preserve"> 435.3</w:t>
            </w:r>
          </w:p>
        </w:tc>
        <w:tc>
          <w:tcPr>
            <w:tcW w:w="803" w:type="dxa"/>
            <w:shd w:val="clear" w:color="auto" w:fill="FFFFFF" w:themeFill="background1"/>
            <w:vAlign w:val="bottom"/>
          </w:tcPr>
          <w:p w:rsidR="001F59B3" w:rsidRDefault="001F59B3" w:rsidP="00AA68A5">
            <w:pPr>
              <w:pStyle w:val="TableBodyText"/>
            </w:pPr>
            <w:r>
              <w:t>394.0</w:t>
            </w:r>
          </w:p>
        </w:tc>
        <w:tc>
          <w:tcPr>
            <w:tcW w:w="882" w:type="dxa"/>
            <w:shd w:val="clear" w:color="auto" w:fill="FFFFFF" w:themeFill="background1"/>
            <w:vAlign w:val="bottom"/>
          </w:tcPr>
          <w:p w:rsidR="001F59B3" w:rsidRDefault="001F59B3" w:rsidP="00AA68A5">
            <w:pPr>
              <w:pStyle w:val="TableBodyText"/>
            </w:pPr>
            <w:r>
              <w:t xml:space="preserve"> 185.8</w:t>
            </w:r>
          </w:p>
        </w:tc>
        <w:tc>
          <w:tcPr>
            <w:tcW w:w="882" w:type="dxa"/>
            <w:shd w:val="clear" w:color="auto" w:fill="FFFFFF" w:themeFill="background1"/>
            <w:vAlign w:val="bottom"/>
          </w:tcPr>
          <w:p w:rsidR="001F59B3" w:rsidRDefault="001F59B3" w:rsidP="00AA68A5">
            <w:pPr>
              <w:pStyle w:val="TableBodyText"/>
            </w:pPr>
            <w:r>
              <w:t xml:space="preserve"> 148.1</w:t>
            </w:r>
          </w:p>
        </w:tc>
        <w:tc>
          <w:tcPr>
            <w:tcW w:w="882" w:type="dxa"/>
            <w:shd w:val="clear" w:color="auto" w:fill="FFFFFF" w:themeFill="background1"/>
            <w:vAlign w:val="bottom"/>
          </w:tcPr>
          <w:p w:rsidR="001F59B3" w:rsidRDefault="001F59B3" w:rsidP="00AA68A5">
            <w:pPr>
              <w:pStyle w:val="TableBodyText"/>
            </w:pPr>
            <w:r>
              <w:t xml:space="preserve"> 49.5</w:t>
            </w:r>
          </w:p>
        </w:tc>
        <w:tc>
          <w:tcPr>
            <w:tcW w:w="882" w:type="dxa"/>
            <w:shd w:val="clear" w:color="auto" w:fill="FFFFFF" w:themeFill="background1"/>
            <w:vAlign w:val="bottom"/>
          </w:tcPr>
          <w:p w:rsidR="001F59B3" w:rsidRDefault="00926F6B" w:rsidP="00AA68A5">
            <w:pPr>
              <w:pStyle w:val="TableBodyText"/>
            </w:pPr>
            <w:r>
              <w:t xml:space="preserve"> </w:t>
            </w:r>
            <w:r w:rsidR="001F59B3">
              <w:t>20.3</w:t>
            </w:r>
          </w:p>
        </w:tc>
        <w:tc>
          <w:tcPr>
            <w:tcW w:w="882" w:type="dxa"/>
            <w:shd w:val="clear" w:color="auto" w:fill="FFFFFF" w:themeFill="background1"/>
            <w:vAlign w:val="bottom"/>
          </w:tcPr>
          <w:p w:rsidR="001F59B3" w:rsidRDefault="00926F6B" w:rsidP="00AA68A5">
            <w:pPr>
              <w:pStyle w:val="TableBodyText"/>
            </w:pPr>
            <w:r>
              <w:t xml:space="preserve"> </w:t>
            </w:r>
            <w:r w:rsidR="001F59B3">
              <w:t>9.7</w:t>
            </w:r>
          </w:p>
        </w:tc>
        <w:tc>
          <w:tcPr>
            <w:tcW w:w="882" w:type="dxa"/>
            <w:shd w:val="clear" w:color="auto" w:fill="FFFFFF" w:themeFill="background1"/>
            <w:vAlign w:val="bottom"/>
          </w:tcPr>
          <w:p w:rsidR="001F59B3" w:rsidRPr="00922AEF" w:rsidRDefault="001F59B3" w:rsidP="001B2B43">
            <w:pPr>
              <w:pStyle w:val="TableBodyText"/>
              <w:ind w:right="0"/>
            </w:pPr>
            <w:r>
              <w:t>1 743.7</w:t>
            </w:r>
          </w:p>
        </w:tc>
      </w:tr>
      <w:tr w:rsidR="005A77E2" w:rsidRPr="002B025F" w:rsidTr="005A77E2">
        <w:tc>
          <w:tcPr>
            <w:tcW w:w="8789" w:type="dxa"/>
            <w:gridSpan w:val="10"/>
            <w:vAlign w:val="center"/>
          </w:tcPr>
          <w:p w:rsidR="005A77E2" w:rsidRPr="00182F91" w:rsidRDefault="005A77E2" w:rsidP="00BE2718">
            <w:pPr>
              <w:pStyle w:val="TableBodyText"/>
              <w:ind w:right="0"/>
              <w:jc w:val="left"/>
              <w:rPr>
                <w:rFonts w:cs="Arial"/>
                <w:i/>
              </w:rPr>
            </w:pPr>
            <w:r>
              <w:rPr>
                <w:rFonts w:cs="Arial"/>
                <w:i/>
              </w:rPr>
              <w:t xml:space="preserve">Aged care services </w:t>
            </w:r>
            <w:r w:rsidRPr="00182F91">
              <w:rPr>
                <w:rFonts w:cs="Arial"/>
                <w:i/>
              </w:rPr>
              <w:t>expenditure</w:t>
            </w:r>
            <w:r w:rsidR="00BE2718">
              <w:rPr>
                <w:rStyle w:val="NoteLabel"/>
              </w:rPr>
              <w:t>b</w:t>
            </w:r>
          </w:p>
        </w:tc>
      </w:tr>
      <w:tr w:rsidR="00922AEF" w:rsidRPr="002B025F" w:rsidTr="005A77E2">
        <w:tc>
          <w:tcPr>
            <w:tcW w:w="993" w:type="dxa"/>
            <w:vAlign w:val="center"/>
          </w:tcPr>
          <w:p w:rsidR="00922AEF" w:rsidRPr="00182F91" w:rsidRDefault="00922AEF" w:rsidP="00693595">
            <w:pPr>
              <w:pStyle w:val="TableBodyText"/>
              <w:jc w:val="left"/>
              <w:rPr>
                <w:rFonts w:cs="Arial"/>
              </w:rPr>
            </w:pPr>
            <w:r w:rsidRPr="00182F91">
              <w:rPr>
                <w:rFonts w:cs="Arial"/>
              </w:rPr>
              <w:t>CACP</w:t>
            </w:r>
          </w:p>
        </w:tc>
        <w:tc>
          <w:tcPr>
            <w:tcW w:w="992" w:type="dxa"/>
            <w:vAlign w:val="center"/>
          </w:tcPr>
          <w:p w:rsidR="00922AEF" w:rsidRPr="00922AEF" w:rsidRDefault="00926F6B" w:rsidP="00AA68A5">
            <w:pPr>
              <w:pStyle w:val="TableBodyText"/>
            </w:pPr>
            <w:r>
              <w:t xml:space="preserve"> </w:t>
            </w:r>
            <w:r w:rsidR="00922AEF" w:rsidRPr="00922AEF">
              <w:t>204.2</w:t>
            </w:r>
          </w:p>
        </w:tc>
        <w:tc>
          <w:tcPr>
            <w:tcW w:w="709" w:type="dxa"/>
            <w:vAlign w:val="center"/>
          </w:tcPr>
          <w:p w:rsidR="00922AEF" w:rsidRPr="00922AEF" w:rsidRDefault="00922AEF" w:rsidP="00AA68A5">
            <w:pPr>
              <w:pStyle w:val="TableBodyText"/>
            </w:pPr>
            <w:r w:rsidRPr="00922AEF">
              <w:t xml:space="preserve"> 158.0</w:t>
            </w:r>
          </w:p>
        </w:tc>
        <w:tc>
          <w:tcPr>
            <w:tcW w:w="803" w:type="dxa"/>
            <w:vAlign w:val="center"/>
          </w:tcPr>
          <w:p w:rsidR="00922AEF" w:rsidRPr="00922AEF" w:rsidRDefault="00926F6B" w:rsidP="00AA68A5">
            <w:pPr>
              <w:pStyle w:val="TableBodyText"/>
            </w:pPr>
            <w:r>
              <w:t xml:space="preserve"> </w:t>
            </w:r>
            <w:r w:rsidR="00922AEF" w:rsidRPr="00922AEF">
              <w:t>99.5</w:t>
            </w:r>
          </w:p>
        </w:tc>
        <w:tc>
          <w:tcPr>
            <w:tcW w:w="882" w:type="dxa"/>
            <w:vAlign w:val="center"/>
          </w:tcPr>
          <w:p w:rsidR="00922AEF" w:rsidRPr="00922AEF" w:rsidRDefault="00926F6B" w:rsidP="00AA68A5">
            <w:pPr>
              <w:pStyle w:val="TableBodyText"/>
            </w:pPr>
            <w:r>
              <w:t xml:space="preserve"> </w:t>
            </w:r>
            <w:r w:rsidR="00922AEF" w:rsidRPr="00922AEF">
              <w:t>49.5</w:t>
            </w:r>
          </w:p>
        </w:tc>
        <w:tc>
          <w:tcPr>
            <w:tcW w:w="882" w:type="dxa"/>
            <w:vAlign w:val="center"/>
          </w:tcPr>
          <w:p w:rsidR="00922AEF" w:rsidRPr="00922AEF" w:rsidRDefault="00926F6B" w:rsidP="00AA68A5">
            <w:pPr>
              <w:pStyle w:val="TableBodyText"/>
            </w:pPr>
            <w:r>
              <w:t xml:space="preserve"> </w:t>
            </w:r>
            <w:r w:rsidR="00922AEF" w:rsidRPr="00922AEF">
              <w:t>53.0</w:t>
            </w:r>
          </w:p>
        </w:tc>
        <w:tc>
          <w:tcPr>
            <w:tcW w:w="882" w:type="dxa"/>
            <w:vAlign w:val="center"/>
          </w:tcPr>
          <w:p w:rsidR="00922AEF" w:rsidRPr="00922AEF" w:rsidRDefault="00926F6B" w:rsidP="00AA68A5">
            <w:pPr>
              <w:pStyle w:val="TableBodyText"/>
            </w:pPr>
            <w:r>
              <w:t xml:space="preserve"> </w:t>
            </w:r>
            <w:r w:rsidR="00922AEF" w:rsidRPr="00922AEF">
              <w:t>15.6</w:t>
            </w:r>
          </w:p>
        </w:tc>
        <w:tc>
          <w:tcPr>
            <w:tcW w:w="882" w:type="dxa"/>
            <w:vAlign w:val="center"/>
          </w:tcPr>
          <w:p w:rsidR="00922AEF" w:rsidRPr="00922AEF" w:rsidRDefault="00926F6B" w:rsidP="00AA68A5">
            <w:pPr>
              <w:pStyle w:val="TableBodyText"/>
            </w:pPr>
            <w:r>
              <w:t xml:space="preserve"> </w:t>
            </w:r>
            <w:r w:rsidR="00922AEF" w:rsidRPr="00922AEF">
              <w:t>8.4</w:t>
            </w:r>
          </w:p>
        </w:tc>
        <w:tc>
          <w:tcPr>
            <w:tcW w:w="882" w:type="dxa"/>
            <w:vAlign w:val="center"/>
          </w:tcPr>
          <w:p w:rsidR="00922AEF" w:rsidRPr="00922AEF" w:rsidRDefault="00926F6B" w:rsidP="00AA68A5">
            <w:pPr>
              <w:pStyle w:val="TableBodyText"/>
            </w:pPr>
            <w:r>
              <w:t xml:space="preserve"> </w:t>
            </w:r>
            <w:r w:rsidR="00922AEF" w:rsidRPr="00922AEF">
              <w:t>10.6</w:t>
            </w:r>
          </w:p>
        </w:tc>
        <w:tc>
          <w:tcPr>
            <w:tcW w:w="882" w:type="dxa"/>
            <w:vAlign w:val="center"/>
          </w:tcPr>
          <w:p w:rsidR="00922AEF" w:rsidRDefault="00926F6B" w:rsidP="001B2B43">
            <w:pPr>
              <w:pStyle w:val="TableBodyText"/>
              <w:ind w:right="0"/>
            </w:pPr>
            <w:r>
              <w:t xml:space="preserve"> </w:t>
            </w:r>
            <w:r w:rsidR="00922AEF" w:rsidRPr="00922AEF">
              <w:t>598.9</w:t>
            </w:r>
          </w:p>
        </w:tc>
      </w:tr>
      <w:tr w:rsidR="00922AEF" w:rsidRPr="002B025F" w:rsidTr="005A77E2">
        <w:tc>
          <w:tcPr>
            <w:tcW w:w="993" w:type="dxa"/>
            <w:vAlign w:val="center"/>
          </w:tcPr>
          <w:p w:rsidR="00922AEF" w:rsidRPr="00182F91" w:rsidRDefault="00922AEF" w:rsidP="00693595">
            <w:pPr>
              <w:pStyle w:val="TableBodyText"/>
              <w:jc w:val="left"/>
              <w:rPr>
                <w:rFonts w:cs="Arial"/>
              </w:rPr>
            </w:pPr>
            <w:r w:rsidRPr="00182F91">
              <w:rPr>
                <w:rFonts w:cs="Arial"/>
              </w:rPr>
              <w:t>EACH</w:t>
            </w:r>
          </w:p>
        </w:tc>
        <w:tc>
          <w:tcPr>
            <w:tcW w:w="992" w:type="dxa"/>
            <w:vAlign w:val="center"/>
          </w:tcPr>
          <w:p w:rsidR="00922AEF" w:rsidRPr="00922AEF" w:rsidRDefault="00926F6B" w:rsidP="00AA68A5">
            <w:pPr>
              <w:pStyle w:val="TableBodyText"/>
            </w:pPr>
            <w:r>
              <w:t xml:space="preserve"> </w:t>
            </w:r>
            <w:r w:rsidR="00922AEF" w:rsidRPr="00922AEF">
              <w:t>100.3</w:t>
            </w:r>
          </w:p>
        </w:tc>
        <w:tc>
          <w:tcPr>
            <w:tcW w:w="709" w:type="dxa"/>
            <w:vAlign w:val="center"/>
          </w:tcPr>
          <w:p w:rsidR="00922AEF" w:rsidRPr="00922AEF" w:rsidRDefault="00926F6B" w:rsidP="00AA68A5">
            <w:pPr>
              <w:pStyle w:val="TableBodyText"/>
            </w:pPr>
            <w:r>
              <w:t xml:space="preserve"> </w:t>
            </w:r>
            <w:r w:rsidR="00922AEF" w:rsidRPr="00922AEF">
              <w:t>78.1</w:t>
            </w:r>
          </w:p>
        </w:tc>
        <w:tc>
          <w:tcPr>
            <w:tcW w:w="803" w:type="dxa"/>
            <w:vAlign w:val="center"/>
          </w:tcPr>
          <w:p w:rsidR="00922AEF" w:rsidRPr="00922AEF" w:rsidRDefault="00926F6B" w:rsidP="00AA68A5">
            <w:pPr>
              <w:pStyle w:val="TableBodyText"/>
            </w:pPr>
            <w:r>
              <w:t xml:space="preserve"> </w:t>
            </w:r>
            <w:r w:rsidR="00922AEF" w:rsidRPr="00922AEF">
              <w:t>76.6</w:t>
            </w:r>
          </w:p>
        </w:tc>
        <w:tc>
          <w:tcPr>
            <w:tcW w:w="882" w:type="dxa"/>
            <w:vAlign w:val="center"/>
          </w:tcPr>
          <w:p w:rsidR="00922AEF" w:rsidRPr="00922AEF" w:rsidRDefault="00926F6B" w:rsidP="00AA68A5">
            <w:pPr>
              <w:pStyle w:val="TableBodyText"/>
            </w:pPr>
            <w:r>
              <w:t xml:space="preserve"> </w:t>
            </w:r>
            <w:r w:rsidR="00922AEF" w:rsidRPr="00922AEF">
              <w:t>71.8</w:t>
            </w:r>
          </w:p>
        </w:tc>
        <w:tc>
          <w:tcPr>
            <w:tcW w:w="882" w:type="dxa"/>
            <w:vAlign w:val="center"/>
          </w:tcPr>
          <w:p w:rsidR="00922AEF" w:rsidRPr="00922AEF" w:rsidRDefault="00926F6B" w:rsidP="00AA68A5">
            <w:pPr>
              <w:pStyle w:val="TableBodyText"/>
            </w:pPr>
            <w:r>
              <w:t xml:space="preserve"> </w:t>
            </w:r>
            <w:r w:rsidR="00922AEF" w:rsidRPr="00922AEF">
              <w:t>19.7</w:t>
            </w:r>
          </w:p>
        </w:tc>
        <w:tc>
          <w:tcPr>
            <w:tcW w:w="882" w:type="dxa"/>
            <w:vAlign w:val="center"/>
          </w:tcPr>
          <w:p w:rsidR="00922AEF" w:rsidRPr="00922AEF" w:rsidRDefault="00926F6B" w:rsidP="00AA68A5">
            <w:pPr>
              <w:pStyle w:val="TableBodyText"/>
            </w:pPr>
            <w:r>
              <w:t xml:space="preserve"> </w:t>
            </w:r>
            <w:r w:rsidR="00922AEF" w:rsidRPr="00922AEF">
              <w:t>8.4</w:t>
            </w:r>
          </w:p>
        </w:tc>
        <w:tc>
          <w:tcPr>
            <w:tcW w:w="882" w:type="dxa"/>
            <w:vAlign w:val="center"/>
          </w:tcPr>
          <w:p w:rsidR="00922AEF" w:rsidRPr="00922AEF" w:rsidRDefault="00926F6B" w:rsidP="00AA68A5">
            <w:pPr>
              <w:pStyle w:val="TableBodyText"/>
            </w:pPr>
            <w:r>
              <w:t xml:space="preserve"> </w:t>
            </w:r>
            <w:r w:rsidR="00922AEF" w:rsidRPr="00922AEF">
              <w:t>12.5</w:t>
            </w:r>
          </w:p>
        </w:tc>
        <w:tc>
          <w:tcPr>
            <w:tcW w:w="882" w:type="dxa"/>
            <w:vAlign w:val="center"/>
          </w:tcPr>
          <w:p w:rsidR="00922AEF" w:rsidRPr="00922AEF" w:rsidRDefault="00926F6B" w:rsidP="00AA68A5">
            <w:pPr>
              <w:pStyle w:val="TableBodyText"/>
            </w:pPr>
            <w:r>
              <w:t xml:space="preserve"> </w:t>
            </w:r>
            <w:r w:rsidR="00922AEF" w:rsidRPr="00922AEF">
              <w:t>5.1</w:t>
            </w:r>
          </w:p>
        </w:tc>
        <w:tc>
          <w:tcPr>
            <w:tcW w:w="882" w:type="dxa"/>
            <w:tcBorders>
              <w:left w:val="nil"/>
            </w:tcBorders>
            <w:vAlign w:val="center"/>
          </w:tcPr>
          <w:p w:rsidR="00922AEF" w:rsidRPr="00922AEF" w:rsidRDefault="00926F6B" w:rsidP="001B2B43">
            <w:pPr>
              <w:pStyle w:val="TableBodyText"/>
              <w:ind w:right="0"/>
            </w:pPr>
            <w:r>
              <w:t xml:space="preserve"> </w:t>
            </w:r>
            <w:r w:rsidR="00922AEF" w:rsidRPr="00922AEF">
              <w:t>372.6</w:t>
            </w:r>
          </w:p>
        </w:tc>
      </w:tr>
      <w:tr w:rsidR="00922AEF" w:rsidRPr="002B025F" w:rsidTr="005A77E2">
        <w:tc>
          <w:tcPr>
            <w:tcW w:w="993" w:type="dxa"/>
            <w:vAlign w:val="center"/>
          </w:tcPr>
          <w:p w:rsidR="00922AEF" w:rsidRPr="00182F91" w:rsidRDefault="00922AEF" w:rsidP="00693595">
            <w:pPr>
              <w:pStyle w:val="TableBodyText"/>
              <w:jc w:val="left"/>
              <w:rPr>
                <w:rFonts w:cs="Arial"/>
              </w:rPr>
            </w:pPr>
            <w:r w:rsidRPr="00182F91">
              <w:rPr>
                <w:rFonts w:cs="Arial"/>
              </w:rPr>
              <w:t>EACH</w:t>
            </w:r>
            <w:r w:rsidR="00AA68A5">
              <w:rPr>
                <w:rFonts w:cs="Arial"/>
              </w:rPr>
              <w:noBreakHyphen/>
            </w:r>
            <w:r w:rsidRPr="00182F91">
              <w:rPr>
                <w:rFonts w:cs="Arial"/>
              </w:rPr>
              <w:t>D</w:t>
            </w:r>
          </w:p>
        </w:tc>
        <w:tc>
          <w:tcPr>
            <w:tcW w:w="992" w:type="dxa"/>
            <w:vAlign w:val="center"/>
          </w:tcPr>
          <w:p w:rsidR="00922AEF" w:rsidRPr="00922AEF" w:rsidRDefault="00926F6B" w:rsidP="00AA68A5">
            <w:pPr>
              <w:pStyle w:val="TableBodyText"/>
            </w:pPr>
            <w:r>
              <w:t xml:space="preserve"> </w:t>
            </w:r>
            <w:r w:rsidR="00922AEF" w:rsidRPr="00922AEF">
              <w:t>47.6</w:t>
            </w:r>
          </w:p>
        </w:tc>
        <w:tc>
          <w:tcPr>
            <w:tcW w:w="709" w:type="dxa"/>
            <w:vAlign w:val="center"/>
          </w:tcPr>
          <w:p w:rsidR="00922AEF" w:rsidRPr="00922AEF" w:rsidRDefault="00926F6B" w:rsidP="00AA68A5">
            <w:pPr>
              <w:pStyle w:val="TableBodyText"/>
            </w:pPr>
            <w:r>
              <w:t xml:space="preserve"> </w:t>
            </w:r>
            <w:r w:rsidR="00922AEF" w:rsidRPr="00922AEF">
              <w:t>39.3</w:t>
            </w:r>
          </w:p>
        </w:tc>
        <w:tc>
          <w:tcPr>
            <w:tcW w:w="803" w:type="dxa"/>
            <w:vAlign w:val="center"/>
          </w:tcPr>
          <w:p w:rsidR="00922AEF" w:rsidRPr="00922AEF" w:rsidRDefault="00926F6B" w:rsidP="00AA68A5">
            <w:pPr>
              <w:pStyle w:val="TableBodyText"/>
            </w:pPr>
            <w:r>
              <w:t xml:space="preserve"> </w:t>
            </w:r>
            <w:r w:rsidR="00922AEF" w:rsidRPr="00922AEF">
              <w:t>43.2</w:t>
            </w:r>
          </w:p>
        </w:tc>
        <w:tc>
          <w:tcPr>
            <w:tcW w:w="882" w:type="dxa"/>
            <w:vAlign w:val="center"/>
          </w:tcPr>
          <w:p w:rsidR="00922AEF" w:rsidRPr="00922AEF" w:rsidRDefault="00926F6B" w:rsidP="00AA68A5">
            <w:pPr>
              <w:pStyle w:val="TableBodyText"/>
            </w:pPr>
            <w:r>
              <w:t xml:space="preserve"> </w:t>
            </w:r>
            <w:r w:rsidR="00922AEF" w:rsidRPr="00922AEF">
              <w:t>32.3</w:t>
            </w:r>
          </w:p>
        </w:tc>
        <w:tc>
          <w:tcPr>
            <w:tcW w:w="882" w:type="dxa"/>
            <w:vAlign w:val="center"/>
          </w:tcPr>
          <w:p w:rsidR="00922AEF" w:rsidRPr="00922AEF" w:rsidRDefault="00926F6B" w:rsidP="00AA68A5">
            <w:pPr>
              <w:pStyle w:val="TableBodyText"/>
            </w:pPr>
            <w:r>
              <w:t xml:space="preserve"> </w:t>
            </w:r>
            <w:r w:rsidR="00922AEF" w:rsidRPr="00922AEF">
              <w:t>11.0</w:t>
            </w:r>
          </w:p>
        </w:tc>
        <w:tc>
          <w:tcPr>
            <w:tcW w:w="882" w:type="dxa"/>
            <w:vAlign w:val="center"/>
          </w:tcPr>
          <w:p w:rsidR="00922AEF" w:rsidRPr="00922AEF" w:rsidRDefault="00926F6B" w:rsidP="00AA68A5">
            <w:pPr>
              <w:pStyle w:val="TableBodyText"/>
            </w:pPr>
            <w:r>
              <w:t xml:space="preserve"> </w:t>
            </w:r>
            <w:r w:rsidR="00922AEF" w:rsidRPr="00922AEF">
              <w:t>5.1</w:t>
            </w:r>
          </w:p>
        </w:tc>
        <w:tc>
          <w:tcPr>
            <w:tcW w:w="882" w:type="dxa"/>
            <w:vAlign w:val="center"/>
          </w:tcPr>
          <w:p w:rsidR="00922AEF" w:rsidRPr="00922AEF" w:rsidRDefault="00926F6B" w:rsidP="00AA68A5">
            <w:pPr>
              <w:pStyle w:val="TableBodyText"/>
            </w:pPr>
            <w:r>
              <w:t xml:space="preserve"> </w:t>
            </w:r>
            <w:r w:rsidR="00922AEF" w:rsidRPr="00922AEF">
              <w:t>4.7</w:t>
            </w:r>
          </w:p>
        </w:tc>
        <w:tc>
          <w:tcPr>
            <w:tcW w:w="882" w:type="dxa"/>
            <w:vAlign w:val="center"/>
          </w:tcPr>
          <w:p w:rsidR="00922AEF" w:rsidRPr="00922AEF" w:rsidRDefault="00926F6B" w:rsidP="00AA68A5">
            <w:pPr>
              <w:pStyle w:val="TableBodyText"/>
            </w:pPr>
            <w:r>
              <w:t xml:space="preserve"> </w:t>
            </w:r>
            <w:r w:rsidR="00922AEF" w:rsidRPr="00922AEF">
              <w:t>1.9</w:t>
            </w:r>
          </w:p>
        </w:tc>
        <w:tc>
          <w:tcPr>
            <w:tcW w:w="882" w:type="dxa"/>
            <w:tcBorders>
              <w:left w:val="nil"/>
            </w:tcBorders>
            <w:vAlign w:val="center"/>
          </w:tcPr>
          <w:p w:rsidR="00922AEF" w:rsidRPr="00922AEF" w:rsidRDefault="00926F6B" w:rsidP="001B2B43">
            <w:pPr>
              <w:pStyle w:val="TableBodyText"/>
              <w:ind w:right="0"/>
            </w:pPr>
            <w:r>
              <w:t xml:space="preserve"> </w:t>
            </w:r>
            <w:r w:rsidR="00922AEF" w:rsidRPr="00922AEF">
              <w:t>185.1</w:t>
            </w:r>
          </w:p>
        </w:tc>
      </w:tr>
      <w:tr w:rsidR="00922AEF" w:rsidRPr="00D35AB5" w:rsidTr="005A77E2">
        <w:tc>
          <w:tcPr>
            <w:tcW w:w="993" w:type="dxa"/>
            <w:tcBorders>
              <w:bottom w:val="single" w:sz="4" w:space="0" w:color="auto"/>
            </w:tcBorders>
            <w:shd w:val="clear" w:color="auto" w:fill="auto"/>
          </w:tcPr>
          <w:p w:rsidR="00922AEF" w:rsidRPr="00D35AB5" w:rsidRDefault="00922AEF" w:rsidP="00693595">
            <w:pPr>
              <w:pStyle w:val="TableBodyText"/>
              <w:jc w:val="left"/>
              <w:rPr>
                <w:rFonts w:cs="Arial"/>
                <w:b/>
              </w:rPr>
            </w:pPr>
            <w:r w:rsidRPr="00D35AB5">
              <w:rPr>
                <w:rFonts w:cs="Arial"/>
              </w:rPr>
              <w:t>NRCP</w:t>
            </w:r>
            <w:r>
              <w:rPr>
                <w:rStyle w:val="NoteLabel"/>
              </w:rPr>
              <w:t>c</w:t>
            </w:r>
          </w:p>
        </w:tc>
        <w:tc>
          <w:tcPr>
            <w:tcW w:w="992" w:type="dxa"/>
            <w:tcBorders>
              <w:bottom w:val="single" w:sz="6" w:space="0" w:color="auto"/>
            </w:tcBorders>
            <w:shd w:val="clear" w:color="auto" w:fill="auto"/>
            <w:vAlign w:val="center"/>
          </w:tcPr>
          <w:p w:rsidR="00922AEF" w:rsidRPr="00922AEF" w:rsidRDefault="00926F6B" w:rsidP="00AA68A5">
            <w:pPr>
              <w:pStyle w:val="TableBodyText"/>
            </w:pPr>
            <w:r>
              <w:t xml:space="preserve"> </w:t>
            </w:r>
            <w:r w:rsidR="00922AEF" w:rsidRPr="00922AEF">
              <w:t>62.9</w:t>
            </w:r>
          </w:p>
        </w:tc>
        <w:tc>
          <w:tcPr>
            <w:tcW w:w="709" w:type="dxa"/>
            <w:tcBorders>
              <w:bottom w:val="single" w:sz="6" w:space="0" w:color="auto"/>
            </w:tcBorders>
            <w:shd w:val="clear" w:color="auto" w:fill="auto"/>
            <w:vAlign w:val="center"/>
          </w:tcPr>
          <w:p w:rsidR="00922AEF" w:rsidRPr="00922AEF" w:rsidRDefault="00926F6B" w:rsidP="00AA68A5">
            <w:pPr>
              <w:pStyle w:val="TableBodyText"/>
            </w:pPr>
            <w:r>
              <w:t xml:space="preserve"> </w:t>
            </w:r>
            <w:r w:rsidR="00922AEF" w:rsidRPr="00922AEF">
              <w:t>44.9</w:t>
            </w:r>
          </w:p>
        </w:tc>
        <w:tc>
          <w:tcPr>
            <w:tcW w:w="803" w:type="dxa"/>
            <w:tcBorders>
              <w:bottom w:val="single" w:sz="6" w:space="0" w:color="auto"/>
            </w:tcBorders>
            <w:shd w:val="clear" w:color="auto" w:fill="auto"/>
            <w:vAlign w:val="center"/>
          </w:tcPr>
          <w:p w:rsidR="00922AEF" w:rsidRPr="00922AEF" w:rsidRDefault="00926F6B" w:rsidP="00AA68A5">
            <w:pPr>
              <w:pStyle w:val="TableBodyText"/>
            </w:pPr>
            <w:r>
              <w:t xml:space="preserve"> </w:t>
            </w:r>
            <w:r w:rsidR="00922AEF" w:rsidRPr="00922AEF">
              <w:t>34.5</w:t>
            </w:r>
          </w:p>
        </w:tc>
        <w:tc>
          <w:tcPr>
            <w:tcW w:w="882" w:type="dxa"/>
            <w:tcBorders>
              <w:bottom w:val="single" w:sz="6" w:space="0" w:color="auto"/>
            </w:tcBorders>
            <w:shd w:val="clear" w:color="auto" w:fill="auto"/>
            <w:vAlign w:val="center"/>
          </w:tcPr>
          <w:p w:rsidR="00922AEF" w:rsidRPr="00922AEF" w:rsidRDefault="00926F6B" w:rsidP="00AA68A5">
            <w:pPr>
              <w:pStyle w:val="TableBodyText"/>
            </w:pPr>
            <w:r>
              <w:t xml:space="preserve"> </w:t>
            </w:r>
            <w:r w:rsidR="00922AEF" w:rsidRPr="00922AEF">
              <w:t>17.1</w:t>
            </w:r>
          </w:p>
        </w:tc>
        <w:tc>
          <w:tcPr>
            <w:tcW w:w="882" w:type="dxa"/>
            <w:tcBorders>
              <w:bottom w:val="single" w:sz="6" w:space="0" w:color="auto"/>
            </w:tcBorders>
            <w:shd w:val="clear" w:color="auto" w:fill="auto"/>
            <w:vAlign w:val="center"/>
          </w:tcPr>
          <w:p w:rsidR="00922AEF" w:rsidRPr="00922AEF" w:rsidRDefault="00926F6B" w:rsidP="00AA68A5">
            <w:pPr>
              <w:pStyle w:val="TableBodyText"/>
            </w:pPr>
            <w:r>
              <w:t xml:space="preserve"> </w:t>
            </w:r>
            <w:r w:rsidR="00922AEF" w:rsidRPr="00922AEF">
              <w:t>17.6</w:t>
            </w:r>
          </w:p>
        </w:tc>
        <w:tc>
          <w:tcPr>
            <w:tcW w:w="882" w:type="dxa"/>
            <w:tcBorders>
              <w:left w:val="nil"/>
              <w:bottom w:val="single" w:sz="6" w:space="0" w:color="auto"/>
            </w:tcBorders>
            <w:shd w:val="clear" w:color="auto" w:fill="auto"/>
            <w:vAlign w:val="center"/>
          </w:tcPr>
          <w:p w:rsidR="00922AEF" w:rsidRPr="00922AEF" w:rsidRDefault="00926F6B" w:rsidP="00AA68A5">
            <w:pPr>
              <w:pStyle w:val="TableBodyText"/>
            </w:pPr>
            <w:r>
              <w:t xml:space="preserve"> </w:t>
            </w:r>
            <w:r w:rsidR="00922AEF" w:rsidRPr="00922AEF">
              <w:t>6.3</w:t>
            </w:r>
          </w:p>
        </w:tc>
        <w:tc>
          <w:tcPr>
            <w:tcW w:w="882" w:type="dxa"/>
            <w:tcBorders>
              <w:bottom w:val="single" w:sz="6" w:space="0" w:color="auto"/>
            </w:tcBorders>
            <w:shd w:val="clear" w:color="auto" w:fill="auto"/>
            <w:vAlign w:val="center"/>
          </w:tcPr>
          <w:p w:rsidR="00922AEF" w:rsidRPr="00922AEF" w:rsidRDefault="00926F6B" w:rsidP="00AA68A5">
            <w:pPr>
              <w:pStyle w:val="TableBodyText"/>
            </w:pPr>
            <w:r>
              <w:t xml:space="preserve"> </w:t>
            </w:r>
            <w:r w:rsidR="00922AEF" w:rsidRPr="00922AEF">
              <w:t>4.3</w:t>
            </w:r>
          </w:p>
        </w:tc>
        <w:tc>
          <w:tcPr>
            <w:tcW w:w="882" w:type="dxa"/>
            <w:tcBorders>
              <w:bottom w:val="single" w:sz="6" w:space="0" w:color="auto"/>
            </w:tcBorders>
            <w:shd w:val="clear" w:color="auto" w:fill="auto"/>
            <w:vAlign w:val="center"/>
          </w:tcPr>
          <w:p w:rsidR="00922AEF" w:rsidRPr="00922AEF" w:rsidRDefault="00926F6B" w:rsidP="00AA68A5">
            <w:pPr>
              <w:pStyle w:val="TableBodyText"/>
            </w:pPr>
            <w:r>
              <w:t xml:space="preserve"> </w:t>
            </w:r>
            <w:r w:rsidR="00922AEF" w:rsidRPr="00922AEF">
              <w:t>5.4</w:t>
            </w:r>
          </w:p>
        </w:tc>
        <w:tc>
          <w:tcPr>
            <w:tcW w:w="882" w:type="dxa"/>
            <w:tcBorders>
              <w:left w:val="nil"/>
              <w:bottom w:val="single" w:sz="4" w:space="0" w:color="auto"/>
            </w:tcBorders>
            <w:shd w:val="clear" w:color="auto" w:fill="auto"/>
            <w:vAlign w:val="center"/>
          </w:tcPr>
          <w:p w:rsidR="00922AEF" w:rsidRPr="00922AEF" w:rsidRDefault="00926F6B" w:rsidP="001B2B43">
            <w:pPr>
              <w:pStyle w:val="TableBodyText"/>
              <w:ind w:right="0"/>
            </w:pPr>
            <w:r>
              <w:t xml:space="preserve"> </w:t>
            </w:r>
            <w:r w:rsidR="00922AEF" w:rsidRPr="00922AEF">
              <w:t>206.6</w:t>
            </w:r>
          </w:p>
        </w:tc>
      </w:tr>
    </w:tbl>
    <w:p w:rsidR="009238E5" w:rsidRPr="00253D64" w:rsidRDefault="009E60FF" w:rsidP="00253D64">
      <w:pPr>
        <w:pStyle w:val="Note"/>
      </w:pPr>
      <w:bookmarkStart w:id="16" w:name="OLE_LINK47"/>
      <w:bookmarkStart w:id="17" w:name="OLE_LINK48"/>
      <w:r w:rsidRPr="00253D64">
        <w:t>HACC = Home and Community Care. CACP = Community Aged Care Packages. EACH = Extended Aged Care at Home. EACH</w:t>
      </w:r>
      <w:r w:rsidR="00AA68A5">
        <w:noBreakHyphen/>
      </w:r>
      <w:r w:rsidRPr="00253D64">
        <w:t>D = EACH</w:t>
      </w:r>
      <w:r w:rsidR="00AA68A5">
        <w:noBreakHyphen/>
      </w:r>
      <w:r w:rsidRPr="00253D64">
        <w:t xml:space="preserve">Dementia. </w:t>
      </w:r>
      <w:r w:rsidR="00F53B1F" w:rsidRPr="00253D64">
        <w:rPr>
          <w:rStyle w:val="NoteLabel"/>
        </w:rPr>
        <w:t>a</w:t>
      </w:r>
      <w:r w:rsidR="00F53B1F" w:rsidRPr="00253D64">
        <w:t> </w:t>
      </w:r>
      <w:r w:rsidR="007408B1" w:rsidRPr="00253D64">
        <w:t>HACC aged care expenditure for each jurisdiction refers to the estimated funding from the Australian Government on all people aged 65 years or over and Indigenous Australians aged 50–64 years. The exceptions are Victoria and WA where the expenditure includes a component of funding ($247.3 million in total) from those two jurisdictions ($174</w:t>
      </w:r>
      <w:r w:rsidR="00253D64">
        <w:t>.3</w:t>
      </w:r>
      <w:r w:rsidR="007408B1" w:rsidRPr="00253D64">
        <w:t xml:space="preserve"> million spent by the Victorian Government in Victoria and $73</w:t>
      </w:r>
      <w:r w:rsidR="00253D64">
        <w:t>.0</w:t>
      </w:r>
      <w:r w:rsidR="007408B1" w:rsidRPr="00253D64">
        <w:t xml:space="preserve"> million spent by the WA Government in WA). </w:t>
      </w:r>
      <w:r w:rsidR="00F53B1F" w:rsidRPr="00253D64">
        <w:rPr>
          <w:rStyle w:val="NoteLabel"/>
        </w:rPr>
        <w:t>b</w:t>
      </w:r>
      <w:r w:rsidR="009238E5" w:rsidRPr="00253D64">
        <w:t xml:space="preserve"> </w:t>
      </w:r>
      <w:r w:rsidR="00B83A0E" w:rsidRPr="00253D64">
        <w:t xml:space="preserve">Includes total program expenditure, including expenditure on services provided for younger people with disability. </w:t>
      </w:r>
      <w:r w:rsidR="00F53B1F" w:rsidRPr="00253D64">
        <w:rPr>
          <w:rStyle w:val="NoteLabel"/>
        </w:rPr>
        <w:t>c</w:t>
      </w:r>
      <w:r w:rsidR="004D22A8" w:rsidRPr="00253D64">
        <w:t xml:space="preserve"> </w:t>
      </w:r>
      <w:r w:rsidR="00B83A0E" w:rsidRPr="00253D64">
        <w:t xml:space="preserve">Australian total includes </w:t>
      </w:r>
      <w:r w:rsidR="00253D64">
        <w:t>‘</w:t>
      </w:r>
      <w:r w:rsidR="00B83A0E" w:rsidRPr="00253D64">
        <w:t>other</w:t>
      </w:r>
      <w:r w:rsidR="00253D64">
        <w:t>’</w:t>
      </w:r>
      <w:r w:rsidR="00B83A0E" w:rsidRPr="00253D64">
        <w:t xml:space="preserve"> Australian Government expenditure that cannot be attributed to individual states or territories. </w:t>
      </w:r>
    </w:p>
    <w:p w:rsidR="00056221" w:rsidRPr="002B025F" w:rsidRDefault="00056221" w:rsidP="00056221">
      <w:pPr>
        <w:pStyle w:val="Source"/>
      </w:pPr>
      <w:r w:rsidRPr="002B025F">
        <w:rPr>
          <w:i/>
        </w:rPr>
        <w:t>Source</w:t>
      </w:r>
      <w:r w:rsidRPr="002B025F">
        <w:t xml:space="preserve">: </w:t>
      </w:r>
      <w:proofErr w:type="spellStart"/>
      <w:r w:rsidR="00E46620" w:rsidRPr="0079479E">
        <w:rPr>
          <w:shd w:val="clear" w:color="auto" w:fill="FFFFFF" w:themeFill="background1"/>
        </w:rPr>
        <w:t>DSS</w:t>
      </w:r>
      <w:proofErr w:type="spellEnd"/>
      <w:r w:rsidR="006506B5" w:rsidRPr="002B025F">
        <w:t xml:space="preserve"> (unpublished)</w:t>
      </w:r>
      <w:r w:rsidR="00420AF9">
        <w:t>; table</w:t>
      </w:r>
      <w:r w:rsidR="00B83A0E">
        <w:t>s</w:t>
      </w:r>
      <w:r w:rsidR="00AA68A5">
        <w:t> </w:t>
      </w:r>
      <w:proofErr w:type="spellStart"/>
      <w:r w:rsidR="00420AF9">
        <w:t>13A.5</w:t>
      </w:r>
      <w:proofErr w:type="spellEnd"/>
      <w:r w:rsidR="00B83A0E">
        <w:t xml:space="preserve"> and </w:t>
      </w:r>
      <w:proofErr w:type="spellStart"/>
      <w:r w:rsidR="00B83A0E">
        <w:t>13A.9</w:t>
      </w:r>
      <w:proofErr w:type="spellEnd"/>
      <w:r w:rsidRPr="002B025F">
        <w:t>.</w:t>
      </w:r>
    </w:p>
    <w:bookmarkEnd w:id="16"/>
    <w:bookmarkEnd w:id="17"/>
    <w:p w:rsidR="00762688" w:rsidRPr="002B025F" w:rsidRDefault="00056221" w:rsidP="0079479E">
      <w:pPr>
        <w:pStyle w:val="BodyText"/>
        <w:shd w:val="clear" w:color="auto" w:fill="FFFFFF" w:themeFill="background1"/>
        <w:tabs>
          <w:tab w:val="left" w:pos="6120"/>
        </w:tabs>
      </w:pPr>
      <w:r w:rsidRPr="002B025F">
        <w:t>The DVA also provided $</w:t>
      </w:r>
      <w:r w:rsidR="004A558C">
        <w:t>85.4</w:t>
      </w:r>
      <w:r w:rsidRPr="002B025F">
        <w:t xml:space="preserve"> million for the VHC program and $</w:t>
      </w:r>
      <w:r w:rsidR="004A558C">
        <w:t>125.1</w:t>
      </w:r>
      <w:r w:rsidRPr="002B025F">
        <w:t xml:space="preserve"> million for </w:t>
      </w:r>
      <w:r w:rsidR="0073507F">
        <w:t>v</w:t>
      </w:r>
      <w:r w:rsidRPr="002B025F">
        <w:t xml:space="preserve">eterans </w:t>
      </w:r>
      <w:r w:rsidR="0073507F">
        <w:t>c</w:t>
      </w:r>
      <w:r w:rsidRPr="002B025F">
        <w:t xml:space="preserve">ommunity </w:t>
      </w:r>
      <w:r w:rsidR="0073507F">
        <w:t>n</w:t>
      </w:r>
      <w:r w:rsidRPr="002B025F">
        <w:t xml:space="preserve">ursing </w:t>
      </w:r>
      <w:r w:rsidR="0073507F">
        <w:t>services</w:t>
      </w:r>
      <w:r w:rsidRPr="002B025F">
        <w:t xml:space="preserve"> during </w:t>
      </w:r>
      <w:r w:rsidR="00F97667">
        <w:t>2012</w:t>
      </w:r>
      <w:r w:rsidR="00AA68A5">
        <w:noBreakHyphen/>
      </w:r>
      <w:r w:rsidR="00F97667">
        <w:t>13</w:t>
      </w:r>
      <w:r w:rsidR="00F97667" w:rsidRPr="002B025F">
        <w:t xml:space="preserve"> </w:t>
      </w:r>
      <w:r w:rsidRPr="002B025F">
        <w:t>(table</w:t>
      </w:r>
      <w:r w:rsidR="00AA68A5">
        <w:t> </w:t>
      </w:r>
      <w:proofErr w:type="spellStart"/>
      <w:r w:rsidRPr="002B025F">
        <w:t>13A.</w:t>
      </w:r>
      <w:r w:rsidR="006506B5" w:rsidRPr="002B025F">
        <w:t>9</w:t>
      </w:r>
      <w:proofErr w:type="spellEnd"/>
      <w:r w:rsidRPr="002B025F">
        <w:t>). VHC recipients also contribute towards the cost of these services</w:t>
      </w:r>
      <w:r w:rsidRPr="00E72979">
        <w:rPr>
          <w:shd w:val="clear" w:color="auto" w:fill="FFFFFF" w:themeFill="background1"/>
        </w:rPr>
        <w:t>.</w:t>
      </w:r>
      <w:r w:rsidR="00692273" w:rsidRPr="00E72979">
        <w:rPr>
          <w:shd w:val="clear" w:color="auto" w:fill="FFFFFF" w:themeFill="background1"/>
        </w:rPr>
        <w:t xml:space="preserve"> </w:t>
      </w:r>
      <w:r w:rsidR="00A532CC" w:rsidRPr="0079479E">
        <w:rPr>
          <w:shd w:val="clear" w:color="auto" w:fill="FFFFFF" w:themeFill="background1"/>
        </w:rPr>
        <w:t>In 2012</w:t>
      </w:r>
      <w:r w:rsidR="00AA68A5">
        <w:rPr>
          <w:shd w:val="clear" w:color="auto" w:fill="FFFFFF" w:themeFill="background1"/>
        </w:rPr>
        <w:noBreakHyphen/>
      </w:r>
      <w:r w:rsidR="00A532CC" w:rsidRPr="0079479E">
        <w:rPr>
          <w:shd w:val="clear" w:color="auto" w:fill="FFFFFF" w:themeFill="background1"/>
        </w:rPr>
        <w:t xml:space="preserve">13, $8.3 million was also provided as grants to the State and Territory governments to facilitate access by veterans to </w:t>
      </w:r>
      <w:proofErr w:type="spellStart"/>
      <w:r w:rsidR="00A532CC" w:rsidRPr="0079479E">
        <w:rPr>
          <w:shd w:val="clear" w:color="auto" w:fill="FFFFFF" w:themeFill="background1"/>
        </w:rPr>
        <w:t>HACC</w:t>
      </w:r>
      <w:proofErr w:type="spellEnd"/>
      <w:r w:rsidR="00A532CC" w:rsidRPr="0079479E">
        <w:rPr>
          <w:shd w:val="clear" w:color="auto" w:fill="FFFFFF" w:themeFill="background1"/>
        </w:rPr>
        <w:t xml:space="preserve"> services (table</w:t>
      </w:r>
      <w:r w:rsidR="00AA68A5">
        <w:rPr>
          <w:shd w:val="clear" w:color="auto" w:fill="FFFFFF" w:themeFill="background1"/>
        </w:rPr>
        <w:t> </w:t>
      </w:r>
      <w:proofErr w:type="spellStart"/>
      <w:r w:rsidR="00A532CC" w:rsidRPr="0079479E">
        <w:rPr>
          <w:shd w:val="clear" w:color="auto" w:fill="FFFFFF" w:themeFill="background1"/>
        </w:rPr>
        <w:t>13A.11</w:t>
      </w:r>
      <w:proofErr w:type="spellEnd"/>
      <w:r w:rsidR="00A532CC" w:rsidRPr="0079479E">
        <w:rPr>
          <w:shd w:val="clear" w:color="auto" w:fill="FFFFFF" w:themeFill="background1"/>
        </w:rPr>
        <w:t>).</w:t>
      </w:r>
      <w:r w:rsidR="00692273" w:rsidRPr="0079479E">
        <w:rPr>
          <w:shd w:val="clear" w:color="auto" w:fill="FFFFFF" w:themeFill="background1"/>
        </w:rPr>
        <w:t xml:space="preserve"> </w:t>
      </w:r>
    </w:p>
    <w:p w:rsidR="00056221" w:rsidRPr="004E221C" w:rsidRDefault="00056221" w:rsidP="00056221">
      <w:pPr>
        <w:pStyle w:val="Heading4"/>
      </w:pPr>
      <w:r w:rsidRPr="004E221C">
        <w:t>Services provided in mixed delivery settings</w:t>
      </w:r>
    </w:p>
    <w:p w:rsidR="0098273E" w:rsidRDefault="00056221" w:rsidP="00E90074">
      <w:pPr>
        <w:pStyle w:val="BodyText"/>
      </w:pPr>
      <w:r w:rsidRPr="002B025F">
        <w:t xml:space="preserve">Five types of flexible care are provided under the </w:t>
      </w:r>
      <w:r w:rsidR="00B939F8" w:rsidRPr="00B939F8">
        <w:rPr>
          <w:i/>
        </w:rPr>
        <w:t>Aged Care Act 1997</w:t>
      </w:r>
      <w:r w:rsidR="00B939F8" w:rsidRPr="002B025F">
        <w:t xml:space="preserve"> </w:t>
      </w:r>
      <w:r w:rsidRPr="002B025F">
        <w:t>(EAC</w:t>
      </w:r>
      <w:r w:rsidR="005C646B">
        <w:t>H and EACH</w:t>
      </w:r>
      <w:r w:rsidR="00AA68A5">
        <w:noBreakHyphen/>
      </w:r>
      <w:r w:rsidR="005C646B">
        <w:t>D packages, TCP, MPS</w:t>
      </w:r>
      <w:r w:rsidRPr="002B025F">
        <w:t xml:space="preserve"> and innovative care places). Expenditure relating to EACH and EACH</w:t>
      </w:r>
      <w:r w:rsidR="00AA68A5">
        <w:noBreakHyphen/>
      </w:r>
      <w:r w:rsidRPr="002B025F">
        <w:t xml:space="preserve">D is reported </w:t>
      </w:r>
      <w:r w:rsidR="00810034">
        <w:t>in table</w:t>
      </w:r>
      <w:r w:rsidR="00AA68A5">
        <w:t> </w:t>
      </w:r>
      <w:r w:rsidR="00810034">
        <w:t>13.</w:t>
      </w:r>
      <w:r w:rsidR="001E2D3E">
        <w:t>2</w:t>
      </w:r>
      <w:r w:rsidRPr="002B025F">
        <w:t xml:space="preserve">. </w:t>
      </w:r>
    </w:p>
    <w:p w:rsidR="0098273E" w:rsidRDefault="00056221" w:rsidP="0098273E">
      <w:pPr>
        <w:pStyle w:val="ListBullet"/>
      </w:pPr>
      <w:r w:rsidRPr="002B025F">
        <w:t xml:space="preserve">The Australian, State and Territory governments fund the TCP. In </w:t>
      </w:r>
      <w:r w:rsidR="00FB3CEE">
        <w:t>2012</w:t>
      </w:r>
      <w:r w:rsidR="00AA68A5">
        <w:noBreakHyphen/>
      </w:r>
      <w:r w:rsidR="00FB3CEE">
        <w:t>13</w:t>
      </w:r>
      <w:r w:rsidRPr="002B025F">
        <w:t>, the Australian Government spent $</w:t>
      </w:r>
      <w:r w:rsidR="004A558C">
        <w:t>224.7</w:t>
      </w:r>
      <w:r w:rsidR="00564091">
        <w:t> </w:t>
      </w:r>
      <w:r w:rsidRPr="002B025F">
        <w:t>million and the State and Territory governments spent $</w:t>
      </w:r>
      <w:r w:rsidR="004A558C">
        <w:t>105.3</w:t>
      </w:r>
      <w:r w:rsidRPr="002B025F">
        <w:t xml:space="preserve"> million on </w:t>
      </w:r>
      <w:r w:rsidR="005C646B">
        <w:t xml:space="preserve">the </w:t>
      </w:r>
      <w:r w:rsidRPr="002B025F">
        <w:t>TCP (table</w:t>
      </w:r>
      <w:r w:rsidR="00AA68A5">
        <w:t> </w:t>
      </w:r>
      <w:proofErr w:type="spellStart"/>
      <w:r w:rsidRPr="002B025F">
        <w:t>13A.</w:t>
      </w:r>
      <w:r w:rsidR="006506B5" w:rsidRPr="002B025F">
        <w:t>10</w:t>
      </w:r>
      <w:proofErr w:type="spellEnd"/>
      <w:r w:rsidRPr="002B025F">
        <w:t xml:space="preserve">). </w:t>
      </w:r>
    </w:p>
    <w:p w:rsidR="0098273E" w:rsidRDefault="00056221" w:rsidP="0098273E">
      <w:pPr>
        <w:pStyle w:val="ListBullet"/>
      </w:pPr>
      <w:r w:rsidRPr="002B025F">
        <w:t xml:space="preserve">The Australian Government also funds the MPS program </w:t>
      </w:r>
      <w:r w:rsidR="009D1C17" w:rsidRPr="002B025F">
        <w:t>(</w:t>
      </w:r>
      <w:r w:rsidR="00A4355E" w:rsidRPr="002B025F">
        <w:t xml:space="preserve">in conjunction with </w:t>
      </w:r>
      <w:r w:rsidR="009D1C17" w:rsidRPr="002B025F">
        <w:t>S</w:t>
      </w:r>
      <w:r w:rsidR="00A4355E" w:rsidRPr="002B025F">
        <w:t>tate and Territory governments</w:t>
      </w:r>
      <w:r w:rsidR="009D1C17" w:rsidRPr="002B025F">
        <w:t xml:space="preserve">) </w:t>
      </w:r>
      <w:r w:rsidRPr="002B025F">
        <w:t xml:space="preserve">and </w:t>
      </w:r>
      <w:r w:rsidR="005C646B">
        <w:t xml:space="preserve">the </w:t>
      </w:r>
      <w:r w:rsidRPr="002B025F">
        <w:t xml:space="preserve">Innovative </w:t>
      </w:r>
      <w:bookmarkStart w:id="18" w:name="OLE_LINK96"/>
      <w:bookmarkStart w:id="19" w:name="OLE_LINK97"/>
      <w:r w:rsidRPr="002B025F">
        <w:t xml:space="preserve">Care </w:t>
      </w:r>
      <w:bookmarkEnd w:id="18"/>
      <w:bookmarkEnd w:id="19"/>
      <w:r w:rsidRPr="002B025F">
        <w:t xml:space="preserve">Pool. In </w:t>
      </w:r>
      <w:r w:rsidR="00FB3CEE">
        <w:t>2012</w:t>
      </w:r>
      <w:r w:rsidR="00AA68A5">
        <w:noBreakHyphen/>
      </w:r>
      <w:r w:rsidR="00FB3CEE">
        <w:t>13</w:t>
      </w:r>
      <w:r w:rsidRPr="002B025F">
        <w:t>,</w:t>
      </w:r>
      <w:r w:rsidR="009D1C17" w:rsidRPr="002B025F">
        <w:t xml:space="preserve"> the Australian Government spent</w:t>
      </w:r>
      <w:r w:rsidRPr="002B025F">
        <w:t xml:space="preserve"> $</w:t>
      </w:r>
      <w:r w:rsidR="004A558C">
        <w:t>126.7</w:t>
      </w:r>
      <w:r w:rsidR="00E74698">
        <w:t xml:space="preserve"> </w:t>
      </w:r>
      <w:r w:rsidRPr="002B025F">
        <w:t>million and $</w:t>
      </w:r>
      <w:r w:rsidR="004A558C">
        <w:t>2.8</w:t>
      </w:r>
      <w:r w:rsidRPr="002B025F">
        <w:t xml:space="preserve"> million on these programs, respectively (table</w:t>
      </w:r>
      <w:r w:rsidR="00AA68A5">
        <w:t> </w:t>
      </w:r>
      <w:proofErr w:type="spellStart"/>
      <w:r w:rsidRPr="002B025F">
        <w:t>13A.</w:t>
      </w:r>
      <w:r w:rsidR="006506B5" w:rsidRPr="002B025F">
        <w:t>10</w:t>
      </w:r>
      <w:proofErr w:type="spellEnd"/>
      <w:r w:rsidRPr="002B025F">
        <w:t xml:space="preserve">). </w:t>
      </w:r>
    </w:p>
    <w:p w:rsidR="00056221" w:rsidRPr="002B025F" w:rsidRDefault="0098273E" w:rsidP="0098273E">
      <w:pPr>
        <w:pStyle w:val="ListBullet"/>
      </w:pPr>
      <w:r>
        <w:t>T</w:t>
      </w:r>
      <w:r w:rsidR="00056221" w:rsidRPr="002B025F">
        <w:t>he Australian Government spent $</w:t>
      </w:r>
      <w:r w:rsidR="004A558C">
        <w:t>30.7</w:t>
      </w:r>
      <w:r w:rsidR="00056221" w:rsidRPr="002B025F">
        <w:t xml:space="preserve"> million on Indigenous specific services delivered under the </w:t>
      </w:r>
      <w:r w:rsidR="005F7FAB">
        <w:t>National Aboriginal and Torres Strait Islander Flexible Aged Care Program</w:t>
      </w:r>
      <w:r w:rsidR="001C30FE">
        <w:t xml:space="preserve"> (table</w:t>
      </w:r>
      <w:r w:rsidR="00AA68A5">
        <w:t> </w:t>
      </w:r>
      <w:proofErr w:type="spellStart"/>
      <w:r w:rsidR="001C30FE">
        <w:t>13A.10</w:t>
      </w:r>
      <w:proofErr w:type="spellEnd"/>
      <w:r w:rsidR="001C30FE">
        <w:t>)</w:t>
      </w:r>
      <w:r w:rsidR="00056221" w:rsidRPr="002B025F">
        <w:t>.</w:t>
      </w:r>
    </w:p>
    <w:p w:rsidR="00056221" w:rsidRPr="00F77AD7" w:rsidRDefault="00F51EAC" w:rsidP="00BA6E14">
      <w:pPr>
        <w:pStyle w:val="BodyText"/>
        <w:spacing w:before="200"/>
      </w:pPr>
      <w:r w:rsidRPr="00F77AD7">
        <w:lastRenderedPageBreak/>
        <w:t xml:space="preserve">Australian Government expenditure </w:t>
      </w:r>
      <w:r>
        <w:t>to support older people in hospitals (</w:t>
      </w:r>
      <w:r w:rsidRPr="00F51EAC">
        <w:t xml:space="preserve">Financial Assistance for </w:t>
      </w:r>
      <w:r w:rsidR="007D6142">
        <w:t>LSOP</w:t>
      </w:r>
      <w:r>
        <w:t>)</w:t>
      </w:r>
      <w:r w:rsidRPr="00F51EAC">
        <w:t xml:space="preserve"> </w:t>
      </w:r>
      <w:r w:rsidRPr="00F77AD7">
        <w:t xml:space="preserve">was </w:t>
      </w:r>
      <w:r w:rsidRPr="00BA6E14">
        <w:t>$</w:t>
      </w:r>
      <w:r w:rsidR="004A558C">
        <w:t>120.6</w:t>
      </w:r>
      <w:r w:rsidRPr="00BA6E14">
        <w:t> million</w:t>
      </w:r>
      <w:r w:rsidRPr="00F77AD7">
        <w:t xml:space="preserve"> in </w:t>
      </w:r>
      <w:r w:rsidR="00FB3CEE">
        <w:t>2012</w:t>
      </w:r>
      <w:r w:rsidR="00AA68A5">
        <w:noBreakHyphen/>
      </w:r>
      <w:r w:rsidR="00FB3CEE">
        <w:t>13</w:t>
      </w:r>
      <w:r w:rsidR="00FB3CEE" w:rsidRPr="00F77AD7">
        <w:t xml:space="preserve"> </w:t>
      </w:r>
      <w:r w:rsidRPr="00F77AD7">
        <w:t>(table</w:t>
      </w:r>
      <w:r w:rsidR="00AA68A5">
        <w:t> </w:t>
      </w:r>
      <w:proofErr w:type="spellStart"/>
      <w:r w:rsidRPr="00F77AD7">
        <w:t>13A.</w:t>
      </w:r>
      <w:r w:rsidR="00F41730">
        <w:t>10</w:t>
      </w:r>
      <w:proofErr w:type="spellEnd"/>
      <w:r w:rsidRPr="00F77AD7">
        <w:t>).</w:t>
      </w:r>
      <w:r>
        <w:t xml:space="preserve"> </w:t>
      </w:r>
      <w:r w:rsidR="00056221" w:rsidRPr="00F77AD7">
        <w:t>Australian Government expenditure data on a range of other services provided in mixed delivery setti</w:t>
      </w:r>
      <w:r w:rsidR="009175BE">
        <w:t xml:space="preserve">ngs targeting older people </w:t>
      </w:r>
      <w:r w:rsidR="00D77DA4">
        <w:t>was $</w:t>
      </w:r>
      <w:r w:rsidR="004A558C">
        <w:t>165.6</w:t>
      </w:r>
      <w:r w:rsidR="00D77DA4">
        <w:t xml:space="preserve"> million in 2012</w:t>
      </w:r>
      <w:r w:rsidR="00AA68A5">
        <w:noBreakHyphen/>
      </w:r>
      <w:r w:rsidR="00D77DA4">
        <w:t xml:space="preserve">13 (for more details see </w:t>
      </w:r>
      <w:r w:rsidR="00056221" w:rsidRPr="00F77AD7">
        <w:t>table</w:t>
      </w:r>
      <w:r w:rsidR="00AA68A5">
        <w:t> </w:t>
      </w:r>
      <w:proofErr w:type="spellStart"/>
      <w:r w:rsidR="00056221" w:rsidRPr="00F77AD7">
        <w:t>13A.</w:t>
      </w:r>
      <w:r w:rsidR="006506B5" w:rsidRPr="00F77AD7">
        <w:t>10</w:t>
      </w:r>
      <w:proofErr w:type="spellEnd"/>
      <w:r w:rsidR="00D77DA4">
        <w:t>)</w:t>
      </w:r>
      <w:r w:rsidR="00056221" w:rsidRPr="00F77AD7">
        <w:t xml:space="preserve">. </w:t>
      </w:r>
    </w:p>
    <w:p w:rsidR="00056221" w:rsidRDefault="00056221" w:rsidP="004872E6">
      <w:pPr>
        <w:pStyle w:val="Heading3"/>
      </w:pPr>
      <w:r w:rsidRPr="004872E6">
        <w:t>Size and scope of sector</w:t>
      </w:r>
    </w:p>
    <w:p w:rsidR="007C08C8" w:rsidRPr="007C08C8" w:rsidRDefault="007C08C8" w:rsidP="007C08C8">
      <w:pPr>
        <w:pStyle w:val="Heading4"/>
      </w:pPr>
      <w:r>
        <w:t>Aged care target population</w:t>
      </w:r>
    </w:p>
    <w:p w:rsidR="007C08C8" w:rsidRPr="007C08C8" w:rsidRDefault="007C08C8" w:rsidP="007C08C8">
      <w:pPr>
        <w:pStyle w:val="BodyText"/>
      </w:pPr>
      <w:r>
        <w:t xml:space="preserve">To align with the funding arrangements as specified under the </w:t>
      </w:r>
      <w:r w:rsidRPr="00E64CE9">
        <w:rPr>
          <w:i/>
        </w:rPr>
        <w:t>National Health Reform Agreement</w:t>
      </w:r>
      <w:r>
        <w:t xml:space="preserve">, this Report defines the aged care target population as all people aged 65 years or over and Indigenous Australians aged 50–64 years. This aged care target population differs in scope to the Australian Government’s aged care ‘planning population’ (people aged 70 years or over) used to allocate residential care places and community care packages under the </w:t>
      </w:r>
      <w:r w:rsidRPr="0035408F">
        <w:rPr>
          <w:i/>
        </w:rPr>
        <w:t>Aged Care Act 1997</w:t>
      </w:r>
      <w:r>
        <w:t>, and which for reporting purposes is combined with the population of Indigenous Australians aged 50–69 years.</w:t>
      </w:r>
    </w:p>
    <w:p w:rsidR="00056221" w:rsidRPr="004872E6" w:rsidRDefault="00056221" w:rsidP="00A32E3D">
      <w:pPr>
        <w:pStyle w:val="Heading5"/>
      </w:pPr>
      <w:r w:rsidRPr="004872E6">
        <w:t>Size and growth of the older population</w:t>
      </w:r>
    </w:p>
    <w:p w:rsidR="00056221" w:rsidRDefault="00056221" w:rsidP="004872E6">
      <w:pPr>
        <w:pStyle w:val="BodyText"/>
        <w:tabs>
          <w:tab w:val="left" w:pos="6120"/>
        </w:tabs>
      </w:pPr>
      <w:r w:rsidRPr="00554BA0">
        <w:t xml:space="preserve">The Australian population is ageing, as indicated by an increase in the proportion of </w:t>
      </w:r>
      <w:r w:rsidR="00590609">
        <w:t xml:space="preserve">older </w:t>
      </w:r>
      <w:r w:rsidR="00590609" w:rsidRPr="00554BA0">
        <w:t xml:space="preserve">people </w:t>
      </w:r>
      <w:r w:rsidR="00590609">
        <w:t>(</w:t>
      </w:r>
      <w:r w:rsidR="00590609" w:rsidRPr="00554BA0">
        <w:t xml:space="preserve">aged </w:t>
      </w:r>
      <w:r w:rsidR="00590609">
        <w:t>65</w:t>
      </w:r>
      <w:r w:rsidR="00590609" w:rsidRPr="00554BA0">
        <w:t xml:space="preserve"> years or over</w:t>
      </w:r>
      <w:r w:rsidR="00590609">
        <w:t>)</w:t>
      </w:r>
      <w:r w:rsidR="00590609" w:rsidRPr="00554BA0">
        <w:t xml:space="preserve"> </w:t>
      </w:r>
      <w:r w:rsidRPr="00554BA0">
        <w:t xml:space="preserve">in the total population. This trend is expected to continue, and the proportion of older people is expected to increase dramatically </w:t>
      </w:r>
      <w:r w:rsidR="009175BE">
        <w:t xml:space="preserve">during this </w:t>
      </w:r>
      <w:r w:rsidRPr="00554BA0">
        <w:t>century (figure</w:t>
      </w:r>
      <w:r w:rsidR="00AA68A5">
        <w:t> </w:t>
      </w:r>
      <w:r w:rsidRPr="00554BA0">
        <w:t>13.</w:t>
      </w:r>
      <w:r w:rsidR="0062395E">
        <w:t>3</w:t>
      </w:r>
      <w:r w:rsidRPr="00554BA0">
        <w:t xml:space="preserve">). The proportion of older people </w:t>
      </w:r>
      <w:r w:rsidR="0040280A">
        <w:t xml:space="preserve">in the population </w:t>
      </w:r>
      <w:r w:rsidR="000B5CE3">
        <w:t>at June 2013 was</w:t>
      </w:r>
      <w:r w:rsidRPr="00554BA0">
        <w:t xml:space="preserve"> </w:t>
      </w:r>
      <w:r w:rsidR="00E310E7">
        <w:t>14.5</w:t>
      </w:r>
      <w:r w:rsidRPr="00554BA0">
        <w:t xml:space="preserve"> per cent nationally</w:t>
      </w:r>
      <w:r w:rsidR="0040280A">
        <w:t>,</w:t>
      </w:r>
      <w:r w:rsidRPr="00554BA0">
        <w:t xml:space="preserve"> but varies across jurisdictions (figure</w:t>
      </w:r>
      <w:r w:rsidR="00AA68A5">
        <w:t> </w:t>
      </w:r>
      <w:r w:rsidRPr="00554BA0">
        <w:t>13.</w:t>
      </w:r>
      <w:r w:rsidR="0062395E">
        <w:t>4</w:t>
      </w:r>
      <w:r w:rsidRPr="00554BA0">
        <w:t>). A disaggregation</w:t>
      </w:r>
      <w:r w:rsidRPr="000B64BE">
        <w:t xml:space="preserve"> by remoteness </w:t>
      </w:r>
      <w:r>
        <w:t>categorisation</w:t>
      </w:r>
      <w:r w:rsidRPr="000B64BE">
        <w:t xml:space="preserve"> is provided in table</w:t>
      </w:r>
      <w:r w:rsidR="00AA68A5">
        <w:t> </w:t>
      </w:r>
      <w:proofErr w:type="spellStart"/>
      <w:r w:rsidRPr="000B64BE">
        <w:t>13A.3</w:t>
      </w:r>
      <w:proofErr w:type="spellEnd"/>
      <w:r w:rsidRPr="000B64BE">
        <w:t xml:space="preserve">. </w:t>
      </w:r>
      <w:r w:rsidR="00F4143E">
        <w:rPr>
          <w:szCs w:val="26"/>
        </w:rPr>
        <w:t>Higher life expectancy for females resulted in all jurisdictions having a higher proportion of older females than older males in the total population (except the NT) (table</w:t>
      </w:r>
      <w:r w:rsidR="00AA68A5">
        <w:rPr>
          <w:szCs w:val="26"/>
        </w:rPr>
        <w:t> </w:t>
      </w:r>
      <w:proofErr w:type="spellStart"/>
      <w:r w:rsidR="00F4143E">
        <w:rPr>
          <w:szCs w:val="26"/>
        </w:rPr>
        <w:t>13A.1</w:t>
      </w:r>
      <w:proofErr w:type="spellEnd"/>
      <w:r w:rsidR="00F4143E">
        <w:rPr>
          <w:rFonts w:ascii="Arial" w:hAnsi="Arial" w:cs="Arial"/>
          <w:sz w:val="20"/>
        </w:rPr>
        <w:t>)</w:t>
      </w:r>
      <w:r w:rsidR="007F7C8A">
        <w:rPr>
          <w:rFonts w:ascii="Arial" w:hAnsi="Arial" w:cs="Arial"/>
          <w:sz w:val="20"/>
        </w:rPr>
        <w:t>.</w:t>
      </w:r>
    </w:p>
    <w:p w:rsidR="00696A8A" w:rsidRPr="00696A8A" w:rsidRDefault="00696A8A" w:rsidP="0079479E">
      <w:pPr>
        <w:pStyle w:val="BodyText"/>
        <w:tabs>
          <w:tab w:val="left" w:pos="6120"/>
        </w:tabs>
      </w:pPr>
      <w:r w:rsidRPr="00696A8A">
        <w:t xml:space="preserve">The demand for aged care services is driven by the </w:t>
      </w:r>
      <w:r w:rsidR="00EF35CE" w:rsidRPr="00696A8A">
        <w:t xml:space="preserve">size </w:t>
      </w:r>
      <w:r w:rsidRPr="00696A8A">
        <w:t xml:space="preserve">and </w:t>
      </w:r>
      <w:r w:rsidR="00EF35CE" w:rsidRPr="00696A8A">
        <w:t xml:space="preserve">health </w:t>
      </w:r>
      <w:r w:rsidRPr="00696A8A">
        <w:t xml:space="preserve">of the older population. Females comprise a larger proportion of the older population and are more likely to utilise aged care services than males </w:t>
      </w:r>
      <w:r>
        <w:t>(partly because they are more likely to live alone)</w:t>
      </w:r>
      <w:r w:rsidRPr="00696A8A">
        <w:t>. Based on the current age</w:t>
      </w:r>
      <w:r w:rsidR="00AA68A5">
        <w:noBreakHyphen/>
      </w:r>
      <w:r w:rsidRPr="00696A8A">
        <w:t>sex specific utilisation rates for residential aged care and packaged community care combined</w:t>
      </w:r>
      <w:r w:rsidR="00F53177">
        <w:t>,</w:t>
      </w:r>
      <w:r w:rsidRPr="00696A8A">
        <w:t xml:space="preserve"> and projected growth in the size of </w:t>
      </w:r>
      <w:r w:rsidR="00784EE9">
        <w:t xml:space="preserve">the aged care </w:t>
      </w:r>
      <w:r w:rsidR="00590609">
        <w:t>planning</w:t>
      </w:r>
      <w:r w:rsidR="00590609" w:rsidRPr="00696A8A">
        <w:t xml:space="preserve"> population</w:t>
      </w:r>
      <w:r w:rsidR="00590609">
        <w:t xml:space="preserve"> for these services</w:t>
      </w:r>
      <w:r w:rsidR="00F53177">
        <w:t>,</w:t>
      </w:r>
      <w:r w:rsidRPr="00696A8A">
        <w:t xml:space="preserve"> </w:t>
      </w:r>
      <w:r w:rsidR="009175BE">
        <w:t xml:space="preserve">it is estimated that </w:t>
      </w:r>
      <w:r w:rsidRPr="00696A8A">
        <w:t xml:space="preserve">the demand for aged care services for people </w:t>
      </w:r>
      <w:r>
        <w:t xml:space="preserve">aged </w:t>
      </w:r>
      <w:r w:rsidRPr="00696A8A">
        <w:t xml:space="preserve">70 </w:t>
      </w:r>
      <w:r w:rsidR="0045547A">
        <w:t>years or</w:t>
      </w:r>
      <w:r w:rsidRPr="00696A8A">
        <w:t xml:space="preserve"> over will more than </w:t>
      </w:r>
      <w:r w:rsidRPr="003C116E">
        <w:t>treble by 2056</w:t>
      </w:r>
      <w:r w:rsidR="004726E3">
        <w:t xml:space="preserve"> </w:t>
      </w:r>
      <w:r w:rsidR="004726E3" w:rsidRPr="0079479E">
        <w:rPr>
          <w:shd w:val="clear" w:color="auto" w:fill="FFFFFF" w:themeFill="background1"/>
        </w:rPr>
        <w:t>(D</w:t>
      </w:r>
      <w:r w:rsidR="00E46620" w:rsidRPr="0079479E">
        <w:rPr>
          <w:shd w:val="clear" w:color="auto" w:fill="FFFFFF" w:themeFill="background1"/>
        </w:rPr>
        <w:t>SS</w:t>
      </w:r>
      <w:r w:rsidR="004726E3" w:rsidRPr="00BA6E14">
        <w:t xml:space="preserve"> unpublished</w:t>
      </w:r>
      <w:r w:rsidR="00343305" w:rsidRPr="00BA6E14">
        <w:t xml:space="preserve"> estimate</w:t>
      </w:r>
      <w:r w:rsidR="004726E3" w:rsidRPr="00BA6E14">
        <w:t xml:space="preserve">, based on ABS </w:t>
      </w:r>
      <w:r w:rsidR="00343305" w:rsidRPr="00BA6E14">
        <w:t>population projections series B in</w:t>
      </w:r>
      <w:r w:rsidR="009238E5">
        <w:t xml:space="preserve"> </w:t>
      </w:r>
      <w:r w:rsidR="00343305" w:rsidRPr="00BA6E14">
        <w:t>Cat. no. 3222.0)</w:t>
      </w:r>
      <w:r w:rsidR="00903197">
        <w:t>.</w:t>
      </w:r>
    </w:p>
    <w:p w:rsidR="00056221" w:rsidRDefault="00056221" w:rsidP="003C116E">
      <w:pPr>
        <w:pStyle w:val="FigureTitle"/>
        <w:keepLines w:val="0"/>
      </w:pPr>
      <w:r w:rsidRPr="007218AB">
        <w:rPr>
          <w:b w:val="0"/>
          <w:sz w:val="24"/>
        </w:rPr>
        <w:lastRenderedPageBreak/>
        <w:t xml:space="preserve">Figure </w:t>
      </w:r>
      <w:r w:rsidR="00BC7F6B" w:rsidRPr="007218AB">
        <w:rPr>
          <w:b w:val="0"/>
          <w:sz w:val="24"/>
        </w:rPr>
        <w:t>13.</w:t>
      </w:r>
      <w:r w:rsidR="00E4728C">
        <w:rPr>
          <w:b w:val="0"/>
          <w:noProof/>
          <w:sz w:val="24"/>
        </w:rPr>
        <w:t>3</w:t>
      </w:r>
      <w:r w:rsidRPr="007218AB">
        <w:rPr>
          <w:b w:val="0"/>
          <w:sz w:val="24"/>
        </w:rPr>
        <w:tab/>
      </w:r>
      <w:r w:rsidRPr="007218AB">
        <w:rPr>
          <w:sz w:val="24"/>
        </w:rPr>
        <w:t xml:space="preserve">People aged </w:t>
      </w:r>
      <w:r w:rsidR="009238E5" w:rsidRPr="007218AB">
        <w:rPr>
          <w:sz w:val="24"/>
        </w:rPr>
        <w:t>65</w:t>
      </w:r>
      <w:r w:rsidRPr="007218AB">
        <w:rPr>
          <w:sz w:val="24"/>
        </w:rPr>
        <w:t xml:space="preserve"> years or over as a proportion of the total population</w:t>
      </w:r>
      <w:r w:rsidRPr="00B748B3">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56221" w:rsidTr="00056221">
        <w:tc>
          <w:tcPr>
            <w:tcW w:w="8777" w:type="dxa"/>
          </w:tcPr>
          <w:p w:rsidR="00056221" w:rsidRPr="00240469" w:rsidRDefault="008018D4" w:rsidP="00240469">
            <w:pPr>
              <w:pStyle w:val="Figure"/>
            </w:pPr>
            <w:r>
              <w:rPr>
                <w:noProof/>
              </w:rPr>
              <w:drawing>
                <wp:inline distT="0" distB="0" distL="0" distR="0">
                  <wp:extent cx="5391150" cy="2686050"/>
                  <wp:effectExtent l="0" t="0" r="0" b="0"/>
                  <wp:docPr id="4" name="Picture 4" descr="Figure 13.3 Peopole aged 65 years or over as a proportion of the total population&#10;&#10;More details can be found within the text surrounding this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056221" w:rsidRPr="00DB25F1" w:rsidRDefault="00056221" w:rsidP="003C116E">
      <w:pPr>
        <w:pStyle w:val="Note"/>
        <w:keepNext/>
        <w:keepLines w:val="0"/>
      </w:pPr>
      <w:r>
        <w:rPr>
          <w:rStyle w:val="NoteLabel"/>
        </w:rPr>
        <w:t>a</w:t>
      </w:r>
      <w:r>
        <w:t> Population projections are derived from the ABS ‘B’ series population projection</w:t>
      </w:r>
      <w:r w:rsidRPr="00DB25F1">
        <w:t>s.</w:t>
      </w:r>
    </w:p>
    <w:p w:rsidR="00056221" w:rsidRPr="00DB25F1" w:rsidRDefault="00056221" w:rsidP="003C116E">
      <w:pPr>
        <w:pStyle w:val="Source"/>
        <w:keepNext/>
        <w:keepLines w:val="0"/>
      </w:pPr>
      <w:r w:rsidRPr="000B64BE">
        <w:rPr>
          <w:i/>
        </w:rPr>
        <w:t>Source</w:t>
      </w:r>
      <w:r w:rsidRPr="000B64BE">
        <w:t xml:space="preserve">: ABS </w:t>
      </w:r>
      <w:bookmarkStart w:id="20" w:name="OLE_LINK79"/>
      <w:bookmarkStart w:id="21" w:name="OLE_LINK80"/>
      <w:r w:rsidR="00340EFD">
        <w:t xml:space="preserve">(2008) </w:t>
      </w:r>
      <w:bookmarkEnd w:id="20"/>
      <w:bookmarkEnd w:id="21"/>
      <w:r w:rsidRPr="00661F8E">
        <w:rPr>
          <w:i/>
        </w:rPr>
        <w:t>Australian Historical Population Statistics, 2008</w:t>
      </w:r>
      <w:r w:rsidRPr="000B64BE">
        <w:t xml:space="preserve">, Cat. </w:t>
      </w:r>
      <w:r>
        <w:t>n</w:t>
      </w:r>
      <w:r w:rsidRPr="000B64BE">
        <w:t>o. 3105.0.65.001</w:t>
      </w:r>
      <w:r>
        <w:t>, Canberra</w:t>
      </w:r>
      <w:r w:rsidRPr="000B64BE">
        <w:t xml:space="preserve">; </w:t>
      </w:r>
      <w:r w:rsidR="00822C75">
        <w:br/>
      </w:r>
      <w:r w:rsidRPr="000B64BE">
        <w:t>ABS</w:t>
      </w:r>
      <w:r w:rsidR="00340EFD">
        <w:t xml:space="preserve"> (2008) </w:t>
      </w:r>
      <w:r w:rsidRPr="00661F8E">
        <w:rPr>
          <w:i/>
        </w:rPr>
        <w:t>Population Projections Australia 2006–2101</w:t>
      </w:r>
      <w:r w:rsidRPr="00661F8E">
        <w:t>,</w:t>
      </w:r>
      <w:r>
        <w:t xml:space="preserve"> </w:t>
      </w:r>
      <w:r w:rsidRPr="000B64BE">
        <w:t>Cat. no. 3222.0</w:t>
      </w:r>
      <w:r>
        <w:t>,</w:t>
      </w:r>
      <w:r w:rsidRPr="00DB25F1">
        <w:t xml:space="preserve"> Canberra.</w:t>
      </w:r>
    </w:p>
    <w:p w:rsidR="00056221" w:rsidRPr="007218AB" w:rsidRDefault="00056221" w:rsidP="004872E6">
      <w:pPr>
        <w:pStyle w:val="FigureTitle"/>
        <w:rPr>
          <w:sz w:val="24"/>
        </w:rPr>
      </w:pPr>
      <w:r w:rsidRPr="007218AB">
        <w:rPr>
          <w:b w:val="0"/>
          <w:sz w:val="24"/>
        </w:rPr>
        <w:t xml:space="preserve">Figure </w:t>
      </w:r>
      <w:r w:rsidR="00C82353" w:rsidRPr="007218AB">
        <w:rPr>
          <w:b w:val="0"/>
          <w:sz w:val="24"/>
        </w:rPr>
        <w:t>13.</w:t>
      </w:r>
      <w:r w:rsidR="00E4728C">
        <w:rPr>
          <w:b w:val="0"/>
          <w:noProof/>
          <w:sz w:val="24"/>
        </w:rPr>
        <w:t>4</w:t>
      </w:r>
      <w:r w:rsidRPr="007218AB">
        <w:rPr>
          <w:sz w:val="24"/>
        </w:rPr>
        <w:tab/>
        <w:t xml:space="preserve">Estimated proportion of population aged </w:t>
      </w:r>
      <w:r w:rsidR="009238E5" w:rsidRPr="007218AB">
        <w:rPr>
          <w:sz w:val="24"/>
        </w:rPr>
        <w:t>65</w:t>
      </w:r>
      <w:r w:rsidRPr="007218AB">
        <w:rPr>
          <w:sz w:val="24"/>
        </w:rPr>
        <w:t xml:space="preserve"> years or over, by </w:t>
      </w:r>
      <w:r w:rsidR="009175BE" w:rsidRPr="007218AB">
        <w:rPr>
          <w:sz w:val="24"/>
        </w:rPr>
        <w:t>sex</w:t>
      </w:r>
      <w:r w:rsidRPr="007218AB">
        <w:rPr>
          <w:sz w:val="24"/>
        </w:rPr>
        <w:t xml:space="preserve">, </w:t>
      </w:r>
      <w:r w:rsidR="00714EDC" w:rsidRPr="007218AB">
        <w:rPr>
          <w:sz w:val="24"/>
        </w:rPr>
        <w:t xml:space="preserve">June </w:t>
      </w:r>
      <w:r w:rsidR="00FB3CEE" w:rsidRPr="007218AB">
        <w:rPr>
          <w:sz w:val="24"/>
        </w:rPr>
        <w:t>20</w:t>
      </w:r>
      <w:r w:rsidR="00FB3CEE">
        <w:rPr>
          <w:sz w:val="24"/>
        </w:rPr>
        <w:t>13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56221" w:rsidTr="00056221">
        <w:tc>
          <w:tcPr>
            <w:tcW w:w="8777" w:type="dxa"/>
          </w:tcPr>
          <w:p w:rsidR="00F72515" w:rsidRPr="00F070CB" w:rsidRDefault="008018D4" w:rsidP="00F070CB">
            <w:pPr>
              <w:pStyle w:val="Figure"/>
            </w:pPr>
            <w:r>
              <w:rPr>
                <w:noProof/>
              </w:rPr>
              <w:drawing>
                <wp:inline distT="0" distB="0" distL="0" distR="0">
                  <wp:extent cx="5391150" cy="2686050"/>
                  <wp:effectExtent l="0" t="0" r="0" b="0"/>
                  <wp:docPr id="5" name="Picture 5" descr="Figure 13.4 Estimated proportion of population aged 65 years or over, by sex,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4872E6" w:rsidRPr="004872E6" w:rsidRDefault="00056221" w:rsidP="00062E02">
      <w:pPr>
        <w:pStyle w:val="Source"/>
      </w:pPr>
      <w:r w:rsidRPr="004872E6">
        <w:rPr>
          <w:i/>
        </w:rPr>
        <w:t>Source</w:t>
      </w:r>
      <w:r w:rsidRPr="004872E6">
        <w:t>: Population projections prepared by the ABS based on the 20</w:t>
      </w:r>
      <w:r w:rsidR="00A42B82">
        <w:t>11</w:t>
      </w:r>
      <w:r w:rsidRPr="004872E6">
        <w:t xml:space="preserve"> Census according to assumptions agreed </w:t>
      </w:r>
      <w:r w:rsidRPr="0079479E">
        <w:rPr>
          <w:shd w:val="clear" w:color="auto" w:fill="FFFFFF" w:themeFill="background1"/>
        </w:rPr>
        <w:t xml:space="preserve">to by </w:t>
      </w:r>
      <w:proofErr w:type="spellStart"/>
      <w:r w:rsidRPr="0079479E">
        <w:rPr>
          <w:shd w:val="clear" w:color="auto" w:fill="FFFFFF" w:themeFill="background1"/>
        </w:rPr>
        <w:t>D</w:t>
      </w:r>
      <w:r w:rsidR="00E46620" w:rsidRPr="0079479E">
        <w:rPr>
          <w:shd w:val="clear" w:color="auto" w:fill="FFFFFF" w:themeFill="background1"/>
        </w:rPr>
        <w:t>SS</w:t>
      </w:r>
      <w:proofErr w:type="spellEnd"/>
      <w:r w:rsidRPr="004872E6">
        <w:t xml:space="preserve"> (unpublished); </w:t>
      </w:r>
      <w:r w:rsidR="004872E6">
        <w:t>table</w:t>
      </w:r>
      <w:r w:rsidR="00AA68A5">
        <w:t> </w:t>
      </w:r>
      <w:proofErr w:type="spellStart"/>
      <w:r w:rsidR="004872E6">
        <w:t>13A.1</w:t>
      </w:r>
      <w:proofErr w:type="spellEnd"/>
      <w:r w:rsidR="004872E6">
        <w:t>.</w:t>
      </w:r>
    </w:p>
    <w:p w:rsidR="00056221" w:rsidRDefault="00056221" w:rsidP="001A411C">
      <w:pPr>
        <w:pStyle w:val="Heading5"/>
      </w:pPr>
      <w:r>
        <w:lastRenderedPageBreak/>
        <w:t xml:space="preserve">Characteristics of older </w:t>
      </w:r>
      <w:r w:rsidR="00EB2705">
        <w:t>Indigenous Australians</w:t>
      </w:r>
    </w:p>
    <w:p w:rsidR="009269FC" w:rsidRPr="009269FC" w:rsidRDefault="00056221" w:rsidP="00905536">
      <w:pPr>
        <w:pStyle w:val="BodyText"/>
        <w:tabs>
          <w:tab w:val="left" w:pos="6120"/>
        </w:tabs>
      </w:pPr>
      <w:r w:rsidRPr="0079479E">
        <w:rPr>
          <w:shd w:val="clear" w:color="auto" w:fill="FFFFFF" w:themeFill="background1"/>
        </w:rPr>
        <w:t>D</w:t>
      </w:r>
      <w:r w:rsidR="00E46620" w:rsidRPr="0079479E">
        <w:rPr>
          <w:shd w:val="clear" w:color="auto" w:fill="FFFFFF" w:themeFill="background1"/>
        </w:rPr>
        <w:t>SS</w:t>
      </w:r>
      <w:r w:rsidRPr="0079479E">
        <w:rPr>
          <w:shd w:val="clear" w:color="auto" w:fill="FFFFFF" w:themeFill="background1"/>
        </w:rPr>
        <w:t xml:space="preserve"> e</w:t>
      </w:r>
      <w:r>
        <w:t xml:space="preserve">stimates that </w:t>
      </w:r>
      <w:r w:rsidRPr="00554BA0">
        <w:t xml:space="preserve">about </w:t>
      </w:r>
      <w:r w:rsidR="00202CB1" w:rsidRPr="00202CB1">
        <w:t>83</w:t>
      </w:r>
      <w:r w:rsidR="00202CB1">
        <w:t xml:space="preserve"> </w:t>
      </w:r>
      <w:r w:rsidR="00202CB1" w:rsidRPr="00202CB1">
        <w:t>959</w:t>
      </w:r>
      <w:r w:rsidRPr="00554BA0">
        <w:t xml:space="preserve"> </w:t>
      </w:r>
      <w:r w:rsidR="00EB2705">
        <w:t>Indigenous Australians</w:t>
      </w:r>
      <w:r w:rsidRPr="00554BA0">
        <w:t xml:space="preserve"> were</w:t>
      </w:r>
      <w:r>
        <w:t xml:space="preserve"> aged 50 years or over in Australia at 30</w:t>
      </w:r>
      <w:r w:rsidR="00AA68A5">
        <w:t> </w:t>
      </w:r>
      <w:r w:rsidR="00714EDC">
        <w:t>June 20</w:t>
      </w:r>
      <w:r w:rsidR="008B50CD">
        <w:t>13</w:t>
      </w:r>
      <w:r>
        <w:t xml:space="preserve"> (table 13A.2). Although the Indigenous population is also ageing, there are marked differences in the age profile of Indigenous Australians compared with non</w:t>
      </w:r>
      <w:r>
        <w:noBreakHyphen/>
        <w:t>Indigenous Australians (figure</w:t>
      </w:r>
      <w:r w:rsidR="00AA68A5">
        <w:t> </w:t>
      </w:r>
      <w:r>
        <w:t>13.</w:t>
      </w:r>
      <w:r w:rsidR="00E310E7">
        <w:t>5</w:t>
      </w:r>
      <w:r>
        <w:t xml:space="preserve">). </w:t>
      </w:r>
      <w:r w:rsidR="00BD413A" w:rsidRPr="0079479E">
        <w:rPr>
          <w:shd w:val="clear" w:color="auto" w:fill="FFFFFF" w:themeFill="background1"/>
        </w:rPr>
        <w:t>Estimates show life expectancy at birth in the Indigenous population is around 10.6 years less for males and 9.5 years less for females when compared with the total Australian population (ABS 2013)</w:t>
      </w:r>
      <w:r w:rsidRPr="0079479E">
        <w:rPr>
          <w:shd w:val="clear" w:color="auto" w:fill="FFFFFF" w:themeFill="background1"/>
        </w:rPr>
        <w:t>.</w:t>
      </w:r>
      <w:r w:rsidR="00AA4AFF" w:rsidRPr="00AA4AFF">
        <w:t xml:space="preserve"> </w:t>
      </w:r>
      <w:r w:rsidR="00EB2705">
        <w:t>Indigenous Australians</w:t>
      </w:r>
      <w:r w:rsidR="00AA4AFF">
        <w:t xml:space="preserve"> aged 50 years or over are used in this </w:t>
      </w:r>
      <w:r w:rsidR="00AE3C3D">
        <w:t>R</w:t>
      </w:r>
      <w:r w:rsidR="00AA4AFF">
        <w:t>eport as a proxy for the likelihood of requiring aged care services</w:t>
      </w:r>
      <w:r w:rsidR="0067075C">
        <w:t>,</w:t>
      </w:r>
      <w:r w:rsidR="00AA4AFF">
        <w:t xml:space="preserve"> compared to </w:t>
      </w:r>
      <w:r w:rsidR="009238E5">
        <w:t>65</w:t>
      </w:r>
      <w:r w:rsidR="00AA4AFF">
        <w:t xml:space="preserve"> years or over for the general population.</w:t>
      </w:r>
      <w:r w:rsidRPr="00333995">
        <w:t xml:space="preserve"> </w:t>
      </w:r>
    </w:p>
    <w:p w:rsidR="00056221" w:rsidRPr="004E0F35" w:rsidRDefault="00056221" w:rsidP="004E0F35">
      <w:pPr>
        <w:pStyle w:val="FigureTitle"/>
        <w:rPr>
          <w:sz w:val="24"/>
        </w:rPr>
      </w:pPr>
      <w:r w:rsidRPr="004E0F35">
        <w:rPr>
          <w:b w:val="0"/>
          <w:sz w:val="24"/>
        </w:rPr>
        <w:t xml:space="preserve">Figure </w:t>
      </w:r>
      <w:r w:rsidR="00D635CA" w:rsidRPr="004E0F35">
        <w:rPr>
          <w:b w:val="0"/>
          <w:sz w:val="24"/>
        </w:rPr>
        <w:t>13.</w:t>
      </w:r>
      <w:r w:rsidR="00E4728C">
        <w:rPr>
          <w:b w:val="0"/>
          <w:noProof/>
          <w:sz w:val="24"/>
        </w:rPr>
        <w:t>5</w:t>
      </w:r>
      <w:r w:rsidRPr="004E0F35">
        <w:rPr>
          <w:sz w:val="24"/>
        </w:rPr>
        <w:tab/>
        <w:t xml:space="preserve">Age profile and </w:t>
      </w:r>
      <w:r w:rsidR="00784EE9" w:rsidRPr="004E0F35">
        <w:rPr>
          <w:sz w:val="24"/>
        </w:rPr>
        <w:t xml:space="preserve">aged care </w:t>
      </w:r>
      <w:r w:rsidRPr="004E0F35">
        <w:rPr>
          <w:sz w:val="24"/>
        </w:rPr>
        <w:t>target population differences between Indigenous and other Australians, June 20</w:t>
      </w:r>
      <w:r w:rsidR="004E0F35">
        <w:rPr>
          <w:sz w:val="24"/>
        </w:rPr>
        <w:t>11</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56221" w:rsidTr="0079479E">
        <w:tc>
          <w:tcPr>
            <w:tcW w:w="8777" w:type="dxa"/>
            <w:tcBorders>
              <w:top w:val="single" w:sz="4" w:space="0" w:color="auto"/>
              <w:bottom w:val="single" w:sz="4" w:space="0" w:color="auto"/>
              <w:right w:val="nil"/>
            </w:tcBorders>
            <w:shd w:val="clear" w:color="auto" w:fill="FFFFFF" w:themeFill="background1"/>
          </w:tcPr>
          <w:p w:rsidR="00056221" w:rsidRPr="00F070CB" w:rsidRDefault="008018D4" w:rsidP="00737DF7">
            <w:pPr>
              <w:pStyle w:val="Figure"/>
            </w:pPr>
            <w:r>
              <w:rPr>
                <w:noProof/>
              </w:rPr>
              <w:drawing>
                <wp:inline distT="0" distB="0" distL="0" distR="0">
                  <wp:extent cx="5391150" cy="2686050"/>
                  <wp:effectExtent l="0" t="0" r="0" b="0"/>
                  <wp:docPr id="6" name="Picture 6" descr="Figure 13.5 Age profile and aged care target population differences between Indigenous and other Australians, June 2011&#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056221" w:rsidRPr="00DB25F1" w:rsidRDefault="00056221" w:rsidP="00056221">
      <w:pPr>
        <w:pStyle w:val="Source"/>
      </w:pPr>
      <w:r w:rsidRPr="001973DA">
        <w:rPr>
          <w:i/>
        </w:rPr>
        <w:t>Source</w:t>
      </w:r>
      <w:r w:rsidRPr="001973DA">
        <w:t xml:space="preserve">: ABS </w:t>
      </w:r>
      <w:r w:rsidR="00340EFD">
        <w:t>(20</w:t>
      </w:r>
      <w:r w:rsidR="009C063A">
        <w:t>1</w:t>
      </w:r>
      <w:r w:rsidR="00DD14D2">
        <w:t>3</w:t>
      </w:r>
      <w:r w:rsidR="00340EFD">
        <w:t xml:space="preserve">) </w:t>
      </w:r>
      <w:r w:rsidR="009C063A" w:rsidRPr="009C063A">
        <w:rPr>
          <w:i/>
        </w:rPr>
        <w:t xml:space="preserve">Australian Demographic Statistics, </w:t>
      </w:r>
      <w:r w:rsidR="00DD14D2">
        <w:rPr>
          <w:i/>
        </w:rPr>
        <w:t xml:space="preserve">March </w:t>
      </w:r>
      <w:r w:rsidR="009C063A" w:rsidRPr="009C063A">
        <w:rPr>
          <w:i/>
        </w:rPr>
        <w:t>201</w:t>
      </w:r>
      <w:r w:rsidR="00DD14D2">
        <w:rPr>
          <w:i/>
        </w:rPr>
        <w:t>3</w:t>
      </w:r>
      <w:r>
        <w:t>, Cat</w:t>
      </w:r>
      <w:r w:rsidR="00340EFD">
        <w:t>.</w:t>
      </w:r>
      <w:r>
        <w:t xml:space="preserve"> no. 3</w:t>
      </w:r>
      <w:r w:rsidR="009C063A">
        <w:t>101.0</w:t>
      </w:r>
      <w:r>
        <w:t>, Canber</w:t>
      </w:r>
      <w:r w:rsidRPr="00DB25F1">
        <w:t>ra</w:t>
      </w:r>
      <w:r w:rsidR="00416FEF">
        <w:t xml:space="preserve">; ABS (2013) </w:t>
      </w:r>
      <w:r w:rsidR="00416FEF" w:rsidRPr="00416FEF">
        <w:rPr>
          <w:i/>
        </w:rPr>
        <w:t>Estimates of Aboriginal and Torres Strait Islander Australians, June 2011</w:t>
      </w:r>
      <w:r w:rsidR="00416FEF">
        <w:t>, Cat. no. 3238.0.55.001</w:t>
      </w:r>
      <w:r w:rsidRPr="00DB25F1">
        <w:t xml:space="preserve">. </w:t>
      </w:r>
    </w:p>
    <w:p w:rsidR="00056221" w:rsidRDefault="00056221" w:rsidP="00056221">
      <w:pPr>
        <w:pStyle w:val="Heading4"/>
      </w:pPr>
      <w:r>
        <w:t>Aged Care Assessments</w:t>
      </w:r>
    </w:p>
    <w:p w:rsidR="00056221" w:rsidRDefault="00056221" w:rsidP="0079479E">
      <w:pPr>
        <w:pStyle w:val="BodyText"/>
      </w:pPr>
      <w:r>
        <w:t xml:space="preserve">Aged care </w:t>
      </w:r>
      <w:r w:rsidRPr="000222E3">
        <w:t>assessment</w:t>
      </w:r>
      <w:r>
        <w:t>s</w:t>
      </w:r>
      <w:r w:rsidRPr="000222E3">
        <w:t xml:space="preserve"> are designed to assess the care needs of older people and assist them to gain access to the most appropriate type of care</w:t>
      </w:r>
      <w:r>
        <w:t xml:space="preserve">. </w:t>
      </w:r>
      <w:r w:rsidR="007E2A31" w:rsidRPr="008114E8">
        <w:t xml:space="preserve">There were </w:t>
      </w:r>
      <w:r w:rsidR="000941ED" w:rsidRPr="0079479E">
        <w:rPr>
          <w:shd w:val="clear" w:color="auto" w:fill="FFFFFF" w:themeFill="background1"/>
        </w:rPr>
        <w:t>99 </w:t>
      </w:r>
      <w:r w:rsidR="007E2A31" w:rsidRPr="008114E8">
        <w:t>ACATs (</w:t>
      </w:r>
      <w:r w:rsidR="000941ED" w:rsidRPr="0079479E">
        <w:rPr>
          <w:shd w:val="clear" w:color="auto" w:fill="FFFFFF" w:themeFill="background1"/>
        </w:rPr>
        <w:t>98</w:t>
      </w:r>
      <w:r w:rsidR="007E2A31" w:rsidRPr="008114E8">
        <w:t xml:space="preserve"> Australian Gov</w:t>
      </w:r>
      <w:r w:rsidR="007E2A31">
        <w:t>ernment funded) at 30</w:t>
      </w:r>
      <w:r w:rsidR="00AA68A5">
        <w:t> </w:t>
      </w:r>
      <w:r w:rsidR="007E2A31">
        <w:t>June 201</w:t>
      </w:r>
      <w:r w:rsidR="00E310E7">
        <w:t>3</w:t>
      </w:r>
      <w:r w:rsidR="007E2A31">
        <w:t xml:space="preserve"> </w:t>
      </w:r>
      <w:r w:rsidR="007E2A31" w:rsidRPr="008114E8">
        <w:br/>
        <w:t>(D</w:t>
      </w:r>
      <w:r w:rsidR="00E46620">
        <w:t>SS</w:t>
      </w:r>
      <w:r w:rsidR="007E2A31" w:rsidRPr="008114E8">
        <w:t xml:space="preserve"> unpublished). </w:t>
      </w:r>
      <w:r w:rsidR="007825D3">
        <w:t xml:space="preserve">Nationally, </w:t>
      </w:r>
      <w:r w:rsidR="00C90B46">
        <w:t>there</w:t>
      </w:r>
      <w:r>
        <w:t xml:space="preserve"> </w:t>
      </w:r>
      <w:r w:rsidR="00C90B46">
        <w:t xml:space="preserve">were </w:t>
      </w:r>
      <w:r w:rsidR="00C90B46" w:rsidRPr="0079479E">
        <w:rPr>
          <w:shd w:val="clear" w:color="auto" w:fill="FFFFFF" w:themeFill="background1"/>
        </w:rPr>
        <w:t xml:space="preserve">54.0 </w:t>
      </w:r>
      <w:r w:rsidRPr="0079479E">
        <w:rPr>
          <w:shd w:val="clear" w:color="auto" w:fill="FFFFFF" w:themeFill="background1"/>
        </w:rPr>
        <w:t xml:space="preserve">assessments per 1000 </w:t>
      </w:r>
      <w:r w:rsidR="009126E0" w:rsidRPr="0079479E">
        <w:rPr>
          <w:shd w:val="clear" w:color="auto" w:fill="FFFFFF" w:themeFill="background1"/>
        </w:rPr>
        <w:t xml:space="preserve">people aged 65 years or over and </w:t>
      </w:r>
      <w:r w:rsidR="00EB2705" w:rsidRPr="0079479E">
        <w:rPr>
          <w:shd w:val="clear" w:color="auto" w:fill="FFFFFF" w:themeFill="background1"/>
        </w:rPr>
        <w:t>Indigenous Australians</w:t>
      </w:r>
      <w:r w:rsidR="009126E0" w:rsidRPr="0079479E">
        <w:rPr>
          <w:shd w:val="clear" w:color="auto" w:fill="FFFFFF" w:themeFill="background1"/>
        </w:rPr>
        <w:t xml:space="preserve"> aged 50–64 years </w:t>
      </w:r>
      <w:r w:rsidR="00C90B46" w:rsidRPr="0079479E">
        <w:rPr>
          <w:shd w:val="clear" w:color="auto" w:fill="FFFFFF" w:themeFill="background1"/>
        </w:rPr>
        <w:t>in 2011</w:t>
      </w:r>
      <w:r w:rsidR="00AA68A5">
        <w:rPr>
          <w:shd w:val="clear" w:color="auto" w:fill="FFFFFF" w:themeFill="background1"/>
        </w:rPr>
        <w:noBreakHyphen/>
      </w:r>
      <w:r w:rsidR="00C90B46" w:rsidRPr="0079479E">
        <w:rPr>
          <w:shd w:val="clear" w:color="auto" w:fill="FFFFFF" w:themeFill="background1"/>
        </w:rPr>
        <w:t>12</w:t>
      </w:r>
      <w:r>
        <w:t xml:space="preserve">. The rate for </w:t>
      </w:r>
      <w:r w:rsidR="00EB2705">
        <w:t>Indigenous Australians</w:t>
      </w:r>
      <w:r>
        <w:t xml:space="preserve"> was </w:t>
      </w:r>
      <w:r w:rsidR="00E310E7">
        <w:t>25.7</w:t>
      </w:r>
      <w:r w:rsidR="00E74698">
        <w:t xml:space="preserve"> </w:t>
      </w:r>
      <w:r w:rsidRPr="0000637F">
        <w:t>p</w:t>
      </w:r>
      <w:r w:rsidRPr="00182F1B">
        <w:t>er</w:t>
      </w:r>
      <w:r w:rsidRPr="00AD08FC">
        <w:t xml:space="preserve"> 1000</w:t>
      </w:r>
      <w:r>
        <w:t xml:space="preserve"> </w:t>
      </w:r>
      <w:r w:rsidR="00EB2705">
        <w:t>Indigenous Australians</w:t>
      </w:r>
      <w:r>
        <w:t xml:space="preserve"> aged 50 years or over (figure</w:t>
      </w:r>
      <w:r w:rsidR="00AA68A5">
        <w:t> </w:t>
      </w:r>
      <w:r>
        <w:t>13.</w:t>
      </w:r>
      <w:r w:rsidR="0062395E">
        <w:t>6</w:t>
      </w:r>
      <w:r>
        <w:t>).</w:t>
      </w:r>
      <w:r w:rsidRPr="00F766D5">
        <w:t xml:space="preserve"> </w:t>
      </w:r>
    </w:p>
    <w:p w:rsidR="00056221" w:rsidRPr="00257AD3" w:rsidRDefault="00056221" w:rsidP="00784140">
      <w:pPr>
        <w:pStyle w:val="FigureTitle"/>
        <w:keepLines w:val="0"/>
        <w:rPr>
          <w:rStyle w:val="NoteLabel"/>
        </w:rPr>
      </w:pPr>
      <w:r w:rsidRPr="007218AB">
        <w:rPr>
          <w:b w:val="0"/>
          <w:sz w:val="24"/>
        </w:rPr>
        <w:lastRenderedPageBreak/>
        <w:t xml:space="preserve">Figure </w:t>
      </w:r>
      <w:r w:rsidR="00C82353" w:rsidRPr="007218AB">
        <w:rPr>
          <w:b w:val="0"/>
          <w:sz w:val="24"/>
        </w:rPr>
        <w:t>13.</w:t>
      </w:r>
      <w:r w:rsidR="00E4728C">
        <w:rPr>
          <w:b w:val="0"/>
          <w:noProof/>
          <w:sz w:val="24"/>
        </w:rPr>
        <w:t>6</w:t>
      </w:r>
      <w:r w:rsidRPr="007218AB">
        <w:rPr>
          <w:sz w:val="24"/>
        </w:rPr>
        <w:tab/>
        <w:t xml:space="preserve">Aged Care Assessment Team assessment rates, </w:t>
      </w:r>
      <w:r w:rsidRPr="007218AB">
        <w:rPr>
          <w:sz w:val="24"/>
        </w:rPr>
        <w:br/>
        <w:t>20</w:t>
      </w:r>
      <w:r w:rsidR="00F27C12" w:rsidRPr="007218AB">
        <w:rPr>
          <w:sz w:val="24"/>
        </w:rPr>
        <w:t>1</w:t>
      </w:r>
      <w:r w:rsidR="0062395E">
        <w:rPr>
          <w:sz w:val="24"/>
        </w:rPr>
        <w:t>1</w:t>
      </w:r>
      <w:r w:rsidR="00AA68A5">
        <w:rPr>
          <w:sz w:val="24"/>
        </w:rPr>
        <w:noBreakHyphen/>
      </w:r>
      <w:r w:rsidR="00F53177" w:rsidRPr="007218AB">
        <w:rPr>
          <w:sz w:val="24"/>
        </w:rPr>
        <w:t>1</w:t>
      </w:r>
      <w:r w:rsidR="0062395E">
        <w:rPr>
          <w:sz w:val="24"/>
        </w:rPr>
        <w:t>2</w:t>
      </w:r>
      <w:r w:rsidRPr="00257AD3">
        <w:rPr>
          <w:rStyle w:val="NoteLabel"/>
          <w:b/>
        </w:rPr>
        <w:t>a</w:t>
      </w:r>
      <w:r>
        <w:rPr>
          <w:rStyle w:val="NoteLabel"/>
          <w:b/>
        </w:rPr>
        <w:t>,</w:t>
      </w:r>
      <w:r>
        <w:t xml:space="preserve"> </w:t>
      </w:r>
      <w:r w:rsidRPr="00257AD3">
        <w:rPr>
          <w:rStyle w:val="NoteLabel"/>
          <w:b/>
        </w:rPr>
        <w:t>b, c, d</w:t>
      </w:r>
      <w:r w:rsidRPr="00257AD3">
        <w:rPr>
          <w:rStyle w:val="NoteLabel"/>
        </w:rPr>
        <w:t xml:space="preserve">, </w:t>
      </w:r>
      <w:r w:rsidRPr="00257AD3">
        <w:rPr>
          <w:rStyle w:val="NoteLabel"/>
          <w:b/>
        </w:rPr>
        <w:t>e</w:t>
      </w:r>
      <w:r w:rsidR="00A46F57">
        <w:rPr>
          <w:rStyle w:val="NoteLabel"/>
          <w:b/>
        </w:rPr>
        <w:t>,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56221" w:rsidTr="00056221">
        <w:tc>
          <w:tcPr>
            <w:tcW w:w="8777" w:type="dxa"/>
          </w:tcPr>
          <w:p w:rsidR="00F72515" w:rsidRDefault="008018D4" w:rsidP="00784140">
            <w:pPr>
              <w:pStyle w:val="Figure"/>
            </w:pPr>
            <w:r>
              <w:rPr>
                <w:noProof/>
              </w:rPr>
              <w:drawing>
                <wp:inline distT="0" distB="0" distL="0" distR="0">
                  <wp:extent cx="5391150" cy="2714625"/>
                  <wp:effectExtent l="0" t="0" r="0" b="9525"/>
                  <wp:docPr id="7" name="Picture 7" descr="Figure 13.6 Aged Care Assessment Team assessment rate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056221" w:rsidRPr="00A46F57" w:rsidRDefault="00056221" w:rsidP="00A46F57">
      <w:pPr>
        <w:pStyle w:val="Note"/>
      </w:pPr>
      <w:proofErr w:type="spellStart"/>
      <w:r w:rsidRPr="00A46F57">
        <w:rPr>
          <w:rStyle w:val="NoteLabel"/>
        </w:rPr>
        <w:t>a</w:t>
      </w:r>
      <w:proofErr w:type="spellEnd"/>
      <w:r w:rsidRPr="00A46F57">
        <w:t xml:space="preserve"> Includes </w:t>
      </w:r>
      <w:proofErr w:type="spellStart"/>
      <w:r w:rsidRPr="00A46F57">
        <w:t>ACAT</w:t>
      </w:r>
      <w:proofErr w:type="spellEnd"/>
      <w:r w:rsidRPr="00A46F57">
        <w:t xml:space="preserve"> assessments for all services. </w:t>
      </w:r>
      <w:r w:rsidRPr="00A46F57">
        <w:rPr>
          <w:rStyle w:val="NoteLabel"/>
        </w:rPr>
        <w:t>b</w:t>
      </w:r>
      <w:r w:rsidRPr="00A46F57">
        <w:t xml:space="preserve"> All </w:t>
      </w:r>
      <w:r w:rsidR="009F5194" w:rsidRPr="00A46F57">
        <w:t>Australians</w:t>
      </w:r>
      <w:r w:rsidRPr="00A46F57">
        <w:t xml:space="preserve"> includes all assessments of people aged </w:t>
      </w:r>
      <w:r w:rsidR="009238E5" w:rsidRPr="00A46F57">
        <w:t>65</w:t>
      </w:r>
      <w:r w:rsidRPr="00A46F57">
        <w:t xml:space="preserve"> years or over and </w:t>
      </w:r>
      <w:r w:rsidR="00EB2705" w:rsidRPr="00A46F57">
        <w:t>Indigenous Australians</w:t>
      </w:r>
      <w:r w:rsidRPr="00A46F57">
        <w:t xml:space="preserve"> aged 50</w:t>
      </w:r>
      <w:r w:rsidR="00A66B6A" w:rsidRPr="00A46F57">
        <w:t>–</w:t>
      </w:r>
      <w:r w:rsidR="00853972" w:rsidRPr="00A46F57">
        <w:t>64</w:t>
      </w:r>
      <w:r w:rsidRPr="00A46F57">
        <w:t xml:space="preserve"> years per 1000 people aged </w:t>
      </w:r>
      <w:r w:rsidR="009238E5" w:rsidRPr="00A46F57">
        <w:t>65</w:t>
      </w:r>
      <w:r w:rsidRPr="00A46F57">
        <w:t xml:space="preserve"> years or over and </w:t>
      </w:r>
      <w:r w:rsidR="00EB2705" w:rsidRPr="00A46F57">
        <w:t>Indigenous Australians</w:t>
      </w:r>
      <w:r w:rsidRPr="00A46F57">
        <w:t xml:space="preserve"> aged </w:t>
      </w:r>
      <w:r w:rsidR="00A66B6A" w:rsidRPr="00A46F57">
        <w:t>50–64 years</w:t>
      </w:r>
      <w:r w:rsidRPr="00A46F57">
        <w:t xml:space="preserve">. </w:t>
      </w:r>
      <w:r w:rsidRPr="00A46F57">
        <w:rPr>
          <w:rStyle w:val="NoteLabel"/>
        </w:rPr>
        <w:t>c</w:t>
      </w:r>
      <w:r w:rsidR="009175BE" w:rsidRPr="00A46F57">
        <w:t> Indigenous</w:t>
      </w:r>
      <w:r w:rsidRPr="00A46F57">
        <w:t xml:space="preserve"> includes all assessments of </w:t>
      </w:r>
      <w:r w:rsidR="00EB2705" w:rsidRPr="00A46F57">
        <w:t>Indigenous Australians</w:t>
      </w:r>
      <w:r w:rsidRPr="00A46F57">
        <w:t xml:space="preserve"> aged 50 years or over per 1000 </w:t>
      </w:r>
      <w:r w:rsidR="00EB2705" w:rsidRPr="00A46F57">
        <w:t>Indigenous Australians</w:t>
      </w:r>
      <w:r w:rsidRPr="00A46F57">
        <w:t xml:space="preserve"> aged 50 years or over. </w:t>
      </w:r>
      <w:r w:rsidRPr="00A46F57">
        <w:rPr>
          <w:rStyle w:val="NoteLabel"/>
        </w:rPr>
        <w:t>d</w:t>
      </w:r>
      <w:r w:rsidRPr="00A46F57">
        <w:t> The number of Indigenous assessments is based on self</w:t>
      </w:r>
      <w:r w:rsidR="00AA68A5">
        <w:noBreakHyphen/>
      </w:r>
      <w:r w:rsidRPr="00A46F57">
        <w:t xml:space="preserve">identification of Indigenous status. </w:t>
      </w:r>
      <w:r w:rsidRPr="00A46F57">
        <w:rPr>
          <w:rStyle w:val="NoteLabel"/>
        </w:rPr>
        <w:t>e</w:t>
      </w:r>
      <w:r w:rsidRPr="00A46F57">
        <w:t> </w:t>
      </w:r>
      <w:r w:rsidR="00CA09FE" w:rsidRPr="00A46F57">
        <w:t xml:space="preserve">Data are preliminary </w:t>
      </w:r>
      <w:r w:rsidR="00CC7928" w:rsidRPr="00A46F57">
        <w:t>and were</w:t>
      </w:r>
      <w:r w:rsidR="00CA09FE" w:rsidRPr="00A46F57">
        <w:t xml:space="preserve"> extracted from the </w:t>
      </w:r>
      <w:r w:rsidR="00CA09FE" w:rsidRPr="00A46F57">
        <w:rPr>
          <w:i/>
        </w:rPr>
        <w:t>Ageing and Aged Care Data Warehouse</w:t>
      </w:r>
      <w:r w:rsidR="00CA09FE" w:rsidRPr="00A46F57">
        <w:t xml:space="preserve"> on 31</w:t>
      </w:r>
      <w:r w:rsidR="00AA68A5">
        <w:t> </w:t>
      </w:r>
      <w:r w:rsidR="00CA09FE" w:rsidRPr="00A46F57">
        <w:t>August 2013. Future extracts of th</w:t>
      </w:r>
      <w:r w:rsidR="002C15D2" w:rsidRPr="00A46F57">
        <w:t>ese</w:t>
      </w:r>
      <w:r w:rsidR="00CA09FE" w:rsidRPr="00A46F57">
        <w:t xml:space="preserve"> data may change. </w:t>
      </w:r>
      <w:r w:rsidR="00CA09FE" w:rsidRPr="00A46F57">
        <w:rPr>
          <w:rStyle w:val="NoteLabel"/>
        </w:rPr>
        <w:t>f</w:t>
      </w:r>
      <w:r w:rsidR="00CA09FE" w:rsidRPr="00A46F57">
        <w:t xml:space="preserve"> </w:t>
      </w:r>
      <w:r w:rsidRPr="00A46F57">
        <w:t>See table</w:t>
      </w:r>
      <w:r w:rsidR="00AA68A5">
        <w:t> </w:t>
      </w:r>
      <w:proofErr w:type="spellStart"/>
      <w:r w:rsidRPr="00A46F57">
        <w:t>13</w:t>
      </w:r>
      <w:r w:rsidR="00E16794" w:rsidRPr="00A46F57">
        <w:t>A.</w:t>
      </w:r>
      <w:r w:rsidR="00E310E7" w:rsidRPr="00A46F57">
        <w:t>64</w:t>
      </w:r>
      <w:proofErr w:type="spellEnd"/>
      <w:r w:rsidRPr="00A46F57">
        <w:t xml:space="preserve"> for further explanation of these data.</w:t>
      </w:r>
      <w:r w:rsidR="00C90B46" w:rsidRPr="00A46F57">
        <w:t xml:space="preserve"> </w:t>
      </w:r>
    </w:p>
    <w:p w:rsidR="00056221" w:rsidRDefault="00056221" w:rsidP="00784140">
      <w:pPr>
        <w:pStyle w:val="Source"/>
        <w:keepNext/>
        <w:keepLines w:val="0"/>
      </w:pPr>
      <w:r>
        <w:rPr>
          <w:i/>
        </w:rPr>
        <w:t>Source</w:t>
      </w:r>
      <w:r>
        <w:t>: Aged Care Assessment Program National Data Repository (unpublished); table</w:t>
      </w:r>
      <w:r w:rsidR="00AA68A5">
        <w:t> </w:t>
      </w:r>
      <w:proofErr w:type="spellStart"/>
      <w:r>
        <w:t>13</w:t>
      </w:r>
      <w:r w:rsidR="00E16794">
        <w:t>A.</w:t>
      </w:r>
      <w:r w:rsidR="00E310E7">
        <w:t>64</w:t>
      </w:r>
      <w:proofErr w:type="spellEnd"/>
      <w:r>
        <w:t>.</w:t>
      </w:r>
    </w:p>
    <w:p w:rsidR="006E68E6" w:rsidRDefault="00EF2CEB" w:rsidP="0079479E">
      <w:pPr>
        <w:pStyle w:val="BodyText"/>
      </w:pPr>
      <w:r>
        <w:t>A</w:t>
      </w:r>
      <w:r w:rsidR="006E68E6" w:rsidRPr="006E68E6">
        <w:t xml:space="preserve">ssessments that result in </w:t>
      </w:r>
      <w:r w:rsidRPr="0079479E">
        <w:rPr>
          <w:shd w:val="clear" w:color="auto" w:fill="FFFFFF" w:themeFill="background1"/>
        </w:rPr>
        <w:t>ACA</w:t>
      </w:r>
      <w:r w:rsidR="00243860" w:rsidRPr="0079479E">
        <w:rPr>
          <w:shd w:val="clear" w:color="auto" w:fill="FFFFFF" w:themeFill="background1"/>
        </w:rPr>
        <w:t>T</w:t>
      </w:r>
      <w:r>
        <w:t xml:space="preserve"> </w:t>
      </w:r>
      <w:r w:rsidR="006E68E6" w:rsidRPr="006E68E6">
        <w:t>approvals of eligibility for various types of care can be reported by age</w:t>
      </w:r>
      <w:r w:rsidR="00AA68A5">
        <w:noBreakHyphen/>
      </w:r>
      <w:r w:rsidR="006E68E6" w:rsidRPr="006E68E6">
        <w:t xml:space="preserve">specific rates, for a series of age groups in the population for residential care and for community care </w:t>
      </w:r>
      <w:r w:rsidR="006E68E6">
        <w:t>(CACP, EACH and EACH</w:t>
      </w:r>
      <w:r w:rsidR="00AA68A5">
        <w:noBreakHyphen/>
      </w:r>
      <w:r w:rsidR="006E68E6">
        <w:t xml:space="preserve">D) </w:t>
      </w:r>
      <w:r w:rsidR="006E68E6" w:rsidRPr="006E68E6">
        <w:t xml:space="preserve">(see </w:t>
      </w:r>
      <w:r w:rsidR="005A63C1">
        <w:br/>
      </w:r>
      <w:r w:rsidR="006E68E6" w:rsidRPr="006E68E6">
        <w:t>table</w:t>
      </w:r>
      <w:r w:rsidR="00AA68A5">
        <w:t> </w:t>
      </w:r>
      <w:proofErr w:type="spellStart"/>
      <w:r w:rsidR="006E68E6" w:rsidRPr="006E68E6">
        <w:t>13A.</w:t>
      </w:r>
      <w:r w:rsidR="006E68E6">
        <w:t>65</w:t>
      </w:r>
      <w:proofErr w:type="spellEnd"/>
      <w:r w:rsidR="006E68E6" w:rsidRPr="006E68E6">
        <w:t xml:space="preserve">). These data reflect the numbers of approvals, which are a subset of assessments, as some assessments will not result in an approval for a particular level of care. </w:t>
      </w:r>
    </w:p>
    <w:p w:rsidR="00056221" w:rsidRPr="000B17F4" w:rsidRDefault="00056221" w:rsidP="006E68E6">
      <w:pPr>
        <w:pStyle w:val="Heading4"/>
      </w:pPr>
      <w:r w:rsidRPr="000B17F4">
        <w:t>Residential care services</w:t>
      </w:r>
    </w:p>
    <w:p w:rsidR="00056221" w:rsidRDefault="00056221" w:rsidP="00E90074">
      <w:pPr>
        <w:pStyle w:val="BodyText"/>
      </w:pPr>
      <w:r>
        <w:t>Residential care services provide permanent high level</w:t>
      </w:r>
      <w:r w:rsidR="00BE2003" w:rsidRPr="00BE2003">
        <w:t xml:space="preserve"> </w:t>
      </w:r>
      <w:r w:rsidR="00BE2003">
        <w:t>and</w:t>
      </w:r>
      <w:r>
        <w:t xml:space="preserve"> </w:t>
      </w:r>
      <w:r w:rsidR="00BE2003">
        <w:t xml:space="preserve">low level </w:t>
      </w:r>
      <w:r>
        <w:t>care and respite high/low level care:</w:t>
      </w:r>
    </w:p>
    <w:p w:rsidR="00BE2003" w:rsidRDefault="00BE2003" w:rsidP="00E90074">
      <w:pPr>
        <w:pStyle w:val="ListBullet"/>
      </w:pPr>
      <w:bookmarkStart w:id="22" w:name="OLE_LINK50"/>
      <w:bookmarkStart w:id="23" w:name="OLE_LINK51"/>
      <w:r w:rsidRPr="00397C4B">
        <w:t xml:space="preserve">high care </w:t>
      </w:r>
      <w:r>
        <w:t xml:space="preserve">combines </w:t>
      </w:r>
      <w:r w:rsidR="0067075C">
        <w:t xml:space="preserve">services such as </w:t>
      </w:r>
      <w:r>
        <w:t>nursing care</w:t>
      </w:r>
      <w:r w:rsidR="0067075C">
        <w:t>, continence aids, basic medical and pharmaceutical supplies</w:t>
      </w:r>
      <w:r>
        <w:t xml:space="preserve"> </w:t>
      </w:r>
      <w:r w:rsidR="0067075C">
        <w:t xml:space="preserve">and therapy services </w:t>
      </w:r>
      <w:r>
        <w:t>with the types of services provided in low care such as accommodation, support services (cleaning, laundry and meals) and personal care services</w:t>
      </w:r>
    </w:p>
    <w:bookmarkEnd w:id="22"/>
    <w:bookmarkEnd w:id="23"/>
    <w:p w:rsidR="00056221" w:rsidRDefault="00056221" w:rsidP="00056221">
      <w:pPr>
        <w:pStyle w:val="ListBullet"/>
      </w:pPr>
      <w:r w:rsidRPr="00397C4B">
        <w:lastRenderedPageBreak/>
        <w:t>l</w:t>
      </w:r>
      <w:r w:rsidRPr="000222E3">
        <w:t>o</w:t>
      </w:r>
      <w:r w:rsidRPr="00397C4B">
        <w:t xml:space="preserve">w care </w:t>
      </w:r>
      <w:r w:rsidRPr="00BF63B5">
        <w:t>focuses on personal care services, accommodation, support services (cleaning, laundry and meals) and</w:t>
      </w:r>
      <w:r>
        <w:t xml:space="preserve"> </w:t>
      </w:r>
      <w:r w:rsidRPr="00BF63B5">
        <w:t>some allied health services such as physiotherapy</w:t>
      </w:r>
      <w:r>
        <w:t xml:space="preserve"> — n</w:t>
      </w:r>
      <w:r w:rsidRPr="00BF63B5">
        <w:t>ursing care can be given when requir</w:t>
      </w:r>
      <w:r>
        <w:t>ed</w:t>
      </w:r>
    </w:p>
    <w:p w:rsidR="00E27930" w:rsidRPr="00AA5E55" w:rsidRDefault="00056221" w:rsidP="003C0CAA">
      <w:pPr>
        <w:pStyle w:val="ListBullet"/>
      </w:pPr>
      <w:r w:rsidRPr="00397C4B">
        <w:t>respite</w:t>
      </w:r>
      <w:r>
        <w:t xml:space="preserve"> provides short term residential high/low care on a planned or emergency basis (DoHA </w:t>
      </w:r>
      <w:r w:rsidRPr="00E72979">
        <w:t>20</w:t>
      </w:r>
      <w:r w:rsidR="00E27930" w:rsidRPr="00E72979">
        <w:t>12</w:t>
      </w:r>
      <w:r w:rsidRPr="00E72979">
        <w:t>)</w:t>
      </w:r>
      <w:r>
        <w:t xml:space="preserve">. </w:t>
      </w:r>
    </w:p>
    <w:p w:rsidR="003C0CAA" w:rsidRPr="00554BA0" w:rsidRDefault="003C0CAA" w:rsidP="00E27930">
      <w:pPr>
        <w:pStyle w:val="BodyText"/>
      </w:pPr>
      <w:r>
        <w:t xml:space="preserve">At </w:t>
      </w:r>
      <w:r w:rsidR="00714EDC">
        <w:t>June 201</w:t>
      </w:r>
      <w:r w:rsidR="002A5F7F">
        <w:t>3</w:t>
      </w:r>
      <w:r>
        <w:t xml:space="preserve">, there were </w:t>
      </w:r>
      <w:r w:rsidR="00642B97">
        <w:t>2718</w:t>
      </w:r>
      <w:r w:rsidR="00CC6235">
        <w:t xml:space="preserve"> </w:t>
      </w:r>
      <w:r>
        <w:t>residential aged care services (</w:t>
      </w:r>
      <w:r w:rsidR="00444FBE">
        <w:t>table</w:t>
      </w:r>
      <w:r w:rsidR="00AA68A5">
        <w:t> </w:t>
      </w:r>
      <w:r w:rsidR="00444FBE">
        <w:t>13A.18)</w:t>
      </w:r>
      <w:r>
        <w:t xml:space="preserve">. </w:t>
      </w:r>
      <w:r w:rsidR="00355A15">
        <w:t>There were generally fewer places in l</w:t>
      </w:r>
      <w:r>
        <w:t xml:space="preserve">ow care services than high care services. At </w:t>
      </w:r>
      <w:r w:rsidR="007C1DEE">
        <w:br/>
      </w:r>
      <w:r w:rsidR="00714EDC">
        <w:t>June 20</w:t>
      </w:r>
      <w:r w:rsidR="009238E5">
        <w:t>1</w:t>
      </w:r>
      <w:r w:rsidR="002A5F7F">
        <w:t>3</w:t>
      </w:r>
      <w:r w:rsidRPr="00587275">
        <w:t xml:space="preserve">, </w:t>
      </w:r>
      <w:r w:rsidR="00642B97">
        <w:t>84.0</w:t>
      </w:r>
      <w:r w:rsidRPr="00444FBE">
        <w:t xml:space="preserve"> </w:t>
      </w:r>
      <w:r w:rsidRPr="00554BA0">
        <w:t xml:space="preserve">per cent of low care services had </w:t>
      </w:r>
      <w:r w:rsidR="004C2C0E">
        <w:t>60</w:t>
      </w:r>
      <w:r w:rsidRPr="00554BA0">
        <w:t xml:space="preserve"> or fewer places (table</w:t>
      </w:r>
      <w:r w:rsidR="00AA68A5">
        <w:t> </w:t>
      </w:r>
      <w:r w:rsidRPr="00554BA0">
        <w:t>13A.</w:t>
      </w:r>
      <w:r>
        <w:t>20</w:t>
      </w:r>
      <w:r w:rsidRPr="00554BA0">
        <w:t xml:space="preserve">), compared with </w:t>
      </w:r>
      <w:r w:rsidR="00642B97">
        <w:t>25.9</w:t>
      </w:r>
      <w:r w:rsidRPr="00554BA0">
        <w:t xml:space="preserve"> per cent of high care services (table </w:t>
      </w:r>
      <w:proofErr w:type="spellStart"/>
      <w:r w:rsidRPr="00554BA0">
        <w:t>13A.</w:t>
      </w:r>
      <w:r w:rsidR="00655F52">
        <w:t>19</w:t>
      </w:r>
      <w:proofErr w:type="spellEnd"/>
      <w:r w:rsidRPr="00554BA0">
        <w:t>).</w:t>
      </w:r>
    </w:p>
    <w:p w:rsidR="00056221" w:rsidRDefault="00056221" w:rsidP="000B2BA0">
      <w:pPr>
        <w:pStyle w:val="BodyText"/>
      </w:pPr>
      <w:r w:rsidRPr="00587275">
        <w:t xml:space="preserve">The size and location of residential services — which </w:t>
      </w:r>
      <w:r>
        <w:t>can</w:t>
      </w:r>
      <w:r w:rsidRPr="00587275">
        <w:t xml:space="preserve"> influence the costs of service delivery — vary across jurisdictions. Nationally, there were </w:t>
      </w:r>
      <w:r w:rsidR="004C2C0E">
        <w:br/>
      </w:r>
      <w:r w:rsidR="00642B97">
        <w:t>186</w:t>
      </w:r>
      <w:r w:rsidR="00642B97" w:rsidRPr="00444FBE">
        <w:t> </w:t>
      </w:r>
      <w:r w:rsidR="00642B97">
        <w:t>278</w:t>
      </w:r>
      <w:r w:rsidRPr="00444FBE">
        <w:t> mai</w:t>
      </w:r>
      <w:r w:rsidRPr="00554BA0">
        <w:t xml:space="preserve">nstream operational places </w:t>
      </w:r>
      <w:r>
        <w:t>(exclud</w:t>
      </w:r>
      <w:r w:rsidR="003467F3">
        <w:t>ing</w:t>
      </w:r>
      <w:r>
        <w:t xml:space="preserve"> flexible care places) </w:t>
      </w:r>
      <w:r w:rsidRPr="00554BA0">
        <w:t>in residential care services (</w:t>
      </w:r>
      <w:r w:rsidR="0002130B">
        <w:t>108</w:t>
      </w:r>
      <w:r w:rsidR="0002130B" w:rsidRPr="00444FBE">
        <w:t> </w:t>
      </w:r>
      <w:r w:rsidR="00642B97">
        <w:t>789</w:t>
      </w:r>
      <w:r w:rsidRPr="00554BA0">
        <w:t xml:space="preserve"> in pre</w:t>
      </w:r>
      <w:r w:rsidR="00444FBE">
        <w:t xml:space="preserve">dominantly high care services, </w:t>
      </w:r>
      <w:r w:rsidR="00642B97">
        <w:t>2022</w:t>
      </w:r>
      <w:r w:rsidRPr="00554BA0">
        <w:t xml:space="preserve"> in predominantly low care services</w:t>
      </w:r>
      <w:r w:rsidR="00802B56">
        <w:t>,</w:t>
      </w:r>
      <w:r w:rsidRPr="00554BA0">
        <w:t xml:space="preserve"> </w:t>
      </w:r>
      <w:r w:rsidR="00642B97">
        <w:t>75</w:t>
      </w:r>
      <w:r w:rsidR="0002130B" w:rsidRPr="00444FBE">
        <w:t> </w:t>
      </w:r>
      <w:r w:rsidR="00642B97">
        <w:t>467</w:t>
      </w:r>
      <w:r w:rsidRPr="00587275">
        <w:t xml:space="preserve"> in services with a mix of high care and low care residents) at </w:t>
      </w:r>
      <w:r w:rsidR="00714EDC">
        <w:t>June 201</w:t>
      </w:r>
      <w:r w:rsidR="002A5F7F">
        <w:t>3</w:t>
      </w:r>
      <w:r w:rsidRPr="00587275">
        <w:t xml:space="preserve"> (tables 13A.</w:t>
      </w:r>
      <w:r>
        <w:t>18–21</w:t>
      </w:r>
      <w:r w:rsidRPr="00587275">
        <w:t>).</w:t>
      </w:r>
      <w:r w:rsidR="00CB59C3" w:rsidRPr="00CB59C3">
        <w:rPr>
          <w:rFonts w:ascii="Arial" w:hAnsi="Arial" w:cs="Arial"/>
          <w:i/>
          <w:iCs/>
          <w:sz w:val="20"/>
        </w:rPr>
        <w:t xml:space="preserve"> </w:t>
      </w:r>
      <w:r>
        <w:t>Box</w:t>
      </w:r>
      <w:r w:rsidR="00AA68A5">
        <w:t> </w:t>
      </w:r>
      <w:r>
        <w:t>13.</w:t>
      </w:r>
      <w:r w:rsidR="00E63471">
        <w:t>1</w:t>
      </w:r>
      <w:r w:rsidR="00A77B27">
        <w:t xml:space="preserve"> </w:t>
      </w:r>
      <w:r>
        <w:t xml:space="preserve">contains information on how the </w:t>
      </w:r>
      <w:r w:rsidRPr="00775E34">
        <w:t xml:space="preserve">Aged Care Funding Instrument </w:t>
      </w:r>
      <w:r w:rsidR="00C0002A">
        <w:t xml:space="preserve">(ACFI) </w:t>
      </w:r>
      <w:r>
        <w:t xml:space="preserve">is used to </w:t>
      </w:r>
      <w:r>
        <w:rPr>
          <w:lang w:val="en-US"/>
        </w:rPr>
        <w:t>appraise</w:t>
      </w:r>
      <w:r>
        <w:t xml:space="preserve"> a reside</w:t>
      </w:r>
      <w:r w:rsidR="000B2BA0">
        <w:t>nt</w:t>
      </w:r>
      <w:r w:rsidR="00C131D2">
        <w:t>’</w:t>
      </w:r>
      <w:r w:rsidR="000B2BA0">
        <w:t xml:space="preserve">s needs as high or low care. </w:t>
      </w:r>
    </w:p>
    <w:p w:rsidR="00984A0B" w:rsidRDefault="00984A0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4A0B">
        <w:tc>
          <w:tcPr>
            <w:tcW w:w="8771" w:type="dxa"/>
            <w:tcBorders>
              <w:top w:val="single" w:sz="6" w:space="0" w:color="auto"/>
              <w:bottom w:val="nil"/>
            </w:tcBorders>
          </w:tcPr>
          <w:p w:rsidR="00984A0B" w:rsidRDefault="00984A0B">
            <w:pPr>
              <w:pStyle w:val="BoxTitle"/>
            </w:pPr>
            <w:r w:rsidRPr="00A27B56">
              <w:rPr>
                <w:b w:val="0"/>
                <w:sz w:val="24"/>
              </w:rPr>
              <w:t xml:space="preserve">Box </w:t>
            </w:r>
            <w:bookmarkStart w:id="24" w:name="OLE_LINK1"/>
            <w:r w:rsidR="0002130B">
              <w:rPr>
                <w:b w:val="0"/>
                <w:sz w:val="24"/>
              </w:rPr>
              <w:t>13.</w:t>
            </w:r>
            <w:r w:rsidR="00E4728C">
              <w:rPr>
                <w:b w:val="0"/>
                <w:noProof/>
                <w:sz w:val="24"/>
              </w:rPr>
              <w:t>1</w:t>
            </w:r>
            <w:bookmarkEnd w:id="24"/>
            <w:r w:rsidRPr="00A27B56">
              <w:rPr>
                <w:sz w:val="24"/>
              </w:rPr>
              <w:tab/>
            </w:r>
            <w:r>
              <w:rPr>
                <w:sz w:val="24"/>
              </w:rPr>
              <w:t>T</w:t>
            </w:r>
            <w:r w:rsidRPr="00A27B56">
              <w:rPr>
                <w:sz w:val="24"/>
              </w:rPr>
              <w:t>he Aged Care Funding Instrument</w:t>
            </w:r>
            <w:r w:rsidRPr="009214F7">
              <w:rPr>
                <w:sz w:val="24"/>
              </w:rPr>
              <w:t xml:space="preserve"> and the characteristics of residents</w:t>
            </w:r>
          </w:p>
        </w:tc>
      </w:tr>
      <w:tr w:rsidR="00984A0B">
        <w:trPr>
          <w:cantSplit/>
        </w:trPr>
        <w:tc>
          <w:tcPr>
            <w:tcW w:w="8771" w:type="dxa"/>
            <w:tcBorders>
              <w:top w:val="nil"/>
              <w:left w:val="single" w:sz="6" w:space="0" w:color="auto"/>
              <w:bottom w:val="nil"/>
              <w:right w:val="single" w:sz="6" w:space="0" w:color="auto"/>
            </w:tcBorders>
          </w:tcPr>
          <w:p w:rsidR="00984A0B" w:rsidRPr="00600C5C" w:rsidRDefault="00984A0B" w:rsidP="0079479E">
            <w:pPr>
              <w:pStyle w:val="BoxListBullet"/>
              <w:numPr>
                <w:ilvl w:val="0"/>
                <w:numId w:val="0"/>
              </w:numPr>
              <w:rPr>
                <w:lang w:val="en-US"/>
              </w:rPr>
            </w:pPr>
            <w:r w:rsidRPr="0079479E">
              <w:rPr>
                <w:shd w:val="clear" w:color="auto" w:fill="FFFFFF" w:themeFill="background1"/>
                <w:lang w:val="en-US"/>
              </w:rPr>
              <w:t>ACA</w:t>
            </w:r>
            <w:r w:rsidR="00243860" w:rsidRPr="0079479E">
              <w:rPr>
                <w:shd w:val="clear" w:color="auto" w:fill="FFFFFF" w:themeFill="background1"/>
                <w:lang w:val="en-US"/>
              </w:rPr>
              <w:t>T</w:t>
            </w:r>
            <w:r w:rsidRPr="0079479E">
              <w:rPr>
                <w:shd w:val="clear" w:color="auto" w:fill="FFFFFF" w:themeFill="background1"/>
                <w:lang w:val="en-US"/>
              </w:rPr>
              <w:t xml:space="preserve"> </w:t>
            </w:r>
            <w:r>
              <w:rPr>
                <w:lang w:val="en-US"/>
              </w:rPr>
              <w:t xml:space="preserve">approvals for residential care </w:t>
            </w:r>
            <w:r w:rsidR="00E45E1A" w:rsidRPr="0079479E">
              <w:rPr>
                <w:shd w:val="clear" w:color="auto" w:fill="FFFFFF" w:themeFill="background1"/>
                <w:lang w:val="en-US"/>
              </w:rPr>
              <w:t>may</w:t>
            </w:r>
            <w:r w:rsidRPr="00600C5C">
              <w:rPr>
                <w:lang w:val="en-US"/>
              </w:rPr>
              <w:t xml:space="preserve"> limit the approval for some residents to low care. Following </w:t>
            </w:r>
            <w:r w:rsidR="00EF2CEB">
              <w:rPr>
                <w:lang w:val="en-US"/>
              </w:rPr>
              <w:t>an assessment</w:t>
            </w:r>
            <w:r w:rsidRPr="00600C5C">
              <w:rPr>
                <w:lang w:val="en-US"/>
              </w:rPr>
              <w:t>, approved providers of age</w:t>
            </w:r>
            <w:r>
              <w:rPr>
                <w:lang w:val="en-US"/>
              </w:rPr>
              <w:t>d</w:t>
            </w:r>
            <w:r w:rsidRPr="00600C5C">
              <w:rPr>
                <w:lang w:val="en-US"/>
              </w:rPr>
              <w:t xml:space="preserve"> care homes appraise the level of a resident’s care needs using the </w:t>
            </w:r>
            <w:r>
              <w:rPr>
                <w:lang w:val="en-US"/>
              </w:rPr>
              <w:t>ACFI</w:t>
            </w:r>
            <w:r w:rsidRPr="00600C5C">
              <w:rPr>
                <w:lang w:val="en-US"/>
              </w:rPr>
              <w:t xml:space="preserve">. </w:t>
            </w:r>
          </w:p>
          <w:p w:rsidR="00984A0B" w:rsidRDefault="00984A0B" w:rsidP="00984A0B">
            <w:pPr>
              <w:pStyle w:val="BoxListBullet"/>
              <w:numPr>
                <w:ilvl w:val="0"/>
                <w:numId w:val="0"/>
              </w:numPr>
              <w:rPr>
                <w:lang w:val="en-US"/>
              </w:rPr>
            </w:pPr>
            <w:r w:rsidRPr="00600C5C">
              <w:rPr>
                <w:lang w:val="en-US"/>
              </w:rPr>
              <w:t>The ACFI measures each resident’s need for care (high, medium, low or</w:t>
            </w:r>
            <w:r>
              <w:rPr>
                <w:lang w:val="en-US"/>
              </w:rPr>
              <w:t xml:space="preserve"> nil) in each of three domains: </w:t>
            </w:r>
            <w:r w:rsidRPr="00600C5C">
              <w:rPr>
                <w:lang w:val="en-US"/>
              </w:rPr>
              <w:t xml:space="preserve">Activities of Daily Living, </w:t>
            </w:r>
            <w:proofErr w:type="spellStart"/>
            <w:r w:rsidRPr="00600C5C">
              <w:rPr>
                <w:lang w:val="en-US"/>
              </w:rPr>
              <w:t>Behaviours</w:t>
            </w:r>
            <w:proofErr w:type="spellEnd"/>
            <w:r>
              <w:rPr>
                <w:lang w:val="en-US"/>
              </w:rPr>
              <w:t xml:space="preserve"> </w:t>
            </w:r>
            <w:r w:rsidRPr="00600C5C">
              <w:rPr>
                <w:lang w:val="en-US"/>
              </w:rPr>
              <w:t>and Complex Health Care. The ACFI was introduced on 20</w:t>
            </w:r>
            <w:r w:rsidR="00AA68A5">
              <w:rPr>
                <w:lang w:val="en-US"/>
              </w:rPr>
              <w:t> </w:t>
            </w:r>
            <w:r w:rsidRPr="00600C5C">
              <w:rPr>
                <w:lang w:val="en-US"/>
              </w:rPr>
              <w:t>March 2008 and replaced the Resident Classification Scale (</w:t>
            </w:r>
            <w:proofErr w:type="spellStart"/>
            <w:r w:rsidRPr="00600C5C">
              <w:rPr>
                <w:lang w:val="en-US"/>
              </w:rPr>
              <w:t>RCS</w:t>
            </w:r>
            <w:proofErr w:type="spellEnd"/>
            <w:r w:rsidRPr="00600C5C">
              <w:rPr>
                <w:lang w:val="en-US"/>
              </w:rPr>
              <w:t>).</w:t>
            </w:r>
          </w:p>
          <w:p w:rsidR="00984A0B" w:rsidRPr="00A5296B" w:rsidRDefault="00984A0B" w:rsidP="00984A0B">
            <w:pPr>
              <w:pStyle w:val="BoxListBullet"/>
              <w:numPr>
                <w:ilvl w:val="0"/>
                <w:numId w:val="0"/>
              </w:numPr>
              <w:rPr>
                <w:lang w:val="en-US"/>
              </w:rPr>
            </w:pPr>
            <w:r w:rsidRPr="00A5296B">
              <w:rPr>
                <w:lang w:val="en-US"/>
              </w:rPr>
              <w:t>Residents are classified as high or low care based on the resident’s level of approval for care (determined by an ACAT) and on the approved provider’s appraisal of the resident’s care needs against the ACFI, in the following manner:</w:t>
            </w:r>
          </w:p>
          <w:p w:rsidR="00984A0B" w:rsidRPr="00984A0B" w:rsidRDefault="00984A0B" w:rsidP="00984A0B">
            <w:pPr>
              <w:pStyle w:val="BoxListBullet"/>
              <w:rPr>
                <w:lang w:val="en-US"/>
              </w:rPr>
            </w:pPr>
            <w:r w:rsidRPr="00A5296B">
              <w:rPr>
                <w:lang w:val="en-US"/>
              </w:rPr>
              <w:t>Residents who have not yet received an ACFI appraisal are classified using their ACAT assessment.</w:t>
            </w:r>
            <w:r>
              <w:rPr>
                <w:lang w:val="en-US"/>
              </w:rPr>
              <w:t xml:space="preserve"> </w:t>
            </w:r>
          </w:p>
        </w:tc>
      </w:tr>
      <w:tr w:rsidR="00984A0B">
        <w:trPr>
          <w:cantSplit/>
        </w:trPr>
        <w:tc>
          <w:tcPr>
            <w:tcW w:w="8771" w:type="dxa"/>
            <w:tcBorders>
              <w:top w:val="nil"/>
              <w:left w:val="single" w:sz="6" w:space="0" w:color="auto"/>
              <w:bottom w:val="nil"/>
              <w:right w:val="single" w:sz="6" w:space="0" w:color="auto"/>
            </w:tcBorders>
          </w:tcPr>
          <w:p w:rsidR="00984A0B" w:rsidRDefault="00984A0B" w:rsidP="00984A0B">
            <w:pPr>
              <w:pStyle w:val="Continued"/>
            </w:pPr>
            <w:r>
              <w:t>(Continued next page)</w:t>
            </w:r>
          </w:p>
        </w:tc>
      </w:tr>
      <w:tr w:rsidR="00984A0B">
        <w:trPr>
          <w:cantSplit/>
        </w:trPr>
        <w:tc>
          <w:tcPr>
            <w:tcW w:w="8771" w:type="dxa"/>
            <w:tcBorders>
              <w:top w:val="nil"/>
              <w:left w:val="single" w:sz="6" w:space="0" w:color="auto"/>
              <w:bottom w:val="single" w:sz="6" w:space="0" w:color="auto"/>
              <w:right w:val="single" w:sz="6" w:space="0" w:color="auto"/>
            </w:tcBorders>
          </w:tcPr>
          <w:p w:rsidR="00984A0B" w:rsidRDefault="00984A0B">
            <w:pPr>
              <w:pStyle w:val="Box"/>
              <w:spacing w:before="0" w:line="120" w:lineRule="exact"/>
            </w:pPr>
          </w:p>
        </w:tc>
      </w:tr>
      <w:tr w:rsidR="00984A0B" w:rsidRPr="000863A5">
        <w:tc>
          <w:tcPr>
            <w:tcW w:w="8771" w:type="dxa"/>
            <w:tcBorders>
              <w:top w:val="nil"/>
              <w:left w:val="nil"/>
              <w:bottom w:val="nil"/>
              <w:right w:val="nil"/>
            </w:tcBorders>
          </w:tcPr>
          <w:p w:rsidR="00984A0B" w:rsidRPr="000863A5" w:rsidRDefault="00984A0B" w:rsidP="000E3F1E">
            <w:pPr>
              <w:pStyle w:val="Box"/>
              <w:keepNext w:val="0"/>
              <w:spacing w:before="60" w:after="60" w:line="80" w:lineRule="exact"/>
              <w:rPr>
                <w:b/>
                <w:sz w:val="14"/>
              </w:rPr>
            </w:pPr>
          </w:p>
        </w:tc>
      </w:tr>
    </w:tbl>
    <w:p w:rsidR="00984A0B" w:rsidRDefault="00984A0B" w:rsidP="000B2BA0">
      <w:pPr>
        <w:pStyle w:val="BodyText"/>
      </w:pPr>
    </w:p>
    <w:p w:rsidR="00984A0B" w:rsidRDefault="00984A0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84A0B" w:rsidTr="00243860">
        <w:tc>
          <w:tcPr>
            <w:tcW w:w="8771" w:type="dxa"/>
            <w:tcBorders>
              <w:top w:val="single" w:sz="6" w:space="0" w:color="auto"/>
              <w:bottom w:val="nil"/>
            </w:tcBorders>
          </w:tcPr>
          <w:p w:rsidR="00984A0B" w:rsidRDefault="00984A0B">
            <w:pPr>
              <w:pStyle w:val="BoxTitle"/>
            </w:pPr>
            <w:bookmarkStart w:id="25" w:name="OLE_LINK32"/>
            <w:r w:rsidRPr="00A27B56">
              <w:rPr>
                <w:b w:val="0"/>
                <w:sz w:val="24"/>
              </w:rPr>
              <w:t>Box</w:t>
            </w:r>
            <w:bookmarkStart w:id="26" w:name="OLE_LINK6"/>
            <w:r w:rsidRPr="00A27B56">
              <w:rPr>
                <w:b w:val="0"/>
                <w:sz w:val="24"/>
              </w:rPr>
              <w:t xml:space="preserve"> </w:t>
            </w:r>
            <w:bookmarkEnd w:id="25"/>
            <w:bookmarkEnd w:id="26"/>
            <w:r w:rsidRPr="00984A0B">
              <w:rPr>
                <w:b w:val="0"/>
              </w:rPr>
              <w:t>13.1</w:t>
            </w:r>
            <w:r w:rsidRPr="00A27B56">
              <w:rPr>
                <w:sz w:val="24"/>
              </w:rPr>
              <w:tab/>
            </w:r>
            <w:r w:rsidRPr="00984A0B">
              <w:rPr>
                <w:sz w:val="18"/>
                <w:szCs w:val="18"/>
              </w:rPr>
              <w:t>(continued)</w:t>
            </w:r>
          </w:p>
        </w:tc>
      </w:tr>
      <w:tr w:rsidR="00984A0B" w:rsidTr="00243860">
        <w:trPr>
          <w:cantSplit/>
        </w:trPr>
        <w:tc>
          <w:tcPr>
            <w:tcW w:w="8771" w:type="dxa"/>
            <w:tcBorders>
              <w:top w:val="nil"/>
              <w:left w:val="single" w:sz="6" w:space="0" w:color="auto"/>
              <w:bottom w:val="nil"/>
              <w:right w:val="single" w:sz="4" w:space="0" w:color="auto"/>
            </w:tcBorders>
          </w:tcPr>
          <w:p w:rsidR="00984A0B" w:rsidRPr="00A5296B" w:rsidRDefault="00984A0B" w:rsidP="0079479E">
            <w:pPr>
              <w:pStyle w:val="BoxListBullet"/>
              <w:rPr>
                <w:lang w:val="en-US"/>
              </w:rPr>
            </w:pPr>
            <w:r w:rsidRPr="00A5296B">
              <w:rPr>
                <w:lang w:val="en-US"/>
              </w:rPr>
              <w:t xml:space="preserve">Residents whose </w:t>
            </w:r>
            <w:r w:rsidRPr="0079479E">
              <w:rPr>
                <w:shd w:val="clear" w:color="auto" w:fill="FFFFFF" w:themeFill="background1"/>
                <w:lang w:val="en-US"/>
              </w:rPr>
              <w:t>ACA</w:t>
            </w:r>
            <w:r w:rsidR="00243860" w:rsidRPr="0079479E">
              <w:rPr>
                <w:shd w:val="clear" w:color="auto" w:fill="FFFFFF" w:themeFill="background1"/>
                <w:lang w:val="en-US"/>
              </w:rPr>
              <w:t>T</w:t>
            </w:r>
            <w:r w:rsidRPr="0079479E">
              <w:rPr>
                <w:shd w:val="clear" w:color="auto" w:fill="FFFFFF" w:themeFill="background1"/>
                <w:lang w:val="en-US"/>
              </w:rPr>
              <w:t xml:space="preserve"> </w:t>
            </w:r>
            <w:r w:rsidRPr="00A5296B">
              <w:rPr>
                <w:lang w:val="en-US"/>
              </w:rPr>
              <w:t>approval is not limited to low care, are classified as high care if they are appraised under the ACFI as:</w:t>
            </w:r>
          </w:p>
          <w:p w:rsidR="00984A0B" w:rsidRPr="00A5296B" w:rsidRDefault="00984A0B" w:rsidP="00984A0B">
            <w:pPr>
              <w:pStyle w:val="BoxListBullet2"/>
            </w:pPr>
            <w:r w:rsidRPr="00A5296B">
              <w:t>High in Activities of Daily Living</w:t>
            </w:r>
            <w:r>
              <w:t>,</w:t>
            </w:r>
            <w:r w:rsidRPr="00A5296B">
              <w:t xml:space="preserve"> or</w:t>
            </w:r>
          </w:p>
          <w:p w:rsidR="00984A0B" w:rsidRPr="00A5296B" w:rsidRDefault="00984A0B" w:rsidP="00984A0B">
            <w:pPr>
              <w:pStyle w:val="BoxListBullet2"/>
            </w:pPr>
            <w:r w:rsidRPr="00A5296B">
              <w:t xml:space="preserve">High in </w:t>
            </w:r>
            <w:bookmarkStart w:id="27" w:name="OLE_LINK67"/>
            <w:bookmarkStart w:id="28" w:name="OLE_LINK68"/>
            <w:r w:rsidRPr="00A5296B">
              <w:t>Complex Health Care</w:t>
            </w:r>
            <w:bookmarkEnd w:id="27"/>
            <w:bookmarkEnd w:id="28"/>
            <w:r>
              <w:t>, or</w:t>
            </w:r>
            <w:r w:rsidRPr="00A5296B">
              <w:t xml:space="preserve"> </w:t>
            </w:r>
          </w:p>
          <w:p w:rsidR="00984A0B" w:rsidRPr="00A5296B" w:rsidRDefault="00984A0B" w:rsidP="00984A0B">
            <w:pPr>
              <w:pStyle w:val="BoxListBullet2"/>
            </w:pPr>
            <w:r w:rsidRPr="00A5296B">
              <w:t>High in Behaviour,</w:t>
            </w:r>
            <w:r w:rsidRPr="00A5296B">
              <w:rPr>
                <w:szCs w:val="23"/>
              </w:rPr>
              <w:t xml:space="preserve"> together </w:t>
            </w:r>
            <w:r w:rsidRPr="00B00F8F">
              <w:rPr>
                <w:szCs w:val="23"/>
              </w:rPr>
              <w:t>with low or medium</w:t>
            </w:r>
            <w:r w:rsidRPr="00A5296B">
              <w:rPr>
                <w:szCs w:val="23"/>
              </w:rPr>
              <w:t xml:space="preserve"> in at least one of the </w:t>
            </w:r>
            <w:r w:rsidRPr="00A5296B">
              <w:t>Activities of Daily Living</w:t>
            </w:r>
            <w:r w:rsidRPr="00A5296B">
              <w:rPr>
                <w:szCs w:val="23"/>
              </w:rPr>
              <w:t xml:space="preserve"> or </w:t>
            </w:r>
            <w:r w:rsidRPr="00A5296B">
              <w:t>Complex Health Care</w:t>
            </w:r>
            <w:r w:rsidRPr="00A5296B">
              <w:rPr>
                <w:szCs w:val="23"/>
              </w:rPr>
              <w:t xml:space="preserve"> domains</w:t>
            </w:r>
            <w:r>
              <w:rPr>
                <w:szCs w:val="23"/>
              </w:rPr>
              <w:t>; or</w:t>
            </w:r>
          </w:p>
          <w:p w:rsidR="00984A0B" w:rsidRPr="007D3EC3" w:rsidRDefault="00984A0B" w:rsidP="00984A0B">
            <w:pPr>
              <w:pStyle w:val="BoxListBullet2"/>
            </w:pPr>
            <w:r w:rsidRPr="00A5296B">
              <w:t>Medium in at least two of the three domains.</w:t>
            </w:r>
            <w:r>
              <w:t xml:space="preserve"> </w:t>
            </w:r>
          </w:p>
          <w:p w:rsidR="00984A0B" w:rsidRDefault="00984A0B" w:rsidP="00984A0B">
            <w:pPr>
              <w:pStyle w:val="BoxListBullet"/>
              <w:rPr>
                <w:lang w:val="en-US"/>
              </w:rPr>
            </w:pPr>
            <w:r w:rsidRPr="00A5296B">
              <w:rPr>
                <w:lang w:val="en-US"/>
              </w:rPr>
              <w:t xml:space="preserve">All other residents appraised under the ACFI are classified as low care residents. </w:t>
            </w:r>
          </w:p>
          <w:p w:rsidR="00984A0B" w:rsidRDefault="00984A0B" w:rsidP="0079479E">
            <w:pPr>
              <w:pStyle w:val="BoxListBullet"/>
              <w:rPr>
                <w:lang w:val="en-US"/>
              </w:rPr>
            </w:pPr>
            <w:r w:rsidRPr="00A5296B">
              <w:rPr>
                <w:lang w:val="en-US"/>
              </w:rPr>
              <w:t xml:space="preserve">In addition, residents whose </w:t>
            </w:r>
            <w:r w:rsidRPr="0079479E">
              <w:rPr>
                <w:shd w:val="clear" w:color="auto" w:fill="FFFFFF" w:themeFill="background1"/>
                <w:lang w:val="en-US"/>
              </w:rPr>
              <w:t>ACA</w:t>
            </w:r>
            <w:r w:rsidR="00243860" w:rsidRPr="0079479E">
              <w:rPr>
                <w:shd w:val="clear" w:color="auto" w:fill="FFFFFF" w:themeFill="background1"/>
                <w:lang w:val="en-US"/>
              </w:rPr>
              <w:t>T</w:t>
            </w:r>
            <w:r w:rsidRPr="0079479E">
              <w:rPr>
                <w:shd w:val="clear" w:color="auto" w:fill="FFFFFF" w:themeFill="background1"/>
                <w:lang w:val="en-US"/>
              </w:rPr>
              <w:t xml:space="preserve"> </w:t>
            </w:r>
            <w:r w:rsidRPr="00A5296B">
              <w:rPr>
                <w:lang w:val="en-US"/>
              </w:rPr>
              <w:t>approval is limited to low care, but whose first ACFI appraisal rates them in a high care range are classified as ‘interim low’ until the ACAT low care restriction is removed, or the ACFI High status is confirmed by a s</w:t>
            </w:r>
            <w:r>
              <w:rPr>
                <w:lang w:val="en-US"/>
              </w:rPr>
              <w:t>ubsequent assessment or review.</w:t>
            </w:r>
          </w:p>
          <w:p w:rsidR="00984A0B" w:rsidRDefault="00984A0B" w:rsidP="00984A0B">
            <w:pPr>
              <w:pStyle w:val="Box"/>
            </w:pPr>
            <w:r w:rsidRPr="00A5296B">
              <w:rPr>
                <w:lang w:val="en-US"/>
              </w:rPr>
              <w:t>Residents</w:t>
            </w:r>
            <w:r>
              <w:rPr>
                <w:lang w:val="en-US"/>
              </w:rPr>
              <w:t>’</w:t>
            </w:r>
            <w:r w:rsidRPr="00A5296B">
              <w:rPr>
                <w:lang w:val="en-US"/>
              </w:rPr>
              <w:t xml:space="preserve"> care needs may change over time. Under ‘ageing</w:t>
            </w:r>
            <w:r w:rsidR="00AA68A5">
              <w:rPr>
                <w:lang w:val="en-US"/>
              </w:rPr>
              <w:noBreakHyphen/>
            </w:r>
            <w:r w:rsidRPr="00A5296B">
              <w:rPr>
                <w:lang w:val="en-US"/>
              </w:rPr>
              <w:t>in</w:t>
            </w:r>
            <w:r w:rsidR="00AA68A5">
              <w:rPr>
                <w:lang w:val="en-US"/>
              </w:rPr>
              <w:noBreakHyphen/>
            </w:r>
            <w:r w:rsidRPr="00A5296B">
              <w:rPr>
                <w:lang w:val="en-US"/>
              </w:rPr>
              <w:t>place’, a low care resident who becomes high care at a later date is able to remain within the same service.</w:t>
            </w:r>
          </w:p>
        </w:tc>
      </w:tr>
      <w:tr w:rsidR="00984A0B">
        <w:trPr>
          <w:cantSplit/>
        </w:trPr>
        <w:tc>
          <w:tcPr>
            <w:tcW w:w="8771" w:type="dxa"/>
            <w:tcBorders>
              <w:top w:val="nil"/>
              <w:left w:val="single" w:sz="6" w:space="0" w:color="auto"/>
              <w:bottom w:val="single" w:sz="6" w:space="0" w:color="auto"/>
              <w:right w:val="single" w:sz="6" w:space="0" w:color="auto"/>
            </w:tcBorders>
          </w:tcPr>
          <w:p w:rsidR="00984A0B" w:rsidRDefault="00984A0B">
            <w:pPr>
              <w:pStyle w:val="Box"/>
              <w:spacing w:before="0" w:line="120" w:lineRule="exact"/>
            </w:pPr>
          </w:p>
        </w:tc>
      </w:tr>
      <w:tr w:rsidR="00984A0B" w:rsidRPr="000863A5">
        <w:tc>
          <w:tcPr>
            <w:tcW w:w="8771" w:type="dxa"/>
            <w:tcBorders>
              <w:top w:val="nil"/>
              <w:left w:val="nil"/>
              <w:bottom w:val="nil"/>
              <w:right w:val="nil"/>
            </w:tcBorders>
          </w:tcPr>
          <w:p w:rsidR="00984A0B" w:rsidRPr="000863A5" w:rsidRDefault="00984A0B" w:rsidP="000E3F1E">
            <w:pPr>
              <w:pStyle w:val="Box"/>
              <w:keepNext w:val="0"/>
              <w:spacing w:before="60" w:after="60" w:line="80" w:lineRule="exact"/>
              <w:rPr>
                <w:b/>
                <w:sz w:val="14"/>
              </w:rPr>
            </w:pPr>
          </w:p>
        </w:tc>
      </w:tr>
    </w:tbl>
    <w:p w:rsidR="00056221" w:rsidRPr="00233444" w:rsidRDefault="00056221" w:rsidP="00056221">
      <w:pPr>
        <w:pStyle w:val="BodyText"/>
      </w:pPr>
      <w:r w:rsidRPr="00554BA0">
        <w:t xml:space="preserve">The combined number of </w:t>
      </w:r>
      <w:r>
        <w:t xml:space="preserve">all </w:t>
      </w:r>
      <w:r w:rsidRPr="00554BA0">
        <w:t xml:space="preserve">operational high care and low care residential places per 1000 people </w:t>
      </w:r>
      <w:r w:rsidR="005D5953">
        <w:t xml:space="preserve">in the </w:t>
      </w:r>
      <w:r w:rsidR="0022694C">
        <w:t xml:space="preserve">aged care </w:t>
      </w:r>
      <w:r w:rsidR="005D5953">
        <w:t>planning population (</w:t>
      </w:r>
      <w:r w:rsidRPr="00554BA0">
        <w:t>aged 70 years or over</w:t>
      </w:r>
      <w:r w:rsidR="005D5953">
        <w:t>)</w:t>
      </w:r>
      <w:r w:rsidRPr="00554BA0">
        <w:t xml:space="preserve"> at </w:t>
      </w:r>
      <w:r w:rsidR="0022694C">
        <w:br/>
      </w:r>
      <w:r w:rsidR="00714EDC">
        <w:t>June 201</w:t>
      </w:r>
      <w:r w:rsidR="008B50CD">
        <w:t>3</w:t>
      </w:r>
      <w:r w:rsidRPr="00554BA0">
        <w:t xml:space="preserve"> was</w:t>
      </w:r>
      <w:r w:rsidRPr="004E2229">
        <w:t xml:space="preserve"> </w:t>
      </w:r>
      <w:r w:rsidR="00C94D8E">
        <w:t>84.5</w:t>
      </w:r>
      <w:r w:rsidR="005D5953">
        <w:t xml:space="preserve"> </w:t>
      </w:r>
      <w:r w:rsidRPr="004E2229">
        <w:t>(</w:t>
      </w:r>
      <w:r w:rsidR="00C94D8E">
        <w:t>42.3</w:t>
      </w:r>
      <w:r w:rsidRPr="00554BA0">
        <w:t xml:space="preserve"> high care and </w:t>
      </w:r>
      <w:r w:rsidR="00C94D8E">
        <w:t>42.2</w:t>
      </w:r>
      <w:r w:rsidRPr="007E3695">
        <w:t> </w:t>
      </w:r>
      <w:r w:rsidRPr="00554BA0">
        <w:t xml:space="preserve">low care) on a national basis </w:t>
      </w:r>
      <w:r w:rsidR="00BE112E">
        <w:br/>
      </w:r>
      <w:r w:rsidRPr="00554BA0">
        <w:t>(table</w:t>
      </w:r>
      <w:r w:rsidR="00AA68A5">
        <w:t> </w:t>
      </w:r>
      <w:r w:rsidRPr="00554BA0">
        <w:t>13.</w:t>
      </w:r>
      <w:r w:rsidR="00784140">
        <w:t>3</w:t>
      </w:r>
      <w:r w:rsidRPr="00554BA0">
        <w:t>). Nationally, the proportion</w:t>
      </w:r>
      <w:r w:rsidRPr="007C33BB">
        <w:t xml:space="preserve"> of low care places relative to high care places </w:t>
      </w:r>
      <w:r>
        <w:t xml:space="preserve">has remained </w:t>
      </w:r>
      <w:r w:rsidR="00A64FC2">
        <w:t xml:space="preserve">relatively </w:t>
      </w:r>
      <w:r>
        <w:t>constant between</w:t>
      </w:r>
      <w:r w:rsidRPr="007C33BB">
        <w:t xml:space="preserve"> 200</w:t>
      </w:r>
      <w:r w:rsidR="0056443E">
        <w:t>6</w:t>
      </w:r>
      <w:r w:rsidRPr="007C33BB">
        <w:t xml:space="preserve"> </w:t>
      </w:r>
      <w:r w:rsidR="00CA0E6C">
        <w:t>and</w:t>
      </w:r>
      <w:r w:rsidRPr="007C33BB">
        <w:t xml:space="preserve"> 20</w:t>
      </w:r>
      <w:r w:rsidR="00A64FC2">
        <w:t>1</w:t>
      </w:r>
      <w:r w:rsidR="00784140">
        <w:t>3</w:t>
      </w:r>
      <w:r w:rsidRPr="007C33BB">
        <w:t xml:space="preserve"> (table</w:t>
      </w:r>
      <w:r>
        <w:t> </w:t>
      </w:r>
      <w:proofErr w:type="spellStart"/>
      <w:r>
        <w:t>13</w:t>
      </w:r>
      <w:r w:rsidRPr="00233444">
        <w:t>A.</w:t>
      </w:r>
      <w:r>
        <w:t>24</w:t>
      </w:r>
      <w:proofErr w:type="spellEnd"/>
      <w:r w:rsidRPr="00233444">
        <w:t xml:space="preserve">). </w:t>
      </w:r>
    </w:p>
    <w:p w:rsidR="00056221" w:rsidRDefault="00056221" w:rsidP="00056221">
      <w:pPr>
        <w:pStyle w:val="TableTitle"/>
      </w:pPr>
      <w:r w:rsidRPr="007218AB">
        <w:rPr>
          <w:b w:val="0"/>
          <w:sz w:val="24"/>
        </w:rPr>
        <w:t xml:space="preserve">Table </w:t>
      </w:r>
      <w:r w:rsidR="00C82353" w:rsidRPr="007218AB">
        <w:rPr>
          <w:b w:val="0"/>
          <w:sz w:val="24"/>
        </w:rPr>
        <w:t>13.</w:t>
      </w:r>
      <w:r w:rsidR="00E4728C">
        <w:rPr>
          <w:b w:val="0"/>
          <w:noProof/>
          <w:sz w:val="24"/>
        </w:rPr>
        <w:t>3</w:t>
      </w:r>
      <w:r w:rsidRPr="007218AB">
        <w:rPr>
          <w:sz w:val="24"/>
        </w:rPr>
        <w:tab/>
        <w:t>Operational high care and low care residential places,</w:t>
      </w:r>
      <w:r w:rsidRPr="007218AB">
        <w:rPr>
          <w:sz w:val="24"/>
        </w:rPr>
        <w:br/>
        <w:t>30</w:t>
      </w:r>
      <w:r w:rsidR="00AA68A5">
        <w:rPr>
          <w:sz w:val="24"/>
        </w:rPr>
        <w:t> </w:t>
      </w:r>
      <w:r w:rsidR="00714EDC" w:rsidRPr="007218AB">
        <w:rPr>
          <w:sz w:val="24"/>
        </w:rPr>
        <w:t>June 201</w:t>
      </w:r>
      <w:r w:rsidR="008B50CD">
        <w:rPr>
          <w:sz w:val="24"/>
        </w:rPr>
        <w:t>3</w:t>
      </w:r>
      <w:r w:rsidRPr="005E6F5D">
        <w:rPr>
          <w:rStyle w:val="NoteLabel"/>
          <w:b/>
        </w:rPr>
        <w:t>a, b, c</w:t>
      </w:r>
      <w:r>
        <w:rPr>
          <w:rStyle w:val="NoteLabel"/>
          <w:b/>
        </w:rPr>
        <w:t>, d, e</w:t>
      </w:r>
    </w:p>
    <w:tbl>
      <w:tblPr>
        <w:tblW w:w="8790" w:type="dxa"/>
        <w:tblLayout w:type="fixed"/>
        <w:tblCellMar>
          <w:left w:w="0" w:type="dxa"/>
          <w:right w:w="0" w:type="dxa"/>
        </w:tblCellMar>
        <w:tblLook w:val="0000" w:firstRow="0" w:lastRow="0" w:firstColumn="0" w:lastColumn="0" w:noHBand="0" w:noVBand="0"/>
      </w:tblPr>
      <w:tblGrid>
        <w:gridCol w:w="1842"/>
        <w:gridCol w:w="548"/>
        <w:gridCol w:w="13"/>
        <w:gridCol w:w="6"/>
        <w:gridCol w:w="688"/>
        <w:gridCol w:w="21"/>
        <w:gridCol w:w="706"/>
        <w:gridCol w:w="710"/>
        <w:gridCol w:w="709"/>
        <w:gridCol w:w="711"/>
        <w:gridCol w:w="711"/>
        <w:gridCol w:w="708"/>
        <w:gridCol w:w="708"/>
        <w:gridCol w:w="709"/>
      </w:tblGrid>
      <w:tr w:rsidR="00056221" w:rsidTr="00804EB5">
        <w:tc>
          <w:tcPr>
            <w:tcW w:w="1842" w:type="dxa"/>
            <w:tcBorders>
              <w:top w:val="single" w:sz="6" w:space="0" w:color="auto"/>
              <w:bottom w:val="single" w:sz="6" w:space="0" w:color="auto"/>
            </w:tcBorders>
            <w:shd w:val="clear" w:color="auto" w:fill="auto"/>
          </w:tcPr>
          <w:p w:rsidR="00056221" w:rsidRDefault="00056221" w:rsidP="00056221">
            <w:pPr>
              <w:pStyle w:val="TableColumnHeading"/>
              <w:jc w:val="left"/>
            </w:pPr>
          </w:p>
        </w:tc>
        <w:tc>
          <w:tcPr>
            <w:tcW w:w="567" w:type="dxa"/>
            <w:gridSpan w:val="3"/>
            <w:tcBorders>
              <w:top w:val="single" w:sz="6" w:space="0" w:color="auto"/>
              <w:bottom w:val="single" w:sz="6" w:space="0" w:color="auto"/>
            </w:tcBorders>
          </w:tcPr>
          <w:p w:rsidR="00056221" w:rsidRPr="00794159" w:rsidRDefault="00056221" w:rsidP="00AA68A5">
            <w:pPr>
              <w:pStyle w:val="TableColumnHeading"/>
            </w:pPr>
            <w:r>
              <w:t>Unit</w:t>
            </w:r>
          </w:p>
        </w:tc>
        <w:tc>
          <w:tcPr>
            <w:tcW w:w="709" w:type="dxa"/>
            <w:gridSpan w:val="2"/>
            <w:tcBorders>
              <w:top w:val="single" w:sz="6" w:space="0" w:color="auto"/>
              <w:bottom w:val="single" w:sz="6" w:space="0" w:color="auto"/>
            </w:tcBorders>
            <w:shd w:val="clear" w:color="auto" w:fill="auto"/>
          </w:tcPr>
          <w:p w:rsidR="00056221" w:rsidRPr="00794159" w:rsidRDefault="00056221" w:rsidP="00AA68A5">
            <w:pPr>
              <w:pStyle w:val="TableColumnHeading"/>
            </w:pPr>
            <w:r w:rsidRPr="00794159">
              <w:t>NSW</w:t>
            </w:r>
          </w:p>
        </w:tc>
        <w:tc>
          <w:tcPr>
            <w:tcW w:w="706" w:type="dxa"/>
            <w:tcBorders>
              <w:top w:val="single" w:sz="6" w:space="0" w:color="auto"/>
              <w:bottom w:val="single" w:sz="6" w:space="0" w:color="auto"/>
            </w:tcBorders>
            <w:shd w:val="clear" w:color="auto" w:fill="auto"/>
          </w:tcPr>
          <w:p w:rsidR="00056221" w:rsidRPr="00794159" w:rsidRDefault="00056221" w:rsidP="00AA68A5">
            <w:pPr>
              <w:pStyle w:val="TableColumnHeading"/>
            </w:pPr>
            <w:r w:rsidRPr="00794159">
              <w:t>Vic</w:t>
            </w:r>
          </w:p>
        </w:tc>
        <w:tc>
          <w:tcPr>
            <w:tcW w:w="710" w:type="dxa"/>
            <w:tcBorders>
              <w:top w:val="single" w:sz="6" w:space="0" w:color="auto"/>
              <w:bottom w:val="single" w:sz="6" w:space="0" w:color="auto"/>
            </w:tcBorders>
            <w:shd w:val="clear" w:color="auto" w:fill="auto"/>
          </w:tcPr>
          <w:p w:rsidR="00056221" w:rsidRPr="00794159" w:rsidRDefault="00056221" w:rsidP="00AA68A5">
            <w:pPr>
              <w:pStyle w:val="TableColumnHeading"/>
            </w:pPr>
            <w:r w:rsidRPr="00794159">
              <w:t>Qld</w:t>
            </w:r>
          </w:p>
        </w:tc>
        <w:tc>
          <w:tcPr>
            <w:tcW w:w="709" w:type="dxa"/>
            <w:tcBorders>
              <w:top w:val="single" w:sz="6" w:space="0" w:color="auto"/>
              <w:bottom w:val="single" w:sz="6" w:space="0" w:color="auto"/>
            </w:tcBorders>
            <w:shd w:val="clear" w:color="auto" w:fill="auto"/>
          </w:tcPr>
          <w:p w:rsidR="00056221" w:rsidRPr="00794159" w:rsidRDefault="00056221" w:rsidP="00AA68A5">
            <w:pPr>
              <w:pStyle w:val="TableColumnHeading"/>
            </w:pPr>
            <w:r w:rsidRPr="00794159">
              <w:t>WA</w:t>
            </w:r>
          </w:p>
        </w:tc>
        <w:tc>
          <w:tcPr>
            <w:tcW w:w="711" w:type="dxa"/>
            <w:tcBorders>
              <w:top w:val="single" w:sz="6" w:space="0" w:color="auto"/>
              <w:bottom w:val="single" w:sz="6" w:space="0" w:color="auto"/>
            </w:tcBorders>
            <w:shd w:val="clear" w:color="auto" w:fill="auto"/>
          </w:tcPr>
          <w:p w:rsidR="00056221" w:rsidRPr="00794159" w:rsidRDefault="00056221" w:rsidP="00AA68A5">
            <w:pPr>
              <w:pStyle w:val="TableColumnHeading"/>
            </w:pPr>
            <w:r w:rsidRPr="00794159">
              <w:t>SA</w:t>
            </w:r>
          </w:p>
        </w:tc>
        <w:tc>
          <w:tcPr>
            <w:tcW w:w="711" w:type="dxa"/>
            <w:tcBorders>
              <w:top w:val="single" w:sz="6" w:space="0" w:color="auto"/>
              <w:bottom w:val="single" w:sz="6" w:space="0" w:color="auto"/>
            </w:tcBorders>
            <w:shd w:val="clear" w:color="auto" w:fill="auto"/>
          </w:tcPr>
          <w:p w:rsidR="00056221" w:rsidRPr="00794159" w:rsidRDefault="00056221" w:rsidP="00AA68A5">
            <w:pPr>
              <w:pStyle w:val="TableColumnHeading"/>
            </w:pPr>
            <w:r w:rsidRPr="00794159">
              <w:t>Tas</w:t>
            </w:r>
          </w:p>
        </w:tc>
        <w:tc>
          <w:tcPr>
            <w:tcW w:w="708" w:type="dxa"/>
            <w:tcBorders>
              <w:top w:val="single" w:sz="6" w:space="0" w:color="auto"/>
              <w:bottom w:val="single" w:sz="6" w:space="0" w:color="auto"/>
            </w:tcBorders>
            <w:shd w:val="clear" w:color="auto" w:fill="auto"/>
          </w:tcPr>
          <w:p w:rsidR="00056221" w:rsidRPr="00794159" w:rsidRDefault="00056221" w:rsidP="00AA68A5">
            <w:pPr>
              <w:pStyle w:val="TableColumnHeading"/>
            </w:pPr>
            <w:r w:rsidRPr="00794159">
              <w:t>ACT</w:t>
            </w:r>
          </w:p>
        </w:tc>
        <w:tc>
          <w:tcPr>
            <w:tcW w:w="708" w:type="dxa"/>
            <w:tcBorders>
              <w:top w:val="single" w:sz="6" w:space="0" w:color="auto"/>
              <w:bottom w:val="single" w:sz="6" w:space="0" w:color="auto"/>
            </w:tcBorders>
            <w:shd w:val="clear" w:color="auto" w:fill="auto"/>
          </w:tcPr>
          <w:p w:rsidR="00056221" w:rsidRPr="00794159" w:rsidRDefault="00056221" w:rsidP="00AA68A5">
            <w:pPr>
              <w:pStyle w:val="TableColumnHeading"/>
            </w:pPr>
            <w:r w:rsidRPr="00794159">
              <w:t>NT</w:t>
            </w:r>
          </w:p>
        </w:tc>
        <w:tc>
          <w:tcPr>
            <w:tcW w:w="709" w:type="dxa"/>
            <w:tcBorders>
              <w:top w:val="single" w:sz="6" w:space="0" w:color="auto"/>
              <w:bottom w:val="single" w:sz="6" w:space="0" w:color="auto"/>
            </w:tcBorders>
            <w:shd w:val="clear" w:color="auto" w:fill="auto"/>
          </w:tcPr>
          <w:p w:rsidR="00056221" w:rsidRDefault="00056221" w:rsidP="00AA68A5">
            <w:pPr>
              <w:pStyle w:val="TableColumnHeading"/>
              <w:ind w:right="28"/>
            </w:pPr>
            <w:r>
              <w:t>Aust</w:t>
            </w:r>
          </w:p>
        </w:tc>
      </w:tr>
      <w:tr w:rsidR="00056221" w:rsidTr="00355A15">
        <w:tc>
          <w:tcPr>
            <w:tcW w:w="8790" w:type="dxa"/>
            <w:gridSpan w:val="14"/>
            <w:vAlign w:val="center"/>
          </w:tcPr>
          <w:p w:rsidR="00056221" w:rsidRDefault="00056221" w:rsidP="00355A15">
            <w:pPr>
              <w:pStyle w:val="TableBodyText"/>
              <w:jc w:val="left"/>
            </w:pPr>
            <w:r>
              <w:t>Number of places per 1000 people aged 70 years or over</w:t>
            </w:r>
          </w:p>
        </w:tc>
      </w:tr>
      <w:tr w:rsidR="0056443E" w:rsidRPr="000C6925" w:rsidTr="00355A15">
        <w:tc>
          <w:tcPr>
            <w:tcW w:w="1842" w:type="dxa"/>
            <w:vAlign w:val="center"/>
          </w:tcPr>
          <w:p w:rsidR="0056443E" w:rsidRPr="000C6925" w:rsidRDefault="0056443E" w:rsidP="00355A15">
            <w:pPr>
              <w:pStyle w:val="TableBodyText"/>
              <w:ind w:left="346" w:hanging="204"/>
              <w:jc w:val="left"/>
            </w:pPr>
            <w:r w:rsidRPr="000C6925">
              <w:t>High care places</w:t>
            </w:r>
          </w:p>
        </w:tc>
        <w:tc>
          <w:tcPr>
            <w:tcW w:w="561" w:type="dxa"/>
            <w:gridSpan w:val="2"/>
            <w:vAlign w:val="center"/>
          </w:tcPr>
          <w:p w:rsidR="0056443E" w:rsidRPr="000C6925" w:rsidRDefault="0056443E" w:rsidP="00AA68A5">
            <w:pPr>
              <w:pStyle w:val="TableBodyText"/>
            </w:pPr>
            <w:r w:rsidRPr="000C6925">
              <w:t>no.</w:t>
            </w:r>
          </w:p>
        </w:tc>
        <w:tc>
          <w:tcPr>
            <w:tcW w:w="715" w:type="dxa"/>
            <w:gridSpan w:val="3"/>
            <w:vAlign w:val="center"/>
          </w:tcPr>
          <w:p w:rsidR="0056443E" w:rsidRDefault="00926F6B" w:rsidP="00AA68A5">
            <w:pPr>
              <w:pStyle w:val="TableBodyText"/>
            </w:pPr>
            <w:r>
              <w:t xml:space="preserve"> </w:t>
            </w:r>
            <w:r w:rsidR="0056443E">
              <w:t>44.6</w:t>
            </w:r>
          </w:p>
        </w:tc>
        <w:tc>
          <w:tcPr>
            <w:tcW w:w="706" w:type="dxa"/>
            <w:vAlign w:val="center"/>
          </w:tcPr>
          <w:p w:rsidR="0056443E" w:rsidRDefault="00926F6B" w:rsidP="00AA68A5">
            <w:pPr>
              <w:pStyle w:val="TableBodyText"/>
            </w:pPr>
            <w:r>
              <w:t xml:space="preserve"> </w:t>
            </w:r>
            <w:r w:rsidR="0056443E">
              <w:t>41.3</w:t>
            </w:r>
          </w:p>
        </w:tc>
        <w:tc>
          <w:tcPr>
            <w:tcW w:w="710" w:type="dxa"/>
            <w:vAlign w:val="center"/>
          </w:tcPr>
          <w:p w:rsidR="0056443E" w:rsidRDefault="00926F6B" w:rsidP="00AA68A5">
            <w:pPr>
              <w:pStyle w:val="TableBodyText"/>
            </w:pPr>
            <w:r>
              <w:t xml:space="preserve"> </w:t>
            </w:r>
            <w:r w:rsidR="0056443E">
              <w:t>39.1</w:t>
            </w:r>
          </w:p>
        </w:tc>
        <w:tc>
          <w:tcPr>
            <w:tcW w:w="709" w:type="dxa"/>
            <w:vAlign w:val="center"/>
          </w:tcPr>
          <w:p w:rsidR="0056443E" w:rsidRDefault="00926F6B" w:rsidP="00AA68A5">
            <w:pPr>
              <w:pStyle w:val="TableBodyText"/>
            </w:pPr>
            <w:r>
              <w:t xml:space="preserve"> </w:t>
            </w:r>
            <w:r w:rsidR="0056443E">
              <w:t>36.6</w:t>
            </w:r>
          </w:p>
        </w:tc>
        <w:tc>
          <w:tcPr>
            <w:tcW w:w="711" w:type="dxa"/>
            <w:vAlign w:val="center"/>
          </w:tcPr>
          <w:p w:rsidR="0056443E" w:rsidRDefault="00926F6B" w:rsidP="00AA68A5">
            <w:pPr>
              <w:pStyle w:val="TableBodyText"/>
            </w:pPr>
            <w:r>
              <w:t xml:space="preserve"> </w:t>
            </w:r>
            <w:r w:rsidR="0056443E">
              <w:t>50.1</w:t>
            </w:r>
          </w:p>
        </w:tc>
        <w:tc>
          <w:tcPr>
            <w:tcW w:w="711" w:type="dxa"/>
            <w:tcBorders>
              <w:left w:val="nil"/>
            </w:tcBorders>
            <w:vAlign w:val="center"/>
          </w:tcPr>
          <w:p w:rsidR="0056443E" w:rsidRDefault="00926F6B" w:rsidP="00AA68A5">
            <w:pPr>
              <w:pStyle w:val="TableBodyText"/>
            </w:pPr>
            <w:r>
              <w:t xml:space="preserve"> </w:t>
            </w:r>
            <w:r w:rsidR="0056443E">
              <w:t>43.7</w:t>
            </w:r>
          </w:p>
        </w:tc>
        <w:tc>
          <w:tcPr>
            <w:tcW w:w="708" w:type="dxa"/>
            <w:vAlign w:val="center"/>
          </w:tcPr>
          <w:p w:rsidR="0056443E" w:rsidRDefault="00926F6B" w:rsidP="00AA68A5">
            <w:pPr>
              <w:pStyle w:val="TableBodyText"/>
            </w:pPr>
            <w:r>
              <w:t xml:space="preserve"> </w:t>
            </w:r>
            <w:r w:rsidR="0056443E">
              <w:t>30.6</w:t>
            </w:r>
          </w:p>
        </w:tc>
        <w:tc>
          <w:tcPr>
            <w:tcW w:w="708" w:type="dxa"/>
            <w:vAlign w:val="center"/>
          </w:tcPr>
          <w:p w:rsidR="0056443E" w:rsidRDefault="00926F6B" w:rsidP="00AA68A5">
            <w:pPr>
              <w:pStyle w:val="TableBodyText"/>
            </w:pPr>
            <w:r>
              <w:t xml:space="preserve"> </w:t>
            </w:r>
            <w:r w:rsidR="0056443E">
              <w:t>48.1</w:t>
            </w:r>
          </w:p>
        </w:tc>
        <w:tc>
          <w:tcPr>
            <w:tcW w:w="709" w:type="dxa"/>
            <w:vAlign w:val="center"/>
          </w:tcPr>
          <w:p w:rsidR="0056443E" w:rsidRDefault="00926F6B" w:rsidP="00AA68A5">
            <w:pPr>
              <w:pStyle w:val="TableBodyText"/>
              <w:ind w:right="28"/>
            </w:pPr>
            <w:r>
              <w:t xml:space="preserve"> </w:t>
            </w:r>
            <w:r w:rsidR="0056443E">
              <w:t>42.3</w:t>
            </w:r>
          </w:p>
        </w:tc>
      </w:tr>
      <w:tr w:rsidR="0056443E" w:rsidRPr="000C6925" w:rsidTr="00355A15">
        <w:tc>
          <w:tcPr>
            <w:tcW w:w="1842" w:type="dxa"/>
            <w:vAlign w:val="center"/>
          </w:tcPr>
          <w:p w:rsidR="0056443E" w:rsidRPr="002B3A03" w:rsidRDefault="0056443E" w:rsidP="00355A15">
            <w:pPr>
              <w:pStyle w:val="TableBodyText"/>
              <w:ind w:left="346" w:hanging="204"/>
              <w:jc w:val="left"/>
            </w:pPr>
            <w:r w:rsidRPr="002B3A03">
              <w:t>Low care places</w:t>
            </w:r>
          </w:p>
        </w:tc>
        <w:tc>
          <w:tcPr>
            <w:tcW w:w="561" w:type="dxa"/>
            <w:gridSpan w:val="2"/>
            <w:vAlign w:val="center"/>
          </w:tcPr>
          <w:p w:rsidR="0056443E" w:rsidRPr="002B3A03" w:rsidRDefault="0056443E" w:rsidP="00AA68A5">
            <w:pPr>
              <w:pStyle w:val="TableBodyText"/>
            </w:pPr>
            <w:r w:rsidRPr="002B3A03">
              <w:t>no.</w:t>
            </w:r>
          </w:p>
        </w:tc>
        <w:tc>
          <w:tcPr>
            <w:tcW w:w="715" w:type="dxa"/>
            <w:gridSpan w:val="3"/>
            <w:vAlign w:val="center"/>
          </w:tcPr>
          <w:p w:rsidR="0056443E" w:rsidRDefault="00926F6B" w:rsidP="00AA68A5">
            <w:pPr>
              <w:pStyle w:val="TableBodyText"/>
            </w:pPr>
            <w:r>
              <w:t xml:space="preserve"> </w:t>
            </w:r>
            <w:r w:rsidR="0056443E">
              <w:t>41.8</w:t>
            </w:r>
          </w:p>
        </w:tc>
        <w:tc>
          <w:tcPr>
            <w:tcW w:w="706" w:type="dxa"/>
            <w:vAlign w:val="center"/>
          </w:tcPr>
          <w:p w:rsidR="0056443E" w:rsidRDefault="00926F6B" w:rsidP="00AA68A5">
            <w:pPr>
              <w:pStyle w:val="TableBodyText"/>
            </w:pPr>
            <w:r>
              <w:t xml:space="preserve"> </w:t>
            </w:r>
            <w:r w:rsidR="0056443E">
              <w:t>43.9</w:t>
            </w:r>
          </w:p>
        </w:tc>
        <w:tc>
          <w:tcPr>
            <w:tcW w:w="710" w:type="dxa"/>
            <w:vAlign w:val="center"/>
          </w:tcPr>
          <w:p w:rsidR="0056443E" w:rsidRDefault="00926F6B" w:rsidP="00AA68A5">
            <w:pPr>
              <w:pStyle w:val="TableBodyText"/>
            </w:pPr>
            <w:r>
              <w:t xml:space="preserve"> </w:t>
            </w:r>
            <w:r w:rsidR="0056443E">
              <w:t>42.3</w:t>
            </w:r>
          </w:p>
        </w:tc>
        <w:tc>
          <w:tcPr>
            <w:tcW w:w="709" w:type="dxa"/>
            <w:vAlign w:val="center"/>
          </w:tcPr>
          <w:p w:rsidR="0056443E" w:rsidRDefault="00926F6B" w:rsidP="00AA68A5">
            <w:pPr>
              <w:pStyle w:val="TableBodyText"/>
            </w:pPr>
            <w:r>
              <w:t xml:space="preserve"> </w:t>
            </w:r>
            <w:r w:rsidR="0056443E">
              <w:t>40.3</w:t>
            </w:r>
          </w:p>
        </w:tc>
        <w:tc>
          <w:tcPr>
            <w:tcW w:w="711" w:type="dxa"/>
            <w:vAlign w:val="center"/>
          </w:tcPr>
          <w:p w:rsidR="0056443E" w:rsidRDefault="00926F6B" w:rsidP="00AA68A5">
            <w:pPr>
              <w:pStyle w:val="TableBodyText"/>
            </w:pPr>
            <w:r>
              <w:t xml:space="preserve"> </w:t>
            </w:r>
            <w:r w:rsidR="0056443E">
              <w:t>42.8</w:t>
            </w:r>
          </w:p>
        </w:tc>
        <w:tc>
          <w:tcPr>
            <w:tcW w:w="711" w:type="dxa"/>
            <w:tcBorders>
              <w:left w:val="nil"/>
            </w:tcBorders>
            <w:vAlign w:val="center"/>
          </w:tcPr>
          <w:p w:rsidR="0056443E" w:rsidRDefault="00926F6B" w:rsidP="00AA68A5">
            <w:pPr>
              <w:pStyle w:val="TableBodyText"/>
            </w:pPr>
            <w:r>
              <w:t xml:space="preserve"> </w:t>
            </w:r>
            <w:r w:rsidR="0056443E">
              <w:t>37.2</w:t>
            </w:r>
          </w:p>
        </w:tc>
        <w:tc>
          <w:tcPr>
            <w:tcW w:w="708" w:type="dxa"/>
            <w:vAlign w:val="center"/>
          </w:tcPr>
          <w:p w:rsidR="0056443E" w:rsidRDefault="00926F6B" w:rsidP="00AA68A5">
            <w:pPr>
              <w:pStyle w:val="TableBodyText"/>
            </w:pPr>
            <w:r>
              <w:t xml:space="preserve"> </w:t>
            </w:r>
            <w:r w:rsidR="0056443E">
              <w:t>42.8</w:t>
            </w:r>
          </w:p>
        </w:tc>
        <w:tc>
          <w:tcPr>
            <w:tcW w:w="708" w:type="dxa"/>
            <w:vAlign w:val="center"/>
          </w:tcPr>
          <w:p w:rsidR="0056443E" w:rsidRDefault="00926F6B" w:rsidP="00AA68A5">
            <w:pPr>
              <w:pStyle w:val="TableBodyText"/>
            </w:pPr>
            <w:r>
              <w:t xml:space="preserve"> </w:t>
            </w:r>
            <w:r w:rsidR="0056443E">
              <w:t>39.1</w:t>
            </w:r>
          </w:p>
        </w:tc>
        <w:tc>
          <w:tcPr>
            <w:tcW w:w="709" w:type="dxa"/>
            <w:vAlign w:val="center"/>
          </w:tcPr>
          <w:p w:rsidR="0056443E" w:rsidRDefault="00926F6B" w:rsidP="00AA68A5">
            <w:pPr>
              <w:pStyle w:val="TableBodyText"/>
              <w:ind w:right="28"/>
            </w:pPr>
            <w:r>
              <w:t xml:space="preserve"> </w:t>
            </w:r>
            <w:r w:rsidR="0056443E">
              <w:t>42.2</w:t>
            </w:r>
          </w:p>
        </w:tc>
      </w:tr>
      <w:tr w:rsidR="0056443E" w:rsidRPr="00F06113" w:rsidTr="0002130B">
        <w:tc>
          <w:tcPr>
            <w:tcW w:w="1842" w:type="dxa"/>
            <w:vAlign w:val="center"/>
          </w:tcPr>
          <w:p w:rsidR="0056443E" w:rsidRPr="00C051F2" w:rsidRDefault="0056443E" w:rsidP="00355A15">
            <w:pPr>
              <w:pStyle w:val="TableBodyText"/>
              <w:spacing w:after="4"/>
              <w:jc w:val="left"/>
              <w:rPr>
                <w:b/>
              </w:rPr>
            </w:pPr>
            <w:r w:rsidRPr="00C051F2">
              <w:rPr>
                <w:b/>
              </w:rPr>
              <w:t>Total places</w:t>
            </w:r>
          </w:p>
        </w:tc>
        <w:tc>
          <w:tcPr>
            <w:tcW w:w="561" w:type="dxa"/>
            <w:gridSpan w:val="2"/>
            <w:vAlign w:val="center"/>
          </w:tcPr>
          <w:p w:rsidR="0056443E" w:rsidRPr="00F53177" w:rsidRDefault="0056443E" w:rsidP="00AA68A5">
            <w:pPr>
              <w:pStyle w:val="TableBodyText"/>
              <w:spacing w:after="4"/>
              <w:rPr>
                <w:b/>
              </w:rPr>
            </w:pPr>
            <w:r w:rsidRPr="00F53177">
              <w:rPr>
                <w:b/>
              </w:rPr>
              <w:t>no.</w:t>
            </w:r>
          </w:p>
        </w:tc>
        <w:tc>
          <w:tcPr>
            <w:tcW w:w="715" w:type="dxa"/>
            <w:gridSpan w:val="3"/>
            <w:vAlign w:val="center"/>
          </w:tcPr>
          <w:p w:rsidR="0056443E" w:rsidRPr="0002130B" w:rsidRDefault="0056443E" w:rsidP="00AA68A5">
            <w:pPr>
              <w:pStyle w:val="TableBodyText"/>
              <w:rPr>
                <w:b/>
              </w:rPr>
            </w:pPr>
            <w:r w:rsidRPr="0002130B">
              <w:rPr>
                <w:b/>
              </w:rPr>
              <w:t>86.4</w:t>
            </w:r>
          </w:p>
        </w:tc>
        <w:tc>
          <w:tcPr>
            <w:tcW w:w="706" w:type="dxa"/>
            <w:vAlign w:val="center"/>
          </w:tcPr>
          <w:p w:rsidR="0056443E" w:rsidRPr="0002130B" w:rsidRDefault="0056443E" w:rsidP="00AA68A5">
            <w:pPr>
              <w:pStyle w:val="TableBodyText"/>
              <w:rPr>
                <w:b/>
              </w:rPr>
            </w:pPr>
            <w:r w:rsidRPr="0002130B">
              <w:rPr>
                <w:b/>
              </w:rPr>
              <w:t>85.2</w:t>
            </w:r>
          </w:p>
        </w:tc>
        <w:tc>
          <w:tcPr>
            <w:tcW w:w="710" w:type="dxa"/>
            <w:vAlign w:val="center"/>
          </w:tcPr>
          <w:p w:rsidR="0056443E" w:rsidRPr="0002130B" w:rsidRDefault="0056443E" w:rsidP="00AA68A5">
            <w:pPr>
              <w:pStyle w:val="TableBodyText"/>
              <w:rPr>
                <w:b/>
              </w:rPr>
            </w:pPr>
            <w:r w:rsidRPr="0002130B">
              <w:rPr>
                <w:b/>
              </w:rPr>
              <w:t>81.4</w:t>
            </w:r>
          </w:p>
        </w:tc>
        <w:tc>
          <w:tcPr>
            <w:tcW w:w="709" w:type="dxa"/>
            <w:vAlign w:val="center"/>
          </w:tcPr>
          <w:p w:rsidR="0056443E" w:rsidRPr="0002130B" w:rsidRDefault="0056443E" w:rsidP="00AA68A5">
            <w:pPr>
              <w:pStyle w:val="TableBodyText"/>
              <w:rPr>
                <w:b/>
              </w:rPr>
            </w:pPr>
            <w:r w:rsidRPr="0002130B">
              <w:rPr>
                <w:b/>
              </w:rPr>
              <w:t>77.0</w:t>
            </w:r>
          </w:p>
        </w:tc>
        <w:tc>
          <w:tcPr>
            <w:tcW w:w="711" w:type="dxa"/>
            <w:vAlign w:val="center"/>
          </w:tcPr>
          <w:p w:rsidR="0056443E" w:rsidRPr="0002130B" w:rsidRDefault="0056443E" w:rsidP="00AA68A5">
            <w:pPr>
              <w:pStyle w:val="TableBodyText"/>
              <w:rPr>
                <w:b/>
              </w:rPr>
            </w:pPr>
            <w:r w:rsidRPr="0002130B">
              <w:rPr>
                <w:b/>
              </w:rPr>
              <w:t>92.9</w:t>
            </w:r>
          </w:p>
        </w:tc>
        <w:tc>
          <w:tcPr>
            <w:tcW w:w="711" w:type="dxa"/>
            <w:vAlign w:val="center"/>
          </w:tcPr>
          <w:p w:rsidR="0056443E" w:rsidRPr="0002130B" w:rsidRDefault="0056443E" w:rsidP="00AA68A5">
            <w:pPr>
              <w:pStyle w:val="TableBodyText"/>
              <w:rPr>
                <w:b/>
              </w:rPr>
            </w:pPr>
            <w:r w:rsidRPr="0002130B">
              <w:rPr>
                <w:b/>
              </w:rPr>
              <w:t>80.9</w:t>
            </w:r>
          </w:p>
        </w:tc>
        <w:tc>
          <w:tcPr>
            <w:tcW w:w="708" w:type="dxa"/>
            <w:vAlign w:val="center"/>
          </w:tcPr>
          <w:p w:rsidR="0056443E" w:rsidRPr="0002130B" w:rsidRDefault="0056443E" w:rsidP="00AA68A5">
            <w:pPr>
              <w:pStyle w:val="TableBodyText"/>
              <w:rPr>
                <w:b/>
              </w:rPr>
            </w:pPr>
            <w:r w:rsidRPr="0002130B">
              <w:rPr>
                <w:b/>
              </w:rPr>
              <w:t>73.4</w:t>
            </w:r>
          </w:p>
        </w:tc>
        <w:tc>
          <w:tcPr>
            <w:tcW w:w="708" w:type="dxa"/>
            <w:vAlign w:val="center"/>
          </w:tcPr>
          <w:p w:rsidR="0056443E" w:rsidRPr="0002130B" w:rsidRDefault="0056443E" w:rsidP="00AA68A5">
            <w:pPr>
              <w:pStyle w:val="TableBodyText"/>
              <w:rPr>
                <w:b/>
              </w:rPr>
            </w:pPr>
            <w:r w:rsidRPr="0002130B">
              <w:rPr>
                <w:b/>
              </w:rPr>
              <w:t>87.2</w:t>
            </w:r>
          </w:p>
        </w:tc>
        <w:tc>
          <w:tcPr>
            <w:tcW w:w="709" w:type="dxa"/>
            <w:vAlign w:val="center"/>
          </w:tcPr>
          <w:p w:rsidR="0056443E" w:rsidRPr="0002130B" w:rsidRDefault="0056443E" w:rsidP="00AA68A5">
            <w:pPr>
              <w:pStyle w:val="TableBodyText"/>
              <w:ind w:right="28"/>
              <w:rPr>
                <w:b/>
              </w:rPr>
            </w:pPr>
            <w:r w:rsidRPr="0002130B">
              <w:rPr>
                <w:b/>
              </w:rPr>
              <w:t>84.5</w:t>
            </w:r>
          </w:p>
        </w:tc>
      </w:tr>
      <w:tr w:rsidR="0055727C" w:rsidTr="0055727C">
        <w:trPr>
          <w:trHeight w:val="248"/>
        </w:trPr>
        <w:tc>
          <w:tcPr>
            <w:tcW w:w="8790" w:type="dxa"/>
            <w:gridSpan w:val="14"/>
            <w:vAlign w:val="center"/>
          </w:tcPr>
          <w:p w:rsidR="0055727C" w:rsidRDefault="0055727C" w:rsidP="0055727C">
            <w:pPr>
              <w:pStyle w:val="TableBodyText"/>
              <w:jc w:val="left"/>
            </w:pPr>
            <w:r>
              <w:t>Proportion of places</w:t>
            </w:r>
          </w:p>
        </w:tc>
      </w:tr>
      <w:tr w:rsidR="0056443E" w:rsidTr="00355A15">
        <w:trPr>
          <w:trHeight w:val="250"/>
        </w:trPr>
        <w:tc>
          <w:tcPr>
            <w:tcW w:w="1842" w:type="dxa"/>
            <w:vAlign w:val="center"/>
          </w:tcPr>
          <w:p w:rsidR="0056443E" w:rsidRDefault="0056443E" w:rsidP="0055727C">
            <w:pPr>
              <w:pStyle w:val="TableBodyText"/>
              <w:ind w:left="346" w:hanging="204"/>
              <w:jc w:val="left"/>
            </w:pPr>
            <w:r>
              <w:t>High care places</w:t>
            </w:r>
          </w:p>
        </w:tc>
        <w:tc>
          <w:tcPr>
            <w:tcW w:w="548" w:type="dxa"/>
            <w:vAlign w:val="center"/>
          </w:tcPr>
          <w:p w:rsidR="0056443E" w:rsidRDefault="0056443E" w:rsidP="00AA68A5">
            <w:pPr>
              <w:pStyle w:val="TableBodyText"/>
              <w:spacing w:after="4"/>
            </w:pPr>
            <w:r>
              <w:t>%</w:t>
            </w:r>
          </w:p>
        </w:tc>
        <w:tc>
          <w:tcPr>
            <w:tcW w:w="707" w:type="dxa"/>
            <w:gridSpan w:val="3"/>
            <w:vAlign w:val="center"/>
          </w:tcPr>
          <w:p w:rsidR="0056443E" w:rsidRPr="0056443E" w:rsidRDefault="0056443E" w:rsidP="00AA68A5">
            <w:pPr>
              <w:pStyle w:val="TableBodyText"/>
            </w:pPr>
            <w:r w:rsidRPr="0056443E">
              <w:t>51.6</w:t>
            </w:r>
          </w:p>
        </w:tc>
        <w:tc>
          <w:tcPr>
            <w:tcW w:w="727" w:type="dxa"/>
            <w:gridSpan w:val="2"/>
            <w:vAlign w:val="center"/>
          </w:tcPr>
          <w:p w:rsidR="0056443E" w:rsidRPr="0056443E" w:rsidRDefault="0056443E" w:rsidP="00AA68A5">
            <w:pPr>
              <w:pStyle w:val="TableBodyText"/>
            </w:pPr>
            <w:r w:rsidRPr="0056443E">
              <w:t>48.5</w:t>
            </w:r>
          </w:p>
        </w:tc>
        <w:tc>
          <w:tcPr>
            <w:tcW w:w="710" w:type="dxa"/>
            <w:vAlign w:val="center"/>
          </w:tcPr>
          <w:p w:rsidR="0056443E" w:rsidRPr="0056443E" w:rsidRDefault="0056443E" w:rsidP="00AA68A5">
            <w:pPr>
              <w:pStyle w:val="TableBodyText"/>
            </w:pPr>
            <w:r w:rsidRPr="0056443E">
              <w:t>48.0</w:t>
            </w:r>
          </w:p>
        </w:tc>
        <w:tc>
          <w:tcPr>
            <w:tcW w:w="709" w:type="dxa"/>
            <w:vAlign w:val="center"/>
          </w:tcPr>
          <w:p w:rsidR="0056443E" w:rsidRPr="0056443E" w:rsidRDefault="0056443E" w:rsidP="00AA68A5">
            <w:pPr>
              <w:pStyle w:val="TableBodyText"/>
            </w:pPr>
            <w:r w:rsidRPr="0056443E">
              <w:t>47.6</w:t>
            </w:r>
          </w:p>
        </w:tc>
        <w:tc>
          <w:tcPr>
            <w:tcW w:w="711" w:type="dxa"/>
            <w:vAlign w:val="center"/>
          </w:tcPr>
          <w:p w:rsidR="0056443E" w:rsidRPr="0056443E" w:rsidRDefault="0056443E" w:rsidP="00AA68A5">
            <w:pPr>
              <w:pStyle w:val="TableBodyText"/>
            </w:pPr>
            <w:r w:rsidRPr="0056443E">
              <w:t>54.0</w:t>
            </w:r>
          </w:p>
        </w:tc>
        <w:tc>
          <w:tcPr>
            <w:tcW w:w="711" w:type="dxa"/>
            <w:vAlign w:val="center"/>
          </w:tcPr>
          <w:p w:rsidR="0056443E" w:rsidRPr="0056443E" w:rsidRDefault="0056443E" w:rsidP="00AA68A5">
            <w:pPr>
              <w:pStyle w:val="TableBodyText"/>
            </w:pPr>
            <w:r w:rsidRPr="0056443E">
              <w:t>54.0</w:t>
            </w:r>
          </w:p>
        </w:tc>
        <w:tc>
          <w:tcPr>
            <w:tcW w:w="708" w:type="dxa"/>
            <w:vAlign w:val="center"/>
          </w:tcPr>
          <w:p w:rsidR="0056443E" w:rsidRPr="0056443E" w:rsidRDefault="0056443E" w:rsidP="00AA68A5">
            <w:pPr>
              <w:pStyle w:val="TableBodyText"/>
            </w:pPr>
            <w:r w:rsidRPr="0056443E">
              <w:t>41.7</w:t>
            </w:r>
          </w:p>
        </w:tc>
        <w:tc>
          <w:tcPr>
            <w:tcW w:w="708" w:type="dxa"/>
            <w:vAlign w:val="center"/>
          </w:tcPr>
          <w:p w:rsidR="0056443E" w:rsidRPr="0056443E" w:rsidRDefault="0056443E" w:rsidP="00AA68A5">
            <w:pPr>
              <w:pStyle w:val="TableBodyText"/>
            </w:pPr>
            <w:r w:rsidRPr="0056443E">
              <w:t>55.2</w:t>
            </w:r>
          </w:p>
        </w:tc>
        <w:tc>
          <w:tcPr>
            <w:tcW w:w="709" w:type="dxa"/>
            <w:vAlign w:val="center"/>
          </w:tcPr>
          <w:p w:rsidR="0056443E" w:rsidRPr="0056443E" w:rsidRDefault="0056443E" w:rsidP="00AA68A5">
            <w:pPr>
              <w:pStyle w:val="TableBodyText"/>
              <w:ind w:right="28"/>
            </w:pPr>
            <w:r w:rsidRPr="0056443E">
              <w:t>50.0</w:t>
            </w:r>
          </w:p>
        </w:tc>
      </w:tr>
      <w:tr w:rsidR="0056443E" w:rsidTr="00355A15">
        <w:trPr>
          <w:trHeight w:val="284"/>
        </w:trPr>
        <w:tc>
          <w:tcPr>
            <w:tcW w:w="1842" w:type="dxa"/>
            <w:tcBorders>
              <w:bottom w:val="single" w:sz="6" w:space="0" w:color="auto"/>
            </w:tcBorders>
            <w:shd w:val="clear" w:color="auto" w:fill="auto"/>
            <w:vAlign w:val="center"/>
          </w:tcPr>
          <w:p w:rsidR="0056443E" w:rsidRDefault="0056443E" w:rsidP="0055727C">
            <w:pPr>
              <w:pStyle w:val="TableBodyText"/>
              <w:ind w:left="346" w:hanging="204"/>
              <w:jc w:val="left"/>
            </w:pPr>
            <w:r>
              <w:t>Low care places</w:t>
            </w:r>
          </w:p>
        </w:tc>
        <w:tc>
          <w:tcPr>
            <w:tcW w:w="548" w:type="dxa"/>
            <w:tcBorders>
              <w:bottom w:val="single" w:sz="6" w:space="0" w:color="auto"/>
            </w:tcBorders>
            <w:vAlign w:val="center"/>
          </w:tcPr>
          <w:p w:rsidR="0056443E" w:rsidRDefault="0056443E" w:rsidP="00AA68A5">
            <w:pPr>
              <w:pStyle w:val="TableBodyText"/>
              <w:spacing w:after="4"/>
            </w:pPr>
            <w:r>
              <w:t>%</w:t>
            </w:r>
          </w:p>
        </w:tc>
        <w:tc>
          <w:tcPr>
            <w:tcW w:w="707" w:type="dxa"/>
            <w:gridSpan w:val="3"/>
            <w:tcBorders>
              <w:bottom w:val="single" w:sz="4" w:space="0" w:color="auto"/>
            </w:tcBorders>
            <w:shd w:val="clear" w:color="auto" w:fill="auto"/>
            <w:vAlign w:val="center"/>
          </w:tcPr>
          <w:p w:rsidR="0056443E" w:rsidRPr="0056443E" w:rsidRDefault="0056443E" w:rsidP="00AA68A5">
            <w:pPr>
              <w:pStyle w:val="TableBodyText"/>
            </w:pPr>
            <w:r w:rsidRPr="0056443E">
              <w:t>48.4</w:t>
            </w:r>
          </w:p>
        </w:tc>
        <w:tc>
          <w:tcPr>
            <w:tcW w:w="727" w:type="dxa"/>
            <w:gridSpan w:val="2"/>
            <w:tcBorders>
              <w:bottom w:val="single" w:sz="4" w:space="0" w:color="auto"/>
            </w:tcBorders>
            <w:shd w:val="clear" w:color="auto" w:fill="auto"/>
            <w:vAlign w:val="center"/>
          </w:tcPr>
          <w:p w:rsidR="0056443E" w:rsidRPr="0056443E" w:rsidRDefault="0056443E" w:rsidP="00AA68A5">
            <w:pPr>
              <w:pStyle w:val="TableBodyText"/>
            </w:pPr>
            <w:r w:rsidRPr="0056443E">
              <w:t>51.5</w:t>
            </w:r>
          </w:p>
        </w:tc>
        <w:tc>
          <w:tcPr>
            <w:tcW w:w="710" w:type="dxa"/>
            <w:tcBorders>
              <w:bottom w:val="single" w:sz="4" w:space="0" w:color="auto"/>
            </w:tcBorders>
            <w:shd w:val="clear" w:color="auto" w:fill="auto"/>
            <w:vAlign w:val="center"/>
          </w:tcPr>
          <w:p w:rsidR="0056443E" w:rsidRPr="0056443E" w:rsidRDefault="0056443E" w:rsidP="00AA68A5">
            <w:pPr>
              <w:pStyle w:val="TableBodyText"/>
            </w:pPr>
            <w:r w:rsidRPr="0056443E">
              <w:t>52.0</w:t>
            </w:r>
          </w:p>
        </w:tc>
        <w:tc>
          <w:tcPr>
            <w:tcW w:w="709" w:type="dxa"/>
            <w:tcBorders>
              <w:bottom w:val="single" w:sz="4" w:space="0" w:color="auto"/>
            </w:tcBorders>
            <w:shd w:val="clear" w:color="auto" w:fill="auto"/>
            <w:vAlign w:val="center"/>
          </w:tcPr>
          <w:p w:rsidR="0056443E" w:rsidRPr="0056443E" w:rsidRDefault="0056443E" w:rsidP="00AA68A5">
            <w:pPr>
              <w:pStyle w:val="TableBodyText"/>
            </w:pPr>
            <w:r w:rsidRPr="0056443E">
              <w:t>52.4</w:t>
            </w:r>
          </w:p>
        </w:tc>
        <w:tc>
          <w:tcPr>
            <w:tcW w:w="711" w:type="dxa"/>
            <w:tcBorders>
              <w:bottom w:val="single" w:sz="4" w:space="0" w:color="auto"/>
            </w:tcBorders>
            <w:shd w:val="clear" w:color="auto" w:fill="auto"/>
            <w:vAlign w:val="center"/>
          </w:tcPr>
          <w:p w:rsidR="0056443E" w:rsidRPr="0056443E" w:rsidRDefault="0056443E" w:rsidP="00AA68A5">
            <w:pPr>
              <w:pStyle w:val="TableBodyText"/>
            </w:pPr>
            <w:r w:rsidRPr="0056443E">
              <w:t>46.0</w:t>
            </w:r>
          </w:p>
        </w:tc>
        <w:tc>
          <w:tcPr>
            <w:tcW w:w="711" w:type="dxa"/>
            <w:tcBorders>
              <w:bottom w:val="single" w:sz="4" w:space="0" w:color="auto"/>
            </w:tcBorders>
            <w:shd w:val="clear" w:color="auto" w:fill="auto"/>
            <w:vAlign w:val="center"/>
          </w:tcPr>
          <w:p w:rsidR="0056443E" w:rsidRPr="0056443E" w:rsidRDefault="0056443E" w:rsidP="00AA68A5">
            <w:pPr>
              <w:pStyle w:val="TableBodyText"/>
            </w:pPr>
            <w:r w:rsidRPr="0056443E">
              <w:t>46.0</w:t>
            </w:r>
          </w:p>
        </w:tc>
        <w:tc>
          <w:tcPr>
            <w:tcW w:w="708" w:type="dxa"/>
            <w:tcBorders>
              <w:bottom w:val="single" w:sz="4" w:space="0" w:color="auto"/>
            </w:tcBorders>
            <w:shd w:val="clear" w:color="auto" w:fill="auto"/>
            <w:vAlign w:val="center"/>
          </w:tcPr>
          <w:p w:rsidR="0056443E" w:rsidRPr="0056443E" w:rsidRDefault="0056443E" w:rsidP="00AA68A5">
            <w:pPr>
              <w:pStyle w:val="TableBodyText"/>
            </w:pPr>
            <w:r w:rsidRPr="0056443E">
              <w:t>58.3</w:t>
            </w:r>
          </w:p>
        </w:tc>
        <w:tc>
          <w:tcPr>
            <w:tcW w:w="708" w:type="dxa"/>
            <w:tcBorders>
              <w:bottom w:val="single" w:sz="4" w:space="0" w:color="auto"/>
            </w:tcBorders>
            <w:shd w:val="clear" w:color="auto" w:fill="auto"/>
            <w:vAlign w:val="center"/>
          </w:tcPr>
          <w:p w:rsidR="0056443E" w:rsidRPr="0056443E" w:rsidRDefault="0056443E" w:rsidP="00AA68A5">
            <w:pPr>
              <w:pStyle w:val="TableBodyText"/>
            </w:pPr>
            <w:r w:rsidRPr="0056443E">
              <w:t>44.8</w:t>
            </w:r>
          </w:p>
        </w:tc>
        <w:tc>
          <w:tcPr>
            <w:tcW w:w="709" w:type="dxa"/>
            <w:tcBorders>
              <w:bottom w:val="single" w:sz="4" w:space="0" w:color="auto"/>
            </w:tcBorders>
            <w:shd w:val="clear" w:color="auto" w:fill="auto"/>
            <w:vAlign w:val="center"/>
          </w:tcPr>
          <w:p w:rsidR="0056443E" w:rsidRPr="0056443E" w:rsidRDefault="0056443E" w:rsidP="00AA68A5">
            <w:pPr>
              <w:pStyle w:val="TableBodyText"/>
              <w:ind w:right="28"/>
            </w:pPr>
            <w:r w:rsidRPr="0056443E">
              <w:t>50.0</w:t>
            </w:r>
          </w:p>
        </w:tc>
      </w:tr>
    </w:tbl>
    <w:p w:rsidR="00056221" w:rsidRPr="001B096C" w:rsidRDefault="00056221" w:rsidP="001B096C">
      <w:pPr>
        <w:pStyle w:val="Note"/>
      </w:pPr>
      <w:proofErr w:type="spellStart"/>
      <w:r w:rsidRPr="001B096C">
        <w:rPr>
          <w:rStyle w:val="NoteLabel"/>
        </w:rPr>
        <w:t>a</w:t>
      </w:r>
      <w:proofErr w:type="spellEnd"/>
      <w:r w:rsidRPr="001B096C">
        <w:t xml:space="preserve"> Excludes places that have been </w:t>
      </w:r>
      <w:r w:rsidR="004F1100" w:rsidRPr="001B096C">
        <w:t>‘</w:t>
      </w:r>
      <w:r w:rsidRPr="001B096C">
        <w:t>approved’ but are not yet operational. Includes multi</w:t>
      </w:r>
      <w:r w:rsidR="00AA68A5">
        <w:noBreakHyphen/>
      </w:r>
      <w:r w:rsidRPr="001B096C">
        <w:t xml:space="preserve">purpose and flexible services attributed as high care and low care places. </w:t>
      </w:r>
      <w:r w:rsidRPr="001B096C">
        <w:rPr>
          <w:rStyle w:val="NoteLabel"/>
        </w:rPr>
        <w:t>b</w:t>
      </w:r>
      <w:r w:rsidRPr="001B096C">
        <w:t xml:space="preserve"> Australian Government planning targets are based on providing </w:t>
      </w:r>
      <w:r w:rsidR="00A13742" w:rsidRPr="001B096C">
        <w:t>8</w:t>
      </w:r>
      <w:r w:rsidR="00053A1F" w:rsidRPr="001B096C">
        <w:t>6</w:t>
      </w:r>
      <w:r w:rsidRPr="001B096C">
        <w:t xml:space="preserve"> residential places per 1000 people aged 70 years or over. In recognition of poorer health among Indigenous communities, planning in some cases also takes account of the Indigenous population aged 50–69 years. This means that the provision ratio based on the population aged 70 years or over </w:t>
      </w:r>
      <w:r w:rsidR="0056443E" w:rsidRPr="001B096C">
        <w:t>may</w:t>
      </w:r>
      <w:r w:rsidRPr="001B096C">
        <w:t xml:space="preserve"> appear high in areas with a high Indigenous population (such as</w:t>
      </w:r>
      <w:r w:rsidR="003467F3" w:rsidRPr="001B096C">
        <w:t xml:space="preserve"> in</w:t>
      </w:r>
      <w:r w:rsidRPr="001B096C">
        <w:t xml:space="preserve"> the NT). </w:t>
      </w:r>
      <w:r w:rsidRPr="001B096C">
        <w:rPr>
          <w:rStyle w:val="NoteLabel"/>
        </w:rPr>
        <w:t>c</w:t>
      </w:r>
      <w:r w:rsidRPr="001B096C">
        <w:t> Includes residential places categorised as high care or low care</w:t>
      </w:r>
      <w:r w:rsidR="00AE3B2B" w:rsidRPr="001B096C">
        <w:t xml:space="preserve">. </w:t>
      </w:r>
      <w:r w:rsidRPr="001B096C">
        <w:rPr>
          <w:rStyle w:val="NoteLabel"/>
        </w:rPr>
        <w:t>d</w:t>
      </w:r>
      <w:r w:rsidRPr="001B096C">
        <w:t> See table </w:t>
      </w:r>
      <w:proofErr w:type="spellStart"/>
      <w:r w:rsidRPr="001B096C">
        <w:t>13A.24</w:t>
      </w:r>
      <w:proofErr w:type="spellEnd"/>
      <w:r w:rsidRPr="001B096C">
        <w:t xml:space="preserve"> for further information regarding the calculation of provision ratios, which vary from corresponding data published in the Do</w:t>
      </w:r>
      <w:r w:rsidR="00F87F2E" w:rsidRPr="001B096C">
        <w:t>HA</w:t>
      </w:r>
      <w:r w:rsidRPr="001B096C">
        <w:t xml:space="preserve"> Annual Report </w:t>
      </w:r>
      <w:r w:rsidR="009C0C70" w:rsidRPr="001B096C">
        <w:t>201</w:t>
      </w:r>
      <w:r w:rsidR="00E46620" w:rsidRPr="001B096C">
        <w:t>2</w:t>
      </w:r>
      <w:r w:rsidR="00AA68A5">
        <w:noBreakHyphen/>
      </w:r>
      <w:r w:rsidR="009C0C70" w:rsidRPr="001B096C">
        <w:t>1</w:t>
      </w:r>
      <w:r w:rsidR="00E46620" w:rsidRPr="001B096C">
        <w:t>3</w:t>
      </w:r>
      <w:r w:rsidRPr="001B096C">
        <w:t xml:space="preserve">. </w:t>
      </w:r>
      <w:r w:rsidRPr="001B096C">
        <w:rPr>
          <w:rStyle w:val="NoteLabel"/>
        </w:rPr>
        <w:t>e</w:t>
      </w:r>
      <w:r w:rsidRPr="001B096C">
        <w:t xml:space="preserve"> Data in this table may not add due to rounding. </w:t>
      </w:r>
    </w:p>
    <w:p w:rsidR="00056221" w:rsidRPr="00133C34" w:rsidRDefault="00056221" w:rsidP="00056221">
      <w:pPr>
        <w:pStyle w:val="Source"/>
      </w:pPr>
      <w:r>
        <w:rPr>
          <w:i/>
        </w:rPr>
        <w:t>Source</w:t>
      </w:r>
      <w:r>
        <w:t xml:space="preserve">: </w:t>
      </w:r>
      <w:proofErr w:type="spellStart"/>
      <w:r w:rsidRPr="0079479E">
        <w:rPr>
          <w:shd w:val="clear" w:color="auto" w:fill="FFFFFF" w:themeFill="background1"/>
        </w:rPr>
        <w:t>D</w:t>
      </w:r>
      <w:r w:rsidR="00E46620" w:rsidRPr="0079479E">
        <w:rPr>
          <w:shd w:val="clear" w:color="auto" w:fill="FFFFFF" w:themeFill="background1"/>
        </w:rPr>
        <w:t>SS</w:t>
      </w:r>
      <w:proofErr w:type="spellEnd"/>
      <w:r w:rsidRPr="0079479E">
        <w:rPr>
          <w:shd w:val="clear" w:color="auto" w:fill="FFFFFF" w:themeFill="background1"/>
        </w:rPr>
        <w:t xml:space="preserve"> </w:t>
      </w:r>
      <w:r>
        <w:t>(unpublished); table</w:t>
      </w:r>
      <w:r w:rsidR="00AA68A5">
        <w:t> </w:t>
      </w:r>
      <w:proofErr w:type="spellStart"/>
      <w:r>
        <w:t>13A.24</w:t>
      </w:r>
      <w:proofErr w:type="spellEnd"/>
      <w:r>
        <w:t>.</w:t>
      </w:r>
    </w:p>
    <w:p w:rsidR="00056221" w:rsidRDefault="00056221" w:rsidP="00056221">
      <w:pPr>
        <w:pStyle w:val="BodyText"/>
        <w:keepNext/>
      </w:pPr>
      <w:r>
        <w:lastRenderedPageBreak/>
        <w:t xml:space="preserve">Age specific usage rates for </w:t>
      </w:r>
      <w:r w:rsidRPr="00AC7BDA">
        <w:t xml:space="preserve">permanent </w:t>
      </w:r>
      <w:r>
        <w:t>residential aged care services, by jurisdiction and remoteness, at 30 </w:t>
      </w:r>
      <w:r w:rsidR="00714EDC">
        <w:t>June 201</w:t>
      </w:r>
      <w:r w:rsidR="004F1100">
        <w:t>3</w:t>
      </w:r>
      <w:r>
        <w:t xml:space="preserve"> are included in tables</w:t>
      </w:r>
      <w:r w:rsidR="00AA68A5">
        <w:t> </w:t>
      </w:r>
      <w:proofErr w:type="spellStart"/>
      <w:r>
        <w:t>13</w:t>
      </w:r>
      <w:r w:rsidR="00E16794">
        <w:t>A.3</w:t>
      </w:r>
      <w:r w:rsidR="004F1100">
        <w:t>5</w:t>
      </w:r>
      <w:proofErr w:type="spellEnd"/>
      <w:r>
        <w:t xml:space="preserve"> and </w:t>
      </w:r>
      <w:proofErr w:type="spellStart"/>
      <w:r>
        <w:t>13</w:t>
      </w:r>
      <w:r w:rsidR="00E16794">
        <w:t>A.4</w:t>
      </w:r>
      <w:r w:rsidR="004F1100">
        <w:t>2</w:t>
      </w:r>
      <w:proofErr w:type="spellEnd"/>
      <w:r w:rsidR="003467F3">
        <w:t>,</w:t>
      </w:r>
      <w:r>
        <w:t xml:space="preserve"> respectively. Age specific usage rates for these </w:t>
      </w:r>
      <w:r w:rsidRPr="00AC7BDA">
        <w:t xml:space="preserve">permanent </w:t>
      </w:r>
      <w:r>
        <w:t>residential services combined with community care program services (CACP, EACH and EACH</w:t>
      </w:r>
      <w:r w:rsidR="00AA68A5">
        <w:noBreakHyphen/>
      </w:r>
      <w:r>
        <w:t>D)</w:t>
      </w:r>
      <w:r w:rsidR="000B5CE3">
        <w:t xml:space="preserve">, by jurisdiction and remoteness </w:t>
      </w:r>
      <w:r>
        <w:t xml:space="preserve">are </w:t>
      </w:r>
      <w:r w:rsidR="003467F3">
        <w:t xml:space="preserve">reported </w:t>
      </w:r>
      <w:r>
        <w:t xml:space="preserve">in </w:t>
      </w:r>
      <w:r w:rsidR="00D6721C">
        <w:t>tables</w:t>
      </w:r>
      <w:r w:rsidR="00AA68A5">
        <w:t> </w:t>
      </w:r>
      <w:proofErr w:type="spellStart"/>
      <w:r>
        <w:t>13</w:t>
      </w:r>
      <w:r w:rsidR="00E16794">
        <w:t>A.4</w:t>
      </w:r>
      <w:r w:rsidR="0006136D">
        <w:t>0</w:t>
      </w:r>
      <w:proofErr w:type="spellEnd"/>
      <w:r>
        <w:t xml:space="preserve"> and </w:t>
      </w:r>
      <w:proofErr w:type="spellStart"/>
      <w:r>
        <w:t>13</w:t>
      </w:r>
      <w:r w:rsidR="00E16794">
        <w:t>A.4</w:t>
      </w:r>
      <w:r w:rsidR="0006136D">
        <w:t>4</w:t>
      </w:r>
      <w:proofErr w:type="spellEnd"/>
      <w:r>
        <w:t xml:space="preserve">. </w:t>
      </w:r>
      <w:r w:rsidR="009B407D">
        <w:t xml:space="preserve">National, </w:t>
      </w:r>
      <w:r>
        <w:t>Indigenous age specific usage rates for all these services by remoteness category are in table</w:t>
      </w:r>
      <w:r w:rsidR="00AA68A5">
        <w:t> </w:t>
      </w:r>
      <w:proofErr w:type="spellStart"/>
      <w:r>
        <w:t>13</w:t>
      </w:r>
      <w:r w:rsidR="00E16794">
        <w:t>A.4</w:t>
      </w:r>
      <w:r w:rsidR="0006136D">
        <w:t>5</w:t>
      </w:r>
      <w:proofErr w:type="spellEnd"/>
      <w:r>
        <w:t>.</w:t>
      </w:r>
    </w:p>
    <w:p w:rsidR="000B2BA0" w:rsidRDefault="000B2BA0" w:rsidP="00BA6E14">
      <w:pPr>
        <w:pStyle w:val="BodyText"/>
        <w:keepNext/>
      </w:pPr>
      <w:r>
        <w:t xml:space="preserve">During </w:t>
      </w:r>
      <w:r w:rsidR="0074756F">
        <w:t>2012</w:t>
      </w:r>
      <w:r w:rsidR="00AA68A5">
        <w:noBreakHyphen/>
      </w:r>
      <w:r w:rsidR="0074756F">
        <w:t>13</w:t>
      </w:r>
      <w:r>
        <w:t xml:space="preserve">, the </w:t>
      </w:r>
      <w:r w:rsidRPr="00AC7BDA">
        <w:t xml:space="preserve">number of </w:t>
      </w:r>
      <w:r>
        <w:t>older clients</w:t>
      </w:r>
      <w:r w:rsidRPr="00AC7BDA">
        <w:t xml:space="preserve"> </w:t>
      </w:r>
      <w:r w:rsidRPr="004E36A8">
        <w:t>(</w:t>
      </w:r>
      <w:r>
        <w:t xml:space="preserve">aged </w:t>
      </w:r>
      <w:r w:rsidR="005D5953">
        <w:t>65</w:t>
      </w:r>
      <w:r>
        <w:t xml:space="preserve"> years or </w:t>
      </w:r>
      <w:r w:rsidR="00C05C11">
        <w:t xml:space="preserve">over </w:t>
      </w:r>
      <w:r w:rsidR="000A2177" w:rsidRPr="00BA6E14">
        <w:t>and</w:t>
      </w:r>
      <w:r>
        <w:t xml:space="preserve"> </w:t>
      </w:r>
      <w:r w:rsidR="00EB2705">
        <w:t>Indigenous Australians</w:t>
      </w:r>
      <w:r>
        <w:t xml:space="preserve"> aged 50–</w:t>
      </w:r>
      <w:r w:rsidR="005D5953">
        <w:t>64</w:t>
      </w:r>
      <w:r>
        <w:t xml:space="preserve"> year</w:t>
      </w:r>
      <w:r w:rsidRPr="004E36A8">
        <w:t>s)</w:t>
      </w:r>
      <w:r>
        <w:t xml:space="preserve"> who received either high or low care in a residential aged care facility</w:t>
      </w:r>
      <w:r w:rsidRPr="00AC7BDA">
        <w:t xml:space="preserve"> w</w:t>
      </w:r>
      <w:r>
        <w:t>as</w:t>
      </w:r>
      <w:r w:rsidRPr="00AC7BDA">
        <w:t xml:space="preserve"> </w:t>
      </w:r>
      <w:r w:rsidR="000B5CE3">
        <w:t>218 906</w:t>
      </w:r>
      <w:r w:rsidR="00272753" w:rsidRPr="00272753">
        <w:t xml:space="preserve"> </w:t>
      </w:r>
      <w:r>
        <w:t>nationally</w:t>
      </w:r>
      <w:r w:rsidRPr="00785FDB">
        <w:t xml:space="preserve"> for </w:t>
      </w:r>
      <w:r w:rsidRPr="00AC7BDA">
        <w:t>permanent</w:t>
      </w:r>
      <w:r>
        <w:t xml:space="preserve"> care </w:t>
      </w:r>
      <w:r w:rsidRPr="00554BA0">
        <w:t xml:space="preserve">and </w:t>
      </w:r>
      <w:r w:rsidR="000B5CE3">
        <w:t>46</w:t>
      </w:r>
      <w:r w:rsidR="002E0DE0">
        <w:t> </w:t>
      </w:r>
      <w:r w:rsidR="000B5CE3">
        <w:t>792</w:t>
      </w:r>
      <w:r>
        <w:t> </w:t>
      </w:r>
      <w:r w:rsidRPr="00AC7BDA">
        <w:t>nationally for respite care</w:t>
      </w:r>
      <w:r w:rsidR="00127180">
        <w:t xml:space="preserve"> </w:t>
      </w:r>
      <w:r w:rsidR="00127180" w:rsidRPr="00AC7BDA">
        <w:t>(table</w:t>
      </w:r>
      <w:r w:rsidR="00AA68A5">
        <w:t> </w:t>
      </w:r>
      <w:proofErr w:type="spellStart"/>
      <w:r w:rsidR="00127180" w:rsidRPr="00AC7BDA">
        <w:t>13A.</w:t>
      </w:r>
      <w:r w:rsidR="00127180">
        <w:t>4</w:t>
      </w:r>
      <w:proofErr w:type="spellEnd"/>
      <w:r w:rsidR="00127180" w:rsidRPr="007C33BB">
        <w:t>)</w:t>
      </w:r>
      <w:r w:rsidR="00272753">
        <w:t>.</w:t>
      </w:r>
      <w:r w:rsidRPr="00066CF3">
        <w:t xml:space="preserve"> </w:t>
      </w:r>
      <w:r w:rsidRPr="00AC7BDA">
        <w:t xml:space="preserve">These figures reflect the number of </w:t>
      </w:r>
      <w:r>
        <w:t xml:space="preserve">older </w:t>
      </w:r>
      <w:r w:rsidRPr="00AC7BDA">
        <w:t>individuals who utilised these services during the year, for any length of time</w:t>
      </w:r>
      <w:r w:rsidRPr="007C33BB">
        <w:t xml:space="preserve">. </w:t>
      </w:r>
      <w:r>
        <w:t xml:space="preserve">Data on the number of younger people aged under 65 years who used </w:t>
      </w:r>
      <w:r w:rsidRPr="00AC7BDA">
        <w:t>permanent residential care</w:t>
      </w:r>
      <w:r>
        <w:t xml:space="preserve"> during </w:t>
      </w:r>
      <w:r w:rsidR="0074756F">
        <w:t>2012</w:t>
      </w:r>
      <w:r w:rsidR="00AA68A5">
        <w:noBreakHyphen/>
      </w:r>
      <w:r w:rsidR="0074756F">
        <w:t xml:space="preserve">13 </w:t>
      </w:r>
      <w:r>
        <w:t>are in table</w:t>
      </w:r>
      <w:r w:rsidR="00AA68A5">
        <w:t> </w:t>
      </w:r>
      <w:proofErr w:type="spellStart"/>
      <w:r>
        <w:t>13</w:t>
      </w:r>
      <w:r w:rsidR="00E16794">
        <w:t>A.4</w:t>
      </w:r>
      <w:r w:rsidR="002E0DE0">
        <w:t>1</w:t>
      </w:r>
      <w:proofErr w:type="spellEnd"/>
      <w:r>
        <w:t>.</w:t>
      </w:r>
    </w:p>
    <w:p w:rsidR="00056221" w:rsidRDefault="00056221" w:rsidP="00056221">
      <w:pPr>
        <w:pStyle w:val="Heading4"/>
      </w:pPr>
      <w:r>
        <w:t>Community care services</w:t>
      </w:r>
    </w:p>
    <w:p w:rsidR="00D67136" w:rsidRDefault="00D67136" w:rsidP="00593D82">
      <w:pPr>
        <w:pStyle w:val="Heading5"/>
      </w:pPr>
      <w:r>
        <w:t>HACC, CACP, EACH and EACH</w:t>
      </w:r>
      <w:r w:rsidR="00AA68A5">
        <w:noBreakHyphen/>
      </w:r>
      <w:r>
        <w:t>D programs</w:t>
      </w:r>
    </w:p>
    <w:p w:rsidR="00D67136" w:rsidRDefault="00D67136" w:rsidP="00BA6E14">
      <w:pPr>
        <w:pStyle w:val="BodyText"/>
      </w:pPr>
      <w:r>
        <w:t>The d</w:t>
      </w:r>
      <w:r w:rsidRPr="005454D6">
        <w:t>istinctions between the</w:t>
      </w:r>
      <w:r>
        <w:t xml:space="preserve"> HACC, CACP, EACH and EACH</w:t>
      </w:r>
      <w:r w:rsidR="00AA68A5">
        <w:noBreakHyphen/>
      </w:r>
      <w:r>
        <w:t>D programs are summarised in table</w:t>
      </w:r>
      <w:r w:rsidR="00AA68A5">
        <w:t> </w:t>
      </w:r>
      <w:r>
        <w:t>13.</w:t>
      </w:r>
      <w:r w:rsidR="00784140">
        <w:t>4</w:t>
      </w:r>
      <w:r>
        <w:t xml:space="preserve">. DVA VHC and </w:t>
      </w:r>
      <w:r w:rsidR="00D54C8B">
        <w:t xml:space="preserve">Veterans’ </w:t>
      </w:r>
      <w:r>
        <w:t>community nursing program services are described below.</w:t>
      </w:r>
    </w:p>
    <w:p w:rsidR="00451FC7" w:rsidRPr="003633AF" w:rsidRDefault="00451FC7" w:rsidP="0079479E">
      <w:pPr>
        <w:pStyle w:val="BodyText"/>
      </w:pPr>
      <w:r>
        <w:t xml:space="preserve">Services provided under the HACC program </w:t>
      </w:r>
      <w:r w:rsidRPr="00E72979">
        <w:t>are basic maintenance and support services, including allied health care, assessment, case management and client care coordination, centre</w:t>
      </w:r>
      <w:r w:rsidR="00AA68A5">
        <w:noBreakHyphen/>
      </w:r>
      <w:r w:rsidRPr="00E72979">
        <w:t>based day care, counselling, support, information and advocacy, domestic assistance, home maintenance, nursing, personal care and respite care, social support, meals, home modification, linen service, goods and equipment and transport.</w:t>
      </w:r>
      <w:r>
        <w:t xml:space="preserve"> During </w:t>
      </w:r>
      <w:r w:rsidR="0074756F">
        <w:t>2012</w:t>
      </w:r>
      <w:r w:rsidR="00AA68A5">
        <w:noBreakHyphen/>
      </w:r>
      <w:r w:rsidR="0074756F">
        <w:t>13</w:t>
      </w:r>
      <w:r>
        <w:t>, the HACC program delivered approximately</w:t>
      </w:r>
      <w:r w:rsidRPr="004E221C">
        <w:t xml:space="preserve"> </w:t>
      </w:r>
      <w:r w:rsidR="002E0DE0" w:rsidRPr="0079479E">
        <w:rPr>
          <w:shd w:val="clear" w:color="auto" w:fill="FFFFFF" w:themeFill="background1"/>
        </w:rPr>
        <w:t>10 </w:t>
      </w:r>
      <w:r w:rsidR="00E45E1A" w:rsidRPr="0079479E">
        <w:rPr>
          <w:shd w:val="clear" w:color="auto" w:fill="FFFFFF" w:themeFill="background1"/>
        </w:rPr>
        <w:t>100</w:t>
      </w:r>
      <w:r w:rsidRPr="004E221C">
        <w:t xml:space="preserve"> </w:t>
      </w:r>
      <w:r w:rsidRPr="00960AC5">
        <w:t>hours</w:t>
      </w:r>
      <w:r>
        <w:t xml:space="preserve"> per 1000 people aged 65 years or </w:t>
      </w:r>
      <w:r w:rsidRPr="0094475F">
        <w:t xml:space="preserve">over and </w:t>
      </w:r>
      <w:r>
        <w:t>Indigenous Australians</w:t>
      </w:r>
      <w:r w:rsidRPr="0094475F">
        <w:t xml:space="preserve"> aged 50–6</w:t>
      </w:r>
      <w:r>
        <w:t>4</w:t>
      </w:r>
      <w:r w:rsidRPr="0094475F">
        <w:t xml:space="preserve"> years (table </w:t>
      </w:r>
      <w:proofErr w:type="spellStart"/>
      <w:r w:rsidRPr="0094475F">
        <w:t>13A.4</w:t>
      </w:r>
      <w:r w:rsidR="002E0DE0">
        <w:t>6</w:t>
      </w:r>
      <w:proofErr w:type="spellEnd"/>
      <w:r w:rsidRPr="0094475F">
        <w:t xml:space="preserve">). </w:t>
      </w:r>
    </w:p>
    <w:p w:rsidR="00451FC7" w:rsidRPr="00E02A9C" w:rsidRDefault="00451FC7" w:rsidP="00451FC7">
      <w:pPr>
        <w:pStyle w:val="BodyText"/>
      </w:pPr>
      <w:r w:rsidRPr="00E02A9C">
        <w:t>CACPs provide community</w:t>
      </w:r>
      <w:r w:rsidR="00AA68A5">
        <w:noBreakHyphen/>
      </w:r>
      <w:r>
        <w:t>based</w:t>
      </w:r>
      <w:r w:rsidRPr="00E02A9C">
        <w:t xml:space="preserve"> </w:t>
      </w:r>
      <w:r>
        <w:t>low level care to</w:t>
      </w:r>
      <w:r w:rsidRPr="00E02A9C">
        <w:t xml:space="preserve"> older people who are assessed by ACATs as having </w:t>
      </w:r>
      <w:r>
        <w:t xml:space="preserve">complex </w:t>
      </w:r>
      <w:r w:rsidRPr="00E02A9C">
        <w:t xml:space="preserve">low care needs, but who are able to live at home with assistance. The total number of CACPs per 1000 people aged </w:t>
      </w:r>
      <w:r w:rsidR="002E0DE0">
        <w:t>70</w:t>
      </w:r>
      <w:r w:rsidRPr="00E02A9C">
        <w:t xml:space="preserve"> years or </w:t>
      </w:r>
      <w:r>
        <w:t xml:space="preserve">over </w:t>
      </w:r>
      <w:r w:rsidRPr="0094475F">
        <w:t xml:space="preserve">and </w:t>
      </w:r>
      <w:r>
        <w:t>Indigenous Australians</w:t>
      </w:r>
      <w:r w:rsidRPr="00E02A9C">
        <w:t xml:space="preserve"> aged 50–6</w:t>
      </w:r>
      <w:r>
        <w:t>9</w:t>
      </w:r>
      <w:r w:rsidRPr="00E02A9C">
        <w:t xml:space="preserve"> years increased between June 200</w:t>
      </w:r>
      <w:r w:rsidR="002E0DE0">
        <w:t>6</w:t>
      </w:r>
      <w:r w:rsidRPr="00E02A9C">
        <w:t xml:space="preserve"> and </w:t>
      </w:r>
      <w:r w:rsidR="002E0DE0">
        <w:br/>
      </w:r>
      <w:r w:rsidRPr="00E02A9C">
        <w:t>June 20</w:t>
      </w:r>
      <w:r w:rsidR="0074756F">
        <w:t>13</w:t>
      </w:r>
      <w:r w:rsidRPr="00E02A9C">
        <w:t xml:space="preserve">, from </w:t>
      </w:r>
      <w:r w:rsidR="002E0DE0">
        <w:t>17.8</w:t>
      </w:r>
      <w:r w:rsidRPr="00E02A9C">
        <w:t xml:space="preserve"> to </w:t>
      </w:r>
      <w:r w:rsidR="002E0DE0">
        <w:t>20.7</w:t>
      </w:r>
      <w:r>
        <w:t xml:space="preserve"> </w:t>
      </w:r>
      <w:r w:rsidRPr="00E02A9C">
        <w:t>(table</w:t>
      </w:r>
      <w:r w:rsidR="00AA68A5">
        <w:t> </w:t>
      </w:r>
      <w:proofErr w:type="spellStart"/>
      <w:r w:rsidRPr="00E02A9C">
        <w:t>13A.25</w:t>
      </w:r>
      <w:proofErr w:type="spellEnd"/>
      <w:r w:rsidRPr="00E02A9C">
        <w:t xml:space="preserve">). </w:t>
      </w:r>
    </w:p>
    <w:p w:rsidR="00451FC7" w:rsidRPr="00E02A9C" w:rsidRDefault="00451FC7" w:rsidP="00451FC7">
      <w:pPr>
        <w:pStyle w:val="BodyText"/>
      </w:pPr>
      <w:r w:rsidRPr="00E02A9C">
        <w:t>EACH and EACH</w:t>
      </w:r>
      <w:r w:rsidR="00AA68A5">
        <w:noBreakHyphen/>
      </w:r>
      <w:r w:rsidRPr="00E02A9C">
        <w:t>D provide community</w:t>
      </w:r>
      <w:r w:rsidR="00AA68A5">
        <w:noBreakHyphen/>
      </w:r>
      <w:r>
        <w:t>based</w:t>
      </w:r>
      <w:r w:rsidRPr="00E02A9C">
        <w:t xml:space="preserve"> </w:t>
      </w:r>
      <w:r>
        <w:t>high level care to</w:t>
      </w:r>
      <w:r w:rsidRPr="00E02A9C">
        <w:t xml:space="preserve"> older people who are assessed by ACATs as having </w:t>
      </w:r>
      <w:r>
        <w:t xml:space="preserve">complex </w:t>
      </w:r>
      <w:r w:rsidRPr="00E02A9C">
        <w:t xml:space="preserve">high care needs, but who have expressed </w:t>
      </w:r>
      <w:r w:rsidRPr="00E02A9C">
        <w:lastRenderedPageBreak/>
        <w:t>a preference to live at home and are able to do so with assistance (EACH</w:t>
      </w:r>
      <w:r w:rsidR="00AA68A5">
        <w:noBreakHyphen/>
      </w:r>
      <w:r w:rsidRPr="00E02A9C">
        <w:t>D provides this care to people with the complex care needs associated with dementia). The total combined number of EACH and EACH</w:t>
      </w:r>
      <w:r w:rsidR="00AA68A5">
        <w:noBreakHyphen/>
      </w:r>
      <w:r w:rsidRPr="00E02A9C">
        <w:t xml:space="preserve">D packages per 1000 people aged </w:t>
      </w:r>
      <w:r>
        <w:t>70</w:t>
      </w:r>
      <w:r w:rsidRPr="00E02A9C">
        <w:t xml:space="preserve"> years or </w:t>
      </w:r>
      <w:r>
        <w:t xml:space="preserve">over </w:t>
      </w:r>
      <w:r w:rsidRPr="0094475F">
        <w:t>and</w:t>
      </w:r>
      <w:r w:rsidRPr="00E02A9C">
        <w:t xml:space="preserve"> </w:t>
      </w:r>
      <w:r>
        <w:t>Indigenous Australians</w:t>
      </w:r>
      <w:r w:rsidRPr="00E02A9C">
        <w:t xml:space="preserve"> aged 50–6</w:t>
      </w:r>
      <w:r>
        <w:t>9</w:t>
      </w:r>
      <w:r w:rsidRPr="00E02A9C">
        <w:t xml:space="preserve"> years increased between </w:t>
      </w:r>
      <w:r>
        <w:br/>
      </w:r>
      <w:r w:rsidRPr="00E02A9C">
        <w:t>June 200</w:t>
      </w:r>
      <w:r w:rsidR="002E0DE0">
        <w:t>6</w:t>
      </w:r>
      <w:r>
        <w:t xml:space="preserve"> </w:t>
      </w:r>
      <w:r w:rsidRPr="00E02A9C">
        <w:t>and June 201</w:t>
      </w:r>
      <w:r w:rsidR="0074756F">
        <w:t>3</w:t>
      </w:r>
      <w:r w:rsidRPr="00E02A9C">
        <w:t xml:space="preserve">, from </w:t>
      </w:r>
      <w:r w:rsidR="002E0DE0">
        <w:t>1.6</w:t>
      </w:r>
      <w:r w:rsidRPr="00E02A9C">
        <w:t xml:space="preserve"> to </w:t>
      </w:r>
      <w:r w:rsidR="002E0DE0">
        <w:t>5.7</w:t>
      </w:r>
      <w:r w:rsidRPr="00E02A9C">
        <w:t xml:space="preserve"> (table</w:t>
      </w:r>
      <w:r w:rsidR="00AA68A5">
        <w:t> </w:t>
      </w:r>
      <w:proofErr w:type="spellStart"/>
      <w:r w:rsidRPr="00E02A9C">
        <w:t>13A.25</w:t>
      </w:r>
      <w:proofErr w:type="spellEnd"/>
      <w:r w:rsidRPr="00E02A9C">
        <w:t xml:space="preserve">). </w:t>
      </w:r>
    </w:p>
    <w:p w:rsidR="00056221" w:rsidRPr="007218AB" w:rsidRDefault="00056221" w:rsidP="00B322B0">
      <w:pPr>
        <w:pStyle w:val="TableTitle"/>
        <w:jc w:val="both"/>
        <w:rPr>
          <w:sz w:val="24"/>
        </w:rPr>
      </w:pPr>
      <w:bookmarkStart w:id="29" w:name="OLE_LINK83"/>
      <w:r w:rsidRPr="007218AB">
        <w:rPr>
          <w:b w:val="0"/>
          <w:sz w:val="24"/>
        </w:rPr>
        <w:t xml:space="preserve">Table </w:t>
      </w:r>
      <w:r w:rsidR="00C82353" w:rsidRPr="007218AB">
        <w:rPr>
          <w:b w:val="0"/>
          <w:sz w:val="24"/>
        </w:rPr>
        <w:t>13.</w:t>
      </w:r>
      <w:r w:rsidR="00E4728C">
        <w:rPr>
          <w:b w:val="0"/>
          <w:noProof/>
          <w:sz w:val="24"/>
        </w:rPr>
        <w:t>4</w:t>
      </w:r>
      <w:r w:rsidRPr="007218AB">
        <w:rPr>
          <w:sz w:val="24"/>
        </w:rPr>
        <w:tab/>
        <w:t>Distinctions between the HACC, CACP, EACH and EACH</w:t>
      </w:r>
      <w:r w:rsidRPr="007218AB">
        <w:rPr>
          <w:sz w:val="24"/>
        </w:rPr>
        <w:noBreakHyphen/>
        <w:t>D programs</w:t>
      </w:r>
      <w:r w:rsidR="00215F03">
        <w:rPr>
          <w:sz w:val="24"/>
        </w:rPr>
        <w:t>, 2012</w:t>
      </w:r>
      <w:r w:rsidR="00AA68A5">
        <w:rPr>
          <w:sz w:val="24"/>
        </w:rPr>
        <w:noBreakHyphen/>
      </w:r>
      <w:r w:rsidR="00215F03">
        <w:rPr>
          <w:sz w:val="24"/>
        </w:rPr>
        <w:t>13</w:t>
      </w:r>
    </w:p>
    <w:tbl>
      <w:tblPr>
        <w:tblW w:w="0" w:type="auto"/>
        <w:tblLayout w:type="fixed"/>
        <w:tblCellMar>
          <w:left w:w="0" w:type="dxa"/>
          <w:right w:w="0" w:type="dxa"/>
        </w:tblCellMar>
        <w:tblLook w:val="0000" w:firstRow="0" w:lastRow="0" w:firstColumn="0" w:lastColumn="0" w:noHBand="0" w:noVBand="0"/>
      </w:tblPr>
      <w:tblGrid>
        <w:gridCol w:w="1701"/>
        <w:gridCol w:w="2410"/>
        <w:gridCol w:w="2333"/>
        <w:gridCol w:w="2345"/>
      </w:tblGrid>
      <w:tr w:rsidR="00056221" w:rsidTr="006B5AD0">
        <w:tc>
          <w:tcPr>
            <w:tcW w:w="1701" w:type="dxa"/>
            <w:tcBorders>
              <w:top w:val="single" w:sz="6" w:space="0" w:color="auto"/>
              <w:bottom w:val="single" w:sz="6" w:space="0" w:color="auto"/>
            </w:tcBorders>
            <w:shd w:val="clear" w:color="auto" w:fill="auto"/>
          </w:tcPr>
          <w:p w:rsidR="00056221" w:rsidRDefault="00056221" w:rsidP="00056221">
            <w:pPr>
              <w:pStyle w:val="TableColumnHeading"/>
              <w:jc w:val="left"/>
            </w:pPr>
          </w:p>
        </w:tc>
        <w:tc>
          <w:tcPr>
            <w:tcW w:w="2410" w:type="dxa"/>
            <w:tcBorders>
              <w:top w:val="single" w:sz="6" w:space="0" w:color="auto"/>
              <w:bottom w:val="single" w:sz="6" w:space="0" w:color="auto"/>
            </w:tcBorders>
            <w:shd w:val="clear" w:color="auto" w:fill="auto"/>
          </w:tcPr>
          <w:p w:rsidR="00056221" w:rsidRDefault="00056221" w:rsidP="00056221">
            <w:pPr>
              <w:pStyle w:val="TableColumnHeading"/>
              <w:jc w:val="left"/>
            </w:pPr>
            <w:r>
              <w:t>HACC</w:t>
            </w:r>
          </w:p>
        </w:tc>
        <w:tc>
          <w:tcPr>
            <w:tcW w:w="2333" w:type="dxa"/>
            <w:tcBorders>
              <w:top w:val="single" w:sz="6" w:space="0" w:color="auto"/>
              <w:bottom w:val="single" w:sz="6" w:space="0" w:color="auto"/>
            </w:tcBorders>
            <w:shd w:val="clear" w:color="auto" w:fill="auto"/>
          </w:tcPr>
          <w:p w:rsidR="00056221" w:rsidRDefault="00056221" w:rsidP="00056221">
            <w:pPr>
              <w:pStyle w:val="TableColumnHeading"/>
              <w:jc w:val="left"/>
            </w:pPr>
            <w:r>
              <w:t>CACPs</w:t>
            </w:r>
          </w:p>
        </w:tc>
        <w:tc>
          <w:tcPr>
            <w:tcW w:w="2345" w:type="dxa"/>
            <w:tcBorders>
              <w:top w:val="single" w:sz="6" w:space="0" w:color="auto"/>
              <w:bottom w:val="single" w:sz="6" w:space="0" w:color="auto"/>
            </w:tcBorders>
            <w:shd w:val="clear" w:color="auto" w:fill="auto"/>
          </w:tcPr>
          <w:p w:rsidR="00056221" w:rsidRDefault="00056221" w:rsidP="00056221">
            <w:pPr>
              <w:pStyle w:val="TableColumnHeading"/>
              <w:ind w:right="28"/>
              <w:jc w:val="left"/>
            </w:pPr>
            <w:r>
              <w:t>EACH and EACH</w:t>
            </w:r>
            <w:r w:rsidR="00AA68A5">
              <w:noBreakHyphen/>
            </w:r>
            <w:r>
              <w:t>D</w:t>
            </w:r>
          </w:p>
        </w:tc>
      </w:tr>
      <w:tr w:rsidR="00056221" w:rsidTr="006B5AD0">
        <w:tc>
          <w:tcPr>
            <w:tcW w:w="1701" w:type="dxa"/>
            <w:tcBorders>
              <w:top w:val="single" w:sz="6" w:space="0" w:color="auto"/>
            </w:tcBorders>
            <w:shd w:val="clear" w:color="auto" w:fill="auto"/>
          </w:tcPr>
          <w:p w:rsidR="00056221" w:rsidRDefault="0054598D" w:rsidP="00056221">
            <w:pPr>
              <w:pStyle w:val="TableUnitsRow"/>
              <w:jc w:val="left"/>
            </w:pPr>
            <w:r>
              <w:t xml:space="preserve">Type </w:t>
            </w:r>
            <w:r w:rsidR="00056221">
              <w:t>of services</w:t>
            </w:r>
            <w:r w:rsidR="00056221" w:rsidRPr="00BA341E">
              <w:rPr>
                <w:rStyle w:val="NoteLabel"/>
              </w:rPr>
              <w:t>a</w:t>
            </w:r>
          </w:p>
        </w:tc>
        <w:tc>
          <w:tcPr>
            <w:tcW w:w="2410" w:type="dxa"/>
            <w:tcBorders>
              <w:top w:val="single" w:sz="6" w:space="0" w:color="auto"/>
            </w:tcBorders>
            <w:shd w:val="clear" w:color="auto" w:fill="auto"/>
          </w:tcPr>
          <w:p w:rsidR="00056221" w:rsidRDefault="00394716" w:rsidP="00056221">
            <w:pPr>
              <w:pStyle w:val="TableUnitsRow"/>
              <w:jc w:val="left"/>
            </w:pPr>
            <w:r>
              <w:t>M</w:t>
            </w:r>
            <w:r w:rsidRPr="00394716">
              <w:t>aintenance and support services for people in the community whose independence is at risk</w:t>
            </w:r>
          </w:p>
        </w:tc>
        <w:tc>
          <w:tcPr>
            <w:tcW w:w="2333" w:type="dxa"/>
            <w:tcBorders>
              <w:top w:val="single" w:sz="6" w:space="0" w:color="auto"/>
            </w:tcBorders>
            <w:shd w:val="clear" w:color="auto" w:fill="auto"/>
          </w:tcPr>
          <w:p w:rsidR="00056221" w:rsidRPr="00394716" w:rsidRDefault="00394716" w:rsidP="00394716">
            <w:pPr>
              <w:pStyle w:val="TableUnitsRow"/>
              <w:jc w:val="left"/>
            </w:pPr>
            <w:r>
              <w:t>P</w:t>
            </w:r>
            <w:r w:rsidRPr="00394716">
              <w:t>ackage of low level</w:t>
            </w:r>
            <w:r>
              <w:t xml:space="preserve"> care tailored to client needs</w:t>
            </w:r>
          </w:p>
        </w:tc>
        <w:tc>
          <w:tcPr>
            <w:tcW w:w="2345" w:type="dxa"/>
            <w:tcBorders>
              <w:top w:val="single" w:sz="6" w:space="0" w:color="auto"/>
            </w:tcBorders>
            <w:shd w:val="clear" w:color="auto" w:fill="auto"/>
          </w:tcPr>
          <w:p w:rsidR="00056221" w:rsidRPr="00394716" w:rsidRDefault="00394716" w:rsidP="00056221">
            <w:pPr>
              <w:pStyle w:val="TableUnitsRow"/>
              <w:ind w:right="28"/>
              <w:jc w:val="left"/>
            </w:pPr>
            <w:r>
              <w:t>P</w:t>
            </w:r>
            <w:r w:rsidRPr="00394716">
              <w:t xml:space="preserve">ackage of high level care </w:t>
            </w:r>
            <w:r>
              <w:t>tailored to client needs</w:t>
            </w:r>
            <w:r w:rsidRPr="00394716">
              <w:t xml:space="preserve"> (including those with dementia)</w:t>
            </w:r>
          </w:p>
        </w:tc>
      </w:tr>
      <w:tr w:rsidR="00056221" w:rsidTr="00905536">
        <w:tc>
          <w:tcPr>
            <w:tcW w:w="1701" w:type="dxa"/>
          </w:tcPr>
          <w:p w:rsidR="00056221" w:rsidRDefault="00056221" w:rsidP="00056221">
            <w:pPr>
              <w:pStyle w:val="TableBodyText"/>
              <w:jc w:val="left"/>
            </w:pPr>
            <w:r>
              <w:t>Relationship to residential care</w:t>
            </w:r>
          </w:p>
        </w:tc>
        <w:tc>
          <w:tcPr>
            <w:tcW w:w="2410" w:type="dxa"/>
          </w:tcPr>
          <w:p w:rsidR="00056221" w:rsidRDefault="00056221" w:rsidP="00056221">
            <w:pPr>
              <w:pStyle w:val="TableBodyText"/>
              <w:jc w:val="left"/>
            </w:pPr>
            <w:r>
              <w:t>Aims to prevent premature or inappropriate admission</w:t>
            </w:r>
          </w:p>
        </w:tc>
        <w:tc>
          <w:tcPr>
            <w:tcW w:w="2333" w:type="dxa"/>
          </w:tcPr>
          <w:p w:rsidR="00056221" w:rsidRDefault="00056221" w:rsidP="00056221">
            <w:pPr>
              <w:pStyle w:val="TableBodyText"/>
              <w:jc w:val="left"/>
            </w:pPr>
            <w:r>
              <w:t>Substitutes for a low care residential place</w:t>
            </w:r>
          </w:p>
        </w:tc>
        <w:tc>
          <w:tcPr>
            <w:tcW w:w="2345" w:type="dxa"/>
          </w:tcPr>
          <w:p w:rsidR="00056221" w:rsidRDefault="00056221" w:rsidP="00056221">
            <w:pPr>
              <w:pStyle w:val="TableBodyText"/>
              <w:ind w:right="28"/>
              <w:jc w:val="left"/>
            </w:pPr>
            <w:r>
              <w:t>Substitutes for a high care residential place</w:t>
            </w:r>
          </w:p>
        </w:tc>
      </w:tr>
      <w:tr w:rsidR="00056221" w:rsidTr="00905536">
        <w:tc>
          <w:tcPr>
            <w:tcW w:w="1701" w:type="dxa"/>
          </w:tcPr>
          <w:p w:rsidR="00056221" w:rsidRDefault="00056221" w:rsidP="00056221">
            <w:pPr>
              <w:pStyle w:val="TableBodyText"/>
              <w:jc w:val="left"/>
            </w:pPr>
            <w:r>
              <w:t>Eligibility</w:t>
            </w:r>
          </w:p>
        </w:tc>
        <w:tc>
          <w:tcPr>
            <w:tcW w:w="2410" w:type="dxa"/>
            <w:shd w:val="clear" w:color="auto" w:fill="FFFFFF" w:themeFill="background1"/>
          </w:tcPr>
          <w:p w:rsidR="00056221" w:rsidRDefault="00056221" w:rsidP="00243860">
            <w:pPr>
              <w:pStyle w:val="TableBodyText"/>
              <w:jc w:val="left"/>
            </w:pPr>
            <w:r w:rsidRPr="0079479E">
              <w:rPr>
                <w:shd w:val="clear" w:color="auto" w:fill="FFFFFF" w:themeFill="background1"/>
              </w:rPr>
              <w:t>ACA</w:t>
            </w:r>
            <w:r w:rsidR="00243860" w:rsidRPr="0079479E">
              <w:rPr>
                <w:shd w:val="clear" w:color="auto" w:fill="FFFFFF" w:themeFill="background1"/>
              </w:rPr>
              <w:t>T</w:t>
            </w:r>
            <w:r w:rsidRPr="0079479E">
              <w:rPr>
                <w:shd w:val="clear" w:color="auto" w:fill="FFFFFF" w:themeFill="background1"/>
              </w:rPr>
              <w:t xml:space="preserve"> </w:t>
            </w:r>
            <w:r w:rsidR="00D02010">
              <w:t xml:space="preserve">approval </w:t>
            </w:r>
            <w:r>
              <w:t xml:space="preserve">not </w:t>
            </w:r>
            <w:r w:rsidR="001E39F5" w:rsidRPr="00E72979">
              <w:t>required</w:t>
            </w:r>
          </w:p>
        </w:tc>
        <w:tc>
          <w:tcPr>
            <w:tcW w:w="2333" w:type="dxa"/>
            <w:shd w:val="clear" w:color="auto" w:fill="FFFFFF" w:themeFill="background1"/>
          </w:tcPr>
          <w:p w:rsidR="00056221" w:rsidRDefault="00056221" w:rsidP="00243860">
            <w:pPr>
              <w:pStyle w:val="TableBodyText"/>
              <w:jc w:val="left"/>
            </w:pPr>
            <w:r w:rsidRPr="0079479E">
              <w:rPr>
                <w:shd w:val="clear" w:color="auto" w:fill="FFFFFF" w:themeFill="background1"/>
              </w:rPr>
              <w:t>ACA</w:t>
            </w:r>
            <w:r w:rsidR="00243860" w:rsidRPr="0079479E">
              <w:rPr>
                <w:shd w:val="clear" w:color="auto" w:fill="FFFFFF" w:themeFill="background1"/>
              </w:rPr>
              <w:t>T</w:t>
            </w:r>
            <w:r>
              <w:t xml:space="preserve"> </w:t>
            </w:r>
            <w:r w:rsidR="00D02010">
              <w:t xml:space="preserve">approval </w:t>
            </w:r>
            <w:r>
              <w:t>mandatory</w:t>
            </w:r>
          </w:p>
        </w:tc>
        <w:tc>
          <w:tcPr>
            <w:tcW w:w="2345" w:type="dxa"/>
            <w:shd w:val="clear" w:color="auto" w:fill="FFFFFF" w:themeFill="background1"/>
          </w:tcPr>
          <w:p w:rsidR="00056221" w:rsidRDefault="00056221" w:rsidP="00243860">
            <w:pPr>
              <w:pStyle w:val="TableBodyText"/>
              <w:ind w:right="28"/>
              <w:jc w:val="left"/>
            </w:pPr>
            <w:r w:rsidRPr="0079479E">
              <w:rPr>
                <w:shd w:val="clear" w:color="auto" w:fill="FFFFFF" w:themeFill="background1"/>
              </w:rPr>
              <w:t>ACA</w:t>
            </w:r>
            <w:r w:rsidR="00243860" w:rsidRPr="0079479E">
              <w:rPr>
                <w:shd w:val="clear" w:color="auto" w:fill="FFFFFF" w:themeFill="background1"/>
              </w:rPr>
              <w:t>T</w:t>
            </w:r>
            <w:r w:rsidR="00315037" w:rsidRPr="0079479E">
              <w:rPr>
                <w:shd w:val="clear" w:color="auto" w:fill="FFFFFF" w:themeFill="background1"/>
              </w:rPr>
              <w:t xml:space="preserve"> </w:t>
            </w:r>
            <w:r w:rsidR="00D02010">
              <w:t xml:space="preserve">approval </w:t>
            </w:r>
            <w:r>
              <w:t>mandatory</w:t>
            </w:r>
          </w:p>
        </w:tc>
      </w:tr>
      <w:tr w:rsidR="00056221" w:rsidTr="00905536">
        <w:tc>
          <w:tcPr>
            <w:tcW w:w="1701" w:type="dxa"/>
          </w:tcPr>
          <w:p w:rsidR="00056221" w:rsidRDefault="00056221" w:rsidP="00056221">
            <w:pPr>
              <w:pStyle w:val="TableBodyText"/>
              <w:jc w:val="left"/>
            </w:pPr>
            <w:r>
              <w:t>Funding</w:t>
            </w:r>
          </w:p>
        </w:tc>
        <w:tc>
          <w:tcPr>
            <w:tcW w:w="2410" w:type="dxa"/>
            <w:shd w:val="clear" w:color="auto" w:fill="FFFFFF" w:themeFill="background1"/>
          </w:tcPr>
          <w:p w:rsidR="00056221" w:rsidRDefault="007408B1" w:rsidP="00A407A5">
            <w:pPr>
              <w:pStyle w:val="TableBodyText"/>
              <w:jc w:val="left"/>
            </w:pPr>
            <w:r w:rsidRPr="007408B1">
              <w:t>Funded by the Australian Government and client contributions, except in Victoria and WA where funding is also provided by t</w:t>
            </w:r>
            <w:r w:rsidR="00A407A5">
              <w:t>hose</w:t>
            </w:r>
            <w:r w:rsidRPr="007408B1">
              <w:t xml:space="preserve"> jurisdiction</w:t>
            </w:r>
            <w:r w:rsidR="00A407A5">
              <w:t>s</w:t>
            </w:r>
            <w:r w:rsidRPr="007408B1">
              <w:t>.</w:t>
            </w:r>
          </w:p>
        </w:tc>
        <w:tc>
          <w:tcPr>
            <w:tcW w:w="2333" w:type="dxa"/>
            <w:shd w:val="clear" w:color="auto" w:fill="FFFFFF" w:themeFill="background1"/>
          </w:tcPr>
          <w:p w:rsidR="00056221" w:rsidRDefault="00056221" w:rsidP="006B5AD0">
            <w:pPr>
              <w:pStyle w:val="TableBodyText"/>
              <w:jc w:val="left"/>
            </w:pPr>
            <w:r>
              <w:t>Funded by the Australian</w:t>
            </w:r>
            <w:r w:rsidR="006B5AD0">
              <w:t>, State and Territory governments</w:t>
            </w:r>
            <w:r w:rsidR="00640CCB">
              <w:t xml:space="preserve"> </w:t>
            </w:r>
            <w:r>
              <w:t>and client contributions</w:t>
            </w:r>
          </w:p>
        </w:tc>
        <w:tc>
          <w:tcPr>
            <w:tcW w:w="2345" w:type="dxa"/>
            <w:shd w:val="clear" w:color="auto" w:fill="FFFFFF" w:themeFill="background1"/>
          </w:tcPr>
          <w:p w:rsidR="00056221" w:rsidRDefault="00056221" w:rsidP="006B5AD0">
            <w:pPr>
              <w:pStyle w:val="TableBodyText"/>
              <w:ind w:right="28"/>
              <w:jc w:val="left"/>
            </w:pPr>
            <w:r>
              <w:t xml:space="preserve">Funded by the Australian </w:t>
            </w:r>
            <w:r w:rsidR="006B5AD0" w:rsidRPr="006B5AD0">
              <w:t>State and Territory governme</w:t>
            </w:r>
            <w:r w:rsidR="006B5AD0">
              <w:t>nts</w:t>
            </w:r>
            <w:r w:rsidR="00640CCB">
              <w:t xml:space="preserve"> </w:t>
            </w:r>
            <w:r>
              <w:t>and client contributions</w:t>
            </w:r>
          </w:p>
        </w:tc>
      </w:tr>
      <w:tr w:rsidR="00056221" w:rsidTr="0074756F">
        <w:trPr>
          <w:trHeight w:val="1375"/>
        </w:trPr>
        <w:tc>
          <w:tcPr>
            <w:tcW w:w="1701" w:type="dxa"/>
            <w:shd w:val="clear" w:color="auto" w:fill="auto"/>
          </w:tcPr>
          <w:p w:rsidR="00056221" w:rsidRDefault="00056221" w:rsidP="00056221">
            <w:pPr>
              <w:pStyle w:val="TableBodyText"/>
              <w:jc w:val="left"/>
            </w:pPr>
            <w:r>
              <w:t>Target client groups</w:t>
            </w:r>
            <w:r w:rsidRPr="00BA341E">
              <w:rPr>
                <w:rStyle w:val="NoteLabel"/>
              </w:rPr>
              <w:t>b</w:t>
            </w:r>
          </w:p>
        </w:tc>
        <w:tc>
          <w:tcPr>
            <w:tcW w:w="2410" w:type="dxa"/>
            <w:shd w:val="clear" w:color="auto" w:fill="auto"/>
          </w:tcPr>
          <w:p w:rsidR="00056221" w:rsidRDefault="00056221" w:rsidP="006B5AD0">
            <w:pPr>
              <w:pStyle w:val="TableBodyText"/>
              <w:jc w:val="left"/>
            </w:pPr>
            <w:r>
              <w:t xml:space="preserve">Available to </w:t>
            </w:r>
            <w:r w:rsidR="00E45E1A">
              <w:t xml:space="preserve">older </w:t>
            </w:r>
            <w:r>
              <w:t xml:space="preserve">people with profound, severe and moderate disability and their </w:t>
            </w:r>
            <w:proofErr w:type="spellStart"/>
            <w:r>
              <w:t>carers</w:t>
            </w:r>
            <w:proofErr w:type="spellEnd"/>
            <w:r>
              <w:t>. Not age specific</w:t>
            </w:r>
            <w:r w:rsidR="006B5AD0">
              <w:t xml:space="preserve"> in Victoria and WA</w:t>
            </w:r>
          </w:p>
        </w:tc>
        <w:tc>
          <w:tcPr>
            <w:tcW w:w="2333" w:type="dxa"/>
            <w:shd w:val="clear" w:color="auto" w:fill="auto"/>
          </w:tcPr>
          <w:p w:rsidR="00056221" w:rsidRDefault="00056221" w:rsidP="00056221">
            <w:pPr>
              <w:pStyle w:val="TableBodyText"/>
              <w:jc w:val="left"/>
            </w:pPr>
            <w:r>
              <w:t>Targets older people with care needs similar to low level residential care</w:t>
            </w:r>
          </w:p>
        </w:tc>
        <w:tc>
          <w:tcPr>
            <w:tcW w:w="2345" w:type="dxa"/>
            <w:shd w:val="clear" w:color="auto" w:fill="auto"/>
          </w:tcPr>
          <w:p w:rsidR="00056221" w:rsidRDefault="00056221" w:rsidP="00056221">
            <w:pPr>
              <w:pStyle w:val="TableBodyText"/>
              <w:ind w:right="28"/>
              <w:jc w:val="left"/>
            </w:pPr>
            <w:r>
              <w:t>Targets older people with care needs similar to high level residential care</w:t>
            </w:r>
          </w:p>
        </w:tc>
      </w:tr>
      <w:tr w:rsidR="00056221" w:rsidTr="006B5AD0">
        <w:tc>
          <w:tcPr>
            <w:tcW w:w="1701" w:type="dxa"/>
            <w:tcBorders>
              <w:bottom w:val="single" w:sz="6" w:space="0" w:color="auto"/>
            </w:tcBorders>
            <w:shd w:val="clear" w:color="auto" w:fill="auto"/>
          </w:tcPr>
          <w:p w:rsidR="00056221" w:rsidRDefault="00056221" w:rsidP="00056221">
            <w:pPr>
              <w:pStyle w:val="TableBodyText"/>
              <w:jc w:val="left"/>
            </w:pPr>
            <w:r>
              <w:t>Size of program</w:t>
            </w:r>
          </w:p>
        </w:tc>
        <w:tc>
          <w:tcPr>
            <w:tcW w:w="2410" w:type="dxa"/>
            <w:tcBorders>
              <w:bottom w:val="single" w:sz="4" w:space="0" w:color="auto"/>
            </w:tcBorders>
            <w:shd w:val="clear" w:color="auto" w:fill="auto"/>
          </w:tcPr>
          <w:p w:rsidR="00056221" w:rsidRPr="001F5330" w:rsidRDefault="00056221" w:rsidP="00F41730">
            <w:pPr>
              <w:pStyle w:val="TableBodyText"/>
              <w:jc w:val="left"/>
            </w:pPr>
            <w:r w:rsidRPr="00554BA0">
              <w:t>$</w:t>
            </w:r>
            <w:r w:rsidR="007B6247">
              <w:t>1.7</w:t>
            </w:r>
            <w:r w:rsidRPr="00554BA0">
              <w:t xml:space="preserve"> billion funding </w:t>
            </w:r>
            <w:r w:rsidR="005D5953">
              <w:t xml:space="preserve">for </w:t>
            </w:r>
            <w:r w:rsidR="00995F2A">
              <w:t>older</w:t>
            </w:r>
            <w:r w:rsidR="005D5953">
              <w:t xml:space="preserve"> clients </w:t>
            </w:r>
            <w:r w:rsidRPr="00554BA0">
              <w:rPr>
                <w:color w:val="FF0000"/>
              </w:rPr>
              <w:br/>
            </w:r>
            <w:r w:rsidRPr="00554BA0">
              <w:t xml:space="preserve">At least </w:t>
            </w:r>
            <w:r w:rsidR="007B6247" w:rsidRPr="007B6247">
              <w:t>756</w:t>
            </w:r>
            <w:r w:rsidR="007B6247">
              <w:t> </w:t>
            </w:r>
            <w:r w:rsidR="007B6247" w:rsidRPr="007B6247">
              <w:t>148</w:t>
            </w:r>
            <w:r w:rsidR="005D5953">
              <w:t xml:space="preserve"> older</w:t>
            </w:r>
            <w:r w:rsidRPr="00A23A04">
              <w:rPr>
                <w:b/>
              </w:rPr>
              <w:t xml:space="preserve"> </w:t>
            </w:r>
            <w:r w:rsidR="00F41730">
              <w:t>clients</w:t>
            </w:r>
            <w:r w:rsidRPr="00A925A9">
              <w:rPr>
                <w:rStyle w:val="NoteLabel"/>
              </w:rPr>
              <w:t>c</w:t>
            </w:r>
          </w:p>
        </w:tc>
        <w:tc>
          <w:tcPr>
            <w:tcW w:w="2333" w:type="dxa"/>
            <w:tcBorders>
              <w:bottom w:val="single" w:sz="4" w:space="0" w:color="auto"/>
            </w:tcBorders>
            <w:shd w:val="clear" w:color="auto" w:fill="auto"/>
          </w:tcPr>
          <w:p w:rsidR="00D54C8B" w:rsidRDefault="00056221" w:rsidP="00D54C8B">
            <w:pPr>
              <w:pStyle w:val="TableBodyText"/>
              <w:jc w:val="left"/>
            </w:pPr>
            <w:r w:rsidRPr="00554BA0">
              <w:t>$</w:t>
            </w:r>
            <w:r w:rsidR="007B6247">
              <w:t>598.9</w:t>
            </w:r>
            <w:r w:rsidRPr="00554BA0">
              <w:t xml:space="preserve"> million</w:t>
            </w:r>
            <w:r w:rsidR="00102788">
              <w:t xml:space="preserve"> total</w:t>
            </w:r>
            <w:r w:rsidR="005D5953">
              <w:t xml:space="preserve"> </w:t>
            </w:r>
            <w:r w:rsidRPr="00554BA0">
              <w:t xml:space="preserve">funding </w:t>
            </w:r>
          </w:p>
          <w:p w:rsidR="00056221" w:rsidRPr="00554BA0" w:rsidRDefault="007B6247" w:rsidP="00215F03">
            <w:pPr>
              <w:pStyle w:val="TableBodyText"/>
              <w:spacing w:after="0" w:line="240" w:lineRule="auto"/>
              <w:jc w:val="left"/>
            </w:pPr>
            <w:r>
              <w:rPr>
                <w:rFonts w:cs="Arial"/>
              </w:rPr>
              <w:t>47</w:t>
            </w:r>
            <w:r>
              <w:t> </w:t>
            </w:r>
            <w:r>
              <w:rPr>
                <w:rFonts w:cs="Arial"/>
              </w:rPr>
              <w:t>937</w:t>
            </w:r>
            <w:r w:rsidR="00056221" w:rsidRPr="00554BA0">
              <w:t xml:space="preserve"> operational places</w:t>
            </w:r>
            <w:r w:rsidR="00437192">
              <w:rPr>
                <w:rStyle w:val="NoteLabel"/>
              </w:rPr>
              <w:t>d</w:t>
            </w:r>
            <w:r w:rsidR="00056221" w:rsidRPr="00554BA0">
              <w:t xml:space="preserve"> </w:t>
            </w:r>
          </w:p>
        </w:tc>
        <w:tc>
          <w:tcPr>
            <w:tcW w:w="2345" w:type="dxa"/>
            <w:tcBorders>
              <w:left w:val="nil"/>
              <w:bottom w:val="single" w:sz="6" w:space="0" w:color="auto"/>
            </w:tcBorders>
            <w:shd w:val="clear" w:color="auto" w:fill="auto"/>
          </w:tcPr>
          <w:p w:rsidR="00D54C8B" w:rsidRDefault="00056221" w:rsidP="00D54C8B">
            <w:pPr>
              <w:pStyle w:val="TableBodyText"/>
              <w:ind w:right="28"/>
              <w:jc w:val="left"/>
            </w:pPr>
            <w:r w:rsidRPr="00554BA0">
              <w:t>$</w:t>
            </w:r>
            <w:r w:rsidR="007B6247">
              <w:rPr>
                <w:rFonts w:cs="Arial"/>
              </w:rPr>
              <w:t>557.7</w:t>
            </w:r>
            <w:r w:rsidRPr="00554BA0">
              <w:t xml:space="preserve"> million </w:t>
            </w:r>
            <w:r w:rsidR="00102788">
              <w:t xml:space="preserve">total </w:t>
            </w:r>
            <w:r w:rsidRPr="00554BA0">
              <w:t xml:space="preserve">funding </w:t>
            </w:r>
          </w:p>
          <w:p w:rsidR="00056221" w:rsidRPr="00D54C8B" w:rsidRDefault="007B6247" w:rsidP="00215F03">
            <w:pPr>
              <w:pStyle w:val="TableBodyText"/>
              <w:spacing w:after="0" w:line="240" w:lineRule="auto"/>
              <w:ind w:right="28"/>
              <w:jc w:val="left"/>
              <w:rPr>
                <w:rFonts w:cs="Arial"/>
              </w:rPr>
            </w:pPr>
            <w:r w:rsidRPr="007B6247">
              <w:rPr>
                <w:rFonts w:cs="Arial"/>
              </w:rPr>
              <w:t>13</w:t>
            </w:r>
            <w:r>
              <w:t> </w:t>
            </w:r>
            <w:r w:rsidRPr="007B6247">
              <w:rPr>
                <w:rFonts w:cs="Arial"/>
              </w:rPr>
              <w:t>150</w:t>
            </w:r>
            <w:r w:rsidR="00056221" w:rsidRPr="00554BA0">
              <w:t xml:space="preserve"> operational places</w:t>
            </w:r>
            <w:r w:rsidR="00D02C06">
              <w:rPr>
                <w:rFonts w:cs="Arial"/>
                <w:b/>
                <w:bCs/>
                <w:position w:val="6"/>
                <w:szCs w:val="18"/>
              </w:rPr>
              <w:t>e</w:t>
            </w:r>
            <w:r w:rsidR="00056221" w:rsidRPr="00554BA0">
              <w:t xml:space="preserve"> </w:t>
            </w:r>
          </w:p>
        </w:tc>
      </w:tr>
    </w:tbl>
    <w:p w:rsidR="00056221" w:rsidRDefault="00056221" w:rsidP="00056221">
      <w:pPr>
        <w:pStyle w:val="Note"/>
      </w:pPr>
      <w:r w:rsidRPr="00133C34">
        <w:rPr>
          <w:rStyle w:val="NoteLabel"/>
        </w:rPr>
        <w:t>a</w:t>
      </w:r>
      <w:r>
        <w:t xml:space="preserve"> HACC services such as community nursing, which are not available under CACPs, can be supplied to someone receiving a CACP. </w:t>
      </w:r>
      <w:r w:rsidRPr="00BA341E">
        <w:rPr>
          <w:rStyle w:val="NoteLabel"/>
        </w:rPr>
        <w:t>b</w:t>
      </w:r>
      <w:r>
        <w:t xml:space="preserve"> Most </w:t>
      </w:r>
      <w:r w:rsidR="00401074">
        <w:t>HACC clients</w:t>
      </w:r>
      <w:r>
        <w:t xml:space="preserve"> at the lower end of the scale would not be assessed as eligible for residential care</w:t>
      </w:r>
      <w:r w:rsidR="00D45C4B">
        <w:t>;</w:t>
      </w:r>
      <w:r>
        <w:t xml:space="preserve"> for example, an individual may receive only an hour of home care per fortnight. At the higher end, some people have needs that would exceed the level available under CACPs and EACH. </w:t>
      </w:r>
      <w:r w:rsidRPr="00BA341E">
        <w:rPr>
          <w:rStyle w:val="NoteLabel"/>
        </w:rPr>
        <w:t>c</w:t>
      </w:r>
      <w:r>
        <w:t xml:space="preserve"> The proportion of HACC funded agencies that submitted Minimum Data Set data for </w:t>
      </w:r>
      <w:r w:rsidR="009C0C70">
        <w:t>201</w:t>
      </w:r>
      <w:r w:rsidR="002E0DE0">
        <w:t>2</w:t>
      </w:r>
      <w:r w:rsidR="00AA68A5">
        <w:noBreakHyphen/>
      </w:r>
      <w:r w:rsidR="009C0C70">
        <w:t>1</w:t>
      </w:r>
      <w:r w:rsidR="002E0DE0">
        <w:t>3</w:t>
      </w:r>
      <w:r>
        <w:t xml:space="preserve"> differed across jurisdictions and ranged from </w:t>
      </w:r>
      <w:r w:rsidR="002E0DE0">
        <w:t>51</w:t>
      </w:r>
      <w:r>
        <w:t xml:space="preserve"> per cent to </w:t>
      </w:r>
      <w:r w:rsidR="000A3D83">
        <w:t>100</w:t>
      </w:r>
      <w:r>
        <w:t xml:space="preserve"> per cent. Consequently, the total number of clients will be higher than those reported.</w:t>
      </w:r>
      <w:r w:rsidR="00FE79E0">
        <w:t xml:space="preserve"> </w:t>
      </w:r>
      <w:bookmarkStart w:id="30" w:name="OLE_LINK93"/>
      <w:bookmarkStart w:id="31" w:name="OLE_LINK84"/>
      <w:bookmarkStart w:id="32" w:name="OLE_LINK85"/>
      <w:r w:rsidR="00FE79E0">
        <w:rPr>
          <w:rFonts w:cs="Arial"/>
          <w:b/>
          <w:bCs/>
          <w:position w:val="6"/>
          <w:szCs w:val="18"/>
        </w:rPr>
        <w:t xml:space="preserve">d </w:t>
      </w:r>
      <w:r w:rsidR="0004139E" w:rsidRPr="0004139E">
        <w:t>The number of operational places includes CACPs</w:t>
      </w:r>
      <w:r w:rsidR="003F7FE0">
        <w:t>, low level consumer directed care (CDC) places</w:t>
      </w:r>
      <w:r w:rsidR="0004139E" w:rsidRPr="0004139E">
        <w:t xml:space="preserve"> and flexible community places. See note</w:t>
      </w:r>
      <w:r w:rsidR="002E0DE0">
        <w:t xml:space="preserve">s </w:t>
      </w:r>
      <w:r w:rsidR="0004139E" w:rsidRPr="0004139E">
        <w:t>to table</w:t>
      </w:r>
      <w:r w:rsidR="00AA68A5">
        <w:t> </w:t>
      </w:r>
      <w:proofErr w:type="spellStart"/>
      <w:r w:rsidR="0004139E" w:rsidRPr="0004139E">
        <w:t>13A.15</w:t>
      </w:r>
      <w:bookmarkEnd w:id="30"/>
      <w:proofErr w:type="spellEnd"/>
      <w:r w:rsidR="0004139E" w:rsidRPr="0004139E">
        <w:t>.</w:t>
      </w:r>
      <w:bookmarkEnd w:id="31"/>
      <w:bookmarkEnd w:id="32"/>
      <w:r w:rsidR="00FE79E0" w:rsidRPr="0004139E">
        <w:t xml:space="preserve"> </w:t>
      </w:r>
      <w:r w:rsidR="00C0002A">
        <w:rPr>
          <w:rFonts w:cs="Arial"/>
          <w:b/>
          <w:bCs/>
          <w:position w:val="6"/>
          <w:szCs w:val="18"/>
        </w:rPr>
        <w:t>e</w:t>
      </w:r>
      <w:r w:rsidR="00D02C06">
        <w:rPr>
          <w:rFonts w:cs="Arial"/>
          <w:b/>
          <w:bCs/>
          <w:position w:val="6"/>
          <w:szCs w:val="18"/>
        </w:rPr>
        <w:t xml:space="preserve"> </w:t>
      </w:r>
      <w:r w:rsidR="00D02C06" w:rsidRPr="0004139E">
        <w:t xml:space="preserve">The number of operational places includes </w:t>
      </w:r>
      <w:r w:rsidR="007B6247">
        <w:t xml:space="preserve">EACH, </w:t>
      </w:r>
      <w:r w:rsidR="00D02C06">
        <w:t>EACH</w:t>
      </w:r>
      <w:r w:rsidR="00AA68A5">
        <w:noBreakHyphen/>
      </w:r>
      <w:r w:rsidR="00D02C06">
        <w:t>D</w:t>
      </w:r>
      <w:r w:rsidR="00D02C06" w:rsidRPr="0004139E">
        <w:t xml:space="preserve"> and </w:t>
      </w:r>
      <w:r w:rsidR="00D02C06">
        <w:t xml:space="preserve">high level </w:t>
      </w:r>
      <w:r w:rsidR="009B6954">
        <w:t>CDC</w:t>
      </w:r>
      <w:r w:rsidR="00D02C06">
        <w:t xml:space="preserve"> </w:t>
      </w:r>
      <w:r w:rsidR="00D02C06" w:rsidRPr="0004139E">
        <w:t xml:space="preserve">places. </w:t>
      </w:r>
    </w:p>
    <w:p w:rsidR="00056221" w:rsidRPr="00133C34" w:rsidRDefault="00056221" w:rsidP="00D655D8">
      <w:pPr>
        <w:pStyle w:val="Source"/>
      </w:pPr>
      <w:r>
        <w:rPr>
          <w:i/>
        </w:rPr>
        <w:t>Source</w:t>
      </w:r>
      <w:r>
        <w:t xml:space="preserve">: </w:t>
      </w:r>
      <w:proofErr w:type="spellStart"/>
      <w:r w:rsidRPr="0079479E">
        <w:rPr>
          <w:shd w:val="clear" w:color="auto" w:fill="FFFFFF" w:themeFill="background1"/>
        </w:rPr>
        <w:t>D</w:t>
      </w:r>
      <w:r w:rsidR="00E46620" w:rsidRPr="0079479E">
        <w:rPr>
          <w:shd w:val="clear" w:color="auto" w:fill="FFFFFF" w:themeFill="background1"/>
        </w:rPr>
        <w:t>SS</w:t>
      </w:r>
      <w:proofErr w:type="spellEnd"/>
      <w:r w:rsidRPr="0079479E">
        <w:rPr>
          <w:shd w:val="clear" w:color="auto" w:fill="FFFFFF" w:themeFill="background1"/>
        </w:rPr>
        <w:t xml:space="preserve"> </w:t>
      </w:r>
      <w:r>
        <w:t>(unpublished); tables</w:t>
      </w:r>
      <w:r w:rsidR="00AA68A5">
        <w:t> </w:t>
      </w:r>
      <w:proofErr w:type="spellStart"/>
      <w:r w:rsidR="00C6315B">
        <w:t>13A.4</w:t>
      </w:r>
      <w:proofErr w:type="spellEnd"/>
      <w:r w:rsidR="00C6315B">
        <w:t xml:space="preserve">, </w:t>
      </w:r>
      <w:proofErr w:type="spellStart"/>
      <w:r w:rsidR="00CE78A6">
        <w:t>13A.5</w:t>
      </w:r>
      <w:proofErr w:type="spellEnd"/>
      <w:r w:rsidR="004E221C">
        <w:t xml:space="preserve"> </w:t>
      </w:r>
      <w:r w:rsidR="00CE78A6">
        <w:t xml:space="preserve">and </w:t>
      </w:r>
      <w:proofErr w:type="spellStart"/>
      <w:r w:rsidR="004E221C">
        <w:t>13A.15</w:t>
      </w:r>
      <w:proofErr w:type="spellEnd"/>
      <w:r w:rsidR="004E221C">
        <w:t>.</w:t>
      </w:r>
    </w:p>
    <w:bookmarkEnd w:id="29"/>
    <w:p w:rsidR="00056221" w:rsidRDefault="00056221" w:rsidP="00056221">
      <w:pPr>
        <w:pStyle w:val="BodyText"/>
      </w:pPr>
      <w:r>
        <w:t>Age specific usage rates for CACP, EACH and EACH</w:t>
      </w:r>
      <w:r w:rsidR="00AA68A5">
        <w:noBreakHyphen/>
      </w:r>
      <w:r>
        <w:t>D, by jurisdiction and remoteness, at 30 </w:t>
      </w:r>
      <w:r w:rsidR="00714EDC">
        <w:t xml:space="preserve">June </w:t>
      </w:r>
      <w:r w:rsidR="004449AD">
        <w:t xml:space="preserve">2013 </w:t>
      </w:r>
      <w:r>
        <w:t>are included in tables</w:t>
      </w:r>
      <w:r w:rsidR="00AA68A5">
        <w:t> </w:t>
      </w:r>
      <w:proofErr w:type="spellStart"/>
      <w:r>
        <w:t>13</w:t>
      </w:r>
      <w:r w:rsidR="00E16794">
        <w:t>A.</w:t>
      </w:r>
      <w:r w:rsidR="007B6247">
        <w:t>39</w:t>
      </w:r>
      <w:proofErr w:type="spellEnd"/>
      <w:r>
        <w:t xml:space="preserve"> and </w:t>
      </w:r>
      <w:proofErr w:type="spellStart"/>
      <w:r>
        <w:t>13</w:t>
      </w:r>
      <w:r w:rsidR="00E16794">
        <w:t>A.4</w:t>
      </w:r>
      <w:r w:rsidR="007B6247">
        <w:t>3</w:t>
      </w:r>
      <w:proofErr w:type="spellEnd"/>
      <w:r>
        <w:t xml:space="preserve"> respectively. Age specific usage rates for these community care program services (CACP, EACH and EACH</w:t>
      </w:r>
      <w:r w:rsidR="00AA68A5">
        <w:noBreakHyphen/>
      </w:r>
      <w:r>
        <w:t>D)</w:t>
      </w:r>
      <w:r w:rsidRPr="00E06654">
        <w:t xml:space="preserve"> </w:t>
      </w:r>
      <w:r>
        <w:t xml:space="preserve">combined with </w:t>
      </w:r>
      <w:r w:rsidRPr="00AC7BDA">
        <w:t xml:space="preserve">permanent </w:t>
      </w:r>
      <w:r>
        <w:t xml:space="preserve">residential services are in </w:t>
      </w:r>
      <w:r w:rsidR="00CD6DC1">
        <w:t>tables</w:t>
      </w:r>
      <w:r w:rsidR="00AA68A5">
        <w:t> </w:t>
      </w:r>
      <w:proofErr w:type="spellStart"/>
      <w:r>
        <w:t>13</w:t>
      </w:r>
      <w:r w:rsidR="00E16794">
        <w:t>A.4</w:t>
      </w:r>
      <w:r w:rsidR="007B6247">
        <w:t>0</w:t>
      </w:r>
      <w:proofErr w:type="spellEnd"/>
      <w:r>
        <w:t xml:space="preserve"> </w:t>
      </w:r>
      <w:r>
        <w:lastRenderedPageBreak/>
        <w:t xml:space="preserve">and </w:t>
      </w:r>
      <w:proofErr w:type="spellStart"/>
      <w:r>
        <w:t>13</w:t>
      </w:r>
      <w:r w:rsidR="00E16794">
        <w:t>A.4</w:t>
      </w:r>
      <w:r w:rsidR="007B6247">
        <w:t>4</w:t>
      </w:r>
      <w:proofErr w:type="spellEnd"/>
      <w:r>
        <w:t xml:space="preserve">. </w:t>
      </w:r>
      <w:r w:rsidR="009B407D">
        <w:t xml:space="preserve">National, </w:t>
      </w:r>
      <w:r>
        <w:t>Indigenous age specific usage rates for all these services by remoteness category are in table</w:t>
      </w:r>
      <w:r w:rsidR="00AA68A5">
        <w:t> </w:t>
      </w:r>
      <w:proofErr w:type="spellStart"/>
      <w:r>
        <w:t>13</w:t>
      </w:r>
      <w:r w:rsidR="00E16794">
        <w:t>A.4</w:t>
      </w:r>
      <w:r w:rsidR="007B6247">
        <w:t>5</w:t>
      </w:r>
      <w:proofErr w:type="spellEnd"/>
      <w:r>
        <w:t>.</w:t>
      </w:r>
    </w:p>
    <w:p w:rsidR="00056221" w:rsidRDefault="00056221" w:rsidP="00056221">
      <w:pPr>
        <w:pStyle w:val="BodyText"/>
      </w:pPr>
      <w:r>
        <w:t>Presentation of age</w:t>
      </w:r>
      <w:r w:rsidR="00AA68A5">
        <w:noBreakHyphen/>
      </w:r>
      <w:r>
        <w:t>specific usage rates raises particular data issues. In particular, if the numbers of people within a particular range for a given service are small, this can lead to apparently large fluctuations in growth rates. This can be seen from some of the usage rates identified for the EACH and EACH</w:t>
      </w:r>
      <w:r w:rsidR="00AA68A5">
        <w:noBreakHyphen/>
      </w:r>
      <w:r>
        <w:t>D programs, which, whilst growing rapidly, are doing so from a relatively small base.</w:t>
      </w:r>
    </w:p>
    <w:p w:rsidR="000B2BA0" w:rsidRDefault="003467F3" w:rsidP="0094475F">
      <w:pPr>
        <w:pStyle w:val="BodyText"/>
      </w:pPr>
      <w:r>
        <w:t>Data on the</w:t>
      </w:r>
      <w:r w:rsidR="000B2BA0" w:rsidRPr="004E36A8">
        <w:t xml:space="preserve"> number of </w:t>
      </w:r>
      <w:r w:rsidR="000B2BA0">
        <w:t>older clients</w:t>
      </w:r>
      <w:r w:rsidR="000B2BA0" w:rsidRPr="004E36A8">
        <w:t xml:space="preserve"> </w:t>
      </w:r>
      <w:bookmarkStart w:id="33" w:name="OLE_LINK28"/>
      <w:r w:rsidR="000B2BA0" w:rsidRPr="004E36A8">
        <w:t>(</w:t>
      </w:r>
      <w:r w:rsidR="000B2BA0">
        <w:t xml:space="preserve">aged </w:t>
      </w:r>
      <w:r w:rsidR="00D57A73">
        <w:t>65</w:t>
      </w:r>
      <w:r w:rsidR="000B2BA0">
        <w:t xml:space="preserve"> years or </w:t>
      </w:r>
      <w:r w:rsidR="00C05C11">
        <w:t xml:space="preserve">over </w:t>
      </w:r>
      <w:r w:rsidR="000A2177" w:rsidRPr="0094475F">
        <w:t>and</w:t>
      </w:r>
      <w:r w:rsidR="000B2BA0">
        <w:t xml:space="preserve"> </w:t>
      </w:r>
      <w:r w:rsidR="00EB2705">
        <w:t>Indigenous Australians</w:t>
      </w:r>
      <w:r w:rsidR="000B2BA0">
        <w:t xml:space="preserve"> aged 50–6</w:t>
      </w:r>
      <w:r w:rsidR="00D57A73">
        <w:t>4</w:t>
      </w:r>
      <w:r w:rsidR="000B2BA0">
        <w:t xml:space="preserve"> year</w:t>
      </w:r>
      <w:r w:rsidR="000B2BA0" w:rsidRPr="004E36A8">
        <w:t>s)</w:t>
      </w:r>
      <w:bookmarkEnd w:id="33"/>
      <w:r w:rsidR="000B2BA0">
        <w:t xml:space="preserve"> who received HACC, CACP, EACH and EACH</w:t>
      </w:r>
      <w:r w:rsidR="00AA68A5">
        <w:noBreakHyphen/>
      </w:r>
      <w:r w:rsidR="000B2BA0">
        <w:t>D</w:t>
      </w:r>
      <w:r w:rsidR="000B2BA0" w:rsidRPr="004E36A8">
        <w:t xml:space="preserve"> </w:t>
      </w:r>
      <w:r w:rsidR="000B2BA0">
        <w:t xml:space="preserve">services in </w:t>
      </w:r>
      <w:r w:rsidR="00714EDC">
        <w:t>201</w:t>
      </w:r>
      <w:r w:rsidR="0074756F">
        <w:t>2</w:t>
      </w:r>
      <w:r w:rsidR="00AA68A5">
        <w:noBreakHyphen/>
      </w:r>
      <w:r w:rsidR="00714EDC">
        <w:t>1</w:t>
      </w:r>
      <w:r w:rsidR="0074756F">
        <w:t>3</w:t>
      </w:r>
      <w:r w:rsidR="000B2BA0">
        <w:t xml:space="preserve"> </w:t>
      </w:r>
      <w:r w:rsidR="000B2BA0" w:rsidRPr="004E36A8">
        <w:t>are included in table</w:t>
      </w:r>
      <w:r w:rsidR="00AA68A5">
        <w:t> </w:t>
      </w:r>
      <w:r w:rsidR="000B2BA0" w:rsidRPr="004E36A8">
        <w:t>13.</w:t>
      </w:r>
      <w:r w:rsidR="00784140">
        <w:t>5</w:t>
      </w:r>
      <w:r w:rsidR="000B2BA0" w:rsidRPr="004E36A8">
        <w:t xml:space="preserve">. These </w:t>
      </w:r>
      <w:r>
        <w:t>data</w:t>
      </w:r>
      <w:r w:rsidR="000B2BA0" w:rsidRPr="004E36A8">
        <w:t xml:space="preserve"> reflect the number of individuals who utilised these services during the year, for any length of time, </w:t>
      </w:r>
      <w:r>
        <w:t>as distinct from</w:t>
      </w:r>
      <w:r w:rsidR="000B2BA0" w:rsidRPr="004E36A8">
        <w:t xml:space="preserve"> the number of places available.</w:t>
      </w:r>
      <w:r w:rsidR="000B2BA0">
        <w:t xml:space="preserve"> Data on the number of younger people aged under 65 years who used CACP, EACH and EACH</w:t>
      </w:r>
      <w:r w:rsidR="00AA68A5">
        <w:noBreakHyphen/>
      </w:r>
      <w:r w:rsidR="000B2BA0">
        <w:t>D</w:t>
      </w:r>
      <w:r w:rsidR="000B2BA0" w:rsidRPr="004E36A8">
        <w:t xml:space="preserve"> services</w:t>
      </w:r>
      <w:r w:rsidR="000B2BA0">
        <w:t xml:space="preserve"> during </w:t>
      </w:r>
      <w:r w:rsidR="00714EDC">
        <w:t>201</w:t>
      </w:r>
      <w:r w:rsidR="0074756F">
        <w:t>2</w:t>
      </w:r>
      <w:r w:rsidR="00AA68A5">
        <w:noBreakHyphen/>
      </w:r>
      <w:r w:rsidR="00714EDC">
        <w:t>1</w:t>
      </w:r>
      <w:r w:rsidR="0074756F">
        <w:t>3</w:t>
      </w:r>
      <w:r w:rsidR="000B2BA0">
        <w:t xml:space="preserve"> are in table</w:t>
      </w:r>
      <w:r w:rsidR="00AA68A5">
        <w:t> </w:t>
      </w:r>
      <w:proofErr w:type="spellStart"/>
      <w:r w:rsidR="000B2BA0">
        <w:t>13</w:t>
      </w:r>
      <w:r w:rsidR="00E16794">
        <w:t>A.4</w:t>
      </w:r>
      <w:r w:rsidR="007B6247">
        <w:t>1</w:t>
      </w:r>
      <w:proofErr w:type="spellEnd"/>
      <w:r w:rsidR="000B2BA0">
        <w:t>.</w:t>
      </w:r>
      <w:r w:rsidR="005C646B">
        <w:t xml:space="preserve"> </w:t>
      </w:r>
    </w:p>
    <w:p w:rsidR="009B407D" w:rsidRDefault="009B407D" w:rsidP="009B407D">
      <w:pPr>
        <w:pStyle w:val="TableTitle"/>
      </w:pPr>
      <w:r w:rsidRPr="007218AB">
        <w:rPr>
          <w:b w:val="0"/>
          <w:sz w:val="24"/>
        </w:rPr>
        <w:t>Table 13.</w:t>
      </w:r>
      <w:r w:rsidR="00E4728C">
        <w:rPr>
          <w:b w:val="0"/>
          <w:noProof/>
          <w:sz w:val="24"/>
        </w:rPr>
        <w:t>5</w:t>
      </w:r>
      <w:r w:rsidRPr="007218AB">
        <w:rPr>
          <w:sz w:val="24"/>
        </w:rPr>
        <w:tab/>
        <w:t>Number of community aged care older clients, by program, 201</w:t>
      </w:r>
      <w:r w:rsidR="0074756F">
        <w:rPr>
          <w:sz w:val="24"/>
        </w:rPr>
        <w:t>2</w:t>
      </w:r>
      <w:r w:rsidR="00AA68A5">
        <w:rPr>
          <w:sz w:val="24"/>
        </w:rPr>
        <w:noBreakHyphen/>
      </w:r>
      <w:r w:rsidRPr="007218AB">
        <w:rPr>
          <w:sz w:val="24"/>
        </w:rPr>
        <w:t>1</w:t>
      </w:r>
      <w:r w:rsidR="0074756F">
        <w:rPr>
          <w:sz w:val="24"/>
        </w:rPr>
        <w:t>3</w:t>
      </w:r>
      <w:r>
        <w:rPr>
          <w:sz w:val="24"/>
        </w:rPr>
        <w:t xml:space="preserve"> </w:t>
      </w:r>
    </w:p>
    <w:tbl>
      <w:tblPr>
        <w:tblW w:w="8789" w:type="dxa"/>
        <w:tblLayout w:type="fixed"/>
        <w:tblCellMar>
          <w:left w:w="0" w:type="dxa"/>
          <w:right w:w="0" w:type="dxa"/>
        </w:tblCellMar>
        <w:tblLook w:val="0000" w:firstRow="0" w:lastRow="0" w:firstColumn="0" w:lastColumn="0" w:noHBand="0" w:noVBand="0"/>
      </w:tblPr>
      <w:tblGrid>
        <w:gridCol w:w="993"/>
        <w:gridCol w:w="1134"/>
        <w:gridCol w:w="850"/>
        <w:gridCol w:w="851"/>
        <w:gridCol w:w="850"/>
        <w:gridCol w:w="851"/>
        <w:gridCol w:w="850"/>
        <w:gridCol w:w="851"/>
        <w:gridCol w:w="708"/>
        <w:gridCol w:w="851"/>
      </w:tblGrid>
      <w:tr w:rsidR="009B407D" w:rsidTr="0002130B">
        <w:tc>
          <w:tcPr>
            <w:tcW w:w="993" w:type="dxa"/>
            <w:tcBorders>
              <w:top w:val="single" w:sz="6" w:space="0" w:color="auto"/>
              <w:bottom w:val="single" w:sz="6" w:space="0" w:color="auto"/>
            </w:tcBorders>
            <w:shd w:val="clear" w:color="auto" w:fill="auto"/>
          </w:tcPr>
          <w:p w:rsidR="009B407D" w:rsidRDefault="009B407D" w:rsidP="009B407D">
            <w:pPr>
              <w:pStyle w:val="TableColumnHeading"/>
              <w:jc w:val="left"/>
            </w:pPr>
          </w:p>
        </w:tc>
        <w:tc>
          <w:tcPr>
            <w:tcW w:w="1134" w:type="dxa"/>
            <w:tcBorders>
              <w:top w:val="single" w:sz="6" w:space="0" w:color="auto"/>
              <w:bottom w:val="single" w:sz="6" w:space="0" w:color="auto"/>
            </w:tcBorders>
            <w:shd w:val="clear" w:color="auto" w:fill="auto"/>
          </w:tcPr>
          <w:p w:rsidR="009B407D" w:rsidRPr="00794159" w:rsidRDefault="009B407D" w:rsidP="00AA68A5">
            <w:pPr>
              <w:pStyle w:val="TableColumnHeading"/>
            </w:pPr>
            <w:r w:rsidRPr="00794159">
              <w:t>NSW</w:t>
            </w:r>
          </w:p>
        </w:tc>
        <w:tc>
          <w:tcPr>
            <w:tcW w:w="850" w:type="dxa"/>
            <w:tcBorders>
              <w:top w:val="single" w:sz="6" w:space="0" w:color="auto"/>
              <w:bottom w:val="single" w:sz="6" w:space="0" w:color="auto"/>
            </w:tcBorders>
            <w:shd w:val="clear" w:color="auto" w:fill="auto"/>
          </w:tcPr>
          <w:p w:rsidR="009B407D" w:rsidRPr="00794159" w:rsidRDefault="009B407D" w:rsidP="00AA68A5">
            <w:pPr>
              <w:pStyle w:val="TableColumnHeading"/>
            </w:pPr>
            <w:r w:rsidRPr="00794159">
              <w:t>Vic</w:t>
            </w:r>
          </w:p>
        </w:tc>
        <w:tc>
          <w:tcPr>
            <w:tcW w:w="851" w:type="dxa"/>
            <w:tcBorders>
              <w:top w:val="single" w:sz="6" w:space="0" w:color="auto"/>
              <w:bottom w:val="single" w:sz="6" w:space="0" w:color="auto"/>
            </w:tcBorders>
            <w:shd w:val="clear" w:color="auto" w:fill="auto"/>
          </w:tcPr>
          <w:p w:rsidR="009B407D" w:rsidRPr="00794159" w:rsidRDefault="009B407D" w:rsidP="00AA68A5">
            <w:pPr>
              <w:pStyle w:val="TableColumnHeading"/>
            </w:pPr>
            <w:r w:rsidRPr="00794159">
              <w:t>Qld</w:t>
            </w:r>
          </w:p>
        </w:tc>
        <w:tc>
          <w:tcPr>
            <w:tcW w:w="850" w:type="dxa"/>
            <w:tcBorders>
              <w:top w:val="single" w:sz="6" w:space="0" w:color="auto"/>
              <w:bottom w:val="single" w:sz="6" w:space="0" w:color="auto"/>
            </w:tcBorders>
            <w:shd w:val="clear" w:color="auto" w:fill="auto"/>
          </w:tcPr>
          <w:p w:rsidR="009B407D" w:rsidRPr="00794159" w:rsidRDefault="009B407D" w:rsidP="00AA68A5">
            <w:pPr>
              <w:pStyle w:val="TableColumnHeading"/>
            </w:pPr>
            <w:r w:rsidRPr="00794159">
              <w:t>WA</w:t>
            </w:r>
          </w:p>
        </w:tc>
        <w:tc>
          <w:tcPr>
            <w:tcW w:w="851" w:type="dxa"/>
            <w:tcBorders>
              <w:top w:val="single" w:sz="6" w:space="0" w:color="auto"/>
              <w:bottom w:val="single" w:sz="6" w:space="0" w:color="auto"/>
            </w:tcBorders>
            <w:shd w:val="clear" w:color="auto" w:fill="auto"/>
          </w:tcPr>
          <w:p w:rsidR="009B407D" w:rsidRPr="00794159" w:rsidRDefault="009B407D" w:rsidP="00AA68A5">
            <w:pPr>
              <w:pStyle w:val="TableColumnHeading"/>
            </w:pPr>
            <w:r w:rsidRPr="00794159">
              <w:t>SA</w:t>
            </w:r>
          </w:p>
        </w:tc>
        <w:tc>
          <w:tcPr>
            <w:tcW w:w="850" w:type="dxa"/>
            <w:tcBorders>
              <w:top w:val="single" w:sz="6" w:space="0" w:color="auto"/>
              <w:bottom w:val="single" w:sz="6" w:space="0" w:color="auto"/>
            </w:tcBorders>
            <w:shd w:val="clear" w:color="auto" w:fill="auto"/>
          </w:tcPr>
          <w:p w:rsidR="009B407D" w:rsidRPr="00794159" w:rsidRDefault="009B407D" w:rsidP="00AA68A5">
            <w:pPr>
              <w:pStyle w:val="TableColumnHeading"/>
            </w:pPr>
            <w:r w:rsidRPr="00794159">
              <w:t>Tas</w:t>
            </w:r>
          </w:p>
        </w:tc>
        <w:tc>
          <w:tcPr>
            <w:tcW w:w="851" w:type="dxa"/>
            <w:tcBorders>
              <w:top w:val="single" w:sz="6" w:space="0" w:color="auto"/>
              <w:bottom w:val="single" w:sz="6" w:space="0" w:color="auto"/>
            </w:tcBorders>
            <w:shd w:val="clear" w:color="auto" w:fill="auto"/>
          </w:tcPr>
          <w:p w:rsidR="009B407D" w:rsidRPr="00794159" w:rsidRDefault="009B407D" w:rsidP="00AA68A5">
            <w:pPr>
              <w:pStyle w:val="TableColumnHeading"/>
            </w:pPr>
            <w:r w:rsidRPr="00794159">
              <w:t>ACT</w:t>
            </w:r>
          </w:p>
        </w:tc>
        <w:tc>
          <w:tcPr>
            <w:tcW w:w="708" w:type="dxa"/>
            <w:tcBorders>
              <w:top w:val="single" w:sz="6" w:space="0" w:color="auto"/>
              <w:bottom w:val="single" w:sz="6" w:space="0" w:color="auto"/>
            </w:tcBorders>
            <w:shd w:val="clear" w:color="auto" w:fill="auto"/>
          </w:tcPr>
          <w:p w:rsidR="009B407D" w:rsidRPr="00794159" w:rsidRDefault="009B407D" w:rsidP="00AA68A5">
            <w:pPr>
              <w:pStyle w:val="TableColumnHeading"/>
            </w:pPr>
            <w:r w:rsidRPr="00794159">
              <w:t>NT</w:t>
            </w:r>
          </w:p>
        </w:tc>
        <w:tc>
          <w:tcPr>
            <w:tcW w:w="851" w:type="dxa"/>
            <w:tcBorders>
              <w:top w:val="single" w:sz="6" w:space="0" w:color="auto"/>
              <w:bottom w:val="single" w:sz="6" w:space="0" w:color="auto"/>
            </w:tcBorders>
            <w:shd w:val="clear" w:color="auto" w:fill="auto"/>
          </w:tcPr>
          <w:p w:rsidR="009B407D" w:rsidRDefault="009B407D" w:rsidP="00AA68A5">
            <w:pPr>
              <w:pStyle w:val="TableColumnHeading"/>
              <w:ind w:right="28"/>
            </w:pPr>
            <w:r>
              <w:t>Aust</w:t>
            </w:r>
          </w:p>
        </w:tc>
      </w:tr>
      <w:tr w:rsidR="007B6247" w:rsidRPr="000C6925" w:rsidTr="0002130B">
        <w:tc>
          <w:tcPr>
            <w:tcW w:w="993" w:type="dxa"/>
            <w:vAlign w:val="bottom"/>
          </w:tcPr>
          <w:p w:rsidR="007B6247" w:rsidRPr="0002130B" w:rsidRDefault="007B6247" w:rsidP="009B407D">
            <w:pPr>
              <w:pStyle w:val="TableBodyText"/>
              <w:jc w:val="left"/>
            </w:pPr>
            <w:r w:rsidRPr="0002130B">
              <w:t>HACC</w:t>
            </w:r>
          </w:p>
        </w:tc>
        <w:tc>
          <w:tcPr>
            <w:tcW w:w="1134" w:type="dxa"/>
            <w:vAlign w:val="center"/>
          </w:tcPr>
          <w:p w:rsidR="007B6247" w:rsidRPr="0002130B" w:rsidRDefault="007B6247" w:rsidP="00AA68A5">
            <w:pPr>
              <w:pStyle w:val="TableBodyText"/>
              <w:rPr>
                <w:sz w:val="18"/>
                <w:szCs w:val="18"/>
              </w:rPr>
            </w:pPr>
            <w:bookmarkStart w:id="34" w:name="RANGE!G19"/>
            <w:r w:rsidRPr="0002130B">
              <w:rPr>
                <w:sz w:val="18"/>
                <w:szCs w:val="18"/>
              </w:rPr>
              <w:t xml:space="preserve"> 220 597</w:t>
            </w:r>
            <w:bookmarkEnd w:id="34"/>
          </w:p>
        </w:tc>
        <w:tc>
          <w:tcPr>
            <w:tcW w:w="850" w:type="dxa"/>
            <w:vAlign w:val="center"/>
          </w:tcPr>
          <w:p w:rsidR="007B6247" w:rsidRPr="0002130B" w:rsidRDefault="007B6247" w:rsidP="00AA68A5">
            <w:pPr>
              <w:pStyle w:val="TableBodyText"/>
              <w:rPr>
                <w:sz w:val="18"/>
                <w:szCs w:val="18"/>
              </w:rPr>
            </w:pPr>
            <w:bookmarkStart w:id="35" w:name="RANGE!H19"/>
            <w:r w:rsidRPr="0002130B">
              <w:rPr>
                <w:sz w:val="18"/>
                <w:szCs w:val="18"/>
              </w:rPr>
              <w:t xml:space="preserve"> 213 495</w:t>
            </w:r>
            <w:bookmarkEnd w:id="35"/>
          </w:p>
        </w:tc>
        <w:tc>
          <w:tcPr>
            <w:tcW w:w="851" w:type="dxa"/>
            <w:vAlign w:val="center"/>
          </w:tcPr>
          <w:p w:rsidR="007B6247" w:rsidRPr="0002130B" w:rsidRDefault="007B6247" w:rsidP="00AA68A5">
            <w:pPr>
              <w:pStyle w:val="TableBodyText"/>
              <w:rPr>
                <w:sz w:val="18"/>
                <w:szCs w:val="18"/>
              </w:rPr>
            </w:pPr>
            <w:bookmarkStart w:id="36" w:name="RANGE!I19"/>
            <w:r w:rsidRPr="0002130B">
              <w:rPr>
                <w:sz w:val="18"/>
                <w:szCs w:val="18"/>
              </w:rPr>
              <w:t xml:space="preserve"> 150 094</w:t>
            </w:r>
            <w:bookmarkEnd w:id="36"/>
          </w:p>
        </w:tc>
        <w:tc>
          <w:tcPr>
            <w:tcW w:w="850" w:type="dxa"/>
            <w:vAlign w:val="center"/>
          </w:tcPr>
          <w:p w:rsidR="007B6247" w:rsidRPr="0002130B" w:rsidRDefault="007B6247" w:rsidP="00AA68A5">
            <w:pPr>
              <w:pStyle w:val="TableBodyText"/>
              <w:rPr>
                <w:sz w:val="18"/>
                <w:szCs w:val="18"/>
              </w:rPr>
            </w:pPr>
            <w:bookmarkStart w:id="37" w:name="RANGE!J19"/>
            <w:r w:rsidRPr="0002130B">
              <w:rPr>
                <w:sz w:val="18"/>
                <w:szCs w:val="18"/>
              </w:rPr>
              <w:t xml:space="preserve"> 56 494</w:t>
            </w:r>
            <w:bookmarkEnd w:id="37"/>
          </w:p>
        </w:tc>
        <w:tc>
          <w:tcPr>
            <w:tcW w:w="851" w:type="dxa"/>
            <w:vAlign w:val="center"/>
          </w:tcPr>
          <w:p w:rsidR="007B6247" w:rsidRPr="0002130B" w:rsidRDefault="007B6247" w:rsidP="00AA68A5">
            <w:pPr>
              <w:pStyle w:val="TableBodyText"/>
              <w:rPr>
                <w:sz w:val="18"/>
                <w:szCs w:val="18"/>
              </w:rPr>
            </w:pPr>
            <w:bookmarkStart w:id="38" w:name="RANGE!K19"/>
            <w:r w:rsidRPr="0002130B">
              <w:rPr>
                <w:sz w:val="18"/>
                <w:szCs w:val="18"/>
              </w:rPr>
              <w:t xml:space="preserve"> 80 567</w:t>
            </w:r>
            <w:bookmarkEnd w:id="38"/>
          </w:p>
        </w:tc>
        <w:tc>
          <w:tcPr>
            <w:tcW w:w="850" w:type="dxa"/>
            <w:tcBorders>
              <w:left w:val="nil"/>
            </w:tcBorders>
            <w:vAlign w:val="center"/>
          </w:tcPr>
          <w:p w:rsidR="007B6247" w:rsidRPr="0002130B" w:rsidRDefault="007B6247" w:rsidP="00AA68A5">
            <w:pPr>
              <w:pStyle w:val="TableBodyText"/>
              <w:rPr>
                <w:sz w:val="18"/>
                <w:szCs w:val="18"/>
              </w:rPr>
            </w:pPr>
            <w:bookmarkStart w:id="39" w:name="RANGE!L19"/>
            <w:r w:rsidRPr="0002130B">
              <w:rPr>
                <w:sz w:val="18"/>
                <w:szCs w:val="18"/>
              </w:rPr>
              <w:t xml:space="preserve"> 23 090</w:t>
            </w:r>
            <w:bookmarkEnd w:id="39"/>
          </w:p>
        </w:tc>
        <w:tc>
          <w:tcPr>
            <w:tcW w:w="851" w:type="dxa"/>
            <w:vAlign w:val="center"/>
          </w:tcPr>
          <w:p w:rsidR="007B6247" w:rsidRPr="0002130B" w:rsidRDefault="007B6247" w:rsidP="00AA68A5">
            <w:pPr>
              <w:pStyle w:val="TableBodyText"/>
              <w:rPr>
                <w:sz w:val="18"/>
                <w:szCs w:val="18"/>
              </w:rPr>
            </w:pPr>
            <w:bookmarkStart w:id="40" w:name="RANGE!M19"/>
            <w:r w:rsidRPr="0002130B">
              <w:rPr>
                <w:sz w:val="18"/>
                <w:szCs w:val="18"/>
              </w:rPr>
              <w:t xml:space="preserve"> 10 187</w:t>
            </w:r>
            <w:bookmarkEnd w:id="40"/>
          </w:p>
        </w:tc>
        <w:tc>
          <w:tcPr>
            <w:tcW w:w="708" w:type="dxa"/>
            <w:vAlign w:val="center"/>
          </w:tcPr>
          <w:p w:rsidR="007B6247" w:rsidRPr="0002130B" w:rsidRDefault="007B6247" w:rsidP="00AA68A5">
            <w:pPr>
              <w:pStyle w:val="TableBodyText"/>
              <w:rPr>
                <w:sz w:val="18"/>
                <w:szCs w:val="18"/>
              </w:rPr>
            </w:pPr>
            <w:bookmarkStart w:id="41" w:name="RANGE!N19"/>
            <w:r w:rsidRPr="0002130B">
              <w:rPr>
                <w:sz w:val="18"/>
                <w:szCs w:val="18"/>
              </w:rPr>
              <w:t xml:space="preserve"> 1 624</w:t>
            </w:r>
            <w:bookmarkEnd w:id="41"/>
          </w:p>
        </w:tc>
        <w:tc>
          <w:tcPr>
            <w:tcW w:w="851" w:type="dxa"/>
            <w:vAlign w:val="center"/>
          </w:tcPr>
          <w:p w:rsidR="007B6247" w:rsidRPr="0002130B" w:rsidRDefault="007B6247" w:rsidP="00AA68A5">
            <w:pPr>
              <w:pStyle w:val="TableBodyText"/>
              <w:ind w:right="28"/>
              <w:rPr>
                <w:rFonts w:cs="Arial"/>
                <w:sz w:val="18"/>
                <w:szCs w:val="18"/>
              </w:rPr>
            </w:pPr>
            <w:bookmarkStart w:id="42" w:name="RANGE!O19"/>
            <w:r w:rsidRPr="0002130B">
              <w:rPr>
                <w:rFonts w:cs="Arial"/>
                <w:sz w:val="18"/>
                <w:szCs w:val="18"/>
              </w:rPr>
              <w:t xml:space="preserve"> </w:t>
            </w:r>
            <w:r w:rsidRPr="0002130B">
              <w:rPr>
                <w:sz w:val="18"/>
                <w:szCs w:val="18"/>
              </w:rPr>
              <w:t>756 148</w:t>
            </w:r>
            <w:bookmarkEnd w:id="42"/>
          </w:p>
        </w:tc>
      </w:tr>
      <w:tr w:rsidR="007B6247" w:rsidRPr="000C6925" w:rsidTr="0002130B">
        <w:tc>
          <w:tcPr>
            <w:tcW w:w="993" w:type="dxa"/>
            <w:vAlign w:val="bottom"/>
          </w:tcPr>
          <w:p w:rsidR="007B6247" w:rsidRPr="0002130B" w:rsidRDefault="007B6247" w:rsidP="009B407D">
            <w:pPr>
              <w:pStyle w:val="TableBodyText"/>
              <w:jc w:val="left"/>
            </w:pPr>
            <w:r w:rsidRPr="0002130B">
              <w:t>CACP</w:t>
            </w:r>
          </w:p>
        </w:tc>
        <w:tc>
          <w:tcPr>
            <w:tcW w:w="1134" w:type="dxa"/>
            <w:vAlign w:val="center"/>
          </w:tcPr>
          <w:p w:rsidR="007B6247" w:rsidRPr="0002130B" w:rsidRDefault="007B6247" w:rsidP="00AA68A5">
            <w:pPr>
              <w:pStyle w:val="TableBodyText"/>
              <w:rPr>
                <w:sz w:val="18"/>
                <w:szCs w:val="18"/>
              </w:rPr>
            </w:pPr>
            <w:bookmarkStart w:id="43" w:name="RANGE!G15"/>
            <w:r w:rsidRPr="0002130B">
              <w:rPr>
                <w:sz w:val="18"/>
                <w:szCs w:val="18"/>
              </w:rPr>
              <w:t xml:space="preserve"> 21 558</w:t>
            </w:r>
            <w:bookmarkEnd w:id="43"/>
          </w:p>
        </w:tc>
        <w:tc>
          <w:tcPr>
            <w:tcW w:w="850" w:type="dxa"/>
            <w:vAlign w:val="center"/>
          </w:tcPr>
          <w:p w:rsidR="007B6247" w:rsidRPr="0002130B" w:rsidRDefault="007B6247" w:rsidP="00AA68A5">
            <w:pPr>
              <w:pStyle w:val="TableBodyText"/>
              <w:rPr>
                <w:sz w:val="18"/>
                <w:szCs w:val="18"/>
              </w:rPr>
            </w:pPr>
            <w:bookmarkStart w:id="44" w:name="RANGE!H15"/>
            <w:r w:rsidRPr="0002130B">
              <w:rPr>
                <w:sz w:val="18"/>
                <w:szCs w:val="18"/>
              </w:rPr>
              <w:t xml:space="preserve"> 15 401</w:t>
            </w:r>
            <w:bookmarkEnd w:id="44"/>
          </w:p>
        </w:tc>
        <w:tc>
          <w:tcPr>
            <w:tcW w:w="851" w:type="dxa"/>
            <w:vAlign w:val="center"/>
          </w:tcPr>
          <w:p w:rsidR="007B6247" w:rsidRPr="0002130B" w:rsidRDefault="007B6247" w:rsidP="00AA68A5">
            <w:pPr>
              <w:pStyle w:val="TableBodyText"/>
              <w:rPr>
                <w:sz w:val="18"/>
                <w:szCs w:val="18"/>
              </w:rPr>
            </w:pPr>
            <w:bookmarkStart w:id="45" w:name="RANGE!I15"/>
            <w:r w:rsidRPr="0002130B">
              <w:rPr>
                <w:sz w:val="18"/>
                <w:szCs w:val="18"/>
              </w:rPr>
              <w:t xml:space="preserve"> 10 835</w:t>
            </w:r>
            <w:bookmarkEnd w:id="45"/>
          </w:p>
        </w:tc>
        <w:tc>
          <w:tcPr>
            <w:tcW w:w="850" w:type="dxa"/>
            <w:vAlign w:val="center"/>
          </w:tcPr>
          <w:p w:rsidR="007B6247" w:rsidRPr="0002130B" w:rsidRDefault="007B6247" w:rsidP="00AA68A5">
            <w:pPr>
              <w:pStyle w:val="TableBodyText"/>
              <w:rPr>
                <w:sz w:val="18"/>
                <w:szCs w:val="18"/>
              </w:rPr>
            </w:pPr>
            <w:bookmarkStart w:id="46" w:name="RANGE!J15"/>
            <w:r w:rsidRPr="0002130B">
              <w:rPr>
                <w:sz w:val="18"/>
                <w:szCs w:val="18"/>
              </w:rPr>
              <w:t xml:space="preserve"> 5 712</w:t>
            </w:r>
            <w:bookmarkEnd w:id="46"/>
          </w:p>
        </w:tc>
        <w:tc>
          <w:tcPr>
            <w:tcW w:w="851" w:type="dxa"/>
            <w:vAlign w:val="center"/>
          </w:tcPr>
          <w:p w:rsidR="007B6247" w:rsidRPr="0002130B" w:rsidRDefault="007B6247" w:rsidP="00AA68A5">
            <w:pPr>
              <w:pStyle w:val="TableBodyText"/>
              <w:rPr>
                <w:sz w:val="18"/>
                <w:szCs w:val="18"/>
              </w:rPr>
            </w:pPr>
            <w:bookmarkStart w:id="47" w:name="RANGE!K15"/>
            <w:r w:rsidRPr="0002130B">
              <w:rPr>
                <w:sz w:val="18"/>
                <w:szCs w:val="18"/>
              </w:rPr>
              <w:t xml:space="preserve"> 5 454</w:t>
            </w:r>
            <w:bookmarkEnd w:id="47"/>
          </w:p>
        </w:tc>
        <w:tc>
          <w:tcPr>
            <w:tcW w:w="850" w:type="dxa"/>
            <w:tcBorders>
              <w:left w:val="nil"/>
            </w:tcBorders>
            <w:vAlign w:val="center"/>
          </w:tcPr>
          <w:p w:rsidR="007B6247" w:rsidRPr="0002130B" w:rsidRDefault="007B6247" w:rsidP="00AA68A5">
            <w:pPr>
              <w:pStyle w:val="TableBodyText"/>
              <w:rPr>
                <w:sz w:val="18"/>
                <w:szCs w:val="18"/>
              </w:rPr>
            </w:pPr>
            <w:bookmarkStart w:id="48" w:name="RANGE!L15"/>
            <w:r w:rsidRPr="0002130B">
              <w:rPr>
                <w:sz w:val="18"/>
                <w:szCs w:val="18"/>
              </w:rPr>
              <w:t xml:space="preserve"> 1 558</w:t>
            </w:r>
            <w:bookmarkEnd w:id="48"/>
          </w:p>
        </w:tc>
        <w:tc>
          <w:tcPr>
            <w:tcW w:w="851" w:type="dxa"/>
            <w:vAlign w:val="center"/>
          </w:tcPr>
          <w:p w:rsidR="007B6247" w:rsidRPr="0002130B" w:rsidRDefault="00926F6B" w:rsidP="00AA68A5">
            <w:pPr>
              <w:pStyle w:val="TableBodyText"/>
              <w:rPr>
                <w:sz w:val="18"/>
                <w:szCs w:val="18"/>
              </w:rPr>
            </w:pPr>
            <w:bookmarkStart w:id="49" w:name="RANGE!M15"/>
            <w:r>
              <w:rPr>
                <w:sz w:val="18"/>
                <w:szCs w:val="18"/>
              </w:rPr>
              <w:t xml:space="preserve"> </w:t>
            </w:r>
            <w:r w:rsidR="007B6247" w:rsidRPr="0002130B">
              <w:rPr>
                <w:sz w:val="18"/>
                <w:szCs w:val="18"/>
              </w:rPr>
              <w:t>922</w:t>
            </w:r>
            <w:bookmarkEnd w:id="49"/>
          </w:p>
        </w:tc>
        <w:tc>
          <w:tcPr>
            <w:tcW w:w="708" w:type="dxa"/>
            <w:vAlign w:val="center"/>
          </w:tcPr>
          <w:p w:rsidR="007B6247" w:rsidRPr="0002130B" w:rsidRDefault="00926F6B" w:rsidP="00AA68A5">
            <w:pPr>
              <w:pStyle w:val="TableBodyText"/>
              <w:rPr>
                <w:sz w:val="18"/>
                <w:szCs w:val="18"/>
              </w:rPr>
            </w:pPr>
            <w:bookmarkStart w:id="50" w:name="RANGE!N15"/>
            <w:r>
              <w:rPr>
                <w:sz w:val="18"/>
                <w:szCs w:val="18"/>
              </w:rPr>
              <w:t xml:space="preserve"> </w:t>
            </w:r>
            <w:r w:rsidR="007B6247" w:rsidRPr="0002130B">
              <w:rPr>
                <w:sz w:val="18"/>
                <w:szCs w:val="18"/>
              </w:rPr>
              <w:t>844</w:t>
            </w:r>
            <w:bookmarkEnd w:id="50"/>
          </w:p>
        </w:tc>
        <w:tc>
          <w:tcPr>
            <w:tcW w:w="851" w:type="dxa"/>
            <w:vAlign w:val="center"/>
          </w:tcPr>
          <w:p w:rsidR="007B6247" w:rsidRPr="0002130B" w:rsidRDefault="007B6247" w:rsidP="00AA68A5">
            <w:pPr>
              <w:pStyle w:val="TableBodyText"/>
              <w:ind w:right="28"/>
              <w:rPr>
                <w:sz w:val="18"/>
                <w:szCs w:val="18"/>
              </w:rPr>
            </w:pPr>
            <w:bookmarkStart w:id="51" w:name="RANGE!O15"/>
            <w:r w:rsidRPr="0002130B">
              <w:rPr>
                <w:sz w:val="18"/>
                <w:szCs w:val="18"/>
              </w:rPr>
              <w:t xml:space="preserve"> 62 232</w:t>
            </w:r>
            <w:bookmarkEnd w:id="51"/>
          </w:p>
        </w:tc>
      </w:tr>
      <w:tr w:rsidR="007B6247" w:rsidTr="0002130B">
        <w:trPr>
          <w:trHeight w:val="250"/>
        </w:trPr>
        <w:tc>
          <w:tcPr>
            <w:tcW w:w="993" w:type="dxa"/>
            <w:vAlign w:val="bottom"/>
          </w:tcPr>
          <w:p w:rsidR="007B6247" w:rsidRPr="0002130B" w:rsidRDefault="007B6247" w:rsidP="009B407D">
            <w:pPr>
              <w:pStyle w:val="TableBodyText"/>
              <w:jc w:val="left"/>
            </w:pPr>
            <w:r w:rsidRPr="0002130B">
              <w:t>EACH</w:t>
            </w:r>
          </w:p>
        </w:tc>
        <w:tc>
          <w:tcPr>
            <w:tcW w:w="1134" w:type="dxa"/>
            <w:vAlign w:val="center"/>
          </w:tcPr>
          <w:p w:rsidR="007B6247" w:rsidRPr="0002130B" w:rsidRDefault="007B6247" w:rsidP="00AA68A5">
            <w:pPr>
              <w:pStyle w:val="TableBodyText"/>
              <w:rPr>
                <w:sz w:val="18"/>
                <w:szCs w:val="18"/>
              </w:rPr>
            </w:pPr>
            <w:bookmarkStart w:id="52" w:name="RANGE!G16"/>
            <w:r w:rsidRPr="0002130B">
              <w:rPr>
                <w:sz w:val="18"/>
                <w:szCs w:val="18"/>
              </w:rPr>
              <w:t xml:space="preserve"> 3 428</w:t>
            </w:r>
            <w:bookmarkEnd w:id="52"/>
          </w:p>
        </w:tc>
        <w:tc>
          <w:tcPr>
            <w:tcW w:w="850" w:type="dxa"/>
            <w:vAlign w:val="center"/>
          </w:tcPr>
          <w:p w:rsidR="007B6247" w:rsidRPr="0002130B" w:rsidRDefault="007B6247" w:rsidP="00AA68A5">
            <w:pPr>
              <w:pStyle w:val="TableBodyText"/>
              <w:rPr>
                <w:sz w:val="18"/>
                <w:szCs w:val="18"/>
              </w:rPr>
            </w:pPr>
            <w:bookmarkStart w:id="53" w:name="RANGE!H16"/>
            <w:r w:rsidRPr="0002130B">
              <w:rPr>
                <w:sz w:val="18"/>
                <w:szCs w:val="18"/>
              </w:rPr>
              <w:t xml:space="preserve"> 2 480</w:t>
            </w:r>
            <w:bookmarkEnd w:id="53"/>
          </w:p>
        </w:tc>
        <w:tc>
          <w:tcPr>
            <w:tcW w:w="851" w:type="dxa"/>
            <w:vAlign w:val="center"/>
          </w:tcPr>
          <w:p w:rsidR="007B6247" w:rsidRPr="0002130B" w:rsidRDefault="007B6247" w:rsidP="00AA68A5">
            <w:pPr>
              <w:pStyle w:val="TableBodyText"/>
              <w:rPr>
                <w:sz w:val="18"/>
                <w:szCs w:val="18"/>
              </w:rPr>
            </w:pPr>
            <w:bookmarkStart w:id="54" w:name="RANGE!I16"/>
            <w:r w:rsidRPr="0002130B">
              <w:rPr>
                <w:sz w:val="18"/>
                <w:szCs w:val="18"/>
              </w:rPr>
              <w:t xml:space="preserve"> 2 522</w:t>
            </w:r>
            <w:bookmarkEnd w:id="54"/>
          </w:p>
        </w:tc>
        <w:tc>
          <w:tcPr>
            <w:tcW w:w="850" w:type="dxa"/>
            <w:vAlign w:val="center"/>
          </w:tcPr>
          <w:p w:rsidR="007B6247" w:rsidRPr="0002130B" w:rsidRDefault="007B6247" w:rsidP="00AA68A5">
            <w:pPr>
              <w:pStyle w:val="TableBodyText"/>
              <w:rPr>
                <w:sz w:val="18"/>
                <w:szCs w:val="18"/>
              </w:rPr>
            </w:pPr>
            <w:bookmarkStart w:id="55" w:name="RANGE!J16"/>
            <w:r w:rsidRPr="0002130B">
              <w:rPr>
                <w:sz w:val="18"/>
                <w:szCs w:val="18"/>
              </w:rPr>
              <w:t xml:space="preserve"> 2 621</w:t>
            </w:r>
            <w:bookmarkEnd w:id="55"/>
          </w:p>
        </w:tc>
        <w:tc>
          <w:tcPr>
            <w:tcW w:w="851" w:type="dxa"/>
            <w:vAlign w:val="center"/>
          </w:tcPr>
          <w:p w:rsidR="007B6247" w:rsidRPr="0002130B" w:rsidRDefault="00926F6B" w:rsidP="00AA68A5">
            <w:pPr>
              <w:pStyle w:val="TableBodyText"/>
              <w:rPr>
                <w:sz w:val="18"/>
                <w:szCs w:val="18"/>
              </w:rPr>
            </w:pPr>
            <w:bookmarkStart w:id="56" w:name="RANGE!K16"/>
            <w:r>
              <w:rPr>
                <w:sz w:val="18"/>
                <w:szCs w:val="18"/>
              </w:rPr>
              <w:t xml:space="preserve"> </w:t>
            </w:r>
            <w:r w:rsidR="007B6247" w:rsidRPr="0002130B">
              <w:rPr>
                <w:sz w:val="18"/>
                <w:szCs w:val="18"/>
              </w:rPr>
              <w:t>664</w:t>
            </w:r>
            <w:bookmarkEnd w:id="56"/>
          </w:p>
        </w:tc>
        <w:tc>
          <w:tcPr>
            <w:tcW w:w="850" w:type="dxa"/>
            <w:vAlign w:val="center"/>
          </w:tcPr>
          <w:p w:rsidR="007B6247" w:rsidRPr="0002130B" w:rsidRDefault="00926F6B" w:rsidP="00AA68A5">
            <w:pPr>
              <w:pStyle w:val="TableBodyText"/>
              <w:rPr>
                <w:sz w:val="18"/>
                <w:szCs w:val="18"/>
              </w:rPr>
            </w:pPr>
            <w:bookmarkStart w:id="57" w:name="RANGE!L16"/>
            <w:r>
              <w:rPr>
                <w:sz w:val="18"/>
                <w:szCs w:val="18"/>
              </w:rPr>
              <w:t xml:space="preserve"> </w:t>
            </w:r>
            <w:r w:rsidR="007B6247" w:rsidRPr="0002130B">
              <w:rPr>
                <w:sz w:val="18"/>
                <w:szCs w:val="18"/>
              </w:rPr>
              <w:t>251</w:t>
            </w:r>
            <w:bookmarkEnd w:id="57"/>
          </w:p>
        </w:tc>
        <w:tc>
          <w:tcPr>
            <w:tcW w:w="851" w:type="dxa"/>
            <w:vAlign w:val="center"/>
          </w:tcPr>
          <w:p w:rsidR="007B6247" w:rsidRPr="0002130B" w:rsidRDefault="00926F6B" w:rsidP="00AA68A5">
            <w:pPr>
              <w:pStyle w:val="TableBodyText"/>
              <w:rPr>
                <w:sz w:val="18"/>
                <w:szCs w:val="18"/>
              </w:rPr>
            </w:pPr>
            <w:bookmarkStart w:id="58" w:name="RANGE!M16"/>
            <w:r>
              <w:rPr>
                <w:sz w:val="18"/>
                <w:szCs w:val="18"/>
              </w:rPr>
              <w:t xml:space="preserve"> </w:t>
            </w:r>
            <w:r w:rsidR="007B6247" w:rsidRPr="0002130B">
              <w:rPr>
                <w:sz w:val="18"/>
                <w:szCs w:val="18"/>
              </w:rPr>
              <w:t>446</w:t>
            </w:r>
            <w:bookmarkEnd w:id="58"/>
          </w:p>
        </w:tc>
        <w:tc>
          <w:tcPr>
            <w:tcW w:w="708" w:type="dxa"/>
            <w:vAlign w:val="center"/>
          </w:tcPr>
          <w:p w:rsidR="007B6247" w:rsidRPr="0002130B" w:rsidRDefault="00926F6B" w:rsidP="00AA68A5">
            <w:pPr>
              <w:pStyle w:val="TableBodyText"/>
              <w:rPr>
                <w:sz w:val="18"/>
                <w:szCs w:val="18"/>
              </w:rPr>
            </w:pPr>
            <w:bookmarkStart w:id="59" w:name="RANGE!N16"/>
            <w:r>
              <w:rPr>
                <w:sz w:val="18"/>
                <w:szCs w:val="18"/>
              </w:rPr>
              <w:t xml:space="preserve"> </w:t>
            </w:r>
            <w:r w:rsidR="007B6247" w:rsidRPr="0002130B">
              <w:rPr>
                <w:sz w:val="18"/>
                <w:szCs w:val="18"/>
              </w:rPr>
              <w:t>154</w:t>
            </w:r>
            <w:bookmarkEnd w:id="59"/>
          </w:p>
        </w:tc>
        <w:tc>
          <w:tcPr>
            <w:tcW w:w="851" w:type="dxa"/>
            <w:vAlign w:val="center"/>
          </w:tcPr>
          <w:p w:rsidR="007B6247" w:rsidRPr="0002130B" w:rsidRDefault="007B6247" w:rsidP="00AA68A5">
            <w:pPr>
              <w:pStyle w:val="TableBodyText"/>
              <w:ind w:right="28"/>
              <w:rPr>
                <w:sz w:val="18"/>
                <w:szCs w:val="18"/>
              </w:rPr>
            </w:pPr>
            <w:bookmarkStart w:id="60" w:name="RANGE!O16"/>
            <w:r w:rsidRPr="0002130B">
              <w:rPr>
                <w:sz w:val="18"/>
                <w:szCs w:val="18"/>
              </w:rPr>
              <w:t xml:space="preserve"> 12 558</w:t>
            </w:r>
            <w:bookmarkEnd w:id="60"/>
          </w:p>
        </w:tc>
      </w:tr>
      <w:tr w:rsidR="007B6247" w:rsidTr="0002130B">
        <w:trPr>
          <w:trHeight w:val="284"/>
        </w:trPr>
        <w:tc>
          <w:tcPr>
            <w:tcW w:w="993" w:type="dxa"/>
            <w:tcBorders>
              <w:bottom w:val="single" w:sz="6" w:space="0" w:color="auto"/>
            </w:tcBorders>
            <w:shd w:val="clear" w:color="auto" w:fill="auto"/>
            <w:vAlign w:val="bottom"/>
          </w:tcPr>
          <w:p w:rsidR="007B6247" w:rsidRPr="0002130B" w:rsidRDefault="007B6247" w:rsidP="009B407D">
            <w:pPr>
              <w:pStyle w:val="TableBodyText"/>
              <w:jc w:val="left"/>
            </w:pPr>
            <w:r w:rsidRPr="0002130B">
              <w:t>EACH</w:t>
            </w:r>
            <w:r w:rsidR="00AA68A5">
              <w:noBreakHyphen/>
            </w:r>
            <w:r w:rsidRPr="0002130B">
              <w:t>D</w:t>
            </w:r>
          </w:p>
        </w:tc>
        <w:tc>
          <w:tcPr>
            <w:tcW w:w="1134" w:type="dxa"/>
            <w:tcBorders>
              <w:bottom w:val="single" w:sz="4" w:space="0" w:color="auto"/>
            </w:tcBorders>
            <w:shd w:val="clear" w:color="auto" w:fill="auto"/>
            <w:vAlign w:val="center"/>
          </w:tcPr>
          <w:p w:rsidR="007B6247" w:rsidRPr="0002130B" w:rsidRDefault="007B6247" w:rsidP="00AA68A5">
            <w:pPr>
              <w:pStyle w:val="TableBodyText"/>
              <w:rPr>
                <w:sz w:val="18"/>
                <w:szCs w:val="18"/>
              </w:rPr>
            </w:pPr>
            <w:bookmarkStart w:id="61" w:name="RANGE!G17"/>
            <w:r w:rsidRPr="0002130B">
              <w:rPr>
                <w:sz w:val="18"/>
                <w:szCs w:val="18"/>
              </w:rPr>
              <w:t xml:space="preserve"> 1 554</w:t>
            </w:r>
            <w:bookmarkEnd w:id="61"/>
          </w:p>
        </w:tc>
        <w:tc>
          <w:tcPr>
            <w:tcW w:w="850" w:type="dxa"/>
            <w:tcBorders>
              <w:bottom w:val="single" w:sz="4" w:space="0" w:color="auto"/>
            </w:tcBorders>
            <w:shd w:val="clear" w:color="auto" w:fill="auto"/>
            <w:vAlign w:val="center"/>
          </w:tcPr>
          <w:p w:rsidR="007B6247" w:rsidRPr="0002130B" w:rsidRDefault="007B6247" w:rsidP="00AA68A5">
            <w:pPr>
              <w:pStyle w:val="TableBodyText"/>
              <w:rPr>
                <w:sz w:val="18"/>
                <w:szCs w:val="18"/>
              </w:rPr>
            </w:pPr>
            <w:bookmarkStart w:id="62" w:name="RANGE!H17"/>
            <w:r w:rsidRPr="0002130B">
              <w:rPr>
                <w:sz w:val="18"/>
                <w:szCs w:val="18"/>
              </w:rPr>
              <w:t xml:space="preserve"> 1 245</w:t>
            </w:r>
            <w:bookmarkEnd w:id="62"/>
          </w:p>
        </w:tc>
        <w:tc>
          <w:tcPr>
            <w:tcW w:w="851" w:type="dxa"/>
            <w:tcBorders>
              <w:bottom w:val="single" w:sz="4" w:space="0" w:color="auto"/>
            </w:tcBorders>
            <w:shd w:val="clear" w:color="auto" w:fill="auto"/>
            <w:vAlign w:val="center"/>
          </w:tcPr>
          <w:p w:rsidR="007B6247" w:rsidRPr="0002130B" w:rsidRDefault="007B6247" w:rsidP="00AA68A5">
            <w:pPr>
              <w:pStyle w:val="TableBodyText"/>
              <w:rPr>
                <w:sz w:val="18"/>
                <w:szCs w:val="18"/>
              </w:rPr>
            </w:pPr>
            <w:bookmarkStart w:id="63" w:name="RANGE!I17"/>
            <w:r w:rsidRPr="0002130B">
              <w:rPr>
                <w:sz w:val="18"/>
                <w:szCs w:val="18"/>
              </w:rPr>
              <w:t xml:space="preserve"> 1 508</w:t>
            </w:r>
            <w:bookmarkEnd w:id="63"/>
          </w:p>
        </w:tc>
        <w:tc>
          <w:tcPr>
            <w:tcW w:w="850" w:type="dxa"/>
            <w:tcBorders>
              <w:bottom w:val="single" w:sz="4" w:space="0" w:color="auto"/>
            </w:tcBorders>
            <w:shd w:val="clear" w:color="auto" w:fill="auto"/>
            <w:vAlign w:val="center"/>
          </w:tcPr>
          <w:p w:rsidR="007B6247" w:rsidRPr="0002130B" w:rsidRDefault="007B6247" w:rsidP="00AA68A5">
            <w:pPr>
              <w:pStyle w:val="TableBodyText"/>
              <w:rPr>
                <w:sz w:val="18"/>
                <w:szCs w:val="18"/>
              </w:rPr>
            </w:pPr>
            <w:bookmarkStart w:id="64" w:name="RANGE!J17"/>
            <w:r w:rsidRPr="0002130B">
              <w:rPr>
                <w:sz w:val="18"/>
                <w:szCs w:val="18"/>
              </w:rPr>
              <w:t xml:space="preserve"> 1 187</w:t>
            </w:r>
            <w:bookmarkEnd w:id="64"/>
          </w:p>
        </w:tc>
        <w:tc>
          <w:tcPr>
            <w:tcW w:w="851" w:type="dxa"/>
            <w:tcBorders>
              <w:bottom w:val="single" w:sz="4" w:space="0" w:color="auto"/>
            </w:tcBorders>
            <w:shd w:val="clear" w:color="auto" w:fill="auto"/>
            <w:vAlign w:val="center"/>
          </w:tcPr>
          <w:p w:rsidR="007B6247" w:rsidRPr="0002130B" w:rsidRDefault="00926F6B" w:rsidP="00AA68A5">
            <w:pPr>
              <w:pStyle w:val="TableBodyText"/>
              <w:rPr>
                <w:sz w:val="18"/>
                <w:szCs w:val="18"/>
              </w:rPr>
            </w:pPr>
            <w:bookmarkStart w:id="65" w:name="RANGE!K17"/>
            <w:r>
              <w:rPr>
                <w:sz w:val="18"/>
                <w:szCs w:val="18"/>
              </w:rPr>
              <w:t xml:space="preserve"> </w:t>
            </w:r>
            <w:r w:rsidR="007B6247" w:rsidRPr="0002130B">
              <w:rPr>
                <w:sz w:val="18"/>
                <w:szCs w:val="18"/>
              </w:rPr>
              <w:t>389</w:t>
            </w:r>
            <w:bookmarkEnd w:id="65"/>
          </w:p>
        </w:tc>
        <w:tc>
          <w:tcPr>
            <w:tcW w:w="850" w:type="dxa"/>
            <w:tcBorders>
              <w:bottom w:val="single" w:sz="4" w:space="0" w:color="auto"/>
            </w:tcBorders>
            <w:shd w:val="clear" w:color="auto" w:fill="auto"/>
            <w:vAlign w:val="center"/>
          </w:tcPr>
          <w:p w:rsidR="007B6247" w:rsidRPr="0002130B" w:rsidRDefault="00926F6B" w:rsidP="00AA68A5">
            <w:pPr>
              <w:pStyle w:val="TableBodyText"/>
              <w:rPr>
                <w:sz w:val="18"/>
                <w:szCs w:val="18"/>
              </w:rPr>
            </w:pPr>
            <w:bookmarkStart w:id="66" w:name="RANGE!L17"/>
            <w:r>
              <w:rPr>
                <w:sz w:val="18"/>
                <w:szCs w:val="18"/>
              </w:rPr>
              <w:t xml:space="preserve"> </w:t>
            </w:r>
            <w:r w:rsidR="007B6247" w:rsidRPr="0002130B">
              <w:rPr>
                <w:sz w:val="18"/>
                <w:szCs w:val="18"/>
              </w:rPr>
              <w:t>162</w:t>
            </w:r>
            <w:bookmarkEnd w:id="66"/>
          </w:p>
        </w:tc>
        <w:tc>
          <w:tcPr>
            <w:tcW w:w="851" w:type="dxa"/>
            <w:tcBorders>
              <w:bottom w:val="single" w:sz="4" w:space="0" w:color="auto"/>
            </w:tcBorders>
            <w:shd w:val="clear" w:color="auto" w:fill="auto"/>
            <w:vAlign w:val="center"/>
          </w:tcPr>
          <w:p w:rsidR="007B6247" w:rsidRPr="0002130B" w:rsidRDefault="00926F6B" w:rsidP="00AA68A5">
            <w:pPr>
              <w:pStyle w:val="TableBodyText"/>
              <w:rPr>
                <w:sz w:val="18"/>
                <w:szCs w:val="18"/>
              </w:rPr>
            </w:pPr>
            <w:bookmarkStart w:id="67" w:name="RANGE!M17"/>
            <w:r>
              <w:rPr>
                <w:sz w:val="18"/>
                <w:szCs w:val="18"/>
              </w:rPr>
              <w:t xml:space="preserve"> </w:t>
            </w:r>
            <w:r w:rsidR="007B6247" w:rsidRPr="0002130B">
              <w:rPr>
                <w:sz w:val="18"/>
                <w:szCs w:val="18"/>
              </w:rPr>
              <w:t>159</w:t>
            </w:r>
            <w:bookmarkEnd w:id="67"/>
          </w:p>
        </w:tc>
        <w:tc>
          <w:tcPr>
            <w:tcW w:w="708" w:type="dxa"/>
            <w:tcBorders>
              <w:bottom w:val="single" w:sz="4" w:space="0" w:color="auto"/>
            </w:tcBorders>
            <w:shd w:val="clear" w:color="auto" w:fill="auto"/>
            <w:vAlign w:val="center"/>
          </w:tcPr>
          <w:p w:rsidR="007B6247" w:rsidRPr="0002130B" w:rsidRDefault="00926F6B" w:rsidP="00AA68A5">
            <w:pPr>
              <w:pStyle w:val="TableBodyText"/>
              <w:rPr>
                <w:sz w:val="18"/>
                <w:szCs w:val="18"/>
              </w:rPr>
            </w:pPr>
            <w:bookmarkStart w:id="68" w:name="RANGE!N17"/>
            <w:r>
              <w:rPr>
                <w:sz w:val="18"/>
                <w:szCs w:val="18"/>
              </w:rPr>
              <w:t xml:space="preserve"> </w:t>
            </w:r>
            <w:r w:rsidR="007B6247" w:rsidRPr="0002130B">
              <w:rPr>
                <w:sz w:val="18"/>
                <w:szCs w:val="18"/>
              </w:rPr>
              <w:t>57</w:t>
            </w:r>
            <w:bookmarkEnd w:id="68"/>
          </w:p>
        </w:tc>
        <w:tc>
          <w:tcPr>
            <w:tcW w:w="851" w:type="dxa"/>
            <w:tcBorders>
              <w:bottom w:val="single" w:sz="4" w:space="0" w:color="auto"/>
            </w:tcBorders>
            <w:shd w:val="clear" w:color="auto" w:fill="auto"/>
            <w:vAlign w:val="center"/>
          </w:tcPr>
          <w:p w:rsidR="007B6247" w:rsidRPr="0002130B" w:rsidRDefault="007B6247" w:rsidP="00AA68A5">
            <w:pPr>
              <w:pStyle w:val="TableBodyText"/>
              <w:ind w:right="28"/>
              <w:rPr>
                <w:sz w:val="18"/>
                <w:szCs w:val="18"/>
              </w:rPr>
            </w:pPr>
            <w:bookmarkStart w:id="69" w:name="RANGE!O17"/>
            <w:r w:rsidRPr="0002130B">
              <w:rPr>
                <w:sz w:val="18"/>
                <w:szCs w:val="18"/>
              </w:rPr>
              <w:t xml:space="preserve"> 6 254</w:t>
            </w:r>
            <w:bookmarkEnd w:id="69"/>
          </w:p>
        </w:tc>
      </w:tr>
    </w:tbl>
    <w:p w:rsidR="000B2BA0" w:rsidRPr="002A1D93" w:rsidRDefault="000B2BA0" w:rsidP="0079479E">
      <w:pPr>
        <w:pStyle w:val="Source"/>
      </w:pPr>
      <w:r w:rsidRPr="002A1D93">
        <w:rPr>
          <w:i/>
        </w:rPr>
        <w:t>Source</w:t>
      </w:r>
      <w:r w:rsidRPr="002A1D93">
        <w:t xml:space="preserve">: </w:t>
      </w:r>
      <w:proofErr w:type="spellStart"/>
      <w:r w:rsidRPr="0079479E">
        <w:rPr>
          <w:shd w:val="clear" w:color="auto" w:fill="FFFFFF" w:themeFill="background1"/>
        </w:rPr>
        <w:t>D</w:t>
      </w:r>
      <w:r w:rsidR="00E46620" w:rsidRPr="0079479E">
        <w:rPr>
          <w:shd w:val="clear" w:color="auto" w:fill="FFFFFF" w:themeFill="background1"/>
        </w:rPr>
        <w:t>SS</w:t>
      </w:r>
      <w:proofErr w:type="spellEnd"/>
      <w:r w:rsidRPr="002A1D93">
        <w:t xml:space="preserve"> (unpublished); table</w:t>
      </w:r>
      <w:r w:rsidR="00AA68A5">
        <w:t> </w:t>
      </w:r>
      <w:proofErr w:type="spellStart"/>
      <w:r w:rsidRPr="002A1D93">
        <w:t>13A.4</w:t>
      </w:r>
      <w:proofErr w:type="spellEnd"/>
      <w:r w:rsidRPr="002A1D93">
        <w:t>.</w:t>
      </w:r>
    </w:p>
    <w:p w:rsidR="00D67136" w:rsidRPr="0094475F" w:rsidRDefault="0094475F" w:rsidP="0094475F">
      <w:pPr>
        <w:pStyle w:val="Heading5"/>
      </w:pPr>
      <w:r w:rsidRPr="0094475F">
        <w:t>Veterans</w:t>
      </w:r>
      <w:r w:rsidR="00AA68A5">
        <w:t>’</w:t>
      </w:r>
      <w:r w:rsidRPr="0094475F">
        <w:t xml:space="preserve"> Home Care and Community Nursing programs</w:t>
      </w:r>
    </w:p>
    <w:p w:rsidR="00056221" w:rsidRPr="00554BA0" w:rsidRDefault="00056221" w:rsidP="004A1145">
      <w:pPr>
        <w:pStyle w:val="BodyText"/>
      </w:pPr>
      <w:r>
        <w:t xml:space="preserve">The services of the VHC program target veterans and war widows/widowers with low care needs. There </w:t>
      </w:r>
      <w:r w:rsidRPr="00554BA0">
        <w:t>were</w:t>
      </w:r>
      <w:r w:rsidR="007B6247" w:rsidRPr="007B6247">
        <w:t xml:space="preserve"> 67</w:t>
      </w:r>
      <w:r w:rsidR="007B6247">
        <w:t> </w:t>
      </w:r>
      <w:r w:rsidR="007B6247" w:rsidRPr="007B6247">
        <w:t>471</w:t>
      </w:r>
      <w:r w:rsidRPr="00554BA0">
        <w:t xml:space="preserve"> people approved for VHC services in </w:t>
      </w:r>
      <w:r w:rsidR="00714EDC">
        <w:t>20</w:t>
      </w:r>
      <w:r w:rsidR="0074756F">
        <w:t>12</w:t>
      </w:r>
      <w:r w:rsidR="00AA68A5">
        <w:noBreakHyphen/>
      </w:r>
      <w:r w:rsidR="00714EDC">
        <w:t>1</w:t>
      </w:r>
      <w:r w:rsidR="0074756F">
        <w:t>3</w:t>
      </w:r>
      <w:r w:rsidRPr="00554BA0">
        <w:t xml:space="preserve"> </w:t>
      </w:r>
      <w:r>
        <w:br/>
      </w:r>
      <w:r w:rsidRPr="00554BA0">
        <w:t>(table</w:t>
      </w:r>
      <w:r w:rsidR="00AA68A5">
        <w:t> </w:t>
      </w:r>
      <w:proofErr w:type="spellStart"/>
      <w:r w:rsidRPr="00554BA0">
        <w:t>13A.</w:t>
      </w:r>
      <w:r>
        <w:t>13</w:t>
      </w:r>
      <w:proofErr w:type="spellEnd"/>
      <w:r w:rsidRPr="00554BA0">
        <w:t>)</w:t>
      </w:r>
      <w:r w:rsidR="00D37A2C" w:rsidRPr="004A1145">
        <w:rPr>
          <w:rStyle w:val="FootnoteReference"/>
        </w:rPr>
        <w:footnoteReference w:id="3"/>
      </w:r>
      <w:r w:rsidRPr="00554BA0">
        <w:t>. The program offers veterans and war widows/widowers who hold a Gold or White Repatriation Health Card home support services, including domestic assistance, personal care, home and garden maintenance, and respite care.</w:t>
      </w:r>
    </w:p>
    <w:p w:rsidR="00056221" w:rsidRDefault="00056221" w:rsidP="00056221">
      <w:pPr>
        <w:pStyle w:val="BodyText"/>
      </w:pPr>
      <w:r w:rsidRPr="00554BA0">
        <w:t xml:space="preserve">Eligibility for VHC services is not automatic, but based on assessed need. The average number of hours </w:t>
      </w:r>
      <w:r>
        <w:t>provided</w:t>
      </w:r>
      <w:r w:rsidRPr="00554BA0">
        <w:t xml:space="preserve"> per year for veterans who were eligible to receive home care services was </w:t>
      </w:r>
      <w:r w:rsidR="007B6247">
        <w:t>51</w:t>
      </w:r>
      <w:r w:rsidRPr="00554BA0">
        <w:t xml:space="preserve"> nationally</w:t>
      </w:r>
      <w:r>
        <w:t xml:space="preserve"> in </w:t>
      </w:r>
      <w:r w:rsidR="00714EDC">
        <w:t>201</w:t>
      </w:r>
      <w:r w:rsidR="0074756F">
        <w:t>2</w:t>
      </w:r>
      <w:r w:rsidR="00AA68A5">
        <w:noBreakHyphen/>
      </w:r>
      <w:r w:rsidR="00714EDC">
        <w:t>1</w:t>
      </w:r>
      <w:r w:rsidR="0074756F">
        <w:t>3</w:t>
      </w:r>
      <w:r>
        <w:t xml:space="preserve"> (figure</w:t>
      </w:r>
      <w:r w:rsidR="00AA68A5">
        <w:t> </w:t>
      </w:r>
      <w:r>
        <w:t>13.</w:t>
      </w:r>
      <w:r w:rsidR="00784140">
        <w:t>7</w:t>
      </w:r>
      <w:r>
        <w:t>).</w:t>
      </w:r>
    </w:p>
    <w:p w:rsidR="00E0056E" w:rsidRPr="00E0056E" w:rsidRDefault="00E0056E" w:rsidP="00E0056E">
      <w:pPr>
        <w:pStyle w:val="BodyText"/>
      </w:pPr>
      <w:r w:rsidRPr="008C79A3">
        <w:t xml:space="preserve">The </w:t>
      </w:r>
      <w:r>
        <w:t>DVA</w:t>
      </w:r>
      <w:r w:rsidRPr="008C79A3">
        <w:t xml:space="preserve"> also provides community nursing services to veterans and war widows/widowers. </w:t>
      </w:r>
      <w:r>
        <w:t>These</w:t>
      </w:r>
      <w:r w:rsidRPr="008C79A3">
        <w:t xml:space="preserve"> services include acute/post</w:t>
      </w:r>
      <w:r w:rsidR="00AA68A5">
        <w:noBreakHyphen/>
      </w:r>
      <w:r w:rsidRPr="008C79A3">
        <w:t xml:space="preserve">acute support and </w:t>
      </w:r>
      <w:r w:rsidRPr="008C79A3">
        <w:lastRenderedPageBreak/>
        <w:t xml:space="preserve">maintenance, personal care, medication management and palliative care. In </w:t>
      </w:r>
      <w:r>
        <w:br/>
        <w:t>201</w:t>
      </w:r>
      <w:r w:rsidR="0074756F">
        <w:t>2</w:t>
      </w:r>
      <w:r w:rsidR="00AA68A5">
        <w:noBreakHyphen/>
      </w:r>
      <w:r>
        <w:t>1</w:t>
      </w:r>
      <w:r w:rsidR="0074756F">
        <w:t>3</w:t>
      </w:r>
      <w:r w:rsidRPr="007E2579">
        <w:t xml:space="preserve">, </w:t>
      </w:r>
      <w:r w:rsidR="00767525">
        <w:t>28</w:t>
      </w:r>
      <w:r w:rsidR="00767525" w:rsidRPr="007E2579">
        <w:t> </w:t>
      </w:r>
      <w:r w:rsidR="00767525">
        <w:t>585</w:t>
      </w:r>
      <w:r w:rsidRPr="007E2579">
        <w:t> veterans receive</w:t>
      </w:r>
      <w:r>
        <w:t>d these services (table</w:t>
      </w:r>
      <w:r w:rsidR="00AA68A5">
        <w:t> </w:t>
      </w:r>
      <w:proofErr w:type="spellStart"/>
      <w:r>
        <w:t>13A.13</w:t>
      </w:r>
      <w:proofErr w:type="spellEnd"/>
      <w:r>
        <w:t>)</w:t>
      </w:r>
      <w:r w:rsidRPr="007E2579">
        <w:t xml:space="preserve"> and the average number of hours pr</w:t>
      </w:r>
      <w:r>
        <w:t>ovided</w:t>
      </w:r>
      <w:r w:rsidRPr="00554BA0">
        <w:t xml:space="preserve"> for each recipient was </w:t>
      </w:r>
      <w:r w:rsidR="004A1145">
        <w:t>8.</w:t>
      </w:r>
      <w:r w:rsidR="00767525">
        <w:t>9</w:t>
      </w:r>
      <w:r w:rsidRPr="007E2579">
        <w:t xml:space="preserve"> </w:t>
      </w:r>
      <w:r>
        <w:t>per 28 day period</w:t>
      </w:r>
      <w:r w:rsidRPr="008C79A3">
        <w:t xml:space="preserve"> </w:t>
      </w:r>
      <w:r>
        <w:br/>
      </w:r>
      <w:r w:rsidRPr="008C79A3">
        <w:t>(</w:t>
      </w:r>
      <w:r w:rsidR="0074756F">
        <w:t>table</w:t>
      </w:r>
      <w:r w:rsidR="00AA68A5">
        <w:t> </w:t>
      </w:r>
      <w:proofErr w:type="spellStart"/>
      <w:r w:rsidR="0074756F">
        <w:t>13A.13</w:t>
      </w:r>
      <w:proofErr w:type="spellEnd"/>
      <w:r>
        <w:t xml:space="preserve">). </w:t>
      </w:r>
    </w:p>
    <w:p w:rsidR="00056221" w:rsidRPr="00B16FD4" w:rsidRDefault="00056221" w:rsidP="00E76DB9">
      <w:pPr>
        <w:pStyle w:val="FigureTitle"/>
        <w:rPr>
          <w:sz w:val="24"/>
        </w:rPr>
      </w:pPr>
      <w:r w:rsidRPr="00B16FD4">
        <w:rPr>
          <w:b w:val="0"/>
          <w:sz w:val="24"/>
        </w:rPr>
        <w:t xml:space="preserve">Figure </w:t>
      </w:r>
      <w:r w:rsidR="00BC7F6B" w:rsidRPr="00B16FD4">
        <w:rPr>
          <w:b w:val="0"/>
          <w:sz w:val="24"/>
        </w:rPr>
        <w:t>13.</w:t>
      </w:r>
      <w:r w:rsidR="00E4728C">
        <w:rPr>
          <w:b w:val="0"/>
          <w:noProof/>
          <w:sz w:val="24"/>
        </w:rPr>
        <w:t>7</w:t>
      </w:r>
      <w:r w:rsidRPr="00B16FD4">
        <w:rPr>
          <w:sz w:val="24"/>
        </w:rPr>
        <w:tab/>
        <w:t xml:space="preserve">Average number of hours approved for Veterans’ Home Care, </w:t>
      </w:r>
      <w:r w:rsidR="00714EDC" w:rsidRPr="00B16FD4">
        <w:rPr>
          <w:sz w:val="24"/>
        </w:rPr>
        <w:t>20</w:t>
      </w:r>
      <w:r w:rsidR="00624E90">
        <w:rPr>
          <w:sz w:val="24"/>
        </w:rPr>
        <w:t>12</w:t>
      </w:r>
      <w:r w:rsidR="00AA68A5">
        <w:rPr>
          <w:sz w:val="24"/>
        </w:rPr>
        <w:noBreakHyphen/>
      </w:r>
      <w:r w:rsidR="00714EDC" w:rsidRPr="00B16FD4">
        <w:rPr>
          <w:sz w:val="24"/>
        </w:rPr>
        <w:t>1</w:t>
      </w:r>
      <w:r w:rsidR="00624E90">
        <w:rPr>
          <w:sz w:val="24"/>
        </w:rPr>
        <w:t>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56221" w:rsidTr="00056221">
        <w:tc>
          <w:tcPr>
            <w:tcW w:w="8777" w:type="dxa"/>
          </w:tcPr>
          <w:p w:rsidR="00232CB9" w:rsidRPr="00314BF2" w:rsidRDefault="008018D4" w:rsidP="00314BF2">
            <w:pPr>
              <w:pStyle w:val="Figure"/>
            </w:pPr>
            <w:r>
              <w:rPr>
                <w:noProof/>
              </w:rPr>
              <w:drawing>
                <wp:inline distT="0" distB="0" distL="0" distR="0">
                  <wp:extent cx="5391150" cy="2686050"/>
                  <wp:effectExtent l="0" t="0" r="0" b="0"/>
                  <wp:docPr id="8" name="Picture 8" descr="Figure 13.7 Average number of hours approved for Veterans’ Home Care, 2012 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056221" w:rsidRDefault="00056221" w:rsidP="00056221">
      <w:pPr>
        <w:pStyle w:val="Source"/>
      </w:pPr>
      <w:r>
        <w:rPr>
          <w:i/>
        </w:rPr>
        <w:t>Source</w:t>
      </w:r>
      <w:r w:rsidRPr="005454D6">
        <w:t>:</w:t>
      </w:r>
      <w:r>
        <w:t xml:space="preserve"> </w:t>
      </w:r>
      <w:proofErr w:type="spellStart"/>
      <w:r>
        <w:t>DVA</w:t>
      </w:r>
      <w:proofErr w:type="spellEnd"/>
      <w:r>
        <w:t xml:space="preserve"> (unpublished); table</w:t>
      </w:r>
      <w:r w:rsidR="00AA68A5">
        <w:t> </w:t>
      </w:r>
      <w:proofErr w:type="spellStart"/>
      <w:r>
        <w:t>13A.13</w:t>
      </w:r>
      <w:proofErr w:type="spellEnd"/>
      <w:r>
        <w:t>.</w:t>
      </w:r>
    </w:p>
    <w:p w:rsidR="00056221" w:rsidRDefault="00056221" w:rsidP="00056221">
      <w:pPr>
        <w:pStyle w:val="Heading4"/>
      </w:pPr>
      <w:r>
        <w:t>Services provided in mixed delivery setting</w:t>
      </w:r>
    </w:p>
    <w:p w:rsidR="00056221" w:rsidRDefault="00056221" w:rsidP="00F2055D">
      <w:pPr>
        <w:pStyle w:val="BodyText"/>
        <w:shd w:val="clear" w:color="auto" w:fill="FFFFFF" w:themeFill="background1"/>
      </w:pPr>
      <w:r>
        <w:t>Information on the size/scope of a selection of the programs delivering services in mixed delivery settings is outlined below:</w:t>
      </w:r>
    </w:p>
    <w:p w:rsidR="00056221" w:rsidRDefault="00056221" w:rsidP="0079479E">
      <w:pPr>
        <w:pStyle w:val="ListBullet"/>
        <w:shd w:val="clear" w:color="auto" w:fill="FFFFFF" w:themeFill="background1"/>
      </w:pPr>
      <w:r w:rsidRPr="003E6D28">
        <w:t>At 30</w:t>
      </w:r>
      <w:r w:rsidR="00AA68A5">
        <w:t> </w:t>
      </w:r>
      <w:r w:rsidR="00714EDC">
        <w:t xml:space="preserve">June </w:t>
      </w:r>
      <w:r w:rsidR="00332830">
        <w:t>2013</w:t>
      </w:r>
      <w:r w:rsidRPr="003F5170">
        <w:t>, the Australian Government had allocated</w:t>
      </w:r>
      <w:r w:rsidR="00790243">
        <w:t xml:space="preserve"> </w:t>
      </w:r>
      <w:r w:rsidR="00767525">
        <w:t>4000</w:t>
      </w:r>
      <w:r w:rsidR="00332830">
        <w:t xml:space="preserve"> </w:t>
      </w:r>
      <w:r w:rsidR="00DB2082">
        <w:t>places to transition care, all of which</w:t>
      </w:r>
      <w:r w:rsidRPr="003F5170">
        <w:t xml:space="preserve"> were operational, </w:t>
      </w:r>
      <w:r w:rsidR="00DB2082">
        <w:t xml:space="preserve">across </w:t>
      </w:r>
      <w:r w:rsidR="00767525">
        <w:t>93</w:t>
      </w:r>
      <w:r w:rsidR="00332830" w:rsidRPr="00182F1B">
        <w:t xml:space="preserve"> </w:t>
      </w:r>
      <w:r w:rsidRPr="00182F1B">
        <w:t xml:space="preserve">services </w:t>
      </w:r>
      <w:r w:rsidR="00D57A73">
        <w:t>nationally</w:t>
      </w:r>
      <w:r w:rsidRPr="00182F1B">
        <w:t>. The average length of stay in</w:t>
      </w:r>
      <w:r w:rsidR="00D650E7">
        <w:t xml:space="preserve"> </w:t>
      </w:r>
      <w:r w:rsidR="00332830">
        <w:t>2012</w:t>
      </w:r>
      <w:r w:rsidR="00AA68A5">
        <w:noBreakHyphen/>
      </w:r>
      <w:r w:rsidR="00332830">
        <w:t>13</w:t>
      </w:r>
      <w:r w:rsidR="00332830" w:rsidRPr="00182F1B">
        <w:t xml:space="preserve"> </w:t>
      </w:r>
      <w:r w:rsidRPr="00182F1B">
        <w:t>w</w:t>
      </w:r>
      <w:r w:rsidRPr="003F5170">
        <w:t xml:space="preserve">as </w:t>
      </w:r>
      <w:r w:rsidR="00767525" w:rsidRPr="00F2055D">
        <w:rPr>
          <w:shd w:val="clear" w:color="auto" w:fill="FFFFFF" w:themeFill="background1"/>
        </w:rPr>
        <w:t>61</w:t>
      </w:r>
      <w:r w:rsidRPr="00F2055D">
        <w:rPr>
          <w:shd w:val="clear" w:color="auto" w:fill="FFFFFF" w:themeFill="background1"/>
        </w:rPr>
        <w:t xml:space="preserve"> days </w:t>
      </w:r>
      <w:r w:rsidR="00177803" w:rsidRPr="00F2055D">
        <w:rPr>
          <w:shd w:val="clear" w:color="auto" w:fill="FFFFFF" w:themeFill="background1"/>
        </w:rPr>
        <w:t>(8</w:t>
      </w:r>
      <w:r w:rsidR="00AA68A5">
        <w:rPr>
          <w:shd w:val="clear" w:color="auto" w:fill="FFFFFF" w:themeFill="background1"/>
        </w:rPr>
        <w:noBreakHyphen/>
      </w:r>
      <w:r w:rsidR="00177803" w:rsidRPr="00F2055D">
        <w:rPr>
          <w:shd w:val="clear" w:color="auto" w:fill="FFFFFF" w:themeFill="background1"/>
        </w:rPr>
        <w:t>9 weeks)</w:t>
      </w:r>
      <w:r w:rsidR="00177803">
        <w:t xml:space="preserve"> </w:t>
      </w:r>
      <w:r w:rsidRPr="003E6D28">
        <w:t xml:space="preserve">nationally </w:t>
      </w:r>
      <w:r w:rsidR="007F4AE8">
        <w:t xml:space="preserve">for completed episodes </w:t>
      </w:r>
      <w:r w:rsidRPr="003E6D28">
        <w:t>(table</w:t>
      </w:r>
      <w:r w:rsidR="00AA68A5">
        <w:t> </w:t>
      </w:r>
      <w:proofErr w:type="spellStart"/>
      <w:r w:rsidRPr="003E6D28">
        <w:t>13A.</w:t>
      </w:r>
      <w:r w:rsidR="00767525">
        <w:t>90</w:t>
      </w:r>
      <w:proofErr w:type="spellEnd"/>
      <w:r w:rsidRPr="003E6D28">
        <w:t>).</w:t>
      </w:r>
      <w:r w:rsidRPr="0020732C">
        <w:t xml:space="preserve"> </w:t>
      </w:r>
    </w:p>
    <w:p w:rsidR="00DD09B5" w:rsidRDefault="00DD09B5" w:rsidP="0079479E">
      <w:pPr>
        <w:pStyle w:val="ListBullet"/>
        <w:shd w:val="clear" w:color="auto" w:fill="FFFFFF" w:themeFill="background1"/>
      </w:pPr>
      <w:bookmarkStart w:id="70" w:name="OLE_LINK54"/>
      <w:bookmarkStart w:id="71" w:name="OLE_LINK55"/>
      <w:r>
        <w:t>At 30</w:t>
      </w:r>
      <w:r w:rsidR="00AA68A5">
        <w:t> </w:t>
      </w:r>
      <w:r>
        <w:t xml:space="preserve">June </w:t>
      </w:r>
      <w:r w:rsidR="00332830">
        <w:t>2013</w:t>
      </w:r>
      <w:r>
        <w:t xml:space="preserve">, there were </w:t>
      </w:r>
      <w:r w:rsidR="00177803">
        <w:t>143</w:t>
      </w:r>
      <w:r>
        <w:t xml:space="preserve"> operational </w:t>
      </w:r>
      <w:r w:rsidRPr="00F2055D">
        <w:rPr>
          <w:shd w:val="clear" w:color="auto" w:fill="FFFFFF" w:themeFill="background1"/>
        </w:rPr>
        <w:t xml:space="preserve">MPS </w:t>
      </w:r>
      <w:r w:rsidR="00177803" w:rsidRPr="00F2055D">
        <w:rPr>
          <w:shd w:val="clear" w:color="auto" w:fill="FFFFFF" w:themeFill="background1"/>
        </w:rPr>
        <w:t>program</w:t>
      </w:r>
      <w:r w:rsidR="00177803">
        <w:t xml:space="preserve"> </w:t>
      </w:r>
      <w:r>
        <w:t xml:space="preserve">services with a total of </w:t>
      </w:r>
      <w:r w:rsidR="00177803">
        <w:t>3483</w:t>
      </w:r>
      <w:r>
        <w:t xml:space="preserve"> operational flexible aged care places</w:t>
      </w:r>
      <w:r w:rsidR="00767525">
        <w:t xml:space="preserve"> </w:t>
      </w:r>
      <w:r w:rsidR="00177803">
        <w:t>(includes residential and community places)</w:t>
      </w:r>
      <w:r>
        <w:t xml:space="preserve">. Some of the </w:t>
      </w:r>
      <w:r w:rsidRPr="00F2055D">
        <w:rPr>
          <w:shd w:val="clear" w:color="auto" w:fill="FFFFFF" w:themeFill="background1"/>
        </w:rPr>
        <w:t xml:space="preserve">MPS </w:t>
      </w:r>
      <w:r w:rsidR="00177803" w:rsidRPr="00F2055D">
        <w:rPr>
          <w:shd w:val="clear" w:color="auto" w:fill="FFFFFF" w:themeFill="background1"/>
        </w:rPr>
        <w:t>providers</w:t>
      </w:r>
      <w:r>
        <w:t xml:space="preserve"> serve more than one location (</w:t>
      </w:r>
      <w:r w:rsidR="00177803">
        <w:t>DSS 2013)</w:t>
      </w:r>
      <w:r>
        <w:t xml:space="preserve">. </w:t>
      </w:r>
    </w:p>
    <w:p w:rsidR="00DD09B5" w:rsidRDefault="00DD09B5" w:rsidP="0079479E">
      <w:pPr>
        <w:pStyle w:val="ListBullet"/>
        <w:shd w:val="clear" w:color="auto" w:fill="FFFFFF" w:themeFill="background1"/>
      </w:pPr>
      <w:r>
        <w:t>At 30</w:t>
      </w:r>
      <w:r w:rsidR="00AA68A5">
        <w:t> </w:t>
      </w:r>
      <w:r>
        <w:t xml:space="preserve">June </w:t>
      </w:r>
      <w:r w:rsidR="00332830">
        <w:t>2013</w:t>
      </w:r>
      <w:r>
        <w:t xml:space="preserve">, there were </w:t>
      </w:r>
      <w:r w:rsidR="007F5120">
        <w:t>29</w:t>
      </w:r>
      <w:r>
        <w:t xml:space="preserve"> aged care services funded to deliver </w:t>
      </w:r>
      <w:r w:rsidR="007D678A">
        <w:t>679</w:t>
      </w:r>
      <w:r>
        <w:t xml:space="preserve"> flexible aged care places under the </w:t>
      </w:r>
      <w:r w:rsidR="005F7FAB">
        <w:t>National Aboriginal and Torres Strait Islander Flexible Aged Care Program</w:t>
      </w:r>
      <w:r>
        <w:t xml:space="preserve"> (</w:t>
      </w:r>
      <w:r w:rsidRPr="00F2055D">
        <w:rPr>
          <w:shd w:val="clear" w:color="auto" w:fill="FFFFFF" w:themeFill="background1"/>
        </w:rPr>
        <w:t>D</w:t>
      </w:r>
      <w:r w:rsidR="00E46620" w:rsidRPr="00F2055D">
        <w:rPr>
          <w:shd w:val="clear" w:color="auto" w:fill="FFFFFF" w:themeFill="background1"/>
        </w:rPr>
        <w:t>SS</w:t>
      </w:r>
      <w:r w:rsidRPr="00F2055D">
        <w:rPr>
          <w:shd w:val="clear" w:color="auto" w:fill="FFFFFF" w:themeFill="background1"/>
        </w:rPr>
        <w:t xml:space="preserve"> </w:t>
      </w:r>
      <w:r>
        <w:t xml:space="preserve">unpublished). </w:t>
      </w:r>
    </w:p>
    <w:p w:rsidR="00332830" w:rsidRPr="000500AC" w:rsidRDefault="00332830" w:rsidP="0079479E">
      <w:pPr>
        <w:pStyle w:val="ListBullet"/>
        <w:shd w:val="clear" w:color="auto" w:fill="FFFFFF" w:themeFill="background1"/>
      </w:pPr>
      <w:r w:rsidRPr="009F1C7E">
        <w:lastRenderedPageBreak/>
        <w:t>In 201</w:t>
      </w:r>
      <w:r>
        <w:t>2</w:t>
      </w:r>
      <w:r w:rsidR="00AA68A5">
        <w:noBreakHyphen/>
      </w:r>
      <w:r w:rsidRPr="009F1C7E">
        <w:t>1</w:t>
      </w:r>
      <w:r>
        <w:t>3</w:t>
      </w:r>
      <w:r w:rsidRPr="009F1C7E">
        <w:t xml:space="preserve">, </w:t>
      </w:r>
      <w:r w:rsidR="00A21C69" w:rsidRPr="00F2055D">
        <w:rPr>
          <w:shd w:val="clear" w:color="auto" w:fill="FFFFFF" w:themeFill="background1"/>
        </w:rPr>
        <w:t>48 266</w:t>
      </w:r>
      <w:r w:rsidR="000500AC" w:rsidRPr="00F2055D">
        <w:rPr>
          <w:shd w:val="clear" w:color="auto" w:fill="FFFFFF" w:themeFill="background1"/>
        </w:rPr>
        <w:t xml:space="preserve"> people</w:t>
      </w:r>
      <w:r w:rsidR="000500AC">
        <w:t xml:space="preserve"> received Day Therapy Centre Program services from </w:t>
      </w:r>
      <w:r w:rsidR="000500AC">
        <w:br/>
      </w:r>
      <w:r w:rsidR="00A21C69" w:rsidRPr="00F2055D">
        <w:rPr>
          <w:shd w:val="clear" w:color="auto" w:fill="FFFFFF" w:themeFill="background1"/>
        </w:rPr>
        <w:t>150</w:t>
      </w:r>
      <w:r w:rsidR="000500AC" w:rsidRPr="00F2055D">
        <w:rPr>
          <w:shd w:val="clear" w:color="auto" w:fill="FFFFFF" w:themeFill="background1"/>
        </w:rPr>
        <w:t xml:space="preserve"> </w:t>
      </w:r>
      <w:r w:rsidR="00FC052A">
        <w:t>service outlets</w:t>
      </w:r>
      <w:r w:rsidR="000500AC">
        <w:t xml:space="preserve"> </w:t>
      </w:r>
      <w:r w:rsidR="00767525">
        <w:t>(table</w:t>
      </w:r>
      <w:r w:rsidR="00AA68A5">
        <w:t> </w:t>
      </w:r>
      <w:proofErr w:type="spellStart"/>
      <w:r w:rsidR="00767525">
        <w:t>13A.15</w:t>
      </w:r>
      <w:proofErr w:type="spellEnd"/>
      <w:r w:rsidR="00B56EFA" w:rsidRPr="00B56EFA">
        <w:t xml:space="preserve"> </w:t>
      </w:r>
      <w:r w:rsidR="00B56EFA">
        <w:t xml:space="preserve">and </w:t>
      </w:r>
      <w:proofErr w:type="spellStart"/>
      <w:r w:rsidR="00B56EFA">
        <w:t>DSS</w:t>
      </w:r>
      <w:proofErr w:type="spellEnd"/>
      <w:r w:rsidR="00B56EFA">
        <w:t xml:space="preserve"> unpublished</w:t>
      </w:r>
      <w:r w:rsidR="00767525" w:rsidRPr="000500AC">
        <w:t>)</w:t>
      </w:r>
      <w:r w:rsidRPr="000500AC">
        <w:t>.</w:t>
      </w:r>
      <w:r w:rsidR="000500AC" w:rsidRPr="000500AC">
        <w:t xml:space="preserve"> </w:t>
      </w:r>
    </w:p>
    <w:p w:rsidR="00DD09B5" w:rsidRDefault="00DD09B5" w:rsidP="0079479E">
      <w:pPr>
        <w:pStyle w:val="ListBullet"/>
      </w:pPr>
      <w:r>
        <w:t>During 201</w:t>
      </w:r>
      <w:r w:rsidR="00767525">
        <w:t>2</w:t>
      </w:r>
      <w:r w:rsidR="00AA68A5">
        <w:noBreakHyphen/>
      </w:r>
      <w:r>
        <w:t>1</w:t>
      </w:r>
      <w:r w:rsidR="00767525">
        <w:t>3</w:t>
      </w:r>
      <w:r>
        <w:t xml:space="preserve">, </w:t>
      </w:r>
      <w:r w:rsidR="00767525">
        <w:t>111 642</w:t>
      </w:r>
      <w:r>
        <w:t xml:space="preserve"> people were assisted through the Continence Aids Payment Scheme (</w:t>
      </w:r>
      <w:r w:rsidR="00767525">
        <w:t>table</w:t>
      </w:r>
      <w:r w:rsidR="00AA68A5">
        <w:t> </w:t>
      </w:r>
      <w:proofErr w:type="spellStart"/>
      <w:r w:rsidR="00767525">
        <w:t>13A.15</w:t>
      </w:r>
      <w:proofErr w:type="spellEnd"/>
      <w:r>
        <w:t xml:space="preserve">). </w:t>
      </w:r>
    </w:p>
    <w:p w:rsidR="0088002B" w:rsidRDefault="00C82353" w:rsidP="00440C74">
      <w:pPr>
        <w:pStyle w:val="Heading2"/>
        <w:keepLines/>
      </w:pPr>
      <w:bookmarkStart w:id="72" w:name="_Toc274671836"/>
      <w:bookmarkStart w:id="73" w:name="_Toc370803126"/>
      <w:bookmarkStart w:id="74" w:name="_Toc274671081"/>
      <w:bookmarkStart w:id="75" w:name="_Toc274671154"/>
      <w:bookmarkStart w:id="76" w:name="_Toc274671266"/>
      <w:bookmarkStart w:id="77" w:name="_Toc274671350"/>
      <w:bookmarkEnd w:id="70"/>
      <w:bookmarkEnd w:id="71"/>
      <w:r>
        <w:t>13.</w:t>
      </w:r>
      <w:r w:rsidR="00E4728C">
        <w:rPr>
          <w:noProof/>
        </w:rPr>
        <w:t>2</w:t>
      </w:r>
      <w:r w:rsidR="0088002B">
        <w:tab/>
        <w:t>Framework of performance indicators</w:t>
      </w:r>
      <w:bookmarkEnd w:id="72"/>
      <w:bookmarkEnd w:id="73"/>
    </w:p>
    <w:bookmarkEnd w:id="74"/>
    <w:bookmarkEnd w:id="75"/>
    <w:bookmarkEnd w:id="76"/>
    <w:bookmarkEnd w:id="77"/>
    <w:p w:rsidR="00A12C8F" w:rsidRDefault="00A12C8F" w:rsidP="00A12C8F">
      <w:pPr>
        <w:pStyle w:val="BodyText"/>
      </w:pPr>
      <w:r>
        <w:t>The framework of performance indicators aims to provide information on equity, efficiency and effectiveness, and to distinguish the outputs and outcomes of government aged care services. This approach is consistent with the general performance indicator framework and service process diagram outlined in chapter</w:t>
      </w:r>
      <w:r w:rsidR="00AA68A5">
        <w:t> </w:t>
      </w:r>
      <w:r>
        <w:t>1 (see figures</w:t>
      </w:r>
      <w:r w:rsidR="00AA68A5">
        <w:t> </w:t>
      </w:r>
      <w:r>
        <w:t>1.2 and 1.3) that have been agreed by the Steering Commi</w:t>
      </w:r>
      <w:r w:rsidR="003467F3">
        <w:t xml:space="preserve">ttee. The performance indicator framework for aged care services is based on a set of shared </w:t>
      </w:r>
      <w:r>
        <w:t>government objectives in the aged care sector (box 13.</w:t>
      </w:r>
      <w:r w:rsidR="00E63471">
        <w:t>2</w:t>
      </w:r>
      <w:r>
        <w:t xml:space="preserve">). </w:t>
      </w:r>
    </w:p>
    <w:p w:rsidR="00A12C8F" w:rsidRDefault="00A12C8F" w:rsidP="00A12C8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A12C8F">
        <w:tc>
          <w:tcPr>
            <w:tcW w:w="8771" w:type="dxa"/>
            <w:tcBorders>
              <w:top w:val="single" w:sz="6" w:space="0" w:color="auto"/>
              <w:bottom w:val="nil"/>
            </w:tcBorders>
          </w:tcPr>
          <w:p w:rsidR="00A12C8F" w:rsidRDefault="00A12C8F" w:rsidP="00A12C8F">
            <w:pPr>
              <w:pStyle w:val="BoxTitle"/>
            </w:pPr>
            <w:r>
              <w:rPr>
                <w:b w:val="0"/>
              </w:rPr>
              <w:t xml:space="preserve">Box </w:t>
            </w:r>
            <w:r w:rsidR="00670D8D">
              <w:rPr>
                <w:b w:val="0"/>
              </w:rPr>
              <w:t>13.</w:t>
            </w:r>
            <w:r w:rsidR="00E4728C">
              <w:rPr>
                <w:b w:val="0"/>
                <w:noProof/>
              </w:rPr>
              <w:t>2</w:t>
            </w:r>
            <w:r>
              <w:tab/>
              <w:t>Objectives for aged care services</w:t>
            </w:r>
          </w:p>
        </w:tc>
      </w:tr>
      <w:tr w:rsidR="00A12C8F" w:rsidTr="00A12C8F">
        <w:trPr>
          <w:cantSplit/>
        </w:trPr>
        <w:tc>
          <w:tcPr>
            <w:tcW w:w="8771" w:type="dxa"/>
            <w:tcBorders>
              <w:top w:val="nil"/>
              <w:left w:val="single" w:sz="4" w:space="0" w:color="auto"/>
              <w:bottom w:val="nil"/>
              <w:right w:val="single" w:sz="4" w:space="0" w:color="auto"/>
            </w:tcBorders>
          </w:tcPr>
          <w:p w:rsidR="00A12C8F" w:rsidRDefault="00A12C8F" w:rsidP="00A12C8F">
            <w:pPr>
              <w:pStyle w:val="Box"/>
            </w:pPr>
            <w:r>
              <w:t>The aged care system aims to promote the</w:t>
            </w:r>
            <w:r w:rsidR="00F13D65">
              <w:t xml:space="preserve"> wellbeing and independence of </w:t>
            </w:r>
            <w:r>
              <w:t>older people and their carers through the funding and delivery of care services that are:</w:t>
            </w:r>
          </w:p>
          <w:p w:rsidR="00A12C8F" w:rsidRDefault="00A12C8F" w:rsidP="00B90DAC">
            <w:pPr>
              <w:pStyle w:val="BoxListBullet"/>
            </w:pPr>
            <w:r>
              <w:t>accessible</w:t>
            </w:r>
          </w:p>
          <w:p w:rsidR="00A12C8F" w:rsidRDefault="00A12C8F" w:rsidP="00B90DAC">
            <w:pPr>
              <w:pStyle w:val="BoxListBullet"/>
            </w:pPr>
            <w:r>
              <w:t>appropriate to needs</w:t>
            </w:r>
          </w:p>
          <w:p w:rsidR="00A12C8F" w:rsidRDefault="00A12C8F" w:rsidP="00B90DAC">
            <w:pPr>
              <w:pStyle w:val="BoxListBullet"/>
            </w:pPr>
            <w:r>
              <w:t>high quality</w:t>
            </w:r>
          </w:p>
          <w:p w:rsidR="00B90DAC" w:rsidRDefault="00B90DAC" w:rsidP="00B90DAC">
            <w:pPr>
              <w:pStyle w:val="BoxListBullet"/>
            </w:pPr>
            <w:r>
              <w:t>efficient</w:t>
            </w:r>
          </w:p>
          <w:p w:rsidR="00B90DAC" w:rsidRDefault="00B90DAC" w:rsidP="00B90DAC">
            <w:pPr>
              <w:pStyle w:val="BoxListBullet"/>
            </w:pPr>
            <w:r>
              <w:t>person</w:t>
            </w:r>
            <w:r w:rsidR="00AA68A5">
              <w:noBreakHyphen/>
            </w:r>
            <w:r>
              <w:t>centred.</w:t>
            </w:r>
          </w:p>
          <w:p w:rsidR="00A12C8F" w:rsidRDefault="00A12C8F" w:rsidP="001B2B43">
            <w:pPr>
              <w:pStyle w:val="Box"/>
            </w:pPr>
            <w:r>
              <w:t>These o</w:t>
            </w:r>
            <w:r w:rsidRPr="00F20D73">
              <w:t>bjectives are consistent with</w:t>
            </w:r>
            <w:r>
              <w:t xml:space="preserve"> the</w:t>
            </w:r>
            <w:r w:rsidRPr="00F20D73">
              <w:t xml:space="preserve"> </w:t>
            </w:r>
            <w:r>
              <w:t>Australian, State and Territory governments’ l</w:t>
            </w:r>
            <w:r w:rsidRPr="005130CC">
              <w:t>ong</w:t>
            </w:r>
            <w:r w:rsidR="00764948">
              <w:t xml:space="preserve"> </w:t>
            </w:r>
            <w:r w:rsidRPr="005130CC">
              <w:t xml:space="preserve">term </w:t>
            </w:r>
            <w:r>
              <w:t xml:space="preserve">aged care </w:t>
            </w:r>
            <w:r w:rsidRPr="005130CC">
              <w:t>objectives</w:t>
            </w:r>
            <w:r>
              <w:t xml:space="preserve"> articulated under the</w:t>
            </w:r>
            <w:r w:rsidRPr="005130CC">
              <w:t xml:space="preserve"> N</w:t>
            </w:r>
            <w:r w:rsidR="001B2B43">
              <w:t xml:space="preserve">ational </w:t>
            </w:r>
            <w:r w:rsidRPr="005130CC">
              <w:t>H</w:t>
            </w:r>
            <w:r w:rsidR="001B2B43">
              <w:t>ealthcare Agreement (</w:t>
            </w:r>
            <w:proofErr w:type="spellStart"/>
            <w:r w:rsidR="001B2B43">
              <w:t>NHA</w:t>
            </w:r>
            <w:proofErr w:type="spellEnd"/>
            <w:r w:rsidR="001B2B43">
              <w:t xml:space="preserve">) </w:t>
            </w:r>
            <w:r>
              <w:t>that ‘o</w:t>
            </w:r>
            <w:r w:rsidRPr="005130CC">
              <w:t>lder Australians receive appropriate high quality and affordable health and aged care services</w:t>
            </w:r>
            <w:r>
              <w:t>’ (</w:t>
            </w:r>
            <w:r w:rsidRPr="00F20D73">
              <w:t>COAG 2009).</w:t>
            </w:r>
            <w:r>
              <w:t xml:space="preserve"> </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A12C8F">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A12C8F">
            <w:pPr>
              <w:pStyle w:val="Box"/>
              <w:keepNext w:val="0"/>
              <w:spacing w:before="60" w:after="60" w:line="80" w:lineRule="exact"/>
              <w:rPr>
                <w:b/>
                <w:color w:val="FF00FF"/>
                <w:sz w:val="14"/>
              </w:rPr>
            </w:pPr>
          </w:p>
        </w:tc>
      </w:tr>
    </w:tbl>
    <w:p w:rsidR="002516D9" w:rsidRDefault="002516D9" w:rsidP="002516D9">
      <w:pPr>
        <w:pStyle w:val="BodyText"/>
      </w:pPr>
      <w:r w:rsidRPr="002D30AD">
        <w:t>COAG has agreed six National Agreements to enhance accountability to the public for the outcomes achieved or outputs delivered by a range of government services (see chapter</w:t>
      </w:r>
      <w:r w:rsidR="00AA68A5">
        <w:t> </w:t>
      </w:r>
      <w:r w:rsidRPr="002D30AD">
        <w:t xml:space="preserve">1 for more detail on reforms to federal financial relations). </w:t>
      </w:r>
    </w:p>
    <w:p w:rsidR="002516D9" w:rsidRDefault="002516D9" w:rsidP="002516D9">
      <w:pPr>
        <w:pStyle w:val="BodyText"/>
        <w:widowControl w:val="0"/>
      </w:pPr>
      <w:r>
        <w:t xml:space="preserve">The </w:t>
      </w:r>
      <w:r w:rsidR="001B2B43" w:rsidRPr="001B2B43">
        <w:t xml:space="preserve">National Healthcare Agreement </w:t>
      </w:r>
      <w:r w:rsidR="001B2B43">
        <w:t>(</w:t>
      </w:r>
      <w:proofErr w:type="spellStart"/>
      <w:r>
        <w:t>NHA</w:t>
      </w:r>
      <w:proofErr w:type="spellEnd"/>
      <w:r w:rsidR="001B2B43">
        <w:t>)</w:t>
      </w:r>
      <w:r>
        <w:t xml:space="preserve"> covers the areas of health and aged care services. The</w:t>
      </w:r>
      <w:r w:rsidRPr="00FD0CD2">
        <w:t xml:space="preserve"> </w:t>
      </w:r>
      <w:proofErr w:type="spellStart"/>
      <w:r>
        <w:t>NHA</w:t>
      </w:r>
      <w:proofErr w:type="spellEnd"/>
      <w:r w:rsidRPr="00FD0CD2">
        <w:t xml:space="preserve"> include</w:t>
      </w:r>
      <w:r>
        <w:t>s</w:t>
      </w:r>
      <w:r w:rsidRPr="00FD0CD2">
        <w:t xml:space="preserve"> sets of</w:t>
      </w:r>
      <w:r>
        <w:t xml:space="preserve"> </w:t>
      </w:r>
      <w:r w:rsidRPr="00F91D1A">
        <w:t>performance indicators</w:t>
      </w:r>
      <w:r>
        <w:t>,</w:t>
      </w:r>
      <w:r w:rsidRPr="00F91D1A">
        <w:t xml:space="preserve"> for which the Steering Committee collates performance information for analysis by the COAG Reform Council</w:t>
      </w:r>
      <w:r w:rsidR="001B2B43">
        <w:t>.</w:t>
      </w:r>
      <w:r>
        <w:t xml:space="preserve"> Performance indicators reported in this chapter are aligned with the aged care</w:t>
      </w:r>
      <w:r w:rsidR="00AA68A5">
        <w:noBreakHyphen/>
      </w:r>
      <w:r>
        <w:t xml:space="preserve">related performance indicators in the </w:t>
      </w:r>
      <w:proofErr w:type="spellStart"/>
      <w:r>
        <w:t>NHA</w:t>
      </w:r>
      <w:proofErr w:type="spellEnd"/>
      <w:r>
        <w:t>.</w:t>
      </w:r>
      <w:r w:rsidRPr="00AF0146">
        <w:t xml:space="preserve"> </w:t>
      </w:r>
      <w:r>
        <w:t xml:space="preserve">The </w:t>
      </w:r>
      <w:proofErr w:type="spellStart"/>
      <w:r>
        <w:t>NHA</w:t>
      </w:r>
      <w:proofErr w:type="spellEnd"/>
      <w:r>
        <w:t xml:space="preserve"> was reviewed in 2011, </w:t>
      </w:r>
      <w:r>
        <w:lastRenderedPageBreak/>
        <w:t>2012 and 2013 resulting in changes that have been reflected in this Report, as relevant.</w:t>
      </w:r>
      <w:r w:rsidRPr="00575CC5">
        <w:t xml:space="preserve"> </w:t>
      </w:r>
    </w:p>
    <w:p w:rsidR="0098132F" w:rsidRPr="002D30AD" w:rsidRDefault="0098132F" w:rsidP="0098132F">
      <w:pPr>
        <w:spacing w:before="240" w:line="320" w:lineRule="atLeast"/>
        <w:jc w:val="both"/>
        <w:rPr>
          <w:szCs w:val="20"/>
        </w:rPr>
      </w:pPr>
      <w:r w:rsidRPr="002D30AD">
        <w:rPr>
          <w:szCs w:val="20"/>
        </w:rPr>
        <w:t xml:space="preserve">The performance indicator framework provides information on equity, efficiency and effectiveness, and distinguishes the outputs and outcomes of </w:t>
      </w:r>
      <w:r>
        <w:rPr>
          <w:szCs w:val="20"/>
        </w:rPr>
        <w:t>aged care</w:t>
      </w:r>
      <w:r w:rsidRPr="002D30AD">
        <w:rPr>
          <w:szCs w:val="20"/>
        </w:rPr>
        <w:t xml:space="preserve"> services (figure</w:t>
      </w:r>
      <w:r w:rsidR="00AA68A5">
        <w:rPr>
          <w:szCs w:val="20"/>
        </w:rPr>
        <w:t> </w:t>
      </w:r>
      <w:r>
        <w:t>13.</w:t>
      </w:r>
      <w:r w:rsidR="00784140">
        <w:t>8</w:t>
      </w:r>
      <w:r w:rsidRPr="002D30AD">
        <w:rPr>
          <w:szCs w:val="20"/>
        </w:rPr>
        <w:t xml:space="preserve">). </w:t>
      </w:r>
      <w:r w:rsidR="00670D8D" w:rsidRPr="002D30AD">
        <w:rPr>
          <w:szCs w:val="20"/>
        </w:rPr>
        <w:t xml:space="preserve">The performance indicator framework shows which data are </w:t>
      </w:r>
      <w:r w:rsidR="007B127C">
        <w:rPr>
          <w:szCs w:val="20"/>
        </w:rPr>
        <w:t xml:space="preserve">complete and </w:t>
      </w:r>
      <w:r w:rsidR="00670D8D" w:rsidRPr="002D30AD">
        <w:rPr>
          <w:szCs w:val="20"/>
        </w:rPr>
        <w:t>comparable in the 201</w:t>
      </w:r>
      <w:r w:rsidR="00670D8D">
        <w:rPr>
          <w:szCs w:val="20"/>
        </w:rPr>
        <w:t>4</w:t>
      </w:r>
      <w:r w:rsidR="00670D8D" w:rsidRPr="002D30AD">
        <w:rPr>
          <w:szCs w:val="20"/>
        </w:rPr>
        <w:t xml:space="preserve"> Report. For data that are not cons</w:t>
      </w:r>
      <w:r w:rsidR="00670D8D">
        <w:rPr>
          <w:szCs w:val="20"/>
        </w:rPr>
        <w:t xml:space="preserve">idered directly comparable, </w:t>
      </w:r>
      <w:r w:rsidR="00670D8D" w:rsidRPr="002D30AD">
        <w:rPr>
          <w:szCs w:val="20"/>
        </w:rPr>
        <w:t>text includes relevant caveats and supporting commentary. Chapter 1 discusses data comparability from a Report</w:t>
      </w:r>
      <w:r w:rsidR="00AA68A5">
        <w:rPr>
          <w:szCs w:val="20"/>
        </w:rPr>
        <w:noBreakHyphen/>
      </w:r>
      <w:r w:rsidR="00670D8D">
        <w:rPr>
          <w:szCs w:val="20"/>
        </w:rPr>
        <w:t>wide perspective (</w:t>
      </w:r>
      <w:r w:rsidR="00670D8D" w:rsidRPr="002D30AD">
        <w:rPr>
          <w:szCs w:val="20"/>
        </w:rPr>
        <w:t>section 1.6).</w:t>
      </w:r>
    </w:p>
    <w:p w:rsidR="0098132F" w:rsidRPr="002D30AD" w:rsidRDefault="00670D8D" w:rsidP="0098132F">
      <w:pPr>
        <w:spacing w:before="240" w:line="320" w:lineRule="atLeast"/>
        <w:jc w:val="both"/>
        <w:rPr>
          <w:szCs w:val="20"/>
        </w:rPr>
      </w:pPr>
      <w:r w:rsidRPr="00670D8D">
        <w:rPr>
          <w:szCs w:val="26"/>
        </w:rPr>
        <w:t xml:space="preserve">The Report’s statistical context chapter contains data that may assist in interpreting the performance indicators presented in this chapter. These data cover a range of demographic and geographic characteristics, including age profile, geographic distribution of the population, income levels, education levels, tenure of dwellings and cultural heritage (including Indigenous and </w:t>
      </w:r>
      <w:r w:rsidR="007B127C">
        <w:rPr>
          <w:szCs w:val="26"/>
        </w:rPr>
        <w:t>cultural</w:t>
      </w:r>
      <w:r w:rsidRPr="00670D8D">
        <w:rPr>
          <w:szCs w:val="26"/>
        </w:rPr>
        <w:t xml:space="preserve"> status) (chapter</w:t>
      </w:r>
      <w:r w:rsidR="00AA68A5">
        <w:rPr>
          <w:szCs w:val="26"/>
        </w:rPr>
        <w:t> </w:t>
      </w:r>
      <w:r w:rsidRPr="00670D8D">
        <w:rPr>
          <w:szCs w:val="26"/>
        </w:rPr>
        <w:t>2).</w:t>
      </w:r>
    </w:p>
    <w:p w:rsidR="00FB72BF" w:rsidRPr="00C16403" w:rsidRDefault="00F204F1" w:rsidP="00C16403">
      <w:pPr>
        <w:spacing w:before="240" w:line="320" w:lineRule="atLeast"/>
        <w:jc w:val="both"/>
        <w:rPr>
          <w:szCs w:val="20"/>
        </w:rPr>
      </w:pPr>
      <w:r w:rsidRPr="00F204F1">
        <w:t xml:space="preserve">Data quality information is being progressively introduced for all indicators in the Report. The purpose of </w:t>
      </w:r>
      <w:proofErr w:type="spellStart"/>
      <w:r w:rsidRPr="00F204F1">
        <w:t>DQI</w:t>
      </w:r>
      <w:proofErr w:type="spellEnd"/>
      <w:r w:rsidRPr="00F204F1">
        <w:t xml:space="preserve"> is to provide structured and consistent information about quality aspects of data used to report on performance indicators. </w:t>
      </w:r>
      <w:proofErr w:type="spellStart"/>
      <w:r w:rsidRPr="00F204F1">
        <w:t>DQI</w:t>
      </w:r>
      <w:proofErr w:type="spellEnd"/>
      <w:r w:rsidRPr="00F204F1">
        <w:t xml:space="preserve"> in this Report cover the seven dimensions in the ABS’ data quality framework (institutional environment, relevance, timeliness, accuracy, coherence, accessibility and interpretability) in addition to dimensions that define and describe performance indicators in a consistent manner, and key data gaps and issues identified by the Steering Committee. All </w:t>
      </w:r>
      <w:proofErr w:type="spellStart"/>
      <w:r w:rsidRPr="00F204F1">
        <w:t>DQI</w:t>
      </w:r>
      <w:proofErr w:type="spellEnd"/>
      <w:r w:rsidRPr="00F204F1">
        <w:t xml:space="preserve"> for the 2014 Report can be found at </w:t>
      </w:r>
      <w:proofErr w:type="spellStart"/>
      <w:r w:rsidRPr="00F204F1">
        <w:t>www.pc.gov.au</w:t>
      </w:r>
      <w:proofErr w:type="spellEnd"/>
      <w:r w:rsidRPr="00F204F1">
        <w:t>/</w:t>
      </w:r>
      <w:proofErr w:type="spellStart"/>
      <w:r w:rsidRPr="00F204F1">
        <w:t>gsp</w:t>
      </w:r>
      <w:proofErr w:type="spellEnd"/>
      <w:r w:rsidRPr="00F204F1">
        <w:t>/reports/</w:t>
      </w:r>
      <w:proofErr w:type="spellStart"/>
      <w:r w:rsidRPr="00F204F1">
        <w:t>rogs</w:t>
      </w:r>
      <w:proofErr w:type="spellEnd"/>
      <w:r w:rsidRPr="00F204F1">
        <w:t>/2014.</w:t>
      </w:r>
    </w:p>
    <w:p w:rsidR="00A12C8F" w:rsidRPr="00EE0F65" w:rsidRDefault="00D50409" w:rsidP="00EE0F65">
      <w:pPr>
        <w:pStyle w:val="FigureTitle"/>
        <w:spacing w:before="120"/>
      </w:pPr>
      <w:r>
        <w:br w:type="page"/>
      </w:r>
      <w:r w:rsidR="00A12C8F" w:rsidRPr="00EE0F65">
        <w:rPr>
          <w:b w:val="0"/>
        </w:rPr>
        <w:lastRenderedPageBreak/>
        <w:t xml:space="preserve">Figure </w:t>
      </w:r>
      <w:bookmarkStart w:id="78" w:name="OLE_LINK35"/>
      <w:r w:rsidR="00784140">
        <w:rPr>
          <w:b w:val="0"/>
        </w:rPr>
        <w:t>13.</w:t>
      </w:r>
      <w:r w:rsidR="00E4728C">
        <w:rPr>
          <w:b w:val="0"/>
          <w:noProof/>
        </w:rPr>
        <w:t>8</w:t>
      </w:r>
      <w:bookmarkEnd w:id="78"/>
      <w:r w:rsidR="00EE0F65">
        <w:rPr>
          <w:b w:val="0"/>
        </w:rPr>
        <w:tab/>
      </w:r>
      <w:r w:rsidR="00EE0F65">
        <w:rPr>
          <w:b w:val="0"/>
        </w:rPr>
        <w:tab/>
      </w:r>
      <w:r w:rsidR="00752B82" w:rsidRPr="00EE0F65">
        <w:t>Aged care services p</w:t>
      </w:r>
      <w:r w:rsidR="00A12C8F" w:rsidRPr="00EE0F65">
        <w:t>erformance ind</w:t>
      </w:r>
      <w:r w:rsidR="000F0213" w:rsidRPr="00EE0F65">
        <w:t>icator f</w:t>
      </w:r>
      <w:r w:rsidR="00752B82" w:rsidRPr="00EE0F65">
        <w:t>ramework</w:t>
      </w:r>
      <w:r w:rsidR="000F0213" w:rsidRPr="00EE0F65">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12C8F" w:rsidTr="00F2055D">
        <w:tc>
          <w:tcPr>
            <w:tcW w:w="8777" w:type="dxa"/>
            <w:tcBorders>
              <w:top w:val="single" w:sz="6" w:space="0" w:color="auto"/>
              <w:bottom w:val="single" w:sz="6" w:space="0" w:color="auto"/>
              <w:right w:val="nil"/>
            </w:tcBorders>
            <w:shd w:val="clear" w:color="auto" w:fill="FFFFFF" w:themeFill="background1"/>
          </w:tcPr>
          <w:p w:rsidR="004D3F4A" w:rsidRPr="00A04B92" w:rsidRDefault="008018D4" w:rsidP="00B4710B">
            <w:pPr>
              <w:pStyle w:val="Figure"/>
            </w:pPr>
            <w:r>
              <w:rPr>
                <w:noProof/>
              </w:rPr>
              <w:drawing>
                <wp:inline distT="0" distB="0" distL="0" distR="0">
                  <wp:extent cx="5486400" cy="6762750"/>
                  <wp:effectExtent l="0" t="0" r="0" b="0"/>
                  <wp:docPr id="9" name="Picture 9" descr="Figure 13.8 Aged care services performance indicator framework &#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6762750"/>
                          </a:xfrm>
                          <a:prstGeom prst="rect">
                            <a:avLst/>
                          </a:prstGeom>
                          <a:noFill/>
                          <a:ln>
                            <a:noFill/>
                          </a:ln>
                        </pic:spPr>
                      </pic:pic>
                    </a:graphicData>
                  </a:graphic>
                </wp:inline>
              </w:drawing>
            </w:r>
          </w:p>
        </w:tc>
      </w:tr>
    </w:tbl>
    <w:p w:rsidR="00BA07AA" w:rsidRPr="00BA07AA" w:rsidRDefault="00C82353" w:rsidP="006F66E2">
      <w:pPr>
        <w:pStyle w:val="Heading2"/>
        <w:spacing w:before="360"/>
      </w:pPr>
      <w:bookmarkStart w:id="79" w:name="_Toc211788424"/>
      <w:bookmarkStart w:id="80" w:name="_Toc274671082"/>
      <w:bookmarkStart w:id="81" w:name="_Toc274671155"/>
      <w:bookmarkStart w:id="82" w:name="_Toc274671267"/>
      <w:bookmarkStart w:id="83" w:name="_Toc274671351"/>
      <w:bookmarkStart w:id="84" w:name="_Toc274671837"/>
      <w:bookmarkStart w:id="85" w:name="_Toc370803127"/>
      <w:r>
        <w:t>13.</w:t>
      </w:r>
      <w:r w:rsidR="00E4728C">
        <w:rPr>
          <w:noProof/>
        </w:rPr>
        <w:t>3</w:t>
      </w:r>
      <w:r w:rsidR="0088002B">
        <w:tab/>
      </w:r>
      <w:r w:rsidR="00BA07AA" w:rsidRPr="00BA07AA">
        <w:t>Key performance indicator results</w:t>
      </w:r>
      <w:bookmarkEnd w:id="79"/>
      <w:bookmarkEnd w:id="80"/>
      <w:bookmarkEnd w:id="81"/>
      <w:bookmarkEnd w:id="82"/>
      <w:bookmarkEnd w:id="83"/>
      <w:bookmarkEnd w:id="84"/>
      <w:bookmarkEnd w:id="85"/>
    </w:p>
    <w:p w:rsidR="00BA07AA" w:rsidRDefault="00BA07AA" w:rsidP="004609BE">
      <w:pPr>
        <w:pStyle w:val="BodyText"/>
        <w:spacing w:before="200"/>
      </w:pPr>
      <w:r>
        <w:t xml:space="preserve">Different delivery contexts, locations and types of client may affect the effectiveness and efficiency of aged care services. </w:t>
      </w:r>
    </w:p>
    <w:p w:rsidR="00A12C8F" w:rsidRPr="00BA07AA" w:rsidRDefault="00A12C8F" w:rsidP="004609BE">
      <w:pPr>
        <w:pStyle w:val="Heading3"/>
        <w:spacing w:before="520"/>
      </w:pPr>
      <w:r w:rsidRPr="00BA07AA">
        <w:lastRenderedPageBreak/>
        <w:t>Outputs</w:t>
      </w:r>
    </w:p>
    <w:p w:rsidR="00A12C8F" w:rsidRDefault="00A12C8F" w:rsidP="00CC1191">
      <w:pPr>
        <w:pStyle w:val="BodyText"/>
      </w:pPr>
      <w:r>
        <w:t>Outputs are the services delivered (while outcomes are the impact of these services on the status of an individual or group) (see chapter</w:t>
      </w:r>
      <w:r w:rsidR="00AA68A5">
        <w:t> </w:t>
      </w:r>
      <w:r>
        <w:t>1, section</w:t>
      </w:r>
      <w:r w:rsidR="00AA68A5">
        <w:t> </w:t>
      </w:r>
      <w:r>
        <w:t>1.5).</w:t>
      </w:r>
    </w:p>
    <w:p w:rsidR="00A12C8F" w:rsidRDefault="00A12C8F" w:rsidP="004609BE">
      <w:pPr>
        <w:pStyle w:val="Heading4"/>
        <w:spacing w:before="440"/>
      </w:pPr>
      <w:r>
        <w:t>Equity — Access</w:t>
      </w:r>
    </w:p>
    <w:p w:rsidR="00A12C8F" w:rsidRDefault="00A12C8F" w:rsidP="004609BE">
      <w:pPr>
        <w:pStyle w:val="Heading5"/>
        <w:spacing w:before="440"/>
      </w:pPr>
      <w:r>
        <w:t>Use by different groups</w:t>
      </w:r>
    </w:p>
    <w:p w:rsidR="00A12C8F" w:rsidRDefault="00A12C8F" w:rsidP="004609BE">
      <w:pPr>
        <w:pStyle w:val="BodyText"/>
        <w:spacing w:before="200"/>
      </w:pPr>
      <w:r>
        <w:t>‘Use by different groups’ is an indicator of governments’ objective for the aged care system to provide equitable access to aged care services for all people who require these services (box 13.</w:t>
      </w:r>
      <w:r w:rsidR="004609BE">
        <w:t>3</w:t>
      </w:r>
      <w:r>
        <w:t>).</w:t>
      </w:r>
    </w:p>
    <w:p w:rsidR="00A14F9C" w:rsidRDefault="00A14F9C" w:rsidP="004609BE">
      <w:pPr>
        <w:pStyle w:val="BoxSpace"/>
        <w:spacing w:before="24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4F9C">
        <w:tc>
          <w:tcPr>
            <w:tcW w:w="8771" w:type="dxa"/>
            <w:tcBorders>
              <w:top w:val="single" w:sz="6" w:space="0" w:color="auto"/>
              <w:bottom w:val="nil"/>
            </w:tcBorders>
          </w:tcPr>
          <w:p w:rsidR="00A14F9C" w:rsidRDefault="00A14F9C">
            <w:pPr>
              <w:pStyle w:val="BoxTitle"/>
            </w:pPr>
            <w:r w:rsidRPr="00E0056E">
              <w:rPr>
                <w:b w:val="0"/>
                <w:sz w:val="24"/>
              </w:rPr>
              <w:t xml:space="preserve">Box </w:t>
            </w:r>
            <w:bookmarkStart w:id="86" w:name="OLE_LINK2"/>
            <w:r w:rsidR="007F5120">
              <w:rPr>
                <w:b w:val="0"/>
                <w:sz w:val="24"/>
              </w:rPr>
              <w:t>13.</w:t>
            </w:r>
            <w:r w:rsidR="00E4728C">
              <w:rPr>
                <w:b w:val="0"/>
                <w:noProof/>
                <w:sz w:val="24"/>
              </w:rPr>
              <w:t>3</w:t>
            </w:r>
            <w:bookmarkEnd w:id="86"/>
            <w:r w:rsidRPr="00E0056E">
              <w:rPr>
                <w:sz w:val="24"/>
              </w:rPr>
              <w:tab/>
              <w:t>Use by different groups</w:t>
            </w:r>
          </w:p>
        </w:tc>
      </w:tr>
      <w:tr w:rsidR="00A14F9C">
        <w:trPr>
          <w:cantSplit/>
        </w:trPr>
        <w:tc>
          <w:tcPr>
            <w:tcW w:w="8771" w:type="dxa"/>
            <w:tcBorders>
              <w:top w:val="nil"/>
              <w:left w:val="single" w:sz="6" w:space="0" w:color="auto"/>
              <w:bottom w:val="nil"/>
              <w:right w:val="single" w:sz="6" w:space="0" w:color="auto"/>
            </w:tcBorders>
          </w:tcPr>
          <w:p w:rsidR="00A14F9C" w:rsidRDefault="00A14F9C" w:rsidP="00A14F9C">
            <w:pPr>
              <w:pStyle w:val="Box"/>
            </w:pPr>
            <w:r>
              <w:t>‘Use by different groups’</w:t>
            </w:r>
            <w:r w:rsidRPr="00BA6E14">
              <w:t xml:space="preserve"> </w:t>
            </w:r>
            <w:r>
              <w:t>has six</w:t>
            </w:r>
            <w:r w:rsidRPr="00BA6E14">
              <w:t xml:space="preserve"> measure</w:t>
            </w:r>
            <w:r>
              <w:t>s</w:t>
            </w:r>
            <w:r w:rsidRPr="00BA6E14">
              <w:t xml:space="preserve"> defined </w:t>
            </w:r>
            <w:r>
              <w:t>as</w:t>
            </w:r>
            <w:r w:rsidRPr="00BA6E14">
              <w:t xml:space="preserve"> follow</w:t>
            </w:r>
            <w:r>
              <w:t>s:</w:t>
            </w:r>
          </w:p>
          <w:p w:rsidR="00A14F9C" w:rsidRDefault="00A14F9C" w:rsidP="00A14F9C">
            <w:pPr>
              <w:pStyle w:val="BoxListBullet"/>
            </w:pPr>
            <w:r>
              <w:t>the number of people born in non</w:t>
            </w:r>
            <w:r w:rsidR="00AA68A5">
              <w:noBreakHyphen/>
            </w:r>
            <w:r>
              <w:t>English speaking countries using residential services, CACPs, EACH, EACH</w:t>
            </w:r>
            <w:r w:rsidR="00AA68A5">
              <w:noBreakHyphen/>
            </w:r>
            <w:r>
              <w:t>D and HACC services divided by the number of people born in non</w:t>
            </w:r>
            <w:r w:rsidR="00AA68A5">
              <w:noBreakHyphen/>
            </w:r>
            <w:r>
              <w:t xml:space="preserve">English speaking countries aged 65 years or over, compared with the rates at which the total aged care target population (people aged 65 years or over </w:t>
            </w:r>
            <w:r w:rsidRPr="00BA6E14">
              <w:t>and</w:t>
            </w:r>
            <w:r>
              <w:t xml:space="preserve"> Indigenous Australians aged 50–64 years) access these services</w:t>
            </w:r>
          </w:p>
          <w:p w:rsidR="00A14F9C" w:rsidRDefault="00A14F9C" w:rsidP="00A14F9C">
            <w:pPr>
              <w:pStyle w:val="BoxListBullet"/>
            </w:pPr>
            <w:r>
              <w:t>the number of Indigenous Australians using residential services, CACP, EACH, EACH</w:t>
            </w:r>
            <w:r w:rsidR="00AA68A5">
              <w:noBreakHyphen/>
            </w:r>
            <w:r>
              <w:t xml:space="preserve">D and HACC services, divided by the number of Indigenous Australians aged 50 years or over (because Indigenous Australians tend to require aged care services at a younger age than the general population), compared with the rates at which the total aged care target population (people aged 65 years or over </w:t>
            </w:r>
            <w:r w:rsidRPr="00BA6E14">
              <w:t>and</w:t>
            </w:r>
            <w:r>
              <w:t xml:space="preserve"> Indigenous Australians aged 50–64 years) access these services</w:t>
            </w:r>
          </w:p>
          <w:p w:rsidR="003601B7" w:rsidRDefault="00A14F9C" w:rsidP="004609BE">
            <w:pPr>
              <w:pStyle w:val="BoxListBullet"/>
            </w:pPr>
            <w:r w:rsidRPr="00C30901">
              <w:t xml:space="preserve">the number of veterans aged </w:t>
            </w:r>
            <w:r>
              <w:t>65</w:t>
            </w:r>
            <w:r w:rsidRPr="00C30901">
              <w:t xml:space="preserve"> years </w:t>
            </w:r>
            <w:r>
              <w:t>or</w:t>
            </w:r>
            <w:r w:rsidRPr="00C30901">
              <w:t xml:space="preserve"> over in residential care divided by the total number of eligible</w:t>
            </w:r>
            <w:r>
              <w:t xml:space="preserve"> </w:t>
            </w:r>
            <w:r w:rsidRPr="00C30901">
              <w:t xml:space="preserve">veterans aged </w:t>
            </w:r>
            <w:r>
              <w:t>65</w:t>
            </w:r>
            <w:r w:rsidRPr="00C30901">
              <w:t xml:space="preserve"> years </w:t>
            </w:r>
            <w:r>
              <w:t>or</w:t>
            </w:r>
            <w:r w:rsidRPr="00C30901">
              <w:t xml:space="preserve"> over, where a veteran is defined as </w:t>
            </w:r>
            <w:r>
              <w:t>a DVA Gold or White card holder</w:t>
            </w:r>
          </w:p>
          <w:p w:rsidR="004609BE" w:rsidRDefault="004609BE" w:rsidP="004609BE">
            <w:pPr>
              <w:pStyle w:val="BoxListBullet"/>
            </w:pPr>
            <w:r>
              <w:t xml:space="preserve">access to HACC services for people living in rural or remote areas — the number of hours of HACC service received (and, separately, meals provided) divided by the number of people aged 65 years or over </w:t>
            </w:r>
            <w:r w:rsidRPr="00BA6E14">
              <w:t>and</w:t>
            </w:r>
            <w:r>
              <w:t xml:space="preserve"> Indigenous Australians aged </w:t>
            </w:r>
            <w:r w:rsidR="00E16663">
              <w:br/>
            </w:r>
            <w:r>
              <w:t>50–64 years for major cities, inner regional areas, outer regional areas, remote areas and very remote areas</w:t>
            </w:r>
          </w:p>
        </w:tc>
      </w:tr>
      <w:tr w:rsidR="00A14F9C">
        <w:trPr>
          <w:cantSplit/>
        </w:trPr>
        <w:tc>
          <w:tcPr>
            <w:tcW w:w="8771" w:type="dxa"/>
            <w:tcBorders>
              <w:top w:val="nil"/>
              <w:left w:val="single" w:sz="6" w:space="0" w:color="auto"/>
              <w:bottom w:val="nil"/>
              <w:right w:val="single" w:sz="6" w:space="0" w:color="auto"/>
            </w:tcBorders>
          </w:tcPr>
          <w:p w:rsidR="00A14F9C" w:rsidRDefault="00A14F9C" w:rsidP="00A14F9C">
            <w:pPr>
              <w:pStyle w:val="Continued"/>
            </w:pPr>
            <w:r>
              <w:t>(Continued next page)</w:t>
            </w:r>
          </w:p>
        </w:tc>
      </w:tr>
      <w:tr w:rsidR="00A14F9C">
        <w:trPr>
          <w:cantSplit/>
        </w:trPr>
        <w:tc>
          <w:tcPr>
            <w:tcW w:w="8771" w:type="dxa"/>
            <w:tcBorders>
              <w:top w:val="nil"/>
              <w:left w:val="single" w:sz="6" w:space="0" w:color="auto"/>
              <w:bottom w:val="single" w:sz="6" w:space="0" w:color="auto"/>
              <w:right w:val="single" w:sz="6" w:space="0" w:color="auto"/>
            </w:tcBorders>
          </w:tcPr>
          <w:p w:rsidR="00A14F9C" w:rsidRDefault="00A14F9C">
            <w:pPr>
              <w:pStyle w:val="Box"/>
              <w:spacing w:before="0" w:line="120" w:lineRule="exact"/>
            </w:pPr>
          </w:p>
        </w:tc>
      </w:tr>
      <w:tr w:rsidR="00A14F9C" w:rsidRPr="000863A5">
        <w:tc>
          <w:tcPr>
            <w:tcW w:w="8771" w:type="dxa"/>
            <w:tcBorders>
              <w:top w:val="nil"/>
              <w:left w:val="nil"/>
              <w:bottom w:val="nil"/>
              <w:right w:val="nil"/>
            </w:tcBorders>
          </w:tcPr>
          <w:p w:rsidR="00A14F9C" w:rsidRPr="000863A5" w:rsidRDefault="00A14F9C" w:rsidP="00A14F9C">
            <w:pPr>
              <w:pStyle w:val="Box"/>
              <w:keepNext w:val="0"/>
              <w:spacing w:before="60" w:after="60" w:line="80" w:lineRule="exact"/>
              <w:rPr>
                <w:b/>
                <w:sz w:val="14"/>
              </w:rPr>
            </w:pPr>
          </w:p>
        </w:tc>
      </w:tr>
    </w:tbl>
    <w:p w:rsidR="00A12C8F" w:rsidRDefault="00A12C8F" w:rsidP="00CC119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67"/>
      </w:tblGrid>
      <w:tr w:rsidR="00A12C8F" w:rsidTr="008C04A5">
        <w:tc>
          <w:tcPr>
            <w:tcW w:w="8767" w:type="dxa"/>
            <w:tcBorders>
              <w:top w:val="single" w:sz="6" w:space="0" w:color="auto"/>
              <w:bottom w:val="nil"/>
            </w:tcBorders>
          </w:tcPr>
          <w:p w:rsidR="00A12C8F" w:rsidRPr="00E0056E" w:rsidRDefault="00A12C8F" w:rsidP="000E3F1E">
            <w:pPr>
              <w:pStyle w:val="BoxTitle"/>
              <w:rPr>
                <w:sz w:val="24"/>
              </w:rPr>
            </w:pPr>
            <w:r w:rsidRPr="00E0056E">
              <w:rPr>
                <w:b w:val="0"/>
                <w:sz w:val="24"/>
              </w:rPr>
              <w:t xml:space="preserve">Box </w:t>
            </w:r>
            <w:r w:rsidR="000E3F1E" w:rsidRPr="000E3F1E">
              <w:rPr>
                <w:b w:val="0"/>
              </w:rPr>
              <w:t>13.3</w:t>
            </w:r>
            <w:r w:rsidRPr="00E0056E">
              <w:rPr>
                <w:sz w:val="24"/>
              </w:rPr>
              <w:tab/>
            </w:r>
            <w:r w:rsidRPr="00E0056E">
              <w:rPr>
                <w:sz w:val="18"/>
                <w:szCs w:val="18"/>
              </w:rPr>
              <w:t>(</w:t>
            </w:r>
            <w:r w:rsidR="00E0056E" w:rsidRPr="00E0056E">
              <w:rPr>
                <w:sz w:val="18"/>
                <w:szCs w:val="18"/>
              </w:rPr>
              <w:t>c</w:t>
            </w:r>
            <w:r w:rsidRPr="00E0056E">
              <w:rPr>
                <w:sz w:val="18"/>
                <w:szCs w:val="18"/>
              </w:rPr>
              <w:t>ontinued)</w:t>
            </w:r>
          </w:p>
        </w:tc>
      </w:tr>
      <w:tr w:rsidR="003601B7" w:rsidTr="000E3F1E">
        <w:trPr>
          <w:cantSplit/>
          <w:trHeight w:val="10889"/>
        </w:trPr>
        <w:tc>
          <w:tcPr>
            <w:tcW w:w="8767" w:type="dxa"/>
            <w:tcBorders>
              <w:top w:val="nil"/>
              <w:left w:val="single" w:sz="6" w:space="0" w:color="auto"/>
              <w:bottom w:val="nil"/>
              <w:right w:val="single" w:sz="6" w:space="0" w:color="auto"/>
            </w:tcBorders>
          </w:tcPr>
          <w:p w:rsidR="004609BE" w:rsidRDefault="004609BE" w:rsidP="004609BE">
            <w:pPr>
              <w:pStyle w:val="BoxListBullet"/>
            </w:pPr>
            <w:r>
              <w:t>the rate of c</w:t>
            </w:r>
            <w:r w:rsidRPr="00D635CA">
              <w:rPr>
                <w:rStyle w:val="BoxListBullet2Char"/>
              </w:rPr>
              <w:t>o</w:t>
            </w:r>
            <w:r>
              <w:t xml:space="preserve">ntacts with </w:t>
            </w:r>
            <w:r w:rsidRPr="00141456">
              <w:t xml:space="preserve">Commonwealth </w:t>
            </w:r>
            <w:r w:rsidRPr="00F45121">
              <w:t>Respite and</w:t>
            </w:r>
            <w:r w:rsidRPr="00E16663">
              <w:rPr>
                <w:color w:val="FF0000"/>
              </w:rPr>
              <w:t xml:space="preserve"> </w:t>
            </w:r>
            <w:r w:rsidRPr="00141456">
              <w:t>Carelink Centres</w:t>
            </w:r>
            <w:r>
              <w:t xml:space="preserve"> for Indigenous Australians compared with the rate for all people </w:t>
            </w:r>
          </w:p>
          <w:p w:rsidR="004609BE" w:rsidRPr="00CA674C" w:rsidRDefault="004609BE" w:rsidP="004609BE">
            <w:pPr>
              <w:pStyle w:val="BoxListBullet"/>
            </w:pPr>
            <w:r w:rsidRPr="00CA674C">
              <w:t>access to residential aged care services for financially disadvantaged people</w:t>
            </w:r>
          </w:p>
          <w:p w:rsidR="004609BE" w:rsidRPr="00D635CA" w:rsidRDefault="004609BE" w:rsidP="004609BE">
            <w:pPr>
              <w:pStyle w:val="BoxListBullet2"/>
            </w:pPr>
            <w:r w:rsidRPr="00D635CA">
              <w:t xml:space="preserve">the proportion of new residents classified as supported </w:t>
            </w:r>
          </w:p>
          <w:p w:rsidR="004609BE" w:rsidRDefault="004609BE" w:rsidP="004609BE">
            <w:pPr>
              <w:pStyle w:val="BoxListBullet2"/>
            </w:pPr>
            <w:r w:rsidRPr="00D635CA">
              <w:t xml:space="preserve">the proportion of </w:t>
            </w:r>
            <w:r>
              <w:t>permanent resident</w:t>
            </w:r>
            <w:r w:rsidRPr="00315F52">
              <w:t xml:space="preserve"> care days </w:t>
            </w:r>
            <w:r>
              <w:t xml:space="preserve">classified as concessional, </w:t>
            </w:r>
            <w:r w:rsidRPr="00D635CA">
              <w:t>assisted or supported</w:t>
            </w:r>
            <w:r>
              <w:t>.</w:t>
            </w:r>
          </w:p>
          <w:p w:rsidR="004609BE" w:rsidRDefault="004609BE" w:rsidP="004609BE">
            <w:pPr>
              <w:pStyle w:val="Box"/>
            </w:pPr>
            <w:r>
              <w:t>In general, usage rates for special needs groups similar to those for the broader aged care population are desirable, but interpretation of results differs for some special needs groups because:</w:t>
            </w:r>
          </w:p>
          <w:p w:rsidR="004609BE" w:rsidRDefault="004609BE" w:rsidP="004609BE">
            <w:pPr>
              <w:pStyle w:val="BoxListBullet"/>
            </w:pPr>
            <w:r>
              <w:t>there is evidence that Indigenous Australians have higher disability rates than those of the general population, which suggests a greater level of need for services compared with those in the broader aged care population</w:t>
            </w:r>
          </w:p>
          <w:p w:rsidR="004609BE" w:rsidRDefault="004609BE" w:rsidP="008F1070">
            <w:pPr>
              <w:pStyle w:val="BoxListBullet"/>
            </w:pPr>
            <w:r>
              <w:t>for financially disadvantaged users, Australian Government planning guidelines require that services allocate a minimum proportion of residential places for concessional, assisted or supported residents. These targets range from 16 per cent to 40 per cent of places, depending on the service’s region. Usage rates equal to, or higher than, the minimum rates are desirable.</w:t>
            </w:r>
          </w:p>
          <w:p w:rsidR="003601B7" w:rsidRPr="008C04A5" w:rsidRDefault="003601B7" w:rsidP="003601B7">
            <w:pPr>
              <w:pStyle w:val="Box"/>
            </w:pPr>
            <w:r>
              <w:t xml:space="preserve">Use by different groups is a proxy indicator of equitable access. Various groups are identified by the </w:t>
            </w:r>
            <w:r w:rsidRPr="00B939F8">
              <w:rPr>
                <w:i/>
              </w:rPr>
              <w:t>Aged Care Act 1997</w:t>
            </w:r>
            <w:r>
              <w:t xml:space="preserve"> and its principles (regulations) as having special needs, including people from Indigenous communities, people born in non</w:t>
            </w:r>
            <w:r w:rsidR="00AA68A5">
              <w:noBreakHyphen/>
            </w:r>
            <w:r>
              <w:t xml:space="preserve">English speaking countries, people who live in rural or remote areas, people who are financially or socially disadvantaged, veterans (including widows and widowers of veterans), people who </w:t>
            </w:r>
            <w:r w:rsidRPr="0001569C">
              <w:t>are homeless or at risk of becoming homeless</w:t>
            </w:r>
            <w:r>
              <w:t>,</w:t>
            </w:r>
            <w:r w:rsidRPr="0001569C">
              <w:t xml:space="preserve"> </w:t>
            </w:r>
            <w:r>
              <w:t xml:space="preserve">or who are care leavers. </w:t>
            </w:r>
            <w:r w:rsidRPr="00BA6E14">
              <w:t>A care leaver is a person who was in institutional care (such as an orphanage or mental health facility) or other form of out</w:t>
            </w:r>
            <w:r w:rsidR="00AA68A5">
              <w:noBreakHyphen/>
            </w:r>
            <w:r w:rsidRPr="00BA6E14">
              <w:t>of</w:t>
            </w:r>
            <w:r w:rsidR="00AA68A5">
              <w:noBreakHyphen/>
            </w:r>
            <w:r w:rsidRPr="00BA6E14">
              <w:t>home care, including foster care, as a child or youth (or both)</w:t>
            </w:r>
            <w:r>
              <w:t>,</w:t>
            </w:r>
            <w:r w:rsidRPr="00BA6E14">
              <w:t xml:space="preserve"> at some time during their lifetime (</w:t>
            </w:r>
            <w:r w:rsidRPr="00C16403">
              <w:t>DoHA 2012</w:t>
            </w:r>
            <w:r w:rsidRPr="00BA6E14">
              <w:t xml:space="preserve">). </w:t>
            </w:r>
          </w:p>
          <w:p w:rsidR="003601B7" w:rsidRDefault="003601B7" w:rsidP="003601B7">
            <w:pPr>
              <w:pStyle w:val="Box"/>
            </w:pPr>
            <w:r>
              <w:t xml:space="preserve">Several factors need to be considered in interpreting the results for this set of measures: </w:t>
            </w:r>
          </w:p>
          <w:p w:rsidR="003601B7" w:rsidRDefault="003601B7" w:rsidP="003601B7">
            <w:pPr>
              <w:pStyle w:val="BoxListBullet"/>
            </w:pPr>
            <w:r>
              <w:t>Cultural differences can influence the extent to which people born in non</w:t>
            </w:r>
            <w:r w:rsidR="00AA68A5">
              <w:noBreakHyphen/>
            </w:r>
            <w:r>
              <w:t xml:space="preserve">English speaking countries use different types of services. </w:t>
            </w:r>
          </w:p>
          <w:p w:rsidR="003601B7" w:rsidRDefault="003601B7" w:rsidP="003601B7">
            <w:pPr>
              <w:pStyle w:val="BoxListBullet"/>
            </w:pPr>
            <w:r>
              <w:t xml:space="preserve">Cultural differences and geographic location can influence the extent to which Indigenous Australians use different types of services. </w:t>
            </w:r>
          </w:p>
          <w:p w:rsidR="003601B7" w:rsidRDefault="003601B7" w:rsidP="003601B7">
            <w:pPr>
              <w:pStyle w:val="BoxListBullet"/>
            </w:pPr>
            <w:r>
              <w:t xml:space="preserve">The availability of informal care and support can influence the use of aged care services </w:t>
            </w:r>
            <w:r w:rsidR="000E3F1E">
              <w:t>in different population groups.</w:t>
            </w:r>
          </w:p>
        </w:tc>
      </w:tr>
      <w:tr w:rsidR="000E3F1E" w:rsidTr="000E3F1E">
        <w:trPr>
          <w:cantSplit/>
          <w:trHeight w:val="361"/>
        </w:trPr>
        <w:tc>
          <w:tcPr>
            <w:tcW w:w="8767" w:type="dxa"/>
            <w:tcBorders>
              <w:top w:val="nil"/>
              <w:left w:val="single" w:sz="4" w:space="0" w:color="auto"/>
              <w:bottom w:val="nil"/>
              <w:right w:val="single" w:sz="4" w:space="0" w:color="auto"/>
            </w:tcBorders>
          </w:tcPr>
          <w:p w:rsidR="000E3F1E" w:rsidRDefault="000E3F1E" w:rsidP="000E3F1E">
            <w:pPr>
              <w:pStyle w:val="Continued"/>
            </w:pPr>
            <w:r w:rsidRPr="000E3F1E">
              <w:t>(Continued next page)</w:t>
            </w:r>
          </w:p>
        </w:tc>
      </w:tr>
      <w:tr w:rsidR="003601B7" w:rsidTr="000E3F1E">
        <w:trPr>
          <w:cantSplit/>
        </w:trPr>
        <w:tc>
          <w:tcPr>
            <w:tcW w:w="8767" w:type="dxa"/>
            <w:tcBorders>
              <w:top w:val="nil"/>
              <w:left w:val="single" w:sz="6" w:space="0" w:color="auto"/>
              <w:bottom w:val="single" w:sz="6" w:space="0" w:color="auto"/>
              <w:right w:val="single" w:sz="6" w:space="0" w:color="auto"/>
            </w:tcBorders>
          </w:tcPr>
          <w:p w:rsidR="003601B7" w:rsidRDefault="003601B7" w:rsidP="00CC1191">
            <w:pPr>
              <w:pStyle w:val="Box"/>
              <w:spacing w:before="0" w:line="120" w:lineRule="exact"/>
            </w:pPr>
          </w:p>
        </w:tc>
      </w:tr>
      <w:tr w:rsidR="003601B7" w:rsidTr="008C04A5">
        <w:tc>
          <w:tcPr>
            <w:tcW w:w="8767" w:type="dxa"/>
            <w:tcBorders>
              <w:top w:val="nil"/>
              <w:left w:val="nil"/>
              <w:bottom w:val="nil"/>
              <w:right w:val="nil"/>
            </w:tcBorders>
          </w:tcPr>
          <w:p w:rsidR="003601B7" w:rsidRDefault="003601B7" w:rsidP="00CC1191">
            <w:pPr>
              <w:pStyle w:val="Box"/>
              <w:keepNext w:val="0"/>
              <w:spacing w:before="60" w:after="60" w:line="80" w:lineRule="exact"/>
              <w:rPr>
                <w:b/>
                <w:color w:val="FF00FF"/>
                <w:sz w:val="14"/>
              </w:rPr>
            </w:pPr>
          </w:p>
        </w:tc>
      </w:tr>
    </w:tbl>
    <w:p w:rsidR="000E3F1E" w:rsidRDefault="000E3F1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E3F1E">
        <w:tc>
          <w:tcPr>
            <w:tcW w:w="8771" w:type="dxa"/>
            <w:tcBorders>
              <w:top w:val="single" w:sz="6" w:space="0" w:color="auto"/>
              <w:bottom w:val="nil"/>
            </w:tcBorders>
          </w:tcPr>
          <w:p w:rsidR="000E3F1E" w:rsidRDefault="000E3F1E">
            <w:pPr>
              <w:pStyle w:val="BoxTitle"/>
            </w:pPr>
            <w:r w:rsidRPr="00E0056E">
              <w:rPr>
                <w:b w:val="0"/>
                <w:sz w:val="24"/>
              </w:rPr>
              <w:t xml:space="preserve">Box </w:t>
            </w:r>
            <w:r w:rsidRPr="000E3F1E">
              <w:rPr>
                <w:b w:val="0"/>
              </w:rPr>
              <w:t>13.3</w:t>
            </w:r>
            <w:r w:rsidRPr="00E0056E">
              <w:rPr>
                <w:sz w:val="24"/>
              </w:rPr>
              <w:tab/>
            </w:r>
            <w:r w:rsidRPr="00E0056E">
              <w:rPr>
                <w:sz w:val="18"/>
                <w:szCs w:val="18"/>
              </w:rPr>
              <w:t>(continued)</w:t>
            </w:r>
          </w:p>
        </w:tc>
      </w:tr>
      <w:tr w:rsidR="000E3F1E">
        <w:trPr>
          <w:cantSplit/>
        </w:trPr>
        <w:tc>
          <w:tcPr>
            <w:tcW w:w="8771" w:type="dxa"/>
            <w:tcBorders>
              <w:top w:val="nil"/>
              <w:left w:val="single" w:sz="6" w:space="0" w:color="auto"/>
              <w:bottom w:val="nil"/>
              <w:right w:val="single" w:sz="6" w:space="0" w:color="auto"/>
            </w:tcBorders>
          </w:tcPr>
          <w:p w:rsidR="000E3F1E" w:rsidRDefault="000E3F1E" w:rsidP="000E3F1E">
            <w:pPr>
              <w:pStyle w:val="Box"/>
            </w:pPr>
            <w:r>
              <w:t>Data reported for the six measures for this indicator are:</w:t>
            </w:r>
          </w:p>
          <w:p w:rsidR="000E3F1E" w:rsidRDefault="000E3F1E" w:rsidP="00386D3E">
            <w:pPr>
              <w:pStyle w:val="BoxListBullet"/>
            </w:pPr>
            <w:r>
              <w:t xml:space="preserve">comparable (subject to caveats) across jurisdictions but a </w:t>
            </w:r>
            <w:r w:rsidRPr="000E3F1E">
              <w:t xml:space="preserve">break in series means that data for </w:t>
            </w:r>
            <w:r>
              <w:t>2012</w:t>
            </w:r>
            <w:r w:rsidR="00AA68A5">
              <w:noBreakHyphen/>
            </w:r>
            <w:r>
              <w:t xml:space="preserve">13 </w:t>
            </w:r>
            <w:r w:rsidRPr="000E3F1E">
              <w:t xml:space="preserve">are not comparable to data for </w:t>
            </w:r>
            <w:r>
              <w:t>earlier years</w:t>
            </w:r>
            <w:r w:rsidR="00386D3E">
              <w:t xml:space="preserve"> (except for the ‘access </w:t>
            </w:r>
            <w:r w:rsidR="00386D3E" w:rsidRPr="00386D3E">
              <w:t>to residential services by financially disadvantaged users</w:t>
            </w:r>
            <w:r w:rsidR="00386D3E">
              <w:t>’ measures that are comparable over time)</w:t>
            </w:r>
          </w:p>
          <w:p w:rsidR="000E3F1E" w:rsidRDefault="000E3F1E" w:rsidP="000E3F1E">
            <w:pPr>
              <w:pStyle w:val="BoxListBullet"/>
            </w:pPr>
            <w:r>
              <w:t>complete for the current reporting period (subject to caveats). All required 2012</w:t>
            </w:r>
            <w:r w:rsidR="00AA68A5">
              <w:noBreakHyphen/>
            </w:r>
            <w:r>
              <w:t>13 data are available for all jurisdictions.</w:t>
            </w:r>
          </w:p>
          <w:p w:rsidR="000E3F1E" w:rsidRDefault="007B127C" w:rsidP="007B127C">
            <w:pPr>
              <w:pStyle w:val="Box"/>
            </w:pPr>
            <w:r>
              <w:t>Da</w:t>
            </w:r>
            <w:r w:rsidR="000E3F1E" w:rsidRPr="00C16403">
              <w:t>ta quality</w:t>
            </w:r>
            <w:r>
              <w:t xml:space="preserve"> information</w:t>
            </w:r>
            <w:r w:rsidR="000E3F1E" w:rsidRPr="00C16403">
              <w:t xml:space="preserve"> for </w:t>
            </w:r>
            <w:r w:rsidR="000E3F1E">
              <w:t>five</w:t>
            </w:r>
            <w:r w:rsidR="000E3F1E" w:rsidRPr="00C16403">
              <w:t xml:space="preserve"> measures defined for this indicator is at </w:t>
            </w:r>
            <w:proofErr w:type="spellStart"/>
            <w:r w:rsidR="000E3F1E" w:rsidRPr="00C16403">
              <w:t>www.pc.gov.au</w:t>
            </w:r>
            <w:proofErr w:type="spellEnd"/>
            <w:r w:rsidR="000E3F1E" w:rsidRPr="00C16403">
              <w:t>/</w:t>
            </w:r>
            <w:proofErr w:type="spellStart"/>
            <w:r w:rsidR="000E3F1E" w:rsidRPr="00C16403">
              <w:t>gsp</w:t>
            </w:r>
            <w:proofErr w:type="spellEnd"/>
            <w:r w:rsidR="000E3F1E" w:rsidRPr="00C16403">
              <w:t>/reports/</w:t>
            </w:r>
            <w:proofErr w:type="spellStart"/>
            <w:r w:rsidR="000E3F1E" w:rsidRPr="00C16403">
              <w:t>rogs</w:t>
            </w:r>
            <w:proofErr w:type="spellEnd"/>
            <w:r w:rsidR="000E3F1E" w:rsidRPr="00C16403">
              <w:t>/201</w:t>
            </w:r>
            <w:r w:rsidR="008F1070">
              <w:t>4</w:t>
            </w:r>
            <w:r w:rsidR="000E3F1E" w:rsidRPr="00C16403">
              <w:t>. Data quality information for the other measures is under development.</w:t>
            </w:r>
          </w:p>
        </w:tc>
      </w:tr>
      <w:tr w:rsidR="000E3F1E">
        <w:trPr>
          <w:cantSplit/>
        </w:trPr>
        <w:tc>
          <w:tcPr>
            <w:tcW w:w="8771" w:type="dxa"/>
            <w:tcBorders>
              <w:top w:val="nil"/>
              <w:left w:val="single" w:sz="6" w:space="0" w:color="auto"/>
              <w:bottom w:val="single" w:sz="6" w:space="0" w:color="auto"/>
              <w:right w:val="single" w:sz="6" w:space="0" w:color="auto"/>
            </w:tcBorders>
          </w:tcPr>
          <w:p w:rsidR="000E3F1E" w:rsidRDefault="000E3F1E">
            <w:pPr>
              <w:pStyle w:val="Box"/>
              <w:spacing w:before="0" w:line="120" w:lineRule="exact"/>
            </w:pPr>
          </w:p>
        </w:tc>
      </w:tr>
      <w:tr w:rsidR="000E3F1E" w:rsidRPr="000863A5">
        <w:tc>
          <w:tcPr>
            <w:tcW w:w="8771" w:type="dxa"/>
            <w:tcBorders>
              <w:top w:val="nil"/>
              <w:left w:val="nil"/>
              <w:bottom w:val="nil"/>
              <w:right w:val="nil"/>
            </w:tcBorders>
          </w:tcPr>
          <w:p w:rsidR="000E3F1E" w:rsidRPr="000863A5" w:rsidRDefault="000E3F1E" w:rsidP="000E3F1E">
            <w:pPr>
              <w:pStyle w:val="Box"/>
              <w:keepNext w:val="0"/>
              <w:spacing w:before="60" w:after="60" w:line="80" w:lineRule="exact"/>
              <w:rPr>
                <w:b/>
                <w:sz w:val="14"/>
              </w:rPr>
            </w:pPr>
          </w:p>
        </w:tc>
      </w:tr>
    </w:tbl>
    <w:p w:rsidR="00A12C8F" w:rsidRDefault="00A12C8F" w:rsidP="00CC1191">
      <w:pPr>
        <w:pStyle w:val="BodyText"/>
      </w:pPr>
      <w:r>
        <w:t>Data presented for this indicator are organised by the type of service provided, with sub</w:t>
      </w:r>
      <w:r w:rsidR="00AA68A5">
        <w:noBreakHyphen/>
      </w:r>
      <w:r>
        <w:t>sections for the relevant special needs groups reported against that service.</w:t>
      </w:r>
    </w:p>
    <w:p w:rsidR="00A12C8F" w:rsidRDefault="00A12C8F" w:rsidP="00CC1191">
      <w:pPr>
        <w:pStyle w:val="Heading5"/>
      </w:pPr>
      <w:r>
        <w:t xml:space="preserve">Access to residential aged care services by </w:t>
      </w:r>
      <w:r w:rsidR="00EB2705">
        <w:t>Indigenous Australians</w:t>
      </w:r>
      <w:r>
        <w:t xml:space="preserve"> and people born in a non</w:t>
      </w:r>
      <w:r w:rsidR="00AA68A5">
        <w:noBreakHyphen/>
      </w:r>
      <w:r>
        <w:t>English speaking country</w:t>
      </w:r>
    </w:p>
    <w:p w:rsidR="00A12C8F" w:rsidRDefault="00A12C8F" w:rsidP="00CC1191">
      <w:pPr>
        <w:pStyle w:val="BodyText"/>
      </w:pPr>
      <w:r>
        <w:t>In all jurisdictions at 30</w:t>
      </w:r>
      <w:r w:rsidR="00AA68A5">
        <w:t> </w:t>
      </w:r>
      <w:r w:rsidR="00714EDC">
        <w:t>June 201</w:t>
      </w:r>
      <w:r w:rsidR="00784140">
        <w:t>3</w:t>
      </w:r>
      <w:r>
        <w:t xml:space="preserve">, on average, </w:t>
      </w:r>
      <w:r w:rsidR="00EB2705">
        <w:t>Indigenous Australians</w:t>
      </w:r>
      <w:r>
        <w:t xml:space="preserve"> and people born in non</w:t>
      </w:r>
      <w:r w:rsidR="00AA68A5">
        <w:noBreakHyphen/>
      </w:r>
      <w:r>
        <w:t xml:space="preserve">English speaking countries had lower rates of use of aged care residential </w:t>
      </w:r>
      <w:r w:rsidRPr="00DD52D1">
        <w:t>services (</w:t>
      </w:r>
      <w:r w:rsidR="000E3F1E">
        <w:t>21.0</w:t>
      </w:r>
      <w:r w:rsidR="00FD19E3">
        <w:t xml:space="preserve"> </w:t>
      </w:r>
      <w:r w:rsidRPr="00554BA0">
        <w:t xml:space="preserve">and </w:t>
      </w:r>
      <w:r w:rsidR="000E3F1E">
        <w:t>41.2</w:t>
      </w:r>
      <w:r w:rsidR="00FD19E3" w:rsidRPr="00554BA0">
        <w:t xml:space="preserve"> </w:t>
      </w:r>
      <w:r w:rsidRPr="00554BA0">
        <w:t xml:space="preserve">per 1000 of the relevant </w:t>
      </w:r>
      <w:r w:rsidR="00BA6A50">
        <w:t xml:space="preserve">aged care </w:t>
      </w:r>
      <w:r w:rsidRPr="00554BA0">
        <w:t>target populations respectively), compared with the population as a whole (</w:t>
      </w:r>
      <w:r w:rsidR="000E3F1E">
        <w:t>52.0</w:t>
      </w:r>
      <w:r w:rsidRPr="00554BA0">
        <w:t xml:space="preserve"> per</w:t>
      </w:r>
      <w:r w:rsidRPr="00DD52D1">
        <w:t xml:space="preserve"> </w:t>
      </w:r>
      <w:r>
        <w:t xml:space="preserve">1000) </w:t>
      </w:r>
      <w:r w:rsidR="000F3701">
        <w:br/>
      </w:r>
      <w:r>
        <w:t>(figure</w:t>
      </w:r>
      <w:r w:rsidR="00AA68A5">
        <w:t> </w:t>
      </w:r>
      <w:r>
        <w:t>13.</w:t>
      </w:r>
      <w:r w:rsidR="00784140">
        <w:t>9</w:t>
      </w:r>
      <w:r>
        <w:t>).</w:t>
      </w:r>
    </w:p>
    <w:p w:rsidR="00E1675E" w:rsidRPr="00C11AA6" w:rsidRDefault="00E1675E" w:rsidP="00E1675E">
      <w:pPr>
        <w:pStyle w:val="BodyText"/>
      </w:pPr>
      <w:r>
        <w:t>Age specific usage rates for these services, by jurisdiction (</w:t>
      </w:r>
      <w:r w:rsidRPr="00C11AA6">
        <w:t>tables</w:t>
      </w:r>
      <w:r w:rsidR="00AA68A5">
        <w:t> </w:t>
      </w:r>
      <w:proofErr w:type="spellStart"/>
      <w:r w:rsidRPr="00C11AA6">
        <w:t>13</w:t>
      </w:r>
      <w:r>
        <w:t>A.35</w:t>
      </w:r>
      <w:proofErr w:type="spellEnd"/>
      <w:r>
        <w:t xml:space="preserve"> and</w:t>
      </w:r>
      <w:r w:rsidRPr="00C11AA6">
        <w:t xml:space="preserve"> </w:t>
      </w:r>
      <w:proofErr w:type="spellStart"/>
      <w:r w:rsidRPr="00C11AA6">
        <w:t>13</w:t>
      </w:r>
      <w:r>
        <w:t>A.40</w:t>
      </w:r>
      <w:proofErr w:type="spellEnd"/>
      <w:r>
        <w:t xml:space="preserve">) and nationally by remoteness </w:t>
      </w:r>
      <w:r w:rsidRPr="00C11AA6">
        <w:t>(</w:t>
      </w:r>
      <w:r>
        <w:t>tables</w:t>
      </w:r>
      <w:r w:rsidR="00AA68A5">
        <w:t> </w:t>
      </w:r>
      <w:proofErr w:type="spellStart"/>
      <w:r w:rsidRPr="00C11AA6">
        <w:t>13</w:t>
      </w:r>
      <w:r>
        <w:t>A.42</w:t>
      </w:r>
      <w:proofErr w:type="spellEnd"/>
      <w:r>
        <w:t xml:space="preserve"> and</w:t>
      </w:r>
      <w:r w:rsidRPr="00C11AA6">
        <w:t xml:space="preserve"> </w:t>
      </w:r>
      <w:proofErr w:type="spellStart"/>
      <w:r w:rsidRPr="00C11AA6">
        <w:t>13A.4</w:t>
      </w:r>
      <w:r>
        <w:t>4</w:t>
      </w:r>
      <w:proofErr w:type="spellEnd"/>
      <w:r w:rsidR="00AA68A5">
        <w:noBreakHyphen/>
      </w:r>
      <w:r w:rsidRPr="00C11AA6">
        <w:t>4</w:t>
      </w:r>
      <w:r>
        <w:t>5</w:t>
      </w:r>
      <w:r w:rsidRPr="00C11AA6">
        <w:t>)</w:t>
      </w:r>
      <w:r>
        <w:t>, suggest there is greater variation in usage rates by remoteness area than amongst jurisdictions</w:t>
      </w:r>
      <w:r w:rsidRPr="00C11AA6">
        <w:t>.</w:t>
      </w:r>
    </w:p>
    <w:p w:rsidR="00E1675E" w:rsidRDefault="00E1675E" w:rsidP="00CC1191">
      <w:pPr>
        <w:pStyle w:val="BodyText"/>
      </w:pPr>
    </w:p>
    <w:p w:rsidR="00A12C8F" w:rsidRDefault="00A12C8F" w:rsidP="001A7663">
      <w:pPr>
        <w:pStyle w:val="FigureTitle"/>
        <w:keepLines w:val="0"/>
        <w:ind w:left="1560" w:hanging="1560"/>
      </w:pPr>
      <w:r>
        <w:rPr>
          <w:b w:val="0"/>
        </w:rPr>
        <w:lastRenderedPageBreak/>
        <w:t xml:space="preserve">Figure </w:t>
      </w:r>
      <w:r w:rsidR="000E3F1E">
        <w:rPr>
          <w:b w:val="0"/>
        </w:rPr>
        <w:t>13.</w:t>
      </w:r>
      <w:r w:rsidR="00E4728C">
        <w:rPr>
          <w:b w:val="0"/>
          <w:noProof/>
        </w:rPr>
        <w:t>9</w:t>
      </w:r>
      <w:r>
        <w:tab/>
        <w:t xml:space="preserve">Residents per 1000 </w:t>
      </w:r>
      <w:r w:rsidR="00CC6EC1">
        <w:t xml:space="preserve">aged care </w:t>
      </w:r>
      <w:r>
        <w:t>target population, 30</w:t>
      </w:r>
      <w:r w:rsidR="00AA68A5">
        <w:t> </w:t>
      </w:r>
      <w:r w:rsidR="00714EDC">
        <w:t>June 201</w:t>
      </w:r>
      <w:r w:rsidR="007906D6">
        <w:t>3</w:t>
      </w:r>
      <w:r w:rsidRPr="00F05CB2">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A185E" w:rsidRPr="00640545" w:rsidTr="00E74698">
        <w:tc>
          <w:tcPr>
            <w:tcW w:w="8777" w:type="dxa"/>
            <w:tcBorders>
              <w:top w:val="single" w:sz="6" w:space="0" w:color="auto"/>
              <w:bottom w:val="single" w:sz="6" w:space="0" w:color="auto"/>
              <w:right w:val="nil"/>
            </w:tcBorders>
          </w:tcPr>
          <w:p w:rsidR="001A185E" w:rsidRPr="00F070CB" w:rsidRDefault="008018D4" w:rsidP="001A7663">
            <w:pPr>
              <w:pStyle w:val="Figure"/>
            </w:pPr>
            <w:r>
              <w:rPr>
                <w:noProof/>
              </w:rPr>
              <w:drawing>
                <wp:inline distT="0" distB="0" distL="0" distR="0">
                  <wp:extent cx="5391150" cy="2647950"/>
                  <wp:effectExtent l="0" t="0" r="0" b="0"/>
                  <wp:docPr id="10" name="Picture 10" descr="Figure 13.9 Residents per 1000 aged care target population, 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2647950"/>
                          </a:xfrm>
                          <a:prstGeom prst="rect">
                            <a:avLst/>
                          </a:prstGeom>
                          <a:noFill/>
                          <a:ln>
                            <a:noFill/>
                          </a:ln>
                        </pic:spPr>
                      </pic:pic>
                    </a:graphicData>
                  </a:graphic>
                </wp:inline>
              </w:drawing>
            </w:r>
          </w:p>
        </w:tc>
      </w:tr>
    </w:tbl>
    <w:p w:rsidR="00A12C8F" w:rsidRDefault="00A12C8F" w:rsidP="001A7663">
      <w:pPr>
        <w:pStyle w:val="Note"/>
        <w:keepNext/>
        <w:keepLines w:val="0"/>
      </w:pPr>
      <w:proofErr w:type="spellStart"/>
      <w:r>
        <w:rPr>
          <w:rStyle w:val="NoteLabel"/>
        </w:rPr>
        <w:t>a</w:t>
      </w:r>
      <w:proofErr w:type="spellEnd"/>
      <w:r w:rsidR="00313C0F">
        <w:t> </w:t>
      </w:r>
      <w:r>
        <w:t xml:space="preserve">All residents data are per 1000 people aged </w:t>
      </w:r>
      <w:r w:rsidR="00D57A73">
        <w:t>65</w:t>
      </w:r>
      <w:r>
        <w:t xml:space="preserve"> years or </w:t>
      </w:r>
      <w:r w:rsidR="00C05C11">
        <w:t xml:space="preserve">over </w:t>
      </w:r>
      <w:r w:rsidR="00CF2C9C" w:rsidRPr="00A857BD">
        <w:t>and</w:t>
      </w:r>
      <w:r>
        <w:t xml:space="preserve"> </w:t>
      </w:r>
      <w:r w:rsidR="00EB2705">
        <w:t>Indigenous Australians</w:t>
      </w:r>
      <w:r>
        <w:t xml:space="preserve"> aged 50–6</w:t>
      </w:r>
      <w:r w:rsidR="00D57A73">
        <w:t>4</w:t>
      </w:r>
      <w:r>
        <w:t xml:space="preserve"> years. </w:t>
      </w:r>
      <w:r w:rsidRPr="008811E7">
        <w:rPr>
          <w:rStyle w:val="NoteLabel"/>
        </w:rPr>
        <w:t>b</w:t>
      </w:r>
      <w:r>
        <w:t> </w:t>
      </w:r>
      <w:r w:rsidR="00313C0F">
        <w:t>Indigenous residents</w:t>
      </w:r>
      <w:r>
        <w:t xml:space="preserve"> data are per 1000 </w:t>
      </w:r>
      <w:r w:rsidR="00EB2705">
        <w:t>Indigenous Australians</w:t>
      </w:r>
      <w:r>
        <w:t xml:space="preserve"> aged 50 years or over. </w:t>
      </w:r>
      <w:r w:rsidRPr="00B2594C">
        <w:rPr>
          <w:rStyle w:val="NoteLabel"/>
        </w:rPr>
        <w:t>c</w:t>
      </w:r>
      <w:r>
        <w:t> Data for residents from a non</w:t>
      </w:r>
      <w:r w:rsidR="00AA68A5">
        <w:noBreakHyphen/>
      </w:r>
      <w:r>
        <w:t>English speaking country are per 1000 people from non</w:t>
      </w:r>
      <w:r w:rsidR="00AA68A5">
        <w:noBreakHyphen/>
      </w:r>
      <w:r>
        <w:t xml:space="preserve">English speaking countries aged </w:t>
      </w:r>
      <w:r w:rsidR="00D57A73">
        <w:t>65</w:t>
      </w:r>
      <w:r>
        <w:t xml:space="preserve"> years or over.</w:t>
      </w:r>
    </w:p>
    <w:p w:rsidR="00A12C8F" w:rsidRDefault="00A12C8F" w:rsidP="00F2055D">
      <w:pPr>
        <w:pStyle w:val="Source"/>
        <w:keepNext/>
        <w:keepLines w:val="0"/>
      </w:pPr>
      <w:r>
        <w:rPr>
          <w:i/>
        </w:rPr>
        <w:t>Source</w:t>
      </w:r>
      <w:r w:rsidRPr="008867D0">
        <w:t>:</w:t>
      </w:r>
      <w:r w:rsidR="00543AE9">
        <w:t xml:space="preserve"> </w:t>
      </w:r>
      <w:proofErr w:type="spellStart"/>
      <w:r w:rsidR="00543AE9" w:rsidRPr="00F2055D">
        <w:rPr>
          <w:shd w:val="clear" w:color="auto" w:fill="FFFFFF" w:themeFill="background1"/>
        </w:rPr>
        <w:t>D</w:t>
      </w:r>
      <w:r w:rsidR="0047464A" w:rsidRPr="00F2055D">
        <w:rPr>
          <w:shd w:val="clear" w:color="auto" w:fill="FFFFFF" w:themeFill="background1"/>
        </w:rPr>
        <w:t>SS</w:t>
      </w:r>
      <w:proofErr w:type="spellEnd"/>
      <w:r w:rsidRPr="00F2055D">
        <w:rPr>
          <w:shd w:val="clear" w:color="auto" w:fill="FFFFFF" w:themeFill="background1"/>
        </w:rPr>
        <w:t xml:space="preserve"> (</w:t>
      </w:r>
      <w:r>
        <w:t>unpublished); tables</w:t>
      </w:r>
      <w:r w:rsidR="00AA68A5">
        <w:t> </w:t>
      </w:r>
      <w:proofErr w:type="spellStart"/>
      <w:r>
        <w:t>13A.</w:t>
      </w:r>
      <w:r w:rsidR="00B37E32">
        <w:t>2</w:t>
      </w:r>
      <w:r w:rsidR="000E3F1E">
        <w:t>8</w:t>
      </w:r>
      <w:proofErr w:type="spellEnd"/>
      <w:r>
        <w:t xml:space="preserve">, </w:t>
      </w:r>
      <w:proofErr w:type="spellStart"/>
      <w:r>
        <w:t>13</w:t>
      </w:r>
      <w:r w:rsidR="00E16794">
        <w:t>A.3</w:t>
      </w:r>
      <w:r w:rsidR="000E3F1E">
        <w:t>1</w:t>
      </w:r>
      <w:proofErr w:type="spellEnd"/>
      <w:r>
        <w:t xml:space="preserve"> and </w:t>
      </w:r>
      <w:proofErr w:type="spellStart"/>
      <w:r>
        <w:t>13</w:t>
      </w:r>
      <w:r w:rsidR="00E16794">
        <w:t>A.3</w:t>
      </w:r>
      <w:r w:rsidR="000E3F1E">
        <w:t>3</w:t>
      </w:r>
      <w:proofErr w:type="spellEnd"/>
      <w:r>
        <w:t>.</w:t>
      </w:r>
    </w:p>
    <w:p w:rsidR="00A12C8F" w:rsidRDefault="00A12C8F" w:rsidP="00CC1191">
      <w:pPr>
        <w:pStyle w:val="Heading5"/>
      </w:pPr>
      <w:r>
        <w:t xml:space="preserve">Access to </w:t>
      </w:r>
      <w:r w:rsidR="00665971">
        <w:t>CACP services</w:t>
      </w:r>
      <w:r>
        <w:t xml:space="preserve"> by </w:t>
      </w:r>
      <w:r w:rsidR="00EB2705">
        <w:t>Indigenous Australians</w:t>
      </w:r>
      <w:r w:rsidR="008811E7">
        <w:t xml:space="preserve"> and people born in a </w:t>
      </w:r>
      <w:r w:rsidR="00244FA7">
        <w:br/>
      </w:r>
      <w:r>
        <w:t>non</w:t>
      </w:r>
      <w:r w:rsidR="00AA68A5">
        <w:noBreakHyphen/>
      </w:r>
      <w:r>
        <w:t>English speaking country</w:t>
      </w:r>
    </w:p>
    <w:p w:rsidR="00A12C8F" w:rsidRDefault="00313C0F" w:rsidP="00BA6E14">
      <w:pPr>
        <w:pStyle w:val="BodyText"/>
      </w:pPr>
      <w:r>
        <w:t>Nationally, the</w:t>
      </w:r>
      <w:r w:rsidR="00A12C8F" w:rsidRPr="00DD52D1">
        <w:t xml:space="preserve"> number </w:t>
      </w:r>
      <w:r w:rsidR="00A12C8F" w:rsidRPr="00554BA0">
        <w:t xml:space="preserve">of Indigenous CACP recipients per 1000 </w:t>
      </w:r>
      <w:r w:rsidR="00EB2705">
        <w:t>Indigenous Australians</w:t>
      </w:r>
      <w:r w:rsidR="00A12C8F" w:rsidRPr="00554BA0">
        <w:t xml:space="preserve"> aged 50 years or over was </w:t>
      </w:r>
      <w:r w:rsidR="000E3F1E">
        <w:t>24.6</w:t>
      </w:r>
      <w:r w:rsidR="00A12C8F" w:rsidRPr="00554BA0">
        <w:t xml:space="preserve"> and the numbers of CACP recipients from non</w:t>
      </w:r>
      <w:r w:rsidR="00A12C8F" w:rsidRPr="00554BA0">
        <w:noBreakHyphen/>
        <w:t xml:space="preserve">English speaking countries per 1000 of the relevant </w:t>
      </w:r>
      <w:r w:rsidR="008C643A">
        <w:t xml:space="preserve">aged care </w:t>
      </w:r>
      <w:r w:rsidR="00A12C8F" w:rsidRPr="00554BA0">
        <w:t xml:space="preserve">target population was </w:t>
      </w:r>
      <w:r w:rsidR="000E3F1E">
        <w:t>14.0</w:t>
      </w:r>
      <w:r w:rsidR="00A12C8F" w:rsidRPr="00554BA0">
        <w:t xml:space="preserve">. These </w:t>
      </w:r>
      <w:r>
        <w:t>numbers</w:t>
      </w:r>
      <w:r w:rsidR="00A12C8F" w:rsidRPr="00554BA0">
        <w:t xml:space="preserve"> compare to a total of </w:t>
      </w:r>
      <w:r w:rsidR="000E3F1E">
        <w:t>13.3</w:t>
      </w:r>
      <w:r w:rsidR="00A12C8F" w:rsidRPr="00554BA0">
        <w:t xml:space="preserve"> per 1000 of the</w:t>
      </w:r>
      <w:r w:rsidR="00A12C8F" w:rsidRPr="00DD52D1">
        <w:t xml:space="preserve"> </w:t>
      </w:r>
      <w:r w:rsidR="008C643A">
        <w:t xml:space="preserve">aged care </w:t>
      </w:r>
      <w:r w:rsidR="00A12C8F" w:rsidRPr="00DD52D1">
        <w:t>target</w:t>
      </w:r>
      <w:r w:rsidR="00A12C8F">
        <w:t xml:space="preserve"> population (people aged </w:t>
      </w:r>
      <w:r w:rsidR="00D57A73">
        <w:t>65</w:t>
      </w:r>
      <w:r w:rsidR="00A12C8F">
        <w:t xml:space="preserve"> years or </w:t>
      </w:r>
      <w:r w:rsidR="00C05C11">
        <w:t xml:space="preserve">over </w:t>
      </w:r>
      <w:r w:rsidR="00CF2C9C" w:rsidRPr="00A857BD">
        <w:t>and</w:t>
      </w:r>
      <w:r w:rsidR="00A12C8F" w:rsidRPr="00A857BD">
        <w:t xml:space="preserve"> </w:t>
      </w:r>
      <w:r w:rsidR="00EB2705">
        <w:t>Indigenous Australians</w:t>
      </w:r>
      <w:r w:rsidR="00A12C8F">
        <w:t xml:space="preserve"> aged 50–6</w:t>
      </w:r>
      <w:r w:rsidR="00D57A73">
        <w:t>4</w:t>
      </w:r>
      <w:r w:rsidR="00A12C8F">
        <w:t xml:space="preserve"> years) (figure</w:t>
      </w:r>
      <w:r w:rsidR="00AA68A5">
        <w:t> </w:t>
      </w:r>
      <w:r w:rsidR="00A12C8F">
        <w:t>13.</w:t>
      </w:r>
      <w:r w:rsidR="00784140">
        <w:t>10</w:t>
      </w:r>
      <w:r w:rsidR="00A12C8F">
        <w:t xml:space="preserve">). </w:t>
      </w:r>
    </w:p>
    <w:p w:rsidR="00A12C8F" w:rsidRDefault="00A12C8F" w:rsidP="00267F32">
      <w:pPr>
        <w:pStyle w:val="FigureTitle"/>
        <w:ind w:left="1560" w:hanging="1560"/>
      </w:pPr>
      <w:r>
        <w:rPr>
          <w:b w:val="0"/>
        </w:rPr>
        <w:lastRenderedPageBreak/>
        <w:t xml:space="preserve">Figure </w:t>
      </w:r>
      <w:r w:rsidR="00123414">
        <w:rPr>
          <w:b w:val="0"/>
        </w:rPr>
        <w:t>13.</w:t>
      </w:r>
      <w:r w:rsidR="00E4728C">
        <w:rPr>
          <w:b w:val="0"/>
          <w:noProof/>
        </w:rPr>
        <w:t>10</w:t>
      </w:r>
      <w:r>
        <w:tab/>
        <w:t xml:space="preserve">Community Aged Care Package recipients per 1000 </w:t>
      </w:r>
      <w:r w:rsidR="00CC6EC1">
        <w:t xml:space="preserve">aged care </w:t>
      </w:r>
      <w:r>
        <w:t>target population, 30</w:t>
      </w:r>
      <w:r w:rsidR="00AA68A5">
        <w:t> </w:t>
      </w:r>
      <w:r w:rsidR="00714EDC">
        <w:t>June 201</w:t>
      </w:r>
      <w:r w:rsidR="007906D6">
        <w:t>3</w:t>
      </w:r>
      <w:r w:rsidRPr="00F05CB2">
        <w:rPr>
          <w:rStyle w:val="NoteLabel"/>
          <w:b/>
        </w:rPr>
        <w:t>a, b, c, d,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1A185E" w:rsidRPr="00640545" w:rsidTr="00F2055D">
        <w:tc>
          <w:tcPr>
            <w:tcW w:w="8777" w:type="dxa"/>
            <w:tcBorders>
              <w:top w:val="single" w:sz="4" w:space="0" w:color="auto"/>
              <w:bottom w:val="single" w:sz="4" w:space="0" w:color="auto"/>
              <w:right w:val="nil"/>
            </w:tcBorders>
            <w:shd w:val="clear" w:color="auto" w:fill="FFFFFF" w:themeFill="background1"/>
          </w:tcPr>
          <w:p w:rsidR="001A185E" w:rsidRPr="00F070CB" w:rsidRDefault="008018D4" w:rsidP="003601B7">
            <w:pPr>
              <w:pStyle w:val="Figure"/>
            </w:pPr>
            <w:r>
              <w:rPr>
                <w:noProof/>
              </w:rPr>
              <w:drawing>
                <wp:inline distT="0" distB="0" distL="0" distR="0">
                  <wp:extent cx="5391150" cy="2714625"/>
                  <wp:effectExtent l="0" t="0" r="0" b="9525"/>
                  <wp:docPr id="11" name="Picture 11" descr="Figure 13.10 Community Aged Care Package recipients per 1000 aged care target population, 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A12C8F" w:rsidRDefault="00A12C8F" w:rsidP="00CC1191">
      <w:pPr>
        <w:pStyle w:val="Note"/>
      </w:pPr>
      <w:proofErr w:type="spellStart"/>
      <w:r>
        <w:rPr>
          <w:rStyle w:val="NoteLabel"/>
        </w:rPr>
        <w:t>a</w:t>
      </w:r>
      <w:proofErr w:type="spellEnd"/>
      <w:r w:rsidR="00313C0F">
        <w:t> </w:t>
      </w:r>
      <w:r>
        <w:t xml:space="preserve">All recipients data are per 1000 people aged </w:t>
      </w:r>
      <w:r w:rsidR="00CC6EC1">
        <w:t>65</w:t>
      </w:r>
      <w:r>
        <w:t xml:space="preserve"> years or </w:t>
      </w:r>
      <w:r w:rsidR="00C05C11">
        <w:t xml:space="preserve">over </w:t>
      </w:r>
      <w:r w:rsidR="00CF2C9C">
        <w:t>and</w:t>
      </w:r>
      <w:r>
        <w:t xml:space="preserve"> </w:t>
      </w:r>
      <w:r w:rsidR="00EB2705">
        <w:t>Indigenous Australians</w:t>
      </w:r>
      <w:r>
        <w:t xml:space="preserve"> aged 50–6</w:t>
      </w:r>
      <w:r w:rsidR="00CC6EC1">
        <w:t>4</w:t>
      </w:r>
      <w:r>
        <w:t xml:space="preserve"> years. </w:t>
      </w:r>
      <w:r>
        <w:br/>
      </w:r>
      <w:r w:rsidRPr="00CA45B1">
        <w:rPr>
          <w:rStyle w:val="NoteLabel"/>
        </w:rPr>
        <w:t>b</w:t>
      </w:r>
      <w:r w:rsidR="00313C0F">
        <w:t> Indigenous recipients</w:t>
      </w:r>
      <w:r>
        <w:t xml:space="preserve"> data are per 1000 </w:t>
      </w:r>
      <w:r w:rsidR="00EB2705">
        <w:t>Indigenous Australians</w:t>
      </w:r>
      <w:r>
        <w:t xml:space="preserve"> aged 50 years or over. </w:t>
      </w:r>
      <w:r w:rsidRPr="00CA45B1">
        <w:rPr>
          <w:rStyle w:val="NoteLabel"/>
        </w:rPr>
        <w:t>c</w:t>
      </w:r>
      <w:r>
        <w:t> Data for recipients from non</w:t>
      </w:r>
      <w:r w:rsidR="00AA68A5">
        <w:noBreakHyphen/>
      </w:r>
      <w:r>
        <w:t>English speaking countries are per 1000 people from non</w:t>
      </w:r>
      <w:r w:rsidR="00AA68A5">
        <w:noBreakHyphen/>
      </w:r>
      <w:r>
        <w:t xml:space="preserve">English speaking countries aged </w:t>
      </w:r>
      <w:r w:rsidR="00CC6EC1">
        <w:t>65</w:t>
      </w:r>
      <w:r>
        <w:t xml:space="preserve"> years or over. </w:t>
      </w:r>
      <w:r w:rsidRPr="00CA45B1">
        <w:rPr>
          <w:rStyle w:val="NoteLabel"/>
        </w:rPr>
        <w:t>d</w:t>
      </w:r>
      <w:r>
        <w:t> The ACT has a very small Indigenous population aged 50 years or over (table</w:t>
      </w:r>
      <w:r w:rsidR="00AA68A5">
        <w:t> </w:t>
      </w:r>
      <w:r>
        <w:t xml:space="preserve">13A.2), and a small number of packages result in a very high provision ratio. </w:t>
      </w:r>
      <w:r w:rsidRPr="00CA45B1">
        <w:rPr>
          <w:rStyle w:val="NoteLabel"/>
        </w:rPr>
        <w:t>e</w:t>
      </w:r>
      <w:r>
        <w:t> CACPs provide a more flexible model of care, more suitable to remote Indigenous communities, so areas such as the NT have a higher rate of CACP recipients per 1000 people.</w:t>
      </w:r>
    </w:p>
    <w:p w:rsidR="00A12C8F" w:rsidRDefault="00A12C8F" w:rsidP="00F2055D">
      <w:pPr>
        <w:pStyle w:val="Source"/>
      </w:pPr>
      <w:r>
        <w:rPr>
          <w:i/>
        </w:rPr>
        <w:t>Source</w:t>
      </w:r>
      <w:r w:rsidRPr="00CA45B1">
        <w:t xml:space="preserve">: </w:t>
      </w:r>
      <w:proofErr w:type="spellStart"/>
      <w:r w:rsidRPr="00F2055D">
        <w:rPr>
          <w:shd w:val="clear" w:color="auto" w:fill="FFFFFF" w:themeFill="background1"/>
        </w:rPr>
        <w:t>D</w:t>
      </w:r>
      <w:r w:rsidR="0047464A" w:rsidRPr="00F2055D">
        <w:rPr>
          <w:shd w:val="clear" w:color="auto" w:fill="FFFFFF" w:themeFill="background1"/>
        </w:rPr>
        <w:t>SS</w:t>
      </w:r>
      <w:proofErr w:type="spellEnd"/>
      <w:r>
        <w:t xml:space="preserve"> (unpublished); tables</w:t>
      </w:r>
      <w:r w:rsidR="00AA68A5">
        <w:t> </w:t>
      </w:r>
      <w:proofErr w:type="spellStart"/>
      <w:r w:rsidR="000E3F1E" w:rsidRPr="000E3F1E">
        <w:t>13A.28</w:t>
      </w:r>
      <w:proofErr w:type="spellEnd"/>
      <w:r w:rsidR="000E3F1E" w:rsidRPr="000E3F1E">
        <w:t xml:space="preserve">, </w:t>
      </w:r>
      <w:proofErr w:type="spellStart"/>
      <w:r w:rsidR="000E3F1E" w:rsidRPr="000E3F1E">
        <w:t>13A.31</w:t>
      </w:r>
      <w:proofErr w:type="spellEnd"/>
      <w:r w:rsidR="000E3F1E" w:rsidRPr="000E3F1E">
        <w:t xml:space="preserve"> and </w:t>
      </w:r>
      <w:proofErr w:type="spellStart"/>
      <w:r w:rsidR="000E3F1E" w:rsidRPr="000E3F1E">
        <w:t>13A.33</w:t>
      </w:r>
      <w:proofErr w:type="spellEnd"/>
      <w:r>
        <w:t>.</w:t>
      </w:r>
    </w:p>
    <w:p w:rsidR="00A12C8F" w:rsidRDefault="00A12C8F" w:rsidP="00CC1191">
      <w:pPr>
        <w:pStyle w:val="BodyText"/>
      </w:pPr>
      <w:r>
        <w:t xml:space="preserve">Age–sex specific usage rates vary between jurisdictions </w:t>
      </w:r>
      <w:r w:rsidR="000E3F1E">
        <w:t>(table</w:t>
      </w:r>
      <w:r w:rsidR="00AA68A5">
        <w:t> </w:t>
      </w:r>
      <w:proofErr w:type="spellStart"/>
      <w:r w:rsidR="00632037">
        <w:t>13A.</w:t>
      </w:r>
      <w:r w:rsidR="000E3F1E">
        <w:t>39</w:t>
      </w:r>
      <w:proofErr w:type="spellEnd"/>
      <w:r w:rsidR="00632037">
        <w:t xml:space="preserve">) </w:t>
      </w:r>
      <w:r>
        <w:t xml:space="preserve">and </w:t>
      </w:r>
      <w:r w:rsidR="00632037">
        <w:t>by remoteness</w:t>
      </w:r>
      <w:r>
        <w:t xml:space="preserve"> categories</w:t>
      </w:r>
      <w:r w:rsidR="00632037">
        <w:t xml:space="preserve"> </w:t>
      </w:r>
      <w:r w:rsidR="008E11BB">
        <w:t>nationally</w:t>
      </w:r>
      <w:r w:rsidR="008E11BB" w:rsidRPr="00C11AA6">
        <w:t xml:space="preserve"> </w:t>
      </w:r>
      <w:r w:rsidR="00632037" w:rsidRPr="00C11AA6">
        <w:t>(</w:t>
      </w:r>
      <w:r w:rsidR="000E3F1E">
        <w:t>table</w:t>
      </w:r>
      <w:r w:rsidR="00AA68A5">
        <w:t> </w:t>
      </w:r>
      <w:proofErr w:type="spellStart"/>
      <w:r w:rsidR="008E11BB">
        <w:t>13A.4</w:t>
      </w:r>
      <w:r w:rsidR="000E3F1E">
        <w:t>3</w:t>
      </w:r>
      <w:proofErr w:type="spellEnd"/>
      <w:r w:rsidR="00632037" w:rsidRPr="00C11AA6">
        <w:t>)</w:t>
      </w:r>
      <w:r>
        <w:t xml:space="preserve"> for </w:t>
      </w:r>
      <w:proofErr w:type="spellStart"/>
      <w:r>
        <w:t>CACP</w:t>
      </w:r>
      <w:proofErr w:type="spellEnd"/>
      <w:r w:rsidR="00BE0A4B">
        <w:t>,</w:t>
      </w:r>
      <w:r w:rsidR="008E11BB">
        <w:t xml:space="preserve"> EACH and EACH</w:t>
      </w:r>
      <w:r w:rsidR="008E11BB">
        <w:noBreakHyphen/>
        <w:t>D.</w:t>
      </w:r>
    </w:p>
    <w:p w:rsidR="002E5141" w:rsidRDefault="002E5141" w:rsidP="002E5141">
      <w:pPr>
        <w:pStyle w:val="Heading5"/>
      </w:pPr>
      <w:r>
        <w:t xml:space="preserve">Access to HACC aged care services by </w:t>
      </w:r>
      <w:r w:rsidR="00EB2705">
        <w:t>Indigenous Australians</w:t>
      </w:r>
      <w:r>
        <w:t xml:space="preserve"> and people born in a non</w:t>
      </w:r>
      <w:r w:rsidR="00AA68A5">
        <w:noBreakHyphen/>
      </w:r>
      <w:r>
        <w:t>English speaking country</w:t>
      </w:r>
    </w:p>
    <w:p w:rsidR="00EA569D" w:rsidRDefault="002E5141" w:rsidP="002E5141">
      <w:pPr>
        <w:pStyle w:val="BodyText"/>
      </w:pPr>
      <w:r>
        <w:t>Nationally, the</w:t>
      </w:r>
      <w:r w:rsidRPr="00DD52D1">
        <w:t xml:space="preserve"> number </w:t>
      </w:r>
      <w:r w:rsidRPr="00554BA0">
        <w:t xml:space="preserve">of Indigenous </w:t>
      </w:r>
      <w:r>
        <w:t>HACC</w:t>
      </w:r>
      <w:r w:rsidRPr="00554BA0">
        <w:t xml:space="preserve"> recipients per 1000 </w:t>
      </w:r>
      <w:r w:rsidR="00EB2705">
        <w:t>Indigenous Australians</w:t>
      </w:r>
      <w:r w:rsidRPr="00554BA0">
        <w:t xml:space="preserve"> aged 50 years or over was </w:t>
      </w:r>
      <w:r w:rsidR="00476C1A">
        <w:t>208.5</w:t>
      </w:r>
      <w:r w:rsidRPr="00554BA0">
        <w:t xml:space="preserve"> and the numbers of </w:t>
      </w:r>
      <w:r>
        <w:t>HACC</w:t>
      </w:r>
      <w:r w:rsidRPr="00554BA0">
        <w:t xml:space="preserve"> recipients from non</w:t>
      </w:r>
      <w:r w:rsidRPr="00554BA0">
        <w:noBreakHyphen/>
        <w:t>English</w:t>
      </w:r>
      <w:r>
        <w:t xml:space="preserve"> speaking countries per 1000 pe</w:t>
      </w:r>
      <w:r w:rsidR="006445A5">
        <w:t xml:space="preserve">ople aged 65 years or over was </w:t>
      </w:r>
      <w:r w:rsidR="00476C1A">
        <w:t>212.9</w:t>
      </w:r>
      <w:r w:rsidRPr="00554BA0">
        <w:t xml:space="preserve">. These </w:t>
      </w:r>
      <w:r>
        <w:t>numbers</w:t>
      </w:r>
      <w:r w:rsidRPr="00554BA0">
        <w:t xml:space="preserve"> compare to a total of </w:t>
      </w:r>
      <w:r w:rsidR="0002484E">
        <w:t>222</w:t>
      </w:r>
      <w:r w:rsidR="00476C1A">
        <w:t>.</w:t>
      </w:r>
      <w:r w:rsidR="0002484E">
        <w:t>8</w:t>
      </w:r>
      <w:r w:rsidRPr="00554BA0">
        <w:t xml:space="preserve"> per 1000 of the</w:t>
      </w:r>
      <w:r w:rsidRPr="00DD52D1">
        <w:t xml:space="preserve"> </w:t>
      </w:r>
      <w:r w:rsidR="00E10D09">
        <w:t xml:space="preserve">aged care </w:t>
      </w:r>
      <w:r w:rsidRPr="00DD52D1">
        <w:t>target</w:t>
      </w:r>
      <w:r>
        <w:t xml:space="preserve"> population (people aged 65 years or over </w:t>
      </w:r>
      <w:r w:rsidRPr="00A857BD">
        <w:t xml:space="preserve">and </w:t>
      </w:r>
      <w:r w:rsidR="00EB2705">
        <w:t>Indigenous Australians</w:t>
      </w:r>
      <w:r>
        <w:t xml:space="preserve"> aged</w:t>
      </w:r>
      <w:r w:rsidR="00476C1A">
        <w:br/>
      </w:r>
      <w:r>
        <w:t>50–64 years) (figure</w:t>
      </w:r>
      <w:r w:rsidR="00AA68A5">
        <w:t> </w:t>
      </w:r>
      <w:r>
        <w:t>13.</w:t>
      </w:r>
      <w:r w:rsidR="00C02D2C">
        <w:t>11</w:t>
      </w:r>
      <w:r w:rsidR="00476C1A">
        <w:t xml:space="preserve">). </w:t>
      </w:r>
    </w:p>
    <w:p w:rsidR="002E5141" w:rsidRDefault="002E5141" w:rsidP="002E5141">
      <w:pPr>
        <w:pStyle w:val="FigureTitle"/>
        <w:ind w:left="1560" w:hanging="1560"/>
      </w:pPr>
      <w:r>
        <w:rPr>
          <w:b w:val="0"/>
        </w:rPr>
        <w:lastRenderedPageBreak/>
        <w:t xml:space="preserve">Figure </w:t>
      </w:r>
      <w:r w:rsidR="00C02D2C">
        <w:rPr>
          <w:b w:val="0"/>
        </w:rPr>
        <w:t>13.</w:t>
      </w:r>
      <w:r w:rsidR="00E4728C">
        <w:rPr>
          <w:b w:val="0"/>
          <w:noProof/>
        </w:rPr>
        <w:t>11</w:t>
      </w:r>
      <w:r>
        <w:tab/>
        <w:t xml:space="preserve">HACC recipients per 1000 aged </w:t>
      </w:r>
      <w:r w:rsidR="00E10D09">
        <w:t xml:space="preserve">care </w:t>
      </w:r>
      <w:r>
        <w:t xml:space="preserve">target population, </w:t>
      </w:r>
      <w:r w:rsidR="00123E08">
        <w:br/>
      </w:r>
      <w:r>
        <w:t>30</w:t>
      </w:r>
      <w:r w:rsidR="00AA68A5">
        <w:t> </w:t>
      </w:r>
      <w:r>
        <w:t>June 201</w:t>
      </w:r>
      <w:r w:rsidR="007906D6">
        <w:t>3</w:t>
      </w:r>
      <w:r w:rsidRPr="00F05CB2">
        <w:rPr>
          <w:rStyle w:val="NoteLabel"/>
          <w:b/>
        </w:rPr>
        <w:t>a, 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2E5141" w:rsidRPr="00640545" w:rsidTr="00F2055D">
        <w:tc>
          <w:tcPr>
            <w:tcW w:w="8777" w:type="dxa"/>
            <w:tcBorders>
              <w:top w:val="single" w:sz="6" w:space="0" w:color="auto"/>
              <w:bottom w:val="single" w:sz="6" w:space="0" w:color="auto"/>
              <w:right w:val="nil"/>
            </w:tcBorders>
            <w:shd w:val="clear" w:color="auto" w:fill="FFFFFF" w:themeFill="background1"/>
          </w:tcPr>
          <w:p w:rsidR="002E5141" w:rsidRPr="00F070CB" w:rsidRDefault="008018D4" w:rsidP="00532215">
            <w:pPr>
              <w:pStyle w:val="Figure"/>
            </w:pPr>
            <w:r>
              <w:rPr>
                <w:noProof/>
              </w:rPr>
              <w:drawing>
                <wp:inline distT="0" distB="0" distL="0" distR="0">
                  <wp:extent cx="5391150" cy="2686050"/>
                  <wp:effectExtent l="0" t="0" r="0" b="0"/>
                  <wp:docPr id="12" name="Picture 12" descr="Figure 13.11 HACC recipients per 1000 aged care target population, 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91150" cy="2686050"/>
                          </a:xfrm>
                          <a:prstGeom prst="rect">
                            <a:avLst/>
                          </a:prstGeom>
                          <a:noFill/>
                          <a:ln>
                            <a:noFill/>
                          </a:ln>
                        </pic:spPr>
                      </pic:pic>
                    </a:graphicData>
                  </a:graphic>
                </wp:inline>
              </w:drawing>
            </w:r>
          </w:p>
        </w:tc>
      </w:tr>
    </w:tbl>
    <w:p w:rsidR="002E5141" w:rsidRDefault="002E5141" w:rsidP="002E5141">
      <w:pPr>
        <w:pStyle w:val="Note"/>
      </w:pPr>
      <w:proofErr w:type="spellStart"/>
      <w:r>
        <w:rPr>
          <w:rStyle w:val="NoteLabel"/>
        </w:rPr>
        <w:t>a</w:t>
      </w:r>
      <w:proofErr w:type="spellEnd"/>
      <w:r>
        <w:t> </w:t>
      </w:r>
      <w:r w:rsidR="0055253B">
        <w:t>All</w:t>
      </w:r>
      <w:r>
        <w:t xml:space="preserve"> recipients data are per 1000 people aged 65 years or over and </w:t>
      </w:r>
      <w:r w:rsidR="00EB2705">
        <w:t>Indigenous Australians</w:t>
      </w:r>
      <w:r>
        <w:t xml:space="preserve"> aged 50–64 years. </w:t>
      </w:r>
      <w:r w:rsidRPr="00CA45B1">
        <w:rPr>
          <w:rStyle w:val="NoteLabel"/>
        </w:rPr>
        <w:t>b</w:t>
      </w:r>
      <w:r>
        <w:t xml:space="preserve"> Indigenous recipients data are per 1000 </w:t>
      </w:r>
      <w:r w:rsidR="00EB2705">
        <w:t>Indigenous Australians</w:t>
      </w:r>
      <w:r>
        <w:t xml:space="preserve"> aged 50 years or over. </w:t>
      </w:r>
      <w:r w:rsidRPr="00CA45B1">
        <w:rPr>
          <w:rStyle w:val="NoteLabel"/>
        </w:rPr>
        <w:t>c</w:t>
      </w:r>
      <w:r>
        <w:t> Data for recipients from non</w:t>
      </w:r>
      <w:r w:rsidR="00AA68A5">
        <w:noBreakHyphen/>
      </w:r>
      <w:r>
        <w:t>English speaking countries are per 1000 people from non</w:t>
      </w:r>
      <w:r w:rsidR="00AA68A5">
        <w:noBreakHyphen/>
      </w:r>
      <w:r>
        <w:t xml:space="preserve">English speaking countries aged 65 years or over. </w:t>
      </w:r>
    </w:p>
    <w:p w:rsidR="002E5141" w:rsidRDefault="002E5141" w:rsidP="00F2055D">
      <w:pPr>
        <w:pStyle w:val="Source"/>
      </w:pPr>
      <w:r>
        <w:rPr>
          <w:i/>
        </w:rPr>
        <w:t>Source</w:t>
      </w:r>
      <w:r w:rsidRPr="00CA45B1">
        <w:t xml:space="preserve">: </w:t>
      </w:r>
      <w:r w:rsidRPr="00F2055D">
        <w:rPr>
          <w:shd w:val="clear" w:color="auto" w:fill="FFFFFF" w:themeFill="background1"/>
        </w:rPr>
        <w:t>D</w:t>
      </w:r>
      <w:r w:rsidR="00476C1A" w:rsidRPr="00F2055D">
        <w:rPr>
          <w:shd w:val="clear" w:color="auto" w:fill="FFFFFF" w:themeFill="background1"/>
        </w:rPr>
        <w:t>SS</w:t>
      </w:r>
      <w:r>
        <w:t xml:space="preserve"> (unpublished)</w:t>
      </w:r>
      <w:r w:rsidR="00476C1A">
        <w:t xml:space="preserve"> </w:t>
      </w:r>
      <w:r w:rsidR="00476C1A" w:rsidRPr="00476C1A">
        <w:rPr>
          <w:i/>
        </w:rPr>
        <w:t>Home and Community Care Minimum Data Set</w:t>
      </w:r>
      <w:r>
        <w:t>; table</w:t>
      </w:r>
      <w:r w:rsidR="00AA68A5">
        <w:t> </w:t>
      </w:r>
      <w:proofErr w:type="spellStart"/>
      <w:r>
        <w:t>13A.</w:t>
      </w:r>
      <w:r w:rsidR="00B74828">
        <w:t>3</w:t>
      </w:r>
      <w:r w:rsidR="00476C1A">
        <w:t>0</w:t>
      </w:r>
      <w:proofErr w:type="spellEnd"/>
      <w:r>
        <w:t>.</w:t>
      </w:r>
    </w:p>
    <w:p w:rsidR="00A12C8F" w:rsidRDefault="00A12C8F" w:rsidP="00CC1191">
      <w:pPr>
        <w:pStyle w:val="Heading5"/>
      </w:pPr>
      <w:r>
        <w:t>Access by veterans</w:t>
      </w:r>
    </w:p>
    <w:p w:rsidR="00A12C8F" w:rsidRDefault="00A12C8F" w:rsidP="00BA3627">
      <w:pPr>
        <w:pStyle w:val="BodyText"/>
      </w:pPr>
      <w:r w:rsidRPr="00F51A77">
        <w:t xml:space="preserve">The total number of veterans </w:t>
      </w:r>
      <w:r w:rsidR="00CC6EC1">
        <w:t>65</w:t>
      </w:r>
      <w:r w:rsidRPr="00F51A77">
        <w:t xml:space="preserve"> years </w:t>
      </w:r>
      <w:r w:rsidR="004E7E6D">
        <w:t xml:space="preserve">or </w:t>
      </w:r>
      <w:r w:rsidRPr="00F51A77">
        <w:t xml:space="preserve">over who </w:t>
      </w:r>
      <w:r>
        <w:t xml:space="preserve">were in the DVA treatment population </w:t>
      </w:r>
      <w:r w:rsidR="00BE0A4B">
        <w:t xml:space="preserve">(that is, eligible veterans) </w:t>
      </w:r>
      <w:r w:rsidRPr="00F51A77">
        <w:t>at 30</w:t>
      </w:r>
      <w:r w:rsidR="00AA68A5">
        <w:t> </w:t>
      </w:r>
      <w:r w:rsidR="006445A5">
        <w:t>June 201</w:t>
      </w:r>
      <w:r w:rsidR="00C02D2C">
        <w:t>3</w:t>
      </w:r>
      <w:r w:rsidRPr="00F51A77">
        <w:t xml:space="preserve"> was </w:t>
      </w:r>
      <w:r w:rsidR="00476C1A">
        <w:t>171 702</w:t>
      </w:r>
      <w:r w:rsidRPr="00F51A77">
        <w:t xml:space="preserve"> (table</w:t>
      </w:r>
      <w:r w:rsidR="00AA68A5">
        <w:t> </w:t>
      </w:r>
      <w:proofErr w:type="spellStart"/>
      <w:r w:rsidRPr="00F51A77">
        <w:t>13A.</w:t>
      </w:r>
      <w:r w:rsidR="00D2699A">
        <w:t>14</w:t>
      </w:r>
      <w:proofErr w:type="spellEnd"/>
      <w:r w:rsidRPr="00F51A77">
        <w:t>)</w:t>
      </w:r>
      <w:r w:rsidR="00D2699A">
        <w:t>.</w:t>
      </w:r>
      <w:r w:rsidRPr="00F51A77">
        <w:t xml:space="preserve"> The number of veterans in residential care per 1000 eligible veterans </w:t>
      </w:r>
      <w:r w:rsidR="00FD144D">
        <w:t xml:space="preserve">aged </w:t>
      </w:r>
      <w:r w:rsidR="00CC6EC1">
        <w:t>65</w:t>
      </w:r>
      <w:r w:rsidRPr="00F51A77">
        <w:t xml:space="preserve"> years </w:t>
      </w:r>
      <w:r w:rsidR="00FD144D">
        <w:t>or</w:t>
      </w:r>
      <w:r w:rsidRPr="00F51A77">
        <w:t xml:space="preserve"> over at 30</w:t>
      </w:r>
      <w:r w:rsidR="00AA68A5">
        <w:t> </w:t>
      </w:r>
      <w:r w:rsidR="00714EDC">
        <w:t>June 201</w:t>
      </w:r>
      <w:r w:rsidR="00C02D2C">
        <w:t>3</w:t>
      </w:r>
      <w:r w:rsidRPr="00F51A77">
        <w:t xml:space="preserve"> was </w:t>
      </w:r>
      <w:r w:rsidR="00476C1A">
        <w:t>158.0</w:t>
      </w:r>
      <w:r w:rsidRPr="00F51A77">
        <w:t xml:space="preserve"> (fig</w:t>
      </w:r>
      <w:r>
        <w:t>ure</w:t>
      </w:r>
      <w:r w:rsidR="00AA68A5">
        <w:t> </w:t>
      </w:r>
      <w:r w:rsidRPr="00F51A77">
        <w:t>13.</w:t>
      </w:r>
      <w:r>
        <w:t>1</w:t>
      </w:r>
      <w:r w:rsidR="00C02D2C">
        <w:t>2</w:t>
      </w:r>
      <w:r w:rsidRPr="00F51A77">
        <w:t xml:space="preserve">). Nationally, </w:t>
      </w:r>
      <w:r w:rsidR="003C3DA7">
        <w:t xml:space="preserve">total </w:t>
      </w:r>
      <w:r w:rsidR="00681863">
        <w:t xml:space="preserve">DVA </w:t>
      </w:r>
      <w:r w:rsidR="003C3DA7">
        <w:t xml:space="preserve">expenditure </w:t>
      </w:r>
      <w:r w:rsidR="00681863">
        <w:t xml:space="preserve">on </w:t>
      </w:r>
      <w:r w:rsidR="003C3DA7">
        <w:t xml:space="preserve">residential aged care subsidy </w:t>
      </w:r>
      <w:r w:rsidR="00681863">
        <w:t xml:space="preserve">per person aged </w:t>
      </w:r>
      <w:r w:rsidR="00CC6EC1">
        <w:t>65</w:t>
      </w:r>
      <w:r w:rsidR="00681863">
        <w:t xml:space="preserve"> years or over </w:t>
      </w:r>
      <w:r w:rsidR="003C3DA7">
        <w:t>was $</w:t>
      </w:r>
      <w:r w:rsidR="00476C1A">
        <w:t>393</w:t>
      </w:r>
      <w:r w:rsidR="00FA0AD2">
        <w:t xml:space="preserve"> (including payroll tax)</w:t>
      </w:r>
      <w:r w:rsidR="003C3DA7">
        <w:t xml:space="preserve"> </w:t>
      </w:r>
      <w:r w:rsidR="00E35FF0">
        <w:t xml:space="preserve">in </w:t>
      </w:r>
      <w:r w:rsidR="00714EDC">
        <w:t>201</w:t>
      </w:r>
      <w:r w:rsidR="00C02D2C">
        <w:t>2</w:t>
      </w:r>
      <w:r w:rsidR="00AA68A5">
        <w:noBreakHyphen/>
      </w:r>
      <w:r w:rsidR="00714EDC">
        <w:t>1</w:t>
      </w:r>
      <w:r w:rsidR="00C02D2C">
        <w:t>3</w:t>
      </w:r>
      <w:r w:rsidR="00E35FF0">
        <w:t xml:space="preserve"> </w:t>
      </w:r>
      <w:r>
        <w:t>(table </w:t>
      </w:r>
      <w:proofErr w:type="spellStart"/>
      <w:r w:rsidRPr="00F51A77">
        <w:t>13A.</w:t>
      </w:r>
      <w:r w:rsidR="00D2699A">
        <w:t>14</w:t>
      </w:r>
      <w:proofErr w:type="spellEnd"/>
      <w:r w:rsidRPr="00F51A77">
        <w:t>)</w:t>
      </w:r>
      <w:r>
        <w:t>.</w:t>
      </w:r>
      <w:r w:rsidR="00053FE4">
        <w:t xml:space="preserve"> Total DVA </w:t>
      </w:r>
      <w:r w:rsidR="004F4B2E">
        <w:t xml:space="preserve">expenditure </w:t>
      </w:r>
      <w:r w:rsidR="00476C1A" w:rsidRPr="00476C1A">
        <w:t xml:space="preserve">on residential aged care </w:t>
      </w:r>
      <w:r w:rsidR="00053FE4">
        <w:t xml:space="preserve">per </w:t>
      </w:r>
      <w:r w:rsidR="004F4B2E">
        <w:t>100</w:t>
      </w:r>
      <w:r w:rsidR="003B422B">
        <w:t>0</w:t>
      </w:r>
      <w:r w:rsidR="004F4B2E">
        <w:t xml:space="preserve"> eligible veterans </w:t>
      </w:r>
      <w:r w:rsidR="003835DB" w:rsidRPr="003835DB">
        <w:t xml:space="preserve">aged 65 years or over </w:t>
      </w:r>
      <w:r w:rsidR="004F4B2E">
        <w:t xml:space="preserve">was </w:t>
      </w:r>
      <w:r w:rsidR="003835DB">
        <w:br/>
      </w:r>
      <w:r w:rsidR="004F4B2E">
        <w:t>$</w:t>
      </w:r>
      <w:r w:rsidR="003835DB">
        <w:t>7.6</w:t>
      </w:r>
      <w:r w:rsidR="004F4B2E">
        <w:t xml:space="preserve"> million</w:t>
      </w:r>
      <w:r w:rsidR="00FA0AD2">
        <w:t xml:space="preserve"> (figure</w:t>
      </w:r>
      <w:r w:rsidR="00AA68A5">
        <w:t> </w:t>
      </w:r>
      <w:r w:rsidR="00FA0AD2">
        <w:t>13.1</w:t>
      </w:r>
      <w:r w:rsidR="00DE3705">
        <w:t>2</w:t>
      </w:r>
      <w:r w:rsidR="00FA0AD2">
        <w:t>)</w:t>
      </w:r>
      <w:r w:rsidR="004F4B2E">
        <w:t>.</w:t>
      </w:r>
    </w:p>
    <w:p w:rsidR="00A12C8F" w:rsidRDefault="00A12C8F" w:rsidP="00087F15">
      <w:pPr>
        <w:pStyle w:val="FigureTitle"/>
      </w:pPr>
      <w:r w:rsidRPr="00290ACA">
        <w:rPr>
          <w:b w:val="0"/>
        </w:rPr>
        <w:lastRenderedPageBreak/>
        <w:t xml:space="preserve">Figure </w:t>
      </w:r>
      <w:r w:rsidR="00F81D85">
        <w:rPr>
          <w:b w:val="0"/>
        </w:rPr>
        <w:t>13.</w:t>
      </w:r>
      <w:r w:rsidR="00E4728C">
        <w:rPr>
          <w:b w:val="0"/>
          <w:noProof/>
        </w:rPr>
        <w:t>12</w:t>
      </w:r>
      <w:r w:rsidRPr="001B5621">
        <w:t xml:space="preserve"> </w:t>
      </w:r>
      <w:r>
        <w:t xml:space="preserve">Number of veterans aged </w:t>
      </w:r>
      <w:r w:rsidR="00596EC8">
        <w:t>65</w:t>
      </w:r>
      <w:r>
        <w:t xml:space="preserve"> years </w:t>
      </w:r>
      <w:r w:rsidR="004E7E6D">
        <w:t>or</w:t>
      </w:r>
      <w:r>
        <w:t xml:space="preserve"> over in residential care and total </w:t>
      </w:r>
      <w:r w:rsidR="003C3DA7">
        <w:t xml:space="preserve">DVA </w:t>
      </w:r>
      <w:r>
        <w:t xml:space="preserve">expenditure on </w:t>
      </w:r>
      <w:r w:rsidR="003C3DA7">
        <w:t xml:space="preserve">residential aged care subsidy, per 1000 eligible veterans aged </w:t>
      </w:r>
      <w:r w:rsidR="00596EC8">
        <w:t>65</w:t>
      </w:r>
      <w:r w:rsidR="003C3DA7">
        <w:t> years</w:t>
      </w:r>
      <w:r w:rsidR="003C3DA7" w:rsidRPr="003C3DA7">
        <w:t xml:space="preserve"> </w:t>
      </w:r>
      <w:r w:rsidR="004E7E6D">
        <w:t>or</w:t>
      </w:r>
      <w:r w:rsidR="003C3DA7">
        <w:t xml:space="preserve"> over, </w:t>
      </w:r>
      <w:r w:rsidR="00714EDC">
        <w:t>201</w:t>
      </w:r>
      <w:r w:rsidR="007906D6">
        <w:t>2</w:t>
      </w:r>
      <w:r w:rsidR="00AA68A5">
        <w:noBreakHyphen/>
      </w:r>
      <w:r w:rsidR="00714EDC">
        <w:t>1</w:t>
      </w:r>
      <w:r w:rsidR="007906D6">
        <w:t>3</w:t>
      </w:r>
      <w:r w:rsidRPr="003E2D00">
        <w:rPr>
          <w:rStyle w:val="NoteLabel"/>
          <w:b/>
        </w:rPr>
        <w:t>a,</w:t>
      </w:r>
      <w:r w:rsidRPr="00123E08">
        <w:rPr>
          <w:rStyle w:val="NoteLabel"/>
          <w:b/>
        </w:rPr>
        <w:t xml:space="preserve"> </w:t>
      </w:r>
      <w:r w:rsidR="00A57E9A">
        <w:rPr>
          <w:rStyle w:val="NoteLabel"/>
          <w:b/>
        </w:rPr>
        <w:t>b,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4388"/>
        <w:gridCol w:w="4389"/>
      </w:tblGrid>
      <w:tr w:rsidR="001A185E" w:rsidRPr="002435FC" w:rsidTr="00C16403">
        <w:tc>
          <w:tcPr>
            <w:tcW w:w="4388" w:type="dxa"/>
            <w:tcBorders>
              <w:top w:val="single" w:sz="6" w:space="0" w:color="auto"/>
              <w:bottom w:val="single" w:sz="6" w:space="0" w:color="auto"/>
              <w:right w:val="nil"/>
            </w:tcBorders>
            <w:shd w:val="clear" w:color="auto" w:fill="FFFFFF" w:themeFill="background1"/>
          </w:tcPr>
          <w:p w:rsidR="001A185E" w:rsidRPr="00F070CB" w:rsidRDefault="008018D4" w:rsidP="00087F15">
            <w:pPr>
              <w:pStyle w:val="Figure"/>
            </w:pPr>
            <w:r>
              <w:rPr>
                <w:noProof/>
              </w:rPr>
              <w:drawing>
                <wp:inline distT="0" distB="0" distL="0" distR="0">
                  <wp:extent cx="2762250" cy="2686050"/>
                  <wp:effectExtent l="0" t="0" r="0" b="0"/>
                  <wp:docPr id="13" name="Picture 13" descr="Figure 13.12 Number of veterans aged 65 years or over in residential care and total DVA expenditure on residential aged care subsidy, per 1000 eligible veterans aged 65 years or over, 2012-13 &#10;&#10;Service use&#10;&#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62250" cy="2686050"/>
                          </a:xfrm>
                          <a:prstGeom prst="rect">
                            <a:avLst/>
                          </a:prstGeom>
                          <a:noFill/>
                          <a:ln>
                            <a:noFill/>
                          </a:ln>
                        </pic:spPr>
                      </pic:pic>
                    </a:graphicData>
                  </a:graphic>
                </wp:inline>
              </w:drawing>
            </w:r>
          </w:p>
        </w:tc>
        <w:tc>
          <w:tcPr>
            <w:tcW w:w="4389" w:type="dxa"/>
            <w:tcBorders>
              <w:top w:val="single" w:sz="6" w:space="0" w:color="auto"/>
              <w:bottom w:val="single" w:sz="6" w:space="0" w:color="auto"/>
              <w:right w:val="nil"/>
            </w:tcBorders>
          </w:tcPr>
          <w:p w:rsidR="001A185E" w:rsidRPr="00F070CB" w:rsidRDefault="008018D4" w:rsidP="00087F15">
            <w:pPr>
              <w:pStyle w:val="Figure"/>
            </w:pPr>
            <w:r>
              <w:rPr>
                <w:noProof/>
              </w:rPr>
              <w:drawing>
                <wp:inline distT="0" distB="0" distL="0" distR="0">
                  <wp:extent cx="2762250" cy="2714625"/>
                  <wp:effectExtent l="0" t="0" r="0" b="9525"/>
                  <wp:docPr id="14" name="Picture 14" descr="Figure 13.12 Number of veterans aged 65 years or over in residential care and total DVA expenditure on residential aged care subsidy, per 1000 eligible veterans aged 65 years or over, 2012 13 &#10;&#10;Total expenditu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62250" cy="2714625"/>
                          </a:xfrm>
                          <a:prstGeom prst="rect">
                            <a:avLst/>
                          </a:prstGeom>
                          <a:noFill/>
                          <a:ln>
                            <a:noFill/>
                          </a:ln>
                        </pic:spPr>
                      </pic:pic>
                    </a:graphicData>
                  </a:graphic>
                </wp:inline>
              </w:drawing>
            </w:r>
          </w:p>
        </w:tc>
      </w:tr>
    </w:tbl>
    <w:p w:rsidR="00A12C8F" w:rsidRPr="00C40421" w:rsidRDefault="00A12C8F" w:rsidP="00C16403">
      <w:pPr>
        <w:pStyle w:val="Note"/>
        <w:keepNext/>
      </w:pPr>
      <w:r>
        <w:rPr>
          <w:rStyle w:val="NoteLabel"/>
        </w:rPr>
        <w:t xml:space="preserve">a </w:t>
      </w:r>
      <w:r>
        <w:t xml:space="preserve">Data are subject to </w:t>
      </w:r>
      <w:r w:rsidR="00313C0F">
        <w:t xml:space="preserve">a time </w:t>
      </w:r>
      <w:r>
        <w:t xml:space="preserve">lag and may be subject to revision. </w:t>
      </w:r>
      <w:r>
        <w:rPr>
          <w:rStyle w:val="NoteLabel"/>
        </w:rPr>
        <w:t xml:space="preserve">b </w:t>
      </w:r>
      <w:r w:rsidR="00A2204F" w:rsidRPr="00A2204F">
        <w:t>The n</w:t>
      </w:r>
      <w:r w:rsidRPr="00A2204F">
        <w:t xml:space="preserve">umber of </w:t>
      </w:r>
      <w:r w:rsidR="00A028F3">
        <w:t xml:space="preserve">eligible </w:t>
      </w:r>
      <w:r w:rsidRPr="00A2204F">
        <w:t>vete</w:t>
      </w:r>
      <w:r>
        <w:t xml:space="preserve">rans </w:t>
      </w:r>
      <w:r w:rsidR="00A028F3">
        <w:t>are veterans with a</w:t>
      </w:r>
      <w:r>
        <w:t xml:space="preserve"> DVA Gold and White card holder residents as at </w:t>
      </w:r>
      <w:r w:rsidR="00714EDC">
        <w:t>June 201</w:t>
      </w:r>
      <w:r w:rsidR="00C02D2C">
        <w:t>3</w:t>
      </w:r>
      <w:r>
        <w:t xml:space="preserve">. </w:t>
      </w:r>
      <w:r w:rsidR="00A57E9A">
        <w:rPr>
          <w:rStyle w:val="NoteLabel"/>
        </w:rPr>
        <w:t>c</w:t>
      </w:r>
      <w:r>
        <w:rPr>
          <w:rStyle w:val="NoteLabel"/>
        </w:rPr>
        <w:t> </w:t>
      </w:r>
      <w:r>
        <w:t xml:space="preserve">Veterans </w:t>
      </w:r>
      <w:r w:rsidR="00123E08">
        <w:t>65</w:t>
      </w:r>
      <w:r>
        <w:t xml:space="preserve"> years </w:t>
      </w:r>
      <w:r w:rsidR="004E7E6D">
        <w:t>or over</w:t>
      </w:r>
      <w:r>
        <w:t xml:space="preserve"> includes those whose age is unknown.</w:t>
      </w:r>
      <w:r w:rsidR="00EA3B5B">
        <w:t xml:space="preserve"> </w:t>
      </w:r>
    </w:p>
    <w:p w:rsidR="00A12C8F" w:rsidRPr="0009019E" w:rsidRDefault="00A12C8F" w:rsidP="00F2055D">
      <w:pPr>
        <w:pStyle w:val="Source"/>
        <w:keepNext/>
      </w:pPr>
      <w:r>
        <w:rPr>
          <w:i/>
        </w:rPr>
        <w:t>Source</w:t>
      </w:r>
      <w:r w:rsidRPr="00167F06">
        <w:t xml:space="preserve">: </w:t>
      </w:r>
      <w:r>
        <w:t>DVA (unpublished);</w:t>
      </w:r>
      <w:r w:rsidRPr="00BA3E9C">
        <w:t xml:space="preserve"> </w:t>
      </w:r>
      <w:proofErr w:type="spellStart"/>
      <w:r w:rsidRPr="00F2055D">
        <w:rPr>
          <w:shd w:val="clear" w:color="auto" w:fill="FFFFFF" w:themeFill="background1"/>
        </w:rPr>
        <w:t>D</w:t>
      </w:r>
      <w:r w:rsidR="00CA7EC0" w:rsidRPr="00F2055D">
        <w:rPr>
          <w:shd w:val="clear" w:color="auto" w:fill="FFFFFF" w:themeFill="background1"/>
        </w:rPr>
        <w:t>SS</w:t>
      </w:r>
      <w:proofErr w:type="spellEnd"/>
      <w:r w:rsidRPr="00F2055D">
        <w:rPr>
          <w:shd w:val="clear" w:color="auto" w:fill="FFFFFF" w:themeFill="background1"/>
        </w:rPr>
        <w:t xml:space="preserve"> (unpublished</w:t>
      </w:r>
      <w:r>
        <w:t>); table</w:t>
      </w:r>
      <w:r w:rsidR="00AA68A5">
        <w:t> </w:t>
      </w:r>
      <w:proofErr w:type="spellStart"/>
      <w:r>
        <w:t>13A.</w:t>
      </w:r>
      <w:r w:rsidR="00D2699A">
        <w:t>14</w:t>
      </w:r>
      <w:proofErr w:type="spellEnd"/>
      <w:r>
        <w:t>.</w:t>
      </w:r>
    </w:p>
    <w:p w:rsidR="00A12C8F" w:rsidRDefault="00A12C8F" w:rsidP="00CC1191">
      <w:pPr>
        <w:pStyle w:val="Heading5"/>
      </w:pPr>
      <w:r>
        <w:t>Access to the HACC program</w:t>
      </w:r>
      <w:r w:rsidR="00596EC8">
        <w:t>, by location</w:t>
      </w:r>
    </w:p>
    <w:p w:rsidR="00A12C8F" w:rsidRDefault="00A12C8F" w:rsidP="0055253B">
      <w:pPr>
        <w:pStyle w:val="BodyText"/>
      </w:pPr>
      <w:r>
        <w:t>HACC services are provided in the client’s home or community for people with</w:t>
      </w:r>
      <w:r w:rsidR="00182048">
        <w:t xml:space="preserve"> </w:t>
      </w:r>
      <w:r>
        <w:t xml:space="preserve">moderate, severe or profound disability and their </w:t>
      </w:r>
      <w:proofErr w:type="spellStart"/>
      <w:r>
        <w:t>carers</w:t>
      </w:r>
      <w:proofErr w:type="spellEnd"/>
      <w:r>
        <w:t xml:space="preserve">. The focus of this chapter </w:t>
      </w:r>
      <w:r w:rsidR="00145E8B">
        <w:t xml:space="preserve">is </w:t>
      </w:r>
      <w:r w:rsidR="00D57A73">
        <w:t>older people</w:t>
      </w:r>
      <w:r w:rsidR="00145E8B">
        <w:t xml:space="preserve"> </w:t>
      </w:r>
      <w:r w:rsidR="00D57A73">
        <w:t>65</w:t>
      </w:r>
      <w:r w:rsidR="00145E8B">
        <w:t xml:space="preserve"> years or over </w:t>
      </w:r>
      <w:r w:rsidR="00CF2C9C" w:rsidRPr="00A857BD">
        <w:t>and</w:t>
      </w:r>
      <w:r>
        <w:t xml:space="preserve"> </w:t>
      </w:r>
      <w:r w:rsidR="00EB2705">
        <w:t>Indigenous Australians</w:t>
      </w:r>
      <w:r>
        <w:t xml:space="preserve"> aged 50–6</w:t>
      </w:r>
      <w:r w:rsidR="00D57A73">
        <w:t>4</w:t>
      </w:r>
      <w:r>
        <w:t xml:space="preserve"> years.</w:t>
      </w:r>
      <w:r w:rsidR="00596EC8">
        <w:t xml:space="preserve"> </w:t>
      </w:r>
      <w:r w:rsidR="004D7909">
        <w:t>Nationally, the</w:t>
      </w:r>
      <w:r w:rsidRPr="00E950AB">
        <w:t xml:space="preserve"> number of service hours per 1000 people aged </w:t>
      </w:r>
      <w:r w:rsidR="00FC3D95">
        <w:t>65</w:t>
      </w:r>
      <w:r w:rsidRPr="00E950AB">
        <w:t xml:space="preserve"> years or </w:t>
      </w:r>
      <w:r w:rsidR="00C05C11">
        <w:t xml:space="preserve">over </w:t>
      </w:r>
      <w:r w:rsidR="00096767" w:rsidRPr="00A857BD">
        <w:t>and</w:t>
      </w:r>
      <w:r w:rsidRPr="00E950AB">
        <w:t xml:space="preserve"> </w:t>
      </w:r>
      <w:r w:rsidR="00EB2705">
        <w:t>Indigenous Australians</w:t>
      </w:r>
      <w:r w:rsidRPr="001B4A10">
        <w:t xml:space="preserve"> aged 50–6</w:t>
      </w:r>
      <w:r w:rsidR="00FC3D95">
        <w:t>4</w:t>
      </w:r>
      <w:r w:rsidRPr="001B4A10">
        <w:t xml:space="preserve"> years was </w:t>
      </w:r>
      <w:r w:rsidR="00FE05BC">
        <w:t>10 071</w:t>
      </w:r>
      <w:r w:rsidRPr="001B4A10">
        <w:t xml:space="preserve"> and the number of meals provided per 1000 people aged </w:t>
      </w:r>
      <w:r w:rsidR="00FC3D95">
        <w:t xml:space="preserve">65 </w:t>
      </w:r>
      <w:r w:rsidRPr="001B4A10">
        <w:t xml:space="preserve">years or </w:t>
      </w:r>
      <w:r w:rsidR="00C05C11">
        <w:t xml:space="preserve">over </w:t>
      </w:r>
      <w:r w:rsidR="00CF2C9C" w:rsidRPr="00A857BD">
        <w:t>and</w:t>
      </w:r>
      <w:r w:rsidRPr="001B4A10">
        <w:t xml:space="preserve"> </w:t>
      </w:r>
      <w:r w:rsidR="00EB2705">
        <w:t>Indigenous Australians</w:t>
      </w:r>
      <w:r w:rsidRPr="001B4A10">
        <w:t xml:space="preserve"> aged 50–</w:t>
      </w:r>
      <w:r w:rsidR="00FC3D95">
        <w:t>64</w:t>
      </w:r>
      <w:r w:rsidRPr="001B4A10">
        <w:t xml:space="preserve"> </w:t>
      </w:r>
      <w:r w:rsidR="00ED18E9">
        <w:t xml:space="preserve">years </w:t>
      </w:r>
      <w:r w:rsidRPr="001B4A10">
        <w:t xml:space="preserve">was </w:t>
      </w:r>
      <w:r w:rsidR="00DE1433">
        <w:t>2805</w:t>
      </w:r>
      <w:r w:rsidRPr="001B4A10">
        <w:t xml:space="preserve"> </w:t>
      </w:r>
      <w:r w:rsidR="003B422B">
        <w:t>in 201</w:t>
      </w:r>
      <w:r w:rsidR="00C02D2C">
        <w:t>2</w:t>
      </w:r>
      <w:r w:rsidR="00AA68A5">
        <w:noBreakHyphen/>
      </w:r>
      <w:r w:rsidR="003B422B">
        <w:t>1</w:t>
      </w:r>
      <w:r w:rsidR="00C02D2C">
        <w:t>3</w:t>
      </w:r>
      <w:r w:rsidR="003B422B">
        <w:t xml:space="preserve"> </w:t>
      </w:r>
      <w:r w:rsidRPr="001B4A10">
        <w:t>(table</w:t>
      </w:r>
      <w:r w:rsidR="00AA68A5">
        <w:t> </w:t>
      </w:r>
      <w:r w:rsidRPr="001B4A10">
        <w:t>13.</w:t>
      </w:r>
      <w:r w:rsidR="00C02D2C">
        <w:t>6</w:t>
      </w:r>
      <w:r w:rsidRPr="001B4A10">
        <w:t xml:space="preserve">). The proportion of HACC agencies that submitted </w:t>
      </w:r>
      <w:r>
        <w:t xml:space="preserve">data vary across jurisdictions </w:t>
      </w:r>
      <w:r w:rsidR="004D7909">
        <w:t>so</w:t>
      </w:r>
      <w:r>
        <w:t xml:space="preserve"> comparisons between jurisdictions should be made with care.</w:t>
      </w:r>
    </w:p>
    <w:p w:rsidR="00A12C8F" w:rsidRDefault="00A12C8F" w:rsidP="0085088E">
      <w:pPr>
        <w:pStyle w:val="TableTitle"/>
      </w:pPr>
      <w:r>
        <w:rPr>
          <w:b w:val="0"/>
        </w:rPr>
        <w:lastRenderedPageBreak/>
        <w:t xml:space="preserve">Table </w:t>
      </w:r>
      <w:r w:rsidR="00C02D2C">
        <w:rPr>
          <w:b w:val="0"/>
        </w:rPr>
        <w:t>13.</w:t>
      </w:r>
      <w:r w:rsidR="00E4728C">
        <w:rPr>
          <w:b w:val="0"/>
          <w:noProof/>
        </w:rPr>
        <w:t>6</w:t>
      </w:r>
      <w:r>
        <w:tab/>
      </w:r>
      <w:r w:rsidR="0063065F" w:rsidRPr="00F2055D">
        <w:rPr>
          <w:shd w:val="clear" w:color="auto" w:fill="FFFFFF" w:themeFill="background1"/>
        </w:rPr>
        <w:t xml:space="preserve">Selected </w:t>
      </w:r>
      <w:r w:rsidRPr="00F2055D">
        <w:rPr>
          <w:shd w:val="clear" w:color="auto" w:fill="FFFFFF" w:themeFill="background1"/>
        </w:rPr>
        <w:t>HACC</w:t>
      </w:r>
      <w:r>
        <w:t xml:space="preserve"> services received</w:t>
      </w:r>
      <w:r w:rsidR="00E10D09" w:rsidRPr="00E10D09">
        <w:t xml:space="preserve"> </w:t>
      </w:r>
      <w:r w:rsidR="00E10D09">
        <w:t xml:space="preserve">per 1000 people aged 65 years or over </w:t>
      </w:r>
      <w:r w:rsidR="00E10D09" w:rsidRPr="00A857BD">
        <w:t>and</w:t>
      </w:r>
      <w:r w:rsidR="00E10D09">
        <w:t xml:space="preserve"> </w:t>
      </w:r>
      <w:r w:rsidR="00EB2705">
        <w:t>Indigenous Australians</w:t>
      </w:r>
      <w:r w:rsidR="00E10D09">
        <w:t xml:space="preserve"> aged </w:t>
      </w:r>
      <w:r w:rsidR="0085088E">
        <w:br/>
      </w:r>
      <w:r w:rsidR="00E10D09">
        <w:t>50–64 years</w:t>
      </w:r>
      <w:r>
        <w:t xml:space="preserve">, </w:t>
      </w:r>
      <w:r w:rsidR="009C0C70">
        <w:t>201</w:t>
      </w:r>
      <w:r w:rsidR="007906D6">
        <w:t>2</w:t>
      </w:r>
      <w:r w:rsidR="00AA68A5">
        <w:noBreakHyphen/>
      </w:r>
      <w:r w:rsidR="009C0C70">
        <w:t>1</w:t>
      </w:r>
      <w:r w:rsidR="007906D6">
        <w:t>3</w:t>
      </w:r>
      <w:r w:rsidRPr="00F05CB2">
        <w:rPr>
          <w:rStyle w:val="NoteLabel"/>
          <w:b/>
        </w:rPr>
        <w:t>a, b, c</w:t>
      </w:r>
    </w:p>
    <w:tbl>
      <w:tblPr>
        <w:tblW w:w="8789" w:type="dxa"/>
        <w:tblLayout w:type="fixed"/>
        <w:tblCellMar>
          <w:left w:w="0" w:type="dxa"/>
          <w:right w:w="0" w:type="dxa"/>
        </w:tblCellMar>
        <w:tblLook w:val="0000" w:firstRow="0" w:lastRow="0" w:firstColumn="0" w:lastColumn="0" w:noHBand="0" w:noVBand="0"/>
      </w:tblPr>
      <w:tblGrid>
        <w:gridCol w:w="1276"/>
        <w:gridCol w:w="851"/>
        <w:gridCol w:w="850"/>
        <w:gridCol w:w="851"/>
        <w:gridCol w:w="850"/>
        <w:gridCol w:w="851"/>
        <w:gridCol w:w="850"/>
        <w:gridCol w:w="851"/>
        <w:gridCol w:w="850"/>
        <w:gridCol w:w="709"/>
      </w:tblGrid>
      <w:tr w:rsidR="00A12C8F" w:rsidTr="003736E3">
        <w:tc>
          <w:tcPr>
            <w:tcW w:w="2127" w:type="dxa"/>
            <w:gridSpan w:val="2"/>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NSW</w:t>
            </w:r>
          </w:p>
        </w:tc>
        <w:tc>
          <w:tcPr>
            <w:tcW w:w="850" w:type="dxa"/>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Vic</w:t>
            </w:r>
          </w:p>
        </w:tc>
        <w:tc>
          <w:tcPr>
            <w:tcW w:w="851" w:type="dxa"/>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Qld</w:t>
            </w:r>
          </w:p>
        </w:tc>
        <w:tc>
          <w:tcPr>
            <w:tcW w:w="850" w:type="dxa"/>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WA</w:t>
            </w:r>
          </w:p>
        </w:tc>
        <w:tc>
          <w:tcPr>
            <w:tcW w:w="851" w:type="dxa"/>
            <w:tcBorders>
              <w:top w:val="single" w:sz="4" w:space="0" w:color="auto"/>
              <w:bottom w:val="single" w:sz="4" w:space="0" w:color="auto"/>
            </w:tcBorders>
            <w:shd w:val="clear" w:color="auto" w:fill="auto"/>
          </w:tcPr>
          <w:p w:rsidR="00A12C8F" w:rsidRPr="00D8051F" w:rsidRDefault="00D8051F" w:rsidP="00AA68A5">
            <w:pPr>
              <w:pStyle w:val="TableColumnHeading"/>
              <w:rPr>
                <w:i w:val="0"/>
              </w:rPr>
            </w:pPr>
            <w:r w:rsidRPr="00D8051F">
              <w:t>SA</w:t>
            </w:r>
          </w:p>
        </w:tc>
        <w:tc>
          <w:tcPr>
            <w:tcW w:w="850" w:type="dxa"/>
            <w:tcBorders>
              <w:top w:val="single" w:sz="4" w:space="0" w:color="auto"/>
              <w:bottom w:val="single" w:sz="4" w:space="0" w:color="auto"/>
            </w:tcBorders>
            <w:shd w:val="clear" w:color="auto" w:fill="auto"/>
          </w:tcPr>
          <w:p w:rsidR="00A12C8F" w:rsidRPr="00D8051F" w:rsidRDefault="00A12C8F" w:rsidP="00AA68A5">
            <w:pPr>
              <w:pStyle w:val="TableColumnHeading"/>
            </w:pPr>
            <w:r w:rsidRPr="00D8051F">
              <w:t>Tas</w:t>
            </w:r>
          </w:p>
        </w:tc>
        <w:tc>
          <w:tcPr>
            <w:tcW w:w="851" w:type="dxa"/>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ACT</w:t>
            </w:r>
          </w:p>
        </w:tc>
        <w:tc>
          <w:tcPr>
            <w:tcW w:w="850" w:type="dxa"/>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NT</w:t>
            </w:r>
          </w:p>
        </w:tc>
        <w:tc>
          <w:tcPr>
            <w:tcW w:w="709" w:type="dxa"/>
            <w:tcBorders>
              <w:top w:val="single" w:sz="4" w:space="0" w:color="auto"/>
              <w:bottom w:val="single" w:sz="4" w:space="0" w:color="auto"/>
            </w:tcBorders>
            <w:shd w:val="clear" w:color="auto" w:fill="auto"/>
          </w:tcPr>
          <w:p w:rsidR="00A12C8F" w:rsidRDefault="00A12C8F" w:rsidP="0039310E">
            <w:pPr>
              <w:pStyle w:val="TableColumnHeading"/>
              <w:tabs>
                <w:tab w:val="left" w:pos="1024"/>
              </w:tabs>
              <w:ind w:right="0"/>
            </w:pPr>
            <w:r>
              <w:t>Aust</w:t>
            </w:r>
          </w:p>
        </w:tc>
      </w:tr>
      <w:tr w:rsidR="00A12C8F" w:rsidTr="00E02123">
        <w:tc>
          <w:tcPr>
            <w:tcW w:w="8789" w:type="dxa"/>
            <w:gridSpan w:val="10"/>
            <w:tcBorders>
              <w:top w:val="single" w:sz="4" w:space="0" w:color="auto"/>
            </w:tcBorders>
          </w:tcPr>
          <w:p w:rsidR="00A12C8F" w:rsidRPr="007B7A48" w:rsidRDefault="00A12C8F" w:rsidP="009D75F7">
            <w:pPr>
              <w:pStyle w:val="TableBodyText"/>
              <w:jc w:val="left"/>
            </w:pPr>
            <w:r>
              <w:t xml:space="preserve">Percentage of agencies that reported </w:t>
            </w:r>
            <w:r w:rsidR="009E3CB8">
              <w:t>M</w:t>
            </w:r>
            <w:r>
              <w:t xml:space="preserve">inimum </w:t>
            </w:r>
            <w:r w:rsidR="009E3CB8">
              <w:t>D</w:t>
            </w:r>
            <w:r>
              <w:t xml:space="preserve">ata </w:t>
            </w:r>
            <w:r w:rsidR="009E3CB8">
              <w:t>S</w:t>
            </w:r>
            <w:r>
              <w:t>et data</w:t>
            </w:r>
            <w:r w:rsidR="006363B8">
              <w:t xml:space="preserve"> </w:t>
            </w:r>
          </w:p>
        </w:tc>
      </w:tr>
      <w:tr w:rsidR="00DE1433" w:rsidTr="003736E3">
        <w:tc>
          <w:tcPr>
            <w:tcW w:w="1276" w:type="dxa"/>
            <w:vAlign w:val="bottom"/>
          </w:tcPr>
          <w:p w:rsidR="00DE1433" w:rsidRDefault="00DE1433" w:rsidP="00CC1191">
            <w:pPr>
              <w:pStyle w:val="TableBodyText"/>
              <w:jc w:val="left"/>
            </w:pPr>
          </w:p>
        </w:tc>
        <w:tc>
          <w:tcPr>
            <w:tcW w:w="851" w:type="dxa"/>
            <w:vAlign w:val="center"/>
          </w:tcPr>
          <w:p w:rsidR="00DE1433" w:rsidRPr="00DE1433" w:rsidRDefault="00926F6B" w:rsidP="00AA68A5">
            <w:pPr>
              <w:pStyle w:val="TableBodyText"/>
            </w:pPr>
            <w:r>
              <w:t xml:space="preserve"> </w:t>
            </w:r>
            <w:r w:rsidR="00DE1433" w:rsidRPr="00DE1433">
              <w:t>100</w:t>
            </w:r>
          </w:p>
        </w:tc>
        <w:tc>
          <w:tcPr>
            <w:tcW w:w="850" w:type="dxa"/>
            <w:vAlign w:val="center"/>
          </w:tcPr>
          <w:p w:rsidR="00DE1433" w:rsidRPr="00DE1433" w:rsidRDefault="00926F6B" w:rsidP="00AA68A5">
            <w:pPr>
              <w:pStyle w:val="TableBodyText"/>
            </w:pPr>
            <w:r>
              <w:t xml:space="preserve"> </w:t>
            </w:r>
            <w:r w:rsidR="00DE1433" w:rsidRPr="00DE1433">
              <w:t>97</w:t>
            </w:r>
          </w:p>
        </w:tc>
        <w:tc>
          <w:tcPr>
            <w:tcW w:w="851" w:type="dxa"/>
            <w:vAlign w:val="center"/>
          </w:tcPr>
          <w:p w:rsidR="00DE1433" w:rsidRPr="00DE1433" w:rsidRDefault="00926F6B" w:rsidP="00AA68A5">
            <w:pPr>
              <w:pStyle w:val="TableBodyText"/>
            </w:pPr>
            <w:r>
              <w:t xml:space="preserve"> </w:t>
            </w:r>
            <w:r w:rsidR="00DE1433" w:rsidRPr="00DE1433">
              <w:t>98</w:t>
            </w:r>
          </w:p>
        </w:tc>
        <w:tc>
          <w:tcPr>
            <w:tcW w:w="850" w:type="dxa"/>
            <w:vAlign w:val="center"/>
          </w:tcPr>
          <w:p w:rsidR="00DE1433" w:rsidRPr="00DE1433" w:rsidRDefault="00926F6B" w:rsidP="00AA68A5">
            <w:pPr>
              <w:pStyle w:val="TableBodyText"/>
            </w:pPr>
            <w:r>
              <w:t xml:space="preserve"> </w:t>
            </w:r>
            <w:r w:rsidR="00DE1433" w:rsidRPr="00DE1433">
              <w:t>100</w:t>
            </w:r>
          </w:p>
        </w:tc>
        <w:tc>
          <w:tcPr>
            <w:tcW w:w="851" w:type="dxa"/>
            <w:vAlign w:val="center"/>
          </w:tcPr>
          <w:p w:rsidR="00DE1433" w:rsidRPr="00DE1433" w:rsidRDefault="00926F6B" w:rsidP="00AA68A5">
            <w:pPr>
              <w:pStyle w:val="TableBodyText"/>
            </w:pPr>
            <w:r>
              <w:t xml:space="preserve"> </w:t>
            </w:r>
            <w:r w:rsidR="00DE1433" w:rsidRPr="00DE1433">
              <w:t>96</w:t>
            </w:r>
          </w:p>
        </w:tc>
        <w:tc>
          <w:tcPr>
            <w:tcW w:w="850" w:type="dxa"/>
            <w:vAlign w:val="center"/>
          </w:tcPr>
          <w:p w:rsidR="00DE1433" w:rsidRPr="00DE1433" w:rsidRDefault="00926F6B" w:rsidP="00AA68A5">
            <w:pPr>
              <w:pStyle w:val="TableBodyText"/>
            </w:pPr>
            <w:r>
              <w:t xml:space="preserve"> </w:t>
            </w:r>
            <w:r w:rsidR="00DE1433" w:rsidRPr="00DE1433">
              <w:t>99</w:t>
            </w:r>
          </w:p>
        </w:tc>
        <w:tc>
          <w:tcPr>
            <w:tcW w:w="851" w:type="dxa"/>
            <w:vAlign w:val="center"/>
          </w:tcPr>
          <w:p w:rsidR="00DE1433" w:rsidRPr="00DE1433" w:rsidRDefault="00926F6B" w:rsidP="00AA68A5">
            <w:pPr>
              <w:pStyle w:val="TableBodyText"/>
            </w:pPr>
            <w:r>
              <w:t xml:space="preserve"> </w:t>
            </w:r>
            <w:r w:rsidR="00DE1433" w:rsidRPr="00DE1433">
              <w:t>100</w:t>
            </w:r>
          </w:p>
        </w:tc>
        <w:tc>
          <w:tcPr>
            <w:tcW w:w="850" w:type="dxa"/>
            <w:vAlign w:val="center"/>
          </w:tcPr>
          <w:p w:rsidR="00DE1433" w:rsidRPr="00DE1433" w:rsidRDefault="00926F6B" w:rsidP="00AA68A5">
            <w:pPr>
              <w:pStyle w:val="TableBodyText"/>
            </w:pPr>
            <w:r>
              <w:t xml:space="preserve"> </w:t>
            </w:r>
            <w:r w:rsidR="00DE1433" w:rsidRPr="00DE1433">
              <w:t>51</w:t>
            </w:r>
          </w:p>
        </w:tc>
        <w:tc>
          <w:tcPr>
            <w:tcW w:w="709" w:type="dxa"/>
            <w:vAlign w:val="center"/>
          </w:tcPr>
          <w:p w:rsidR="00DE1433" w:rsidRPr="00DE1433" w:rsidRDefault="00926F6B" w:rsidP="0039310E">
            <w:pPr>
              <w:pStyle w:val="TableBodyText"/>
              <w:ind w:right="0"/>
            </w:pPr>
            <w:r>
              <w:t xml:space="preserve"> </w:t>
            </w:r>
            <w:r w:rsidR="00DE1433" w:rsidRPr="00DE1433">
              <w:t>98</w:t>
            </w:r>
          </w:p>
        </w:tc>
      </w:tr>
      <w:tr w:rsidR="006445A5" w:rsidTr="00E02123">
        <w:trPr>
          <w:trHeight w:val="181"/>
        </w:trPr>
        <w:tc>
          <w:tcPr>
            <w:tcW w:w="8789" w:type="dxa"/>
            <w:gridSpan w:val="10"/>
          </w:tcPr>
          <w:p w:rsidR="006445A5" w:rsidRDefault="0063065F" w:rsidP="0063065F">
            <w:pPr>
              <w:pStyle w:val="TableBodyText"/>
              <w:jc w:val="left"/>
            </w:pPr>
            <w:r>
              <w:t>Total hours</w:t>
            </w:r>
            <w:r w:rsidR="00F25404">
              <w:rPr>
                <w:b/>
                <w:position w:val="6"/>
                <w:sz w:val="18"/>
                <w:szCs w:val="24"/>
              </w:rPr>
              <w:t>d</w:t>
            </w:r>
          </w:p>
        </w:tc>
      </w:tr>
      <w:tr w:rsidR="00DE1433" w:rsidTr="00C16403">
        <w:tc>
          <w:tcPr>
            <w:tcW w:w="1276" w:type="dxa"/>
            <w:vAlign w:val="bottom"/>
          </w:tcPr>
          <w:p w:rsidR="00DE1433" w:rsidRDefault="00DE1433" w:rsidP="003736E3">
            <w:pPr>
              <w:pStyle w:val="TableBodyText"/>
              <w:ind w:left="142"/>
              <w:jc w:val="left"/>
            </w:pPr>
            <w:r>
              <w:t>Major cities</w:t>
            </w:r>
          </w:p>
        </w:tc>
        <w:tc>
          <w:tcPr>
            <w:tcW w:w="851" w:type="dxa"/>
            <w:vAlign w:val="center"/>
          </w:tcPr>
          <w:p w:rsidR="00DE1433" w:rsidRPr="00DE1433" w:rsidRDefault="00DE1433" w:rsidP="00AA68A5">
            <w:pPr>
              <w:pStyle w:val="TableBodyText"/>
            </w:pPr>
            <w:r w:rsidRPr="00DE1433">
              <w:t xml:space="preserve"> 8 836</w:t>
            </w:r>
          </w:p>
        </w:tc>
        <w:tc>
          <w:tcPr>
            <w:tcW w:w="850" w:type="dxa"/>
            <w:vAlign w:val="center"/>
          </w:tcPr>
          <w:p w:rsidR="00DE1433" w:rsidRPr="00DE1433" w:rsidRDefault="00DE1433" w:rsidP="00AA68A5">
            <w:pPr>
              <w:pStyle w:val="TableBodyText"/>
            </w:pPr>
            <w:r w:rsidRPr="00DE1433">
              <w:t xml:space="preserve"> 10 526</w:t>
            </w:r>
          </w:p>
        </w:tc>
        <w:tc>
          <w:tcPr>
            <w:tcW w:w="851" w:type="dxa"/>
            <w:vAlign w:val="center"/>
          </w:tcPr>
          <w:p w:rsidR="00DE1433" w:rsidRPr="00DE1433" w:rsidRDefault="00DE1433" w:rsidP="00AA68A5">
            <w:pPr>
              <w:pStyle w:val="TableBodyText"/>
            </w:pPr>
            <w:r w:rsidRPr="00DE1433">
              <w:t xml:space="preserve"> 11 579</w:t>
            </w:r>
          </w:p>
        </w:tc>
        <w:tc>
          <w:tcPr>
            <w:tcW w:w="850" w:type="dxa"/>
            <w:vAlign w:val="center"/>
          </w:tcPr>
          <w:p w:rsidR="00DE1433" w:rsidRPr="00DE1433" w:rsidRDefault="00DE1433" w:rsidP="00AA68A5">
            <w:pPr>
              <w:pStyle w:val="TableBodyText"/>
            </w:pPr>
            <w:r w:rsidRPr="00DE1433">
              <w:t xml:space="preserve"> 10 258</w:t>
            </w:r>
          </w:p>
        </w:tc>
        <w:tc>
          <w:tcPr>
            <w:tcW w:w="851" w:type="dxa"/>
            <w:vAlign w:val="center"/>
          </w:tcPr>
          <w:p w:rsidR="00DE1433" w:rsidRPr="00DE1433" w:rsidRDefault="00DE1433" w:rsidP="00AA68A5">
            <w:pPr>
              <w:pStyle w:val="TableBodyText"/>
            </w:pPr>
            <w:r w:rsidRPr="00DE1433">
              <w:t xml:space="preserve"> 11 308</w:t>
            </w:r>
          </w:p>
        </w:tc>
        <w:tc>
          <w:tcPr>
            <w:tcW w:w="850" w:type="dxa"/>
            <w:vAlign w:val="center"/>
          </w:tcPr>
          <w:p w:rsidR="00DE1433" w:rsidRPr="00DE1433" w:rsidRDefault="00DE1433" w:rsidP="00AA68A5">
            <w:pPr>
              <w:pStyle w:val="TableBodyText"/>
            </w:pPr>
            <w:r w:rsidRPr="00DE1433">
              <w:t>..</w:t>
            </w:r>
          </w:p>
        </w:tc>
        <w:tc>
          <w:tcPr>
            <w:tcW w:w="851" w:type="dxa"/>
            <w:shd w:val="clear" w:color="auto" w:fill="FFFFFF" w:themeFill="background1"/>
            <w:vAlign w:val="center"/>
          </w:tcPr>
          <w:p w:rsidR="00DE1433" w:rsidRPr="00DE1433" w:rsidRDefault="00DE1433" w:rsidP="00AA68A5">
            <w:pPr>
              <w:pStyle w:val="TableBodyText"/>
            </w:pPr>
            <w:r w:rsidRPr="00DE1433">
              <w:t xml:space="preserve"> 8 606</w:t>
            </w:r>
          </w:p>
        </w:tc>
        <w:tc>
          <w:tcPr>
            <w:tcW w:w="850" w:type="dxa"/>
            <w:vAlign w:val="center"/>
          </w:tcPr>
          <w:p w:rsidR="00DE1433" w:rsidRPr="00DE1433" w:rsidRDefault="00DE1433" w:rsidP="00AA68A5">
            <w:pPr>
              <w:pStyle w:val="TableBodyText"/>
            </w:pPr>
            <w:r w:rsidRPr="00DE1433">
              <w:t>..</w:t>
            </w:r>
          </w:p>
        </w:tc>
        <w:tc>
          <w:tcPr>
            <w:tcW w:w="709" w:type="dxa"/>
            <w:vAlign w:val="center"/>
          </w:tcPr>
          <w:p w:rsidR="00DE1433" w:rsidRPr="00DE1433" w:rsidRDefault="00DE1433" w:rsidP="0039310E">
            <w:pPr>
              <w:pStyle w:val="TableBodyText"/>
              <w:ind w:right="0"/>
            </w:pPr>
            <w:r w:rsidRPr="00DE1433">
              <w:t xml:space="preserve"> 10 130</w:t>
            </w:r>
          </w:p>
        </w:tc>
      </w:tr>
      <w:tr w:rsidR="00DE1433" w:rsidTr="003736E3">
        <w:tc>
          <w:tcPr>
            <w:tcW w:w="1276" w:type="dxa"/>
            <w:vAlign w:val="bottom"/>
          </w:tcPr>
          <w:p w:rsidR="00DE1433" w:rsidRDefault="00DE1433" w:rsidP="003736E3">
            <w:pPr>
              <w:pStyle w:val="TableBodyText"/>
              <w:ind w:left="142"/>
              <w:jc w:val="left"/>
            </w:pPr>
            <w:r>
              <w:t>Inner regional</w:t>
            </w:r>
          </w:p>
        </w:tc>
        <w:tc>
          <w:tcPr>
            <w:tcW w:w="851" w:type="dxa"/>
            <w:vAlign w:val="center"/>
          </w:tcPr>
          <w:p w:rsidR="00DE1433" w:rsidRPr="00DE1433" w:rsidRDefault="00DE1433" w:rsidP="00AA68A5">
            <w:pPr>
              <w:pStyle w:val="TableBodyText"/>
            </w:pPr>
            <w:r w:rsidRPr="00DE1433">
              <w:t xml:space="preserve"> 7 438</w:t>
            </w:r>
          </w:p>
        </w:tc>
        <w:tc>
          <w:tcPr>
            <w:tcW w:w="850" w:type="dxa"/>
            <w:vAlign w:val="center"/>
          </w:tcPr>
          <w:p w:rsidR="00DE1433" w:rsidRPr="00DE1433" w:rsidRDefault="00DE1433" w:rsidP="00AA68A5">
            <w:pPr>
              <w:pStyle w:val="TableBodyText"/>
            </w:pPr>
            <w:r w:rsidRPr="00DE1433">
              <w:t xml:space="preserve"> 11 973</w:t>
            </w:r>
          </w:p>
        </w:tc>
        <w:tc>
          <w:tcPr>
            <w:tcW w:w="851" w:type="dxa"/>
            <w:vAlign w:val="center"/>
          </w:tcPr>
          <w:p w:rsidR="00DE1433" w:rsidRPr="00DE1433" w:rsidRDefault="00DE1433" w:rsidP="00AA68A5">
            <w:pPr>
              <w:pStyle w:val="TableBodyText"/>
            </w:pPr>
            <w:r w:rsidRPr="00DE1433">
              <w:t xml:space="preserve"> 9 211</w:t>
            </w:r>
          </w:p>
        </w:tc>
        <w:tc>
          <w:tcPr>
            <w:tcW w:w="850" w:type="dxa"/>
            <w:vAlign w:val="center"/>
          </w:tcPr>
          <w:p w:rsidR="00DE1433" w:rsidRPr="00DE1433" w:rsidRDefault="00DE1433" w:rsidP="00AA68A5">
            <w:pPr>
              <w:pStyle w:val="TableBodyText"/>
            </w:pPr>
            <w:r w:rsidRPr="00DE1433">
              <w:t xml:space="preserve"> 10 922</w:t>
            </w:r>
          </w:p>
        </w:tc>
        <w:tc>
          <w:tcPr>
            <w:tcW w:w="851" w:type="dxa"/>
            <w:vAlign w:val="center"/>
          </w:tcPr>
          <w:p w:rsidR="00DE1433" w:rsidRPr="00DE1433" w:rsidRDefault="00DE1433" w:rsidP="00AA68A5">
            <w:pPr>
              <w:pStyle w:val="TableBodyText"/>
            </w:pPr>
            <w:r w:rsidRPr="00DE1433">
              <w:t xml:space="preserve"> 7 667</w:t>
            </w:r>
          </w:p>
        </w:tc>
        <w:tc>
          <w:tcPr>
            <w:tcW w:w="850" w:type="dxa"/>
            <w:vAlign w:val="center"/>
          </w:tcPr>
          <w:p w:rsidR="00DE1433" w:rsidRPr="00DE1433" w:rsidRDefault="00DE1433" w:rsidP="00AA68A5">
            <w:pPr>
              <w:pStyle w:val="TableBodyText"/>
            </w:pPr>
            <w:r w:rsidRPr="00DE1433">
              <w:t xml:space="preserve"> 11 201</w:t>
            </w:r>
          </w:p>
        </w:tc>
        <w:tc>
          <w:tcPr>
            <w:tcW w:w="851" w:type="dxa"/>
            <w:vAlign w:val="center"/>
          </w:tcPr>
          <w:p w:rsidR="00DE1433" w:rsidRPr="00DE1433" w:rsidRDefault="00DE1433" w:rsidP="00AA68A5">
            <w:pPr>
              <w:pStyle w:val="TableBodyText"/>
            </w:pPr>
            <w:r w:rsidRPr="00DE1433">
              <w:t>..</w:t>
            </w:r>
          </w:p>
        </w:tc>
        <w:tc>
          <w:tcPr>
            <w:tcW w:w="850" w:type="dxa"/>
            <w:vAlign w:val="center"/>
          </w:tcPr>
          <w:p w:rsidR="00DE1433" w:rsidRPr="00DE1433" w:rsidRDefault="00DE1433" w:rsidP="00AA68A5">
            <w:pPr>
              <w:pStyle w:val="TableBodyText"/>
            </w:pPr>
            <w:r w:rsidRPr="00DE1433">
              <w:t>..</w:t>
            </w:r>
          </w:p>
        </w:tc>
        <w:tc>
          <w:tcPr>
            <w:tcW w:w="709" w:type="dxa"/>
            <w:vAlign w:val="center"/>
          </w:tcPr>
          <w:p w:rsidR="00DE1433" w:rsidRPr="00DE1433" w:rsidRDefault="00DE1433" w:rsidP="0039310E">
            <w:pPr>
              <w:pStyle w:val="TableBodyText"/>
              <w:ind w:right="0"/>
            </w:pPr>
            <w:r w:rsidRPr="00DE1433">
              <w:t xml:space="preserve"> 9 414</w:t>
            </w:r>
          </w:p>
        </w:tc>
      </w:tr>
      <w:tr w:rsidR="00DE1433" w:rsidTr="003736E3">
        <w:tc>
          <w:tcPr>
            <w:tcW w:w="1276" w:type="dxa"/>
            <w:vAlign w:val="bottom"/>
          </w:tcPr>
          <w:p w:rsidR="00DE1433" w:rsidRDefault="00DE1433" w:rsidP="003736E3">
            <w:pPr>
              <w:pStyle w:val="TableBodyText"/>
              <w:ind w:left="142"/>
              <w:jc w:val="left"/>
            </w:pPr>
            <w:r>
              <w:t>Outer regional</w:t>
            </w:r>
          </w:p>
        </w:tc>
        <w:tc>
          <w:tcPr>
            <w:tcW w:w="851" w:type="dxa"/>
            <w:vAlign w:val="center"/>
          </w:tcPr>
          <w:p w:rsidR="00DE1433" w:rsidRPr="00DE1433" w:rsidRDefault="00DE1433" w:rsidP="00AA68A5">
            <w:pPr>
              <w:pStyle w:val="TableBodyText"/>
            </w:pPr>
            <w:r w:rsidRPr="00DE1433">
              <w:t xml:space="preserve"> 9 136</w:t>
            </w:r>
          </w:p>
        </w:tc>
        <w:tc>
          <w:tcPr>
            <w:tcW w:w="850" w:type="dxa"/>
            <w:vAlign w:val="center"/>
          </w:tcPr>
          <w:p w:rsidR="00DE1433" w:rsidRPr="00DE1433" w:rsidRDefault="00DE1433" w:rsidP="00AA68A5">
            <w:pPr>
              <w:pStyle w:val="TableBodyText"/>
            </w:pPr>
            <w:r w:rsidRPr="00DE1433">
              <w:t xml:space="preserve"> 15 364</w:t>
            </w:r>
          </w:p>
        </w:tc>
        <w:tc>
          <w:tcPr>
            <w:tcW w:w="851" w:type="dxa"/>
            <w:vAlign w:val="center"/>
          </w:tcPr>
          <w:p w:rsidR="00DE1433" w:rsidRPr="00DE1433" w:rsidRDefault="00DE1433" w:rsidP="00AA68A5">
            <w:pPr>
              <w:pStyle w:val="TableBodyText"/>
            </w:pPr>
            <w:r w:rsidRPr="00DE1433">
              <w:t xml:space="preserve"> 11 004</w:t>
            </w:r>
          </w:p>
        </w:tc>
        <w:tc>
          <w:tcPr>
            <w:tcW w:w="850" w:type="dxa"/>
            <w:vAlign w:val="center"/>
          </w:tcPr>
          <w:p w:rsidR="00DE1433" w:rsidRPr="00DE1433" w:rsidRDefault="00DE1433" w:rsidP="00AA68A5">
            <w:pPr>
              <w:pStyle w:val="TableBodyText"/>
            </w:pPr>
            <w:r w:rsidRPr="00DE1433">
              <w:t xml:space="preserve"> 12 296</w:t>
            </w:r>
          </w:p>
        </w:tc>
        <w:tc>
          <w:tcPr>
            <w:tcW w:w="851" w:type="dxa"/>
            <w:vAlign w:val="center"/>
          </w:tcPr>
          <w:p w:rsidR="00DE1433" w:rsidRPr="00DE1433" w:rsidRDefault="00DE1433" w:rsidP="00AA68A5">
            <w:pPr>
              <w:pStyle w:val="TableBodyText"/>
            </w:pPr>
            <w:r w:rsidRPr="00DE1433">
              <w:t xml:space="preserve"> 10 655</w:t>
            </w:r>
          </w:p>
        </w:tc>
        <w:tc>
          <w:tcPr>
            <w:tcW w:w="850" w:type="dxa"/>
            <w:vAlign w:val="center"/>
          </w:tcPr>
          <w:p w:rsidR="00DE1433" w:rsidRPr="00DE1433" w:rsidRDefault="00DE1433" w:rsidP="00AA68A5">
            <w:pPr>
              <w:pStyle w:val="TableBodyText"/>
            </w:pPr>
            <w:r w:rsidRPr="00DE1433">
              <w:t xml:space="preserve"> 8 685</w:t>
            </w:r>
          </w:p>
        </w:tc>
        <w:tc>
          <w:tcPr>
            <w:tcW w:w="851" w:type="dxa"/>
            <w:vAlign w:val="center"/>
          </w:tcPr>
          <w:p w:rsidR="00DE1433" w:rsidRPr="00DE1433" w:rsidRDefault="00DE1433" w:rsidP="00AA68A5">
            <w:pPr>
              <w:pStyle w:val="TableBodyText"/>
            </w:pPr>
            <w:r w:rsidRPr="00DE1433">
              <w:t>..</w:t>
            </w:r>
          </w:p>
        </w:tc>
        <w:tc>
          <w:tcPr>
            <w:tcW w:w="850" w:type="dxa"/>
            <w:vAlign w:val="center"/>
          </w:tcPr>
          <w:p w:rsidR="00DE1433" w:rsidRPr="00DE1433" w:rsidRDefault="00DE1433" w:rsidP="00AA68A5">
            <w:pPr>
              <w:pStyle w:val="TableBodyText"/>
            </w:pPr>
            <w:r w:rsidRPr="00DE1433">
              <w:t xml:space="preserve"> 3 027</w:t>
            </w:r>
          </w:p>
        </w:tc>
        <w:tc>
          <w:tcPr>
            <w:tcW w:w="709" w:type="dxa"/>
            <w:vAlign w:val="center"/>
          </w:tcPr>
          <w:p w:rsidR="00DE1433" w:rsidRPr="00DE1433" w:rsidRDefault="00DE1433" w:rsidP="0039310E">
            <w:pPr>
              <w:pStyle w:val="TableBodyText"/>
              <w:ind w:right="0"/>
            </w:pPr>
            <w:r w:rsidRPr="00DE1433">
              <w:t xml:space="preserve"> 10 737</w:t>
            </w:r>
          </w:p>
        </w:tc>
      </w:tr>
      <w:tr w:rsidR="00DE1433" w:rsidTr="00025BCF">
        <w:tc>
          <w:tcPr>
            <w:tcW w:w="1276" w:type="dxa"/>
            <w:vAlign w:val="bottom"/>
          </w:tcPr>
          <w:p w:rsidR="00DE1433" w:rsidRDefault="00DE1433" w:rsidP="003736E3">
            <w:pPr>
              <w:pStyle w:val="TableBodyText"/>
              <w:ind w:left="142"/>
              <w:jc w:val="left"/>
            </w:pPr>
            <w:r>
              <w:t>Remote</w:t>
            </w:r>
          </w:p>
        </w:tc>
        <w:tc>
          <w:tcPr>
            <w:tcW w:w="851" w:type="dxa"/>
            <w:vAlign w:val="center"/>
          </w:tcPr>
          <w:p w:rsidR="00DE1433" w:rsidRPr="00DE1433" w:rsidRDefault="00DE1433" w:rsidP="00AA68A5">
            <w:pPr>
              <w:pStyle w:val="TableBodyText"/>
            </w:pPr>
            <w:r w:rsidRPr="00DE1433">
              <w:t xml:space="preserve"> 12 468</w:t>
            </w:r>
          </w:p>
        </w:tc>
        <w:tc>
          <w:tcPr>
            <w:tcW w:w="850" w:type="dxa"/>
            <w:vAlign w:val="center"/>
          </w:tcPr>
          <w:p w:rsidR="00DE1433" w:rsidRPr="00DE1433" w:rsidRDefault="00DE1433" w:rsidP="00AA68A5">
            <w:pPr>
              <w:pStyle w:val="TableBodyText"/>
            </w:pPr>
            <w:r w:rsidRPr="00DE1433">
              <w:t xml:space="preserve"> 24 321</w:t>
            </w:r>
          </w:p>
        </w:tc>
        <w:tc>
          <w:tcPr>
            <w:tcW w:w="851" w:type="dxa"/>
            <w:vAlign w:val="center"/>
          </w:tcPr>
          <w:p w:rsidR="00DE1433" w:rsidRPr="00DE1433" w:rsidRDefault="00DE1433" w:rsidP="00AA68A5">
            <w:pPr>
              <w:pStyle w:val="TableBodyText"/>
            </w:pPr>
            <w:r w:rsidRPr="00DE1433">
              <w:t xml:space="preserve"> 14 671</w:t>
            </w:r>
          </w:p>
        </w:tc>
        <w:tc>
          <w:tcPr>
            <w:tcW w:w="850" w:type="dxa"/>
            <w:vAlign w:val="center"/>
          </w:tcPr>
          <w:p w:rsidR="00DE1433" w:rsidRPr="00DE1433" w:rsidRDefault="00DE1433" w:rsidP="00AA68A5">
            <w:pPr>
              <w:pStyle w:val="TableBodyText"/>
            </w:pPr>
            <w:r w:rsidRPr="00DE1433">
              <w:t xml:space="preserve"> 10 659</w:t>
            </w:r>
          </w:p>
        </w:tc>
        <w:tc>
          <w:tcPr>
            <w:tcW w:w="851" w:type="dxa"/>
            <w:vAlign w:val="center"/>
          </w:tcPr>
          <w:p w:rsidR="00DE1433" w:rsidRPr="00DE1433" w:rsidRDefault="00DE1433" w:rsidP="00AA68A5">
            <w:pPr>
              <w:pStyle w:val="TableBodyText"/>
            </w:pPr>
            <w:r w:rsidRPr="00DE1433">
              <w:t xml:space="preserve"> 11 757</w:t>
            </w:r>
          </w:p>
        </w:tc>
        <w:tc>
          <w:tcPr>
            <w:tcW w:w="850" w:type="dxa"/>
            <w:vAlign w:val="center"/>
          </w:tcPr>
          <w:p w:rsidR="00DE1433" w:rsidRPr="00DE1433" w:rsidRDefault="00DE1433" w:rsidP="00AA68A5">
            <w:pPr>
              <w:pStyle w:val="TableBodyText"/>
            </w:pPr>
            <w:r w:rsidRPr="00DE1433">
              <w:t xml:space="preserve"> 7 094</w:t>
            </w:r>
          </w:p>
        </w:tc>
        <w:tc>
          <w:tcPr>
            <w:tcW w:w="851" w:type="dxa"/>
            <w:vAlign w:val="center"/>
          </w:tcPr>
          <w:p w:rsidR="00DE1433" w:rsidRPr="00DE1433" w:rsidRDefault="00DE1433" w:rsidP="00AA68A5">
            <w:pPr>
              <w:pStyle w:val="TableBodyText"/>
            </w:pPr>
            <w:r w:rsidRPr="00DE1433">
              <w:t>..</w:t>
            </w:r>
          </w:p>
        </w:tc>
        <w:tc>
          <w:tcPr>
            <w:tcW w:w="850" w:type="dxa"/>
            <w:vAlign w:val="center"/>
          </w:tcPr>
          <w:p w:rsidR="00DE1433" w:rsidRPr="00DE1433" w:rsidRDefault="00DE1433" w:rsidP="00AA68A5">
            <w:pPr>
              <w:pStyle w:val="TableBodyText"/>
            </w:pPr>
            <w:r w:rsidRPr="00DE1433">
              <w:t xml:space="preserve"> 4 518</w:t>
            </w:r>
          </w:p>
        </w:tc>
        <w:tc>
          <w:tcPr>
            <w:tcW w:w="709" w:type="dxa"/>
            <w:vAlign w:val="center"/>
          </w:tcPr>
          <w:p w:rsidR="00DE1433" w:rsidRPr="00DE1433" w:rsidRDefault="00DE1433" w:rsidP="0039310E">
            <w:pPr>
              <w:pStyle w:val="TableBodyText"/>
              <w:ind w:right="0"/>
            </w:pPr>
            <w:r w:rsidRPr="00DE1433">
              <w:t xml:space="preserve"> 11 591</w:t>
            </w:r>
          </w:p>
        </w:tc>
      </w:tr>
      <w:tr w:rsidR="00DE1433" w:rsidTr="003736E3">
        <w:tc>
          <w:tcPr>
            <w:tcW w:w="1276" w:type="dxa"/>
            <w:vAlign w:val="bottom"/>
          </w:tcPr>
          <w:p w:rsidR="00DE1433" w:rsidRDefault="00DE1433" w:rsidP="003736E3">
            <w:pPr>
              <w:pStyle w:val="TableBodyText"/>
              <w:ind w:left="142"/>
              <w:jc w:val="left"/>
            </w:pPr>
            <w:r>
              <w:t>Very remote</w:t>
            </w:r>
          </w:p>
        </w:tc>
        <w:tc>
          <w:tcPr>
            <w:tcW w:w="851" w:type="dxa"/>
            <w:vAlign w:val="center"/>
          </w:tcPr>
          <w:p w:rsidR="00DE1433" w:rsidRPr="00DE1433" w:rsidRDefault="00DE1433" w:rsidP="00AA68A5">
            <w:pPr>
              <w:pStyle w:val="TableBodyText"/>
            </w:pPr>
            <w:r w:rsidRPr="00DE1433">
              <w:t xml:space="preserve"> 11 498</w:t>
            </w:r>
          </w:p>
        </w:tc>
        <w:tc>
          <w:tcPr>
            <w:tcW w:w="850" w:type="dxa"/>
            <w:vAlign w:val="center"/>
          </w:tcPr>
          <w:p w:rsidR="00DE1433" w:rsidRPr="00DE1433" w:rsidRDefault="00DE1433" w:rsidP="00AA68A5">
            <w:pPr>
              <w:pStyle w:val="TableBodyText"/>
            </w:pPr>
            <w:r w:rsidRPr="00DE1433">
              <w:t>..</w:t>
            </w:r>
          </w:p>
        </w:tc>
        <w:tc>
          <w:tcPr>
            <w:tcW w:w="851" w:type="dxa"/>
            <w:vAlign w:val="center"/>
          </w:tcPr>
          <w:p w:rsidR="00DE1433" w:rsidRPr="00DE1433" w:rsidRDefault="00DE1433" w:rsidP="00AA68A5">
            <w:pPr>
              <w:pStyle w:val="TableBodyText"/>
            </w:pPr>
            <w:r w:rsidRPr="00DE1433">
              <w:t xml:space="preserve"> 13 536</w:t>
            </w:r>
          </w:p>
        </w:tc>
        <w:tc>
          <w:tcPr>
            <w:tcW w:w="850" w:type="dxa"/>
            <w:vAlign w:val="center"/>
          </w:tcPr>
          <w:p w:rsidR="00DE1433" w:rsidRPr="00DE1433" w:rsidRDefault="00DE1433" w:rsidP="00AA68A5">
            <w:pPr>
              <w:pStyle w:val="TableBodyText"/>
            </w:pPr>
            <w:r w:rsidRPr="00DE1433">
              <w:t xml:space="preserve"> 15 225</w:t>
            </w:r>
          </w:p>
        </w:tc>
        <w:tc>
          <w:tcPr>
            <w:tcW w:w="851" w:type="dxa"/>
            <w:vAlign w:val="center"/>
          </w:tcPr>
          <w:p w:rsidR="00DE1433" w:rsidRPr="00DE1433" w:rsidRDefault="00DE1433" w:rsidP="00AA68A5">
            <w:pPr>
              <w:pStyle w:val="TableBodyText"/>
            </w:pPr>
            <w:r w:rsidRPr="00DE1433">
              <w:t xml:space="preserve"> 22 582</w:t>
            </w:r>
          </w:p>
        </w:tc>
        <w:tc>
          <w:tcPr>
            <w:tcW w:w="850" w:type="dxa"/>
            <w:vAlign w:val="center"/>
          </w:tcPr>
          <w:p w:rsidR="00DE1433" w:rsidRPr="00DE1433" w:rsidRDefault="00DE1433" w:rsidP="00AA68A5">
            <w:pPr>
              <w:pStyle w:val="TableBodyText"/>
            </w:pPr>
            <w:r w:rsidRPr="00DE1433">
              <w:t xml:space="preserve"> 14 476</w:t>
            </w:r>
          </w:p>
        </w:tc>
        <w:tc>
          <w:tcPr>
            <w:tcW w:w="851" w:type="dxa"/>
            <w:vAlign w:val="center"/>
          </w:tcPr>
          <w:p w:rsidR="00DE1433" w:rsidRPr="00DE1433" w:rsidRDefault="00DE1433" w:rsidP="00AA68A5">
            <w:pPr>
              <w:pStyle w:val="TableBodyText"/>
            </w:pPr>
            <w:r w:rsidRPr="00DE1433">
              <w:t>..</w:t>
            </w:r>
          </w:p>
        </w:tc>
        <w:tc>
          <w:tcPr>
            <w:tcW w:w="850" w:type="dxa"/>
            <w:vAlign w:val="center"/>
          </w:tcPr>
          <w:p w:rsidR="00DE1433" w:rsidRPr="00DE1433" w:rsidRDefault="00DE1433" w:rsidP="00AA68A5">
            <w:pPr>
              <w:pStyle w:val="TableBodyText"/>
            </w:pPr>
            <w:r w:rsidRPr="00DE1433">
              <w:t xml:space="preserve"> 6 156</w:t>
            </w:r>
          </w:p>
        </w:tc>
        <w:tc>
          <w:tcPr>
            <w:tcW w:w="709" w:type="dxa"/>
            <w:vAlign w:val="center"/>
          </w:tcPr>
          <w:p w:rsidR="00DE1433" w:rsidRPr="00DE1433" w:rsidRDefault="00DE1433" w:rsidP="0039310E">
            <w:pPr>
              <w:pStyle w:val="TableBodyText"/>
              <w:ind w:right="0"/>
            </w:pPr>
            <w:r w:rsidRPr="00DE1433">
              <w:t xml:space="preserve"> 12 816</w:t>
            </w:r>
          </w:p>
        </w:tc>
      </w:tr>
      <w:tr w:rsidR="00DE1433" w:rsidTr="005C6FA7">
        <w:tc>
          <w:tcPr>
            <w:tcW w:w="1276" w:type="dxa"/>
            <w:vAlign w:val="bottom"/>
          </w:tcPr>
          <w:p w:rsidR="00DE1433" w:rsidRPr="007008BC" w:rsidRDefault="00DE1433" w:rsidP="00CC1191">
            <w:pPr>
              <w:pStyle w:val="TableBodyText"/>
              <w:jc w:val="left"/>
              <w:rPr>
                <w:b/>
              </w:rPr>
            </w:pPr>
            <w:r w:rsidRPr="007008BC">
              <w:rPr>
                <w:b/>
              </w:rPr>
              <w:t>All areas</w:t>
            </w:r>
          </w:p>
        </w:tc>
        <w:tc>
          <w:tcPr>
            <w:tcW w:w="851" w:type="dxa"/>
            <w:vAlign w:val="center"/>
          </w:tcPr>
          <w:p w:rsidR="00DE1433" w:rsidRPr="00DE1433" w:rsidRDefault="00DE1433" w:rsidP="00AA68A5">
            <w:pPr>
              <w:pStyle w:val="TableBodyText"/>
              <w:rPr>
                <w:b/>
              </w:rPr>
            </w:pPr>
            <w:r w:rsidRPr="00DE1433">
              <w:rPr>
                <w:b/>
              </w:rPr>
              <w:t xml:space="preserve"> 8 545</w:t>
            </w:r>
          </w:p>
        </w:tc>
        <w:tc>
          <w:tcPr>
            <w:tcW w:w="850" w:type="dxa"/>
            <w:vAlign w:val="center"/>
          </w:tcPr>
          <w:p w:rsidR="00DE1433" w:rsidRPr="00DE1433" w:rsidRDefault="00DE1433" w:rsidP="00AA68A5">
            <w:pPr>
              <w:pStyle w:val="TableBodyText"/>
              <w:rPr>
                <w:b/>
              </w:rPr>
            </w:pPr>
            <w:r w:rsidRPr="00DE1433">
              <w:rPr>
                <w:b/>
              </w:rPr>
              <w:t xml:space="preserve"> 11 158</w:t>
            </w:r>
          </w:p>
        </w:tc>
        <w:tc>
          <w:tcPr>
            <w:tcW w:w="851" w:type="dxa"/>
            <w:vAlign w:val="center"/>
          </w:tcPr>
          <w:p w:rsidR="00DE1433" w:rsidRPr="00DE1433" w:rsidRDefault="00DE1433" w:rsidP="00AA68A5">
            <w:pPr>
              <w:pStyle w:val="TableBodyText"/>
              <w:rPr>
                <w:b/>
              </w:rPr>
            </w:pPr>
            <w:r w:rsidRPr="00DE1433">
              <w:rPr>
                <w:b/>
              </w:rPr>
              <w:t xml:space="preserve"> 10 992</w:t>
            </w:r>
          </w:p>
        </w:tc>
        <w:tc>
          <w:tcPr>
            <w:tcW w:w="850" w:type="dxa"/>
            <w:vAlign w:val="center"/>
          </w:tcPr>
          <w:p w:rsidR="00DE1433" w:rsidRPr="00DE1433" w:rsidRDefault="00DE1433" w:rsidP="00AA68A5">
            <w:pPr>
              <w:pStyle w:val="TableBodyText"/>
              <w:rPr>
                <w:b/>
              </w:rPr>
            </w:pPr>
            <w:r w:rsidRPr="00DE1433">
              <w:rPr>
                <w:b/>
              </w:rPr>
              <w:t xml:space="preserve"> 10 599</w:t>
            </w:r>
          </w:p>
        </w:tc>
        <w:tc>
          <w:tcPr>
            <w:tcW w:w="851" w:type="dxa"/>
            <w:vAlign w:val="center"/>
          </w:tcPr>
          <w:p w:rsidR="00DE1433" w:rsidRPr="00DE1433" w:rsidRDefault="00DE1433" w:rsidP="00AA68A5">
            <w:pPr>
              <w:pStyle w:val="TableBodyText"/>
              <w:rPr>
                <w:b/>
              </w:rPr>
            </w:pPr>
            <w:r w:rsidRPr="00DE1433">
              <w:rPr>
                <w:b/>
              </w:rPr>
              <w:t xml:space="preserve"> 10 876</w:t>
            </w:r>
          </w:p>
        </w:tc>
        <w:tc>
          <w:tcPr>
            <w:tcW w:w="850" w:type="dxa"/>
            <w:vAlign w:val="center"/>
          </w:tcPr>
          <w:p w:rsidR="00DE1433" w:rsidRPr="00DE1433" w:rsidRDefault="00DE1433" w:rsidP="00AA68A5">
            <w:pPr>
              <w:pStyle w:val="TableBodyText"/>
              <w:rPr>
                <w:b/>
              </w:rPr>
            </w:pPr>
            <w:r w:rsidRPr="00DE1433">
              <w:rPr>
                <w:b/>
              </w:rPr>
              <w:t xml:space="preserve"> 10 266</w:t>
            </w:r>
          </w:p>
        </w:tc>
        <w:tc>
          <w:tcPr>
            <w:tcW w:w="851" w:type="dxa"/>
            <w:shd w:val="clear" w:color="auto" w:fill="FFFFFF" w:themeFill="background1"/>
            <w:vAlign w:val="center"/>
          </w:tcPr>
          <w:p w:rsidR="00DE1433" w:rsidRPr="00DE1433" w:rsidRDefault="00DE1433" w:rsidP="00AA68A5">
            <w:pPr>
              <w:pStyle w:val="TableBodyText"/>
              <w:rPr>
                <w:b/>
              </w:rPr>
            </w:pPr>
            <w:r w:rsidRPr="00DE1433">
              <w:rPr>
                <w:b/>
              </w:rPr>
              <w:t xml:space="preserve"> 8 594</w:t>
            </w:r>
          </w:p>
        </w:tc>
        <w:tc>
          <w:tcPr>
            <w:tcW w:w="850" w:type="dxa"/>
            <w:vAlign w:val="center"/>
          </w:tcPr>
          <w:p w:rsidR="00DE1433" w:rsidRPr="00DE1433" w:rsidRDefault="00DE1433" w:rsidP="00AA68A5">
            <w:pPr>
              <w:pStyle w:val="TableBodyText"/>
              <w:rPr>
                <w:b/>
              </w:rPr>
            </w:pPr>
            <w:r w:rsidRPr="00DE1433">
              <w:rPr>
                <w:b/>
              </w:rPr>
              <w:t xml:space="preserve"> 4 207</w:t>
            </w:r>
          </w:p>
        </w:tc>
        <w:tc>
          <w:tcPr>
            <w:tcW w:w="709" w:type="dxa"/>
            <w:vAlign w:val="center"/>
          </w:tcPr>
          <w:p w:rsidR="00DE1433" w:rsidRPr="00DE1433" w:rsidRDefault="00DE1433" w:rsidP="0039310E">
            <w:pPr>
              <w:pStyle w:val="TableBodyText"/>
              <w:ind w:right="0"/>
              <w:rPr>
                <w:b/>
              </w:rPr>
            </w:pPr>
            <w:r w:rsidRPr="00DE1433">
              <w:rPr>
                <w:b/>
              </w:rPr>
              <w:t>10 071</w:t>
            </w:r>
          </w:p>
        </w:tc>
      </w:tr>
      <w:tr w:rsidR="00DE1433" w:rsidTr="00E02123">
        <w:tc>
          <w:tcPr>
            <w:tcW w:w="8789" w:type="dxa"/>
            <w:gridSpan w:val="10"/>
          </w:tcPr>
          <w:p w:rsidR="00DE1433" w:rsidRPr="00503897" w:rsidRDefault="0063065F" w:rsidP="0063065F">
            <w:pPr>
              <w:pStyle w:val="TableBodyText"/>
              <w:jc w:val="left"/>
              <w:rPr>
                <w:rFonts w:cs="Arial"/>
              </w:rPr>
            </w:pPr>
            <w:r>
              <w:t>Total meals</w:t>
            </w:r>
            <w:r w:rsidR="00DE1433">
              <w:rPr>
                <w:rStyle w:val="NoteLabel"/>
              </w:rPr>
              <w:t>e</w:t>
            </w:r>
          </w:p>
        </w:tc>
      </w:tr>
      <w:tr w:rsidR="00DE1433" w:rsidTr="00C16403">
        <w:tc>
          <w:tcPr>
            <w:tcW w:w="1276" w:type="dxa"/>
            <w:vAlign w:val="bottom"/>
          </w:tcPr>
          <w:p w:rsidR="00DE1433" w:rsidRDefault="00DE1433" w:rsidP="003736E3">
            <w:pPr>
              <w:pStyle w:val="TableBodyText"/>
              <w:ind w:left="142"/>
              <w:jc w:val="left"/>
            </w:pPr>
            <w:r>
              <w:t>Major cities</w:t>
            </w:r>
          </w:p>
        </w:tc>
        <w:tc>
          <w:tcPr>
            <w:tcW w:w="851" w:type="dxa"/>
            <w:vAlign w:val="center"/>
          </w:tcPr>
          <w:p w:rsidR="00DE1433" w:rsidRPr="00DE1433" w:rsidRDefault="00DE1433" w:rsidP="00AA68A5">
            <w:pPr>
              <w:pStyle w:val="TableBodyText"/>
            </w:pPr>
            <w:r w:rsidRPr="00DE1433">
              <w:t xml:space="preserve"> 2 085</w:t>
            </w:r>
          </w:p>
        </w:tc>
        <w:tc>
          <w:tcPr>
            <w:tcW w:w="850" w:type="dxa"/>
            <w:vAlign w:val="center"/>
          </w:tcPr>
          <w:p w:rsidR="00DE1433" w:rsidRPr="00DE1433" w:rsidRDefault="00DE1433" w:rsidP="00AA68A5">
            <w:pPr>
              <w:pStyle w:val="TableBodyText"/>
            </w:pPr>
            <w:r w:rsidRPr="00DE1433">
              <w:t xml:space="preserve"> 2 475</w:t>
            </w:r>
          </w:p>
        </w:tc>
        <w:tc>
          <w:tcPr>
            <w:tcW w:w="851" w:type="dxa"/>
            <w:vAlign w:val="center"/>
          </w:tcPr>
          <w:p w:rsidR="00DE1433" w:rsidRPr="00DE1433" w:rsidRDefault="00DE1433" w:rsidP="00AA68A5">
            <w:pPr>
              <w:pStyle w:val="TableBodyText"/>
            </w:pPr>
            <w:r w:rsidRPr="00DE1433">
              <w:t xml:space="preserve"> 2 843</w:t>
            </w:r>
          </w:p>
        </w:tc>
        <w:tc>
          <w:tcPr>
            <w:tcW w:w="850" w:type="dxa"/>
            <w:vAlign w:val="center"/>
          </w:tcPr>
          <w:p w:rsidR="00DE1433" w:rsidRPr="00DE1433" w:rsidRDefault="00DE1433" w:rsidP="00AA68A5">
            <w:pPr>
              <w:pStyle w:val="TableBodyText"/>
            </w:pPr>
            <w:r w:rsidRPr="00DE1433">
              <w:t xml:space="preserve"> 1 369</w:t>
            </w:r>
          </w:p>
        </w:tc>
        <w:tc>
          <w:tcPr>
            <w:tcW w:w="851" w:type="dxa"/>
            <w:vAlign w:val="center"/>
          </w:tcPr>
          <w:p w:rsidR="00DE1433" w:rsidRPr="00DE1433" w:rsidRDefault="00DE1433" w:rsidP="00AA68A5">
            <w:pPr>
              <w:pStyle w:val="TableBodyText"/>
            </w:pPr>
            <w:r w:rsidRPr="00DE1433">
              <w:t xml:space="preserve"> 4 342</w:t>
            </w:r>
          </w:p>
        </w:tc>
        <w:tc>
          <w:tcPr>
            <w:tcW w:w="850" w:type="dxa"/>
            <w:vAlign w:val="center"/>
          </w:tcPr>
          <w:p w:rsidR="00DE1433" w:rsidRPr="00DE1433" w:rsidRDefault="00DE1433" w:rsidP="00AA68A5">
            <w:pPr>
              <w:pStyle w:val="TableBodyText"/>
            </w:pPr>
            <w:r w:rsidRPr="00DE1433">
              <w:t>..</w:t>
            </w:r>
          </w:p>
        </w:tc>
        <w:tc>
          <w:tcPr>
            <w:tcW w:w="851" w:type="dxa"/>
            <w:shd w:val="clear" w:color="auto" w:fill="FFFFFF" w:themeFill="background1"/>
            <w:vAlign w:val="center"/>
          </w:tcPr>
          <w:p w:rsidR="00DE1433" w:rsidRPr="00DE1433" w:rsidRDefault="00DE1433" w:rsidP="00AA68A5">
            <w:pPr>
              <w:pStyle w:val="TableBodyText"/>
            </w:pPr>
            <w:r w:rsidRPr="00DE1433">
              <w:t xml:space="preserve"> 2 385</w:t>
            </w:r>
          </w:p>
        </w:tc>
        <w:tc>
          <w:tcPr>
            <w:tcW w:w="850" w:type="dxa"/>
            <w:vAlign w:val="center"/>
          </w:tcPr>
          <w:p w:rsidR="00DE1433" w:rsidRPr="00DE1433" w:rsidRDefault="00DE1433" w:rsidP="00AA68A5">
            <w:pPr>
              <w:pStyle w:val="TableBodyText"/>
            </w:pPr>
            <w:r w:rsidRPr="00DE1433">
              <w:t>..</w:t>
            </w:r>
          </w:p>
        </w:tc>
        <w:tc>
          <w:tcPr>
            <w:tcW w:w="709" w:type="dxa"/>
            <w:vAlign w:val="center"/>
          </w:tcPr>
          <w:p w:rsidR="00DE1433" w:rsidRPr="00DE1433" w:rsidRDefault="00DE1433" w:rsidP="0039310E">
            <w:pPr>
              <w:pStyle w:val="TableBodyText"/>
              <w:ind w:right="0"/>
            </w:pPr>
            <w:r w:rsidRPr="00DE1433">
              <w:t xml:space="preserve"> 2 446</w:t>
            </w:r>
          </w:p>
        </w:tc>
      </w:tr>
      <w:tr w:rsidR="00DE1433" w:rsidTr="003736E3">
        <w:tc>
          <w:tcPr>
            <w:tcW w:w="1276" w:type="dxa"/>
            <w:vAlign w:val="bottom"/>
          </w:tcPr>
          <w:p w:rsidR="00DE1433" w:rsidRDefault="00DE1433" w:rsidP="003736E3">
            <w:pPr>
              <w:pStyle w:val="TableBodyText"/>
              <w:ind w:left="142"/>
              <w:jc w:val="left"/>
            </w:pPr>
            <w:r>
              <w:t>Inner regional</w:t>
            </w:r>
          </w:p>
        </w:tc>
        <w:tc>
          <w:tcPr>
            <w:tcW w:w="851" w:type="dxa"/>
            <w:vAlign w:val="center"/>
          </w:tcPr>
          <w:p w:rsidR="00DE1433" w:rsidRPr="00DE1433" w:rsidRDefault="00DE1433" w:rsidP="00AA68A5">
            <w:pPr>
              <w:pStyle w:val="TableBodyText"/>
            </w:pPr>
            <w:r w:rsidRPr="00DE1433">
              <w:t xml:space="preserve"> 2 973</w:t>
            </w:r>
          </w:p>
        </w:tc>
        <w:tc>
          <w:tcPr>
            <w:tcW w:w="850" w:type="dxa"/>
            <w:vAlign w:val="center"/>
          </w:tcPr>
          <w:p w:rsidR="00DE1433" w:rsidRPr="00DE1433" w:rsidRDefault="00DE1433" w:rsidP="00AA68A5">
            <w:pPr>
              <w:pStyle w:val="TableBodyText"/>
            </w:pPr>
            <w:r w:rsidRPr="00DE1433">
              <w:t xml:space="preserve"> 3 229</w:t>
            </w:r>
          </w:p>
        </w:tc>
        <w:tc>
          <w:tcPr>
            <w:tcW w:w="851" w:type="dxa"/>
            <w:vAlign w:val="center"/>
          </w:tcPr>
          <w:p w:rsidR="00DE1433" w:rsidRPr="00DE1433" w:rsidRDefault="00DE1433" w:rsidP="00AA68A5">
            <w:pPr>
              <w:pStyle w:val="TableBodyText"/>
            </w:pPr>
            <w:r w:rsidRPr="00DE1433">
              <w:t xml:space="preserve"> 3 371</w:t>
            </w:r>
          </w:p>
        </w:tc>
        <w:tc>
          <w:tcPr>
            <w:tcW w:w="850" w:type="dxa"/>
            <w:vAlign w:val="center"/>
          </w:tcPr>
          <w:p w:rsidR="00DE1433" w:rsidRPr="00DE1433" w:rsidRDefault="00DE1433" w:rsidP="00AA68A5">
            <w:pPr>
              <w:pStyle w:val="TableBodyText"/>
            </w:pPr>
            <w:r w:rsidRPr="00DE1433">
              <w:t xml:space="preserve"> 2 146</w:t>
            </w:r>
          </w:p>
        </w:tc>
        <w:tc>
          <w:tcPr>
            <w:tcW w:w="851" w:type="dxa"/>
            <w:vAlign w:val="center"/>
          </w:tcPr>
          <w:p w:rsidR="00DE1433" w:rsidRPr="00DE1433" w:rsidRDefault="00DE1433" w:rsidP="00AA68A5">
            <w:pPr>
              <w:pStyle w:val="TableBodyText"/>
            </w:pPr>
            <w:r w:rsidRPr="00DE1433">
              <w:t xml:space="preserve"> 2 273</w:t>
            </w:r>
          </w:p>
        </w:tc>
        <w:tc>
          <w:tcPr>
            <w:tcW w:w="850" w:type="dxa"/>
            <w:vAlign w:val="center"/>
          </w:tcPr>
          <w:p w:rsidR="00DE1433" w:rsidRPr="00DE1433" w:rsidRDefault="00DE1433" w:rsidP="00AA68A5">
            <w:pPr>
              <w:pStyle w:val="TableBodyText"/>
            </w:pPr>
            <w:r w:rsidRPr="00DE1433">
              <w:t xml:space="preserve"> 2 760</w:t>
            </w:r>
          </w:p>
        </w:tc>
        <w:tc>
          <w:tcPr>
            <w:tcW w:w="851" w:type="dxa"/>
            <w:vAlign w:val="center"/>
          </w:tcPr>
          <w:p w:rsidR="00DE1433" w:rsidRPr="00DE1433" w:rsidRDefault="00DE1433" w:rsidP="00AA68A5">
            <w:pPr>
              <w:pStyle w:val="TableBodyText"/>
            </w:pPr>
            <w:r w:rsidRPr="00DE1433">
              <w:t>..</w:t>
            </w:r>
          </w:p>
        </w:tc>
        <w:tc>
          <w:tcPr>
            <w:tcW w:w="850" w:type="dxa"/>
            <w:vAlign w:val="center"/>
          </w:tcPr>
          <w:p w:rsidR="00DE1433" w:rsidRPr="00DE1433" w:rsidRDefault="00DE1433" w:rsidP="00AA68A5">
            <w:pPr>
              <w:pStyle w:val="TableBodyText"/>
            </w:pPr>
            <w:r w:rsidRPr="00DE1433">
              <w:t>..</w:t>
            </w:r>
          </w:p>
        </w:tc>
        <w:tc>
          <w:tcPr>
            <w:tcW w:w="709" w:type="dxa"/>
            <w:vAlign w:val="center"/>
          </w:tcPr>
          <w:p w:rsidR="00DE1433" w:rsidRPr="00DE1433" w:rsidRDefault="00DE1433" w:rsidP="0039310E">
            <w:pPr>
              <w:pStyle w:val="TableBodyText"/>
              <w:ind w:right="0"/>
            </w:pPr>
            <w:r w:rsidRPr="00DE1433">
              <w:t xml:space="preserve"> 3 038</w:t>
            </w:r>
          </w:p>
        </w:tc>
      </w:tr>
      <w:tr w:rsidR="00DE1433" w:rsidTr="003736E3">
        <w:tc>
          <w:tcPr>
            <w:tcW w:w="1276" w:type="dxa"/>
            <w:vAlign w:val="bottom"/>
          </w:tcPr>
          <w:p w:rsidR="00DE1433" w:rsidRDefault="00DE1433" w:rsidP="003736E3">
            <w:pPr>
              <w:pStyle w:val="TableBodyText"/>
              <w:ind w:left="142"/>
              <w:jc w:val="left"/>
            </w:pPr>
            <w:r>
              <w:t>Outer regional</w:t>
            </w:r>
          </w:p>
        </w:tc>
        <w:tc>
          <w:tcPr>
            <w:tcW w:w="851" w:type="dxa"/>
            <w:vAlign w:val="center"/>
          </w:tcPr>
          <w:p w:rsidR="00DE1433" w:rsidRPr="00DE1433" w:rsidRDefault="00DE1433" w:rsidP="00AA68A5">
            <w:pPr>
              <w:pStyle w:val="TableBodyText"/>
            </w:pPr>
            <w:r w:rsidRPr="00DE1433">
              <w:t xml:space="preserve"> 4 629</w:t>
            </w:r>
          </w:p>
        </w:tc>
        <w:tc>
          <w:tcPr>
            <w:tcW w:w="850" w:type="dxa"/>
            <w:vAlign w:val="center"/>
          </w:tcPr>
          <w:p w:rsidR="00DE1433" w:rsidRPr="00DE1433" w:rsidRDefault="00DE1433" w:rsidP="00AA68A5">
            <w:pPr>
              <w:pStyle w:val="TableBodyText"/>
            </w:pPr>
            <w:r w:rsidRPr="00DE1433">
              <w:t xml:space="preserve"> 3 767</w:t>
            </w:r>
          </w:p>
        </w:tc>
        <w:tc>
          <w:tcPr>
            <w:tcW w:w="851" w:type="dxa"/>
            <w:vAlign w:val="center"/>
          </w:tcPr>
          <w:p w:rsidR="00DE1433" w:rsidRPr="00DE1433" w:rsidRDefault="00DE1433" w:rsidP="00AA68A5">
            <w:pPr>
              <w:pStyle w:val="TableBodyText"/>
            </w:pPr>
            <w:r w:rsidRPr="00DE1433">
              <w:t xml:space="preserve"> 3 174</w:t>
            </w:r>
          </w:p>
        </w:tc>
        <w:tc>
          <w:tcPr>
            <w:tcW w:w="850" w:type="dxa"/>
            <w:vAlign w:val="center"/>
          </w:tcPr>
          <w:p w:rsidR="00DE1433" w:rsidRPr="00DE1433" w:rsidRDefault="00DE1433" w:rsidP="00AA68A5">
            <w:pPr>
              <w:pStyle w:val="TableBodyText"/>
            </w:pPr>
            <w:r w:rsidRPr="00DE1433">
              <w:t xml:space="preserve"> 3 104</w:t>
            </w:r>
          </w:p>
        </w:tc>
        <w:tc>
          <w:tcPr>
            <w:tcW w:w="851" w:type="dxa"/>
            <w:vAlign w:val="center"/>
          </w:tcPr>
          <w:p w:rsidR="00DE1433" w:rsidRPr="00DE1433" w:rsidRDefault="00DE1433" w:rsidP="00AA68A5">
            <w:pPr>
              <w:pStyle w:val="TableBodyText"/>
            </w:pPr>
            <w:r w:rsidRPr="00DE1433">
              <w:t xml:space="preserve"> 4 277</w:t>
            </w:r>
          </w:p>
        </w:tc>
        <w:tc>
          <w:tcPr>
            <w:tcW w:w="850" w:type="dxa"/>
            <w:vAlign w:val="center"/>
          </w:tcPr>
          <w:p w:rsidR="00DE1433" w:rsidRPr="00DE1433" w:rsidRDefault="00DE1433" w:rsidP="00AA68A5">
            <w:pPr>
              <w:pStyle w:val="TableBodyText"/>
            </w:pPr>
            <w:r w:rsidRPr="00DE1433">
              <w:t xml:space="preserve"> 2 782</w:t>
            </w:r>
          </w:p>
        </w:tc>
        <w:tc>
          <w:tcPr>
            <w:tcW w:w="851" w:type="dxa"/>
            <w:vAlign w:val="center"/>
          </w:tcPr>
          <w:p w:rsidR="00DE1433" w:rsidRPr="00DE1433" w:rsidRDefault="00DE1433" w:rsidP="00AA68A5">
            <w:pPr>
              <w:pStyle w:val="TableBodyText"/>
            </w:pPr>
            <w:r w:rsidRPr="00DE1433">
              <w:t>..</w:t>
            </w:r>
          </w:p>
        </w:tc>
        <w:tc>
          <w:tcPr>
            <w:tcW w:w="850" w:type="dxa"/>
            <w:vAlign w:val="center"/>
          </w:tcPr>
          <w:p w:rsidR="00DE1433" w:rsidRPr="00DE1433" w:rsidRDefault="00DE1433" w:rsidP="00AA68A5">
            <w:pPr>
              <w:pStyle w:val="TableBodyText"/>
            </w:pPr>
            <w:r w:rsidRPr="00DE1433">
              <w:t xml:space="preserve"> 1 934</w:t>
            </w:r>
          </w:p>
        </w:tc>
        <w:tc>
          <w:tcPr>
            <w:tcW w:w="709" w:type="dxa"/>
            <w:vAlign w:val="center"/>
          </w:tcPr>
          <w:p w:rsidR="00DE1433" w:rsidRPr="00DE1433" w:rsidRDefault="00DE1433" w:rsidP="0039310E">
            <w:pPr>
              <w:pStyle w:val="TableBodyText"/>
              <w:ind w:right="0"/>
            </w:pPr>
            <w:r w:rsidRPr="00DE1433">
              <w:t xml:space="preserve"> 3 689</w:t>
            </w:r>
          </w:p>
        </w:tc>
      </w:tr>
      <w:tr w:rsidR="00DE1433" w:rsidTr="003736E3">
        <w:tc>
          <w:tcPr>
            <w:tcW w:w="1276" w:type="dxa"/>
            <w:vAlign w:val="bottom"/>
          </w:tcPr>
          <w:p w:rsidR="00DE1433" w:rsidRDefault="00DE1433" w:rsidP="003736E3">
            <w:pPr>
              <w:pStyle w:val="TableBodyText"/>
              <w:ind w:left="142"/>
              <w:jc w:val="left"/>
            </w:pPr>
            <w:r>
              <w:t>Remote</w:t>
            </w:r>
          </w:p>
        </w:tc>
        <w:tc>
          <w:tcPr>
            <w:tcW w:w="851" w:type="dxa"/>
            <w:vAlign w:val="center"/>
          </w:tcPr>
          <w:p w:rsidR="00DE1433" w:rsidRPr="00DE1433" w:rsidRDefault="00DE1433" w:rsidP="00AA68A5">
            <w:pPr>
              <w:pStyle w:val="TableBodyText"/>
            </w:pPr>
            <w:r w:rsidRPr="00DE1433">
              <w:t xml:space="preserve"> 8 524</w:t>
            </w:r>
          </w:p>
        </w:tc>
        <w:tc>
          <w:tcPr>
            <w:tcW w:w="850" w:type="dxa"/>
            <w:vAlign w:val="center"/>
          </w:tcPr>
          <w:p w:rsidR="00DE1433" w:rsidRPr="00DE1433" w:rsidRDefault="00DE1433" w:rsidP="00AA68A5">
            <w:pPr>
              <w:pStyle w:val="TableBodyText"/>
            </w:pPr>
            <w:r w:rsidRPr="00DE1433">
              <w:t xml:space="preserve"> 6 987</w:t>
            </w:r>
          </w:p>
        </w:tc>
        <w:tc>
          <w:tcPr>
            <w:tcW w:w="851" w:type="dxa"/>
            <w:vAlign w:val="center"/>
          </w:tcPr>
          <w:p w:rsidR="00DE1433" w:rsidRPr="00DE1433" w:rsidRDefault="00DE1433" w:rsidP="00AA68A5">
            <w:pPr>
              <w:pStyle w:val="TableBodyText"/>
            </w:pPr>
            <w:r w:rsidRPr="00DE1433">
              <w:t xml:space="preserve"> 5 528</w:t>
            </w:r>
          </w:p>
        </w:tc>
        <w:tc>
          <w:tcPr>
            <w:tcW w:w="850" w:type="dxa"/>
            <w:vAlign w:val="center"/>
          </w:tcPr>
          <w:p w:rsidR="00DE1433" w:rsidRPr="00DE1433" w:rsidRDefault="00DE1433" w:rsidP="00AA68A5">
            <w:pPr>
              <w:pStyle w:val="TableBodyText"/>
            </w:pPr>
            <w:r w:rsidRPr="00DE1433">
              <w:t xml:space="preserve"> 4 587</w:t>
            </w:r>
          </w:p>
        </w:tc>
        <w:tc>
          <w:tcPr>
            <w:tcW w:w="851" w:type="dxa"/>
            <w:vAlign w:val="center"/>
          </w:tcPr>
          <w:p w:rsidR="00DE1433" w:rsidRPr="00DE1433" w:rsidRDefault="00DE1433" w:rsidP="00AA68A5">
            <w:pPr>
              <w:pStyle w:val="TableBodyText"/>
            </w:pPr>
            <w:r w:rsidRPr="00DE1433">
              <w:t xml:space="preserve"> 4 473</w:t>
            </w:r>
          </w:p>
        </w:tc>
        <w:tc>
          <w:tcPr>
            <w:tcW w:w="850" w:type="dxa"/>
            <w:vAlign w:val="center"/>
          </w:tcPr>
          <w:p w:rsidR="00DE1433" w:rsidRPr="00DE1433" w:rsidRDefault="00DE1433" w:rsidP="00AA68A5">
            <w:pPr>
              <w:pStyle w:val="TableBodyText"/>
            </w:pPr>
            <w:r w:rsidRPr="00DE1433">
              <w:t xml:space="preserve"> 2 747</w:t>
            </w:r>
          </w:p>
        </w:tc>
        <w:tc>
          <w:tcPr>
            <w:tcW w:w="851" w:type="dxa"/>
            <w:vAlign w:val="center"/>
          </w:tcPr>
          <w:p w:rsidR="00DE1433" w:rsidRPr="00DE1433" w:rsidRDefault="00DE1433" w:rsidP="00AA68A5">
            <w:pPr>
              <w:pStyle w:val="TableBodyText"/>
            </w:pPr>
            <w:r w:rsidRPr="00DE1433">
              <w:t>..</w:t>
            </w:r>
          </w:p>
        </w:tc>
        <w:tc>
          <w:tcPr>
            <w:tcW w:w="850" w:type="dxa"/>
            <w:vAlign w:val="center"/>
          </w:tcPr>
          <w:p w:rsidR="00DE1433" w:rsidRPr="00DE1433" w:rsidRDefault="00DE1433" w:rsidP="00AA68A5">
            <w:pPr>
              <w:pStyle w:val="TableBodyText"/>
            </w:pPr>
            <w:r w:rsidRPr="00DE1433">
              <w:t xml:space="preserve"> 4 665</w:t>
            </w:r>
          </w:p>
        </w:tc>
        <w:tc>
          <w:tcPr>
            <w:tcW w:w="709" w:type="dxa"/>
            <w:vAlign w:val="center"/>
          </w:tcPr>
          <w:p w:rsidR="00DE1433" w:rsidRPr="00DE1433" w:rsidRDefault="00DE1433" w:rsidP="0039310E">
            <w:pPr>
              <w:pStyle w:val="TableBodyText"/>
              <w:ind w:right="0"/>
            </w:pPr>
            <w:r w:rsidRPr="00DE1433">
              <w:t xml:space="preserve"> 5 345</w:t>
            </w:r>
          </w:p>
        </w:tc>
      </w:tr>
      <w:tr w:rsidR="00DE1433" w:rsidTr="003736E3">
        <w:tc>
          <w:tcPr>
            <w:tcW w:w="1276" w:type="dxa"/>
            <w:vAlign w:val="bottom"/>
          </w:tcPr>
          <w:p w:rsidR="00DE1433" w:rsidRDefault="00DE1433" w:rsidP="003736E3">
            <w:pPr>
              <w:pStyle w:val="TableBodyText"/>
              <w:ind w:left="142"/>
              <w:jc w:val="left"/>
            </w:pPr>
            <w:r>
              <w:t>Very remote</w:t>
            </w:r>
          </w:p>
        </w:tc>
        <w:tc>
          <w:tcPr>
            <w:tcW w:w="851" w:type="dxa"/>
            <w:vAlign w:val="center"/>
          </w:tcPr>
          <w:p w:rsidR="00DE1433" w:rsidRPr="00DE1433" w:rsidRDefault="00DE1433" w:rsidP="00AA68A5">
            <w:pPr>
              <w:pStyle w:val="TableBodyText"/>
            </w:pPr>
            <w:r w:rsidRPr="00DE1433">
              <w:t xml:space="preserve"> 21 911</w:t>
            </w:r>
          </w:p>
        </w:tc>
        <w:tc>
          <w:tcPr>
            <w:tcW w:w="850" w:type="dxa"/>
            <w:vAlign w:val="center"/>
          </w:tcPr>
          <w:p w:rsidR="00DE1433" w:rsidRPr="00DE1433" w:rsidRDefault="00DE1433" w:rsidP="00AA68A5">
            <w:pPr>
              <w:pStyle w:val="TableBodyText"/>
            </w:pPr>
            <w:r w:rsidRPr="00DE1433">
              <w:t>..</w:t>
            </w:r>
          </w:p>
        </w:tc>
        <w:tc>
          <w:tcPr>
            <w:tcW w:w="851" w:type="dxa"/>
            <w:vAlign w:val="center"/>
          </w:tcPr>
          <w:p w:rsidR="00DE1433" w:rsidRPr="00DE1433" w:rsidRDefault="00DE1433" w:rsidP="00AA68A5">
            <w:pPr>
              <w:pStyle w:val="TableBodyText"/>
            </w:pPr>
            <w:r w:rsidRPr="00DE1433">
              <w:t xml:space="preserve"> 7 462</w:t>
            </w:r>
          </w:p>
        </w:tc>
        <w:tc>
          <w:tcPr>
            <w:tcW w:w="850" w:type="dxa"/>
            <w:vAlign w:val="center"/>
          </w:tcPr>
          <w:p w:rsidR="00DE1433" w:rsidRPr="00DE1433" w:rsidRDefault="00DE1433" w:rsidP="00AA68A5">
            <w:pPr>
              <w:pStyle w:val="TableBodyText"/>
            </w:pPr>
            <w:r w:rsidRPr="00DE1433">
              <w:t xml:space="preserve"> 12 018</w:t>
            </w:r>
          </w:p>
        </w:tc>
        <w:tc>
          <w:tcPr>
            <w:tcW w:w="851" w:type="dxa"/>
            <w:vAlign w:val="center"/>
          </w:tcPr>
          <w:p w:rsidR="00DE1433" w:rsidRPr="00DE1433" w:rsidRDefault="00DE1433" w:rsidP="00AA68A5">
            <w:pPr>
              <w:pStyle w:val="TableBodyText"/>
            </w:pPr>
            <w:r w:rsidRPr="00DE1433">
              <w:t xml:space="preserve"> 22 001</w:t>
            </w:r>
          </w:p>
        </w:tc>
        <w:tc>
          <w:tcPr>
            <w:tcW w:w="850" w:type="dxa"/>
            <w:vAlign w:val="center"/>
          </w:tcPr>
          <w:p w:rsidR="00DE1433" w:rsidRPr="00DE1433" w:rsidRDefault="00DE1433" w:rsidP="00AA68A5">
            <w:pPr>
              <w:pStyle w:val="TableBodyText"/>
            </w:pPr>
            <w:r w:rsidRPr="00DE1433">
              <w:t xml:space="preserve"> 7 085</w:t>
            </w:r>
          </w:p>
        </w:tc>
        <w:tc>
          <w:tcPr>
            <w:tcW w:w="851" w:type="dxa"/>
            <w:vAlign w:val="center"/>
          </w:tcPr>
          <w:p w:rsidR="00DE1433" w:rsidRPr="00DE1433" w:rsidRDefault="00DE1433" w:rsidP="00AA68A5">
            <w:pPr>
              <w:pStyle w:val="TableBodyText"/>
            </w:pPr>
            <w:r w:rsidRPr="00DE1433">
              <w:t>..</w:t>
            </w:r>
          </w:p>
        </w:tc>
        <w:tc>
          <w:tcPr>
            <w:tcW w:w="850" w:type="dxa"/>
            <w:vAlign w:val="center"/>
          </w:tcPr>
          <w:p w:rsidR="00DE1433" w:rsidRPr="00DE1433" w:rsidRDefault="00DE1433" w:rsidP="00AA68A5">
            <w:pPr>
              <w:pStyle w:val="TableBodyText"/>
            </w:pPr>
            <w:r w:rsidRPr="00DE1433">
              <w:t xml:space="preserve"> 12 470</w:t>
            </w:r>
          </w:p>
        </w:tc>
        <w:tc>
          <w:tcPr>
            <w:tcW w:w="709" w:type="dxa"/>
            <w:vAlign w:val="center"/>
          </w:tcPr>
          <w:p w:rsidR="00DE1433" w:rsidRPr="00DE1433" w:rsidRDefault="00DE1433" w:rsidP="0039310E">
            <w:pPr>
              <w:pStyle w:val="TableBodyText"/>
              <w:ind w:right="0"/>
            </w:pPr>
            <w:r w:rsidRPr="00DE1433">
              <w:t xml:space="preserve"> 11 987</w:t>
            </w:r>
          </w:p>
        </w:tc>
      </w:tr>
      <w:tr w:rsidR="00DE1433" w:rsidTr="005C6FA7">
        <w:tc>
          <w:tcPr>
            <w:tcW w:w="1276" w:type="dxa"/>
            <w:tcBorders>
              <w:bottom w:val="single" w:sz="4" w:space="0" w:color="auto"/>
            </w:tcBorders>
            <w:shd w:val="clear" w:color="auto" w:fill="auto"/>
            <w:vAlign w:val="bottom"/>
          </w:tcPr>
          <w:p w:rsidR="00DE1433" w:rsidRPr="007008BC" w:rsidRDefault="00DE1433" w:rsidP="00CC1191">
            <w:pPr>
              <w:pStyle w:val="TableBodyText"/>
              <w:jc w:val="left"/>
              <w:rPr>
                <w:b/>
              </w:rPr>
            </w:pPr>
            <w:r w:rsidRPr="007008BC">
              <w:rPr>
                <w:b/>
              </w:rPr>
              <w:t>All areas</w:t>
            </w:r>
          </w:p>
        </w:tc>
        <w:tc>
          <w:tcPr>
            <w:tcW w:w="851" w:type="dxa"/>
            <w:tcBorders>
              <w:bottom w:val="single" w:sz="4" w:space="0" w:color="auto"/>
            </w:tcBorders>
            <w:shd w:val="clear" w:color="auto" w:fill="auto"/>
            <w:vAlign w:val="center"/>
          </w:tcPr>
          <w:p w:rsidR="00DE1433" w:rsidRPr="00DE1433" w:rsidRDefault="00DE1433" w:rsidP="00AA68A5">
            <w:pPr>
              <w:pStyle w:val="TableBodyText"/>
              <w:rPr>
                <w:b/>
              </w:rPr>
            </w:pPr>
            <w:r w:rsidRPr="00DE1433">
              <w:rPr>
                <w:b/>
              </w:rPr>
              <w:t xml:space="preserve"> 2 562</w:t>
            </w:r>
          </w:p>
        </w:tc>
        <w:tc>
          <w:tcPr>
            <w:tcW w:w="850" w:type="dxa"/>
            <w:tcBorders>
              <w:bottom w:val="single" w:sz="4" w:space="0" w:color="auto"/>
            </w:tcBorders>
            <w:shd w:val="clear" w:color="auto" w:fill="auto"/>
            <w:vAlign w:val="center"/>
          </w:tcPr>
          <w:p w:rsidR="00DE1433" w:rsidRPr="00DE1433" w:rsidRDefault="00DE1433" w:rsidP="00AA68A5">
            <w:pPr>
              <w:pStyle w:val="TableBodyText"/>
              <w:rPr>
                <w:b/>
              </w:rPr>
            </w:pPr>
            <w:r w:rsidRPr="00DE1433">
              <w:rPr>
                <w:b/>
              </w:rPr>
              <w:t xml:space="preserve"> 2 728</w:t>
            </w:r>
          </w:p>
        </w:tc>
        <w:tc>
          <w:tcPr>
            <w:tcW w:w="851" w:type="dxa"/>
            <w:tcBorders>
              <w:bottom w:val="single" w:sz="4" w:space="0" w:color="auto"/>
            </w:tcBorders>
            <w:shd w:val="clear" w:color="auto" w:fill="auto"/>
            <w:vAlign w:val="center"/>
          </w:tcPr>
          <w:p w:rsidR="00DE1433" w:rsidRPr="00DE1433" w:rsidRDefault="00DE1433" w:rsidP="00AA68A5">
            <w:pPr>
              <w:pStyle w:val="TableBodyText"/>
              <w:rPr>
                <w:b/>
              </w:rPr>
            </w:pPr>
            <w:r w:rsidRPr="00DE1433">
              <w:rPr>
                <w:b/>
              </w:rPr>
              <w:t xml:space="preserve"> 3 119</w:t>
            </w:r>
          </w:p>
        </w:tc>
        <w:tc>
          <w:tcPr>
            <w:tcW w:w="850" w:type="dxa"/>
            <w:tcBorders>
              <w:bottom w:val="single" w:sz="4" w:space="0" w:color="auto"/>
            </w:tcBorders>
            <w:shd w:val="clear" w:color="auto" w:fill="auto"/>
            <w:vAlign w:val="center"/>
          </w:tcPr>
          <w:p w:rsidR="00DE1433" w:rsidRPr="00DE1433" w:rsidRDefault="00DE1433" w:rsidP="00AA68A5">
            <w:pPr>
              <w:pStyle w:val="TableBodyText"/>
              <w:rPr>
                <w:b/>
              </w:rPr>
            </w:pPr>
            <w:r w:rsidRPr="00DE1433">
              <w:rPr>
                <w:b/>
              </w:rPr>
              <w:t xml:space="preserve"> 1 879</w:t>
            </w:r>
          </w:p>
        </w:tc>
        <w:tc>
          <w:tcPr>
            <w:tcW w:w="851" w:type="dxa"/>
            <w:tcBorders>
              <w:bottom w:val="single" w:sz="4" w:space="0" w:color="auto"/>
            </w:tcBorders>
            <w:shd w:val="clear" w:color="auto" w:fill="auto"/>
            <w:vAlign w:val="center"/>
          </w:tcPr>
          <w:p w:rsidR="00DE1433" w:rsidRPr="00DE1433" w:rsidRDefault="00DE1433" w:rsidP="00AA68A5">
            <w:pPr>
              <w:pStyle w:val="TableBodyText"/>
              <w:rPr>
                <w:b/>
              </w:rPr>
            </w:pPr>
            <w:r w:rsidRPr="00DE1433">
              <w:rPr>
                <w:b/>
              </w:rPr>
              <w:t xml:space="preserve"> 4 223</w:t>
            </w:r>
          </w:p>
        </w:tc>
        <w:tc>
          <w:tcPr>
            <w:tcW w:w="850" w:type="dxa"/>
            <w:tcBorders>
              <w:bottom w:val="single" w:sz="4" w:space="0" w:color="auto"/>
            </w:tcBorders>
            <w:shd w:val="clear" w:color="auto" w:fill="auto"/>
            <w:vAlign w:val="center"/>
          </w:tcPr>
          <w:p w:rsidR="00DE1433" w:rsidRPr="00DE1433" w:rsidRDefault="00DE1433" w:rsidP="00AA68A5">
            <w:pPr>
              <w:pStyle w:val="TableBodyText"/>
              <w:rPr>
                <w:b/>
              </w:rPr>
            </w:pPr>
            <w:r w:rsidRPr="00DE1433">
              <w:rPr>
                <w:b/>
              </w:rPr>
              <w:t xml:space="preserve"> 2 792</w:t>
            </w:r>
          </w:p>
        </w:tc>
        <w:tc>
          <w:tcPr>
            <w:tcW w:w="851" w:type="dxa"/>
            <w:tcBorders>
              <w:bottom w:val="single" w:sz="4" w:space="0" w:color="auto"/>
            </w:tcBorders>
            <w:shd w:val="clear" w:color="auto" w:fill="FFFFFF" w:themeFill="background1"/>
            <w:vAlign w:val="center"/>
          </w:tcPr>
          <w:p w:rsidR="00DE1433" w:rsidRPr="00DE1433" w:rsidRDefault="00DE1433" w:rsidP="00AA68A5">
            <w:pPr>
              <w:pStyle w:val="TableBodyText"/>
              <w:rPr>
                <w:b/>
              </w:rPr>
            </w:pPr>
            <w:r w:rsidRPr="00DE1433">
              <w:rPr>
                <w:b/>
              </w:rPr>
              <w:t xml:space="preserve"> 2 382</w:t>
            </w:r>
          </w:p>
        </w:tc>
        <w:tc>
          <w:tcPr>
            <w:tcW w:w="850" w:type="dxa"/>
            <w:tcBorders>
              <w:bottom w:val="single" w:sz="4" w:space="0" w:color="auto"/>
            </w:tcBorders>
            <w:shd w:val="clear" w:color="auto" w:fill="auto"/>
            <w:vAlign w:val="center"/>
          </w:tcPr>
          <w:p w:rsidR="00DE1433" w:rsidRPr="00DE1433" w:rsidRDefault="00DE1433" w:rsidP="00AA68A5">
            <w:pPr>
              <w:pStyle w:val="TableBodyText"/>
              <w:rPr>
                <w:b/>
              </w:rPr>
            </w:pPr>
            <w:r w:rsidRPr="00DE1433">
              <w:rPr>
                <w:b/>
              </w:rPr>
              <w:t xml:space="preserve"> 5 406</w:t>
            </w:r>
          </w:p>
        </w:tc>
        <w:tc>
          <w:tcPr>
            <w:tcW w:w="709" w:type="dxa"/>
            <w:tcBorders>
              <w:bottom w:val="single" w:sz="4" w:space="0" w:color="auto"/>
            </w:tcBorders>
            <w:shd w:val="clear" w:color="auto" w:fill="auto"/>
            <w:vAlign w:val="center"/>
          </w:tcPr>
          <w:p w:rsidR="00DE1433" w:rsidRPr="00DE1433" w:rsidRDefault="00DE1433" w:rsidP="0039310E">
            <w:pPr>
              <w:pStyle w:val="TableBodyText"/>
              <w:ind w:right="0"/>
              <w:rPr>
                <w:rFonts w:cs="Arial"/>
                <w:b/>
              </w:rPr>
            </w:pPr>
            <w:r>
              <w:rPr>
                <w:rFonts w:cs="Arial"/>
              </w:rPr>
              <w:t xml:space="preserve"> </w:t>
            </w:r>
            <w:r w:rsidRPr="00DE1433">
              <w:rPr>
                <w:rFonts w:cs="Arial"/>
                <w:b/>
              </w:rPr>
              <w:t>2 805</w:t>
            </w:r>
          </w:p>
        </w:tc>
      </w:tr>
    </w:tbl>
    <w:p w:rsidR="00A12C8F" w:rsidRDefault="00A12C8F" w:rsidP="00A857BD">
      <w:pPr>
        <w:pStyle w:val="Note"/>
      </w:pPr>
      <w:r w:rsidRPr="00BA39D7">
        <w:rPr>
          <w:rStyle w:val="NoteLabel"/>
        </w:rPr>
        <w:t>a</w:t>
      </w:r>
      <w:r>
        <w:t xml:space="preserve"> Data represent HACC services received </w:t>
      </w:r>
      <w:r w:rsidR="00145E8B">
        <w:t xml:space="preserve">by people aged </w:t>
      </w:r>
      <w:r w:rsidR="00FC3D95">
        <w:t>65</w:t>
      </w:r>
      <w:r w:rsidR="00596EC8">
        <w:t xml:space="preserve"> </w:t>
      </w:r>
      <w:r w:rsidR="00145E8B">
        <w:t>years or over</w:t>
      </w:r>
      <w:r>
        <w:t xml:space="preserve"> </w:t>
      </w:r>
      <w:r w:rsidR="00CF2C9C" w:rsidRPr="00A857BD">
        <w:t>and</w:t>
      </w:r>
      <w:r>
        <w:t xml:space="preserve"> </w:t>
      </w:r>
      <w:r w:rsidR="00EB2705">
        <w:t>Indigenous Australians</w:t>
      </w:r>
      <w:r>
        <w:t xml:space="preserve"> aged 50</w:t>
      </w:r>
      <w:r w:rsidR="00D80D04">
        <w:t>–</w:t>
      </w:r>
      <w:r>
        <w:t>6</w:t>
      </w:r>
      <w:r w:rsidR="00FC3D95">
        <w:t>4</w:t>
      </w:r>
      <w:r>
        <w:t xml:space="preserve"> years, divided </w:t>
      </w:r>
      <w:r w:rsidR="00145E8B">
        <w:t xml:space="preserve">by people aged </w:t>
      </w:r>
      <w:r w:rsidR="00FC3D95">
        <w:t>65</w:t>
      </w:r>
      <w:r w:rsidR="00145E8B">
        <w:t xml:space="preserve"> years or over</w:t>
      </w:r>
      <w:r>
        <w:t xml:space="preserve"> </w:t>
      </w:r>
      <w:r w:rsidR="00CF2C9C" w:rsidRPr="00A857BD">
        <w:t>and</w:t>
      </w:r>
      <w:r>
        <w:t xml:space="preserve"> </w:t>
      </w:r>
      <w:r w:rsidR="00EB2705">
        <w:t>Indigenous Australians</w:t>
      </w:r>
      <w:r>
        <w:t xml:space="preserve"> aged 50–</w:t>
      </w:r>
      <w:r w:rsidR="00FC3D95">
        <w:t>64</w:t>
      </w:r>
      <w:r>
        <w:t xml:space="preserve"> years (tables </w:t>
      </w:r>
      <w:proofErr w:type="spellStart"/>
      <w:r>
        <w:t>13A.</w:t>
      </w:r>
      <w:r w:rsidR="00026DF6">
        <w:t>4</w:t>
      </w:r>
      <w:r w:rsidR="00356417">
        <w:t>6</w:t>
      </w:r>
      <w:proofErr w:type="spellEnd"/>
      <w:r w:rsidR="007E6F5F">
        <w:t xml:space="preserve">, </w:t>
      </w:r>
      <w:proofErr w:type="spellStart"/>
      <w:r w:rsidR="007E6F5F">
        <w:t>13A.</w:t>
      </w:r>
      <w:r w:rsidR="00356417">
        <w:t>48</w:t>
      </w:r>
      <w:proofErr w:type="spellEnd"/>
      <w:r w:rsidR="00356417">
        <w:rPr>
          <w:rFonts w:cs="Arial"/>
        </w:rPr>
        <w:t>–</w:t>
      </w:r>
      <w:r w:rsidR="007E6F5F">
        <w:t>5</w:t>
      </w:r>
      <w:r w:rsidR="00356417">
        <w:t>2</w:t>
      </w:r>
      <w:r>
        <w:t xml:space="preserve">) as distinct from HACC services received </w:t>
      </w:r>
      <w:r w:rsidR="003E19B6">
        <w:t xml:space="preserve">by </w:t>
      </w:r>
      <w:r w:rsidR="003E19B6" w:rsidRPr="003E19B6">
        <w:t>people aged 65 years or over and Indigenous Australians aged 50–64 years</w:t>
      </w:r>
      <w:r w:rsidR="003E19B6">
        <w:t xml:space="preserve"> </w:t>
      </w:r>
      <w:r>
        <w:t xml:space="preserve">divided by </w:t>
      </w:r>
      <w:r w:rsidR="00535E21">
        <w:t xml:space="preserve">the </w:t>
      </w:r>
      <w:r>
        <w:t xml:space="preserve">HACC target population </w:t>
      </w:r>
      <w:r w:rsidR="00215F03">
        <w:t xml:space="preserve">aged 65 years or over </w:t>
      </w:r>
      <w:r w:rsidR="00215F03" w:rsidRPr="00A857BD">
        <w:t>and</w:t>
      </w:r>
      <w:r w:rsidR="00215F03">
        <w:t xml:space="preserve"> Indigenous Australians aged 50–64 years</w:t>
      </w:r>
      <w:r>
        <w:t xml:space="preserve"> (tables</w:t>
      </w:r>
      <w:r w:rsidR="00AA68A5">
        <w:t> </w:t>
      </w:r>
      <w:proofErr w:type="spellStart"/>
      <w:r>
        <w:t>13</w:t>
      </w:r>
      <w:r w:rsidR="00E16794">
        <w:t>A.</w:t>
      </w:r>
      <w:r w:rsidR="00356417">
        <w:t>54</w:t>
      </w:r>
      <w:proofErr w:type="spellEnd"/>
      <w:r>
        <w:t>–</w:t>
      </w:r>
      <w:r w:rsidR="00356417">
        <w:t>59</w:t>
      </w:r>
      <w:r>
        <w:t xml:space="preserve">). </w:t>
      </w:r>
      <w:r w:rsidRPr="00974D18">
        <w:rPr>
          <w:rStyle w:val="NoteLabel"/>
        </w:rPr>
        <w:t>b</w:t>
      </w:r>
      <w:r>
        <w:t xml:space="preserve"> The proportion of HACC funded agencies that submitted </w:t>
      </w:r>
      <w:r w:rsidRPr="00F159CE">
        <w:t>Minimum Data Set</w:t>
      </w:r>
      <w:r>
        <w:t xml:space="preserve"> data for </w:t>
      </w:r>
      <w:r w:rsidR="00714EDC">
        <w:t>201</w:t>
      </w:r>
      <w:r w:rsidR="00AC7ACF">
        <w:t>2</w:t>
      </w:r>
      <w:r w:rsidR="00AA68A5">
        <w:noBreakHyphen/>
      </w:r>
      <w:r w:rsidR="00714EDC">
        <w:t>1</w:t>
      </w:r>
      <w:r w:rsidR="00AC7ACF">
        <w:t>3</w:t>
      </w:r>
      <w:r w:rsidR="00813FB2">
        <w:t xml:space="preserve"> </w:t>
      </w:r>
      <w:r>
        <w:t xml:space="preserve">differed across jurisdictions and ranged from </w:t>
      </w:r>
      <w:r w:rsidR="00356417">
        <w:t>5</w:t>
      </w:r>
      <w:r w:rsidR="00AC7ACF">
        <w:t>1</w:t>
      </w:r>
      <w:r>
        <w:t xml:space="preserve"> per cent to </w:t>
      </w:r>
      <w:r w:rsidR="004A6DD8">
        <w:br/>
      </w:r>
      <w:r w:rsidR="006445A5">
        <w:t>100</w:t>
      </w:r>
      <w:r>
        <w:t xml:space="preserve"> per cent. Consequently, actual service levels were higher than stated. </w:t>
      </w:r>
      <w:r w:rsidRPr="00974D18">
        <w:rPr>
          <w:rStyle w:val="NoteLabel"/>
        </w:rPr>
        <w:t>c</w:t>
      </w:r>
      <w:r>
        <w:t> Reports provisional HACC data that have not been validated and may be subject to revision.</w:t>
      </w:r>
      <w:r w:rsidR="00CF0728">
        <w:t xml:space="preserve"> </w:t>
      </w:r>
      <w:r w:rsidR="009D75F7">
        <w:rPr>
          <w:rStyle w:val="NoteLabel"/>
        </w:rPr>
        <w:t>d</w:t>
      </w:r>
      <w:r>
        <w:t> See table</w:t>
      </w:r>
      <w:r w:rsidR="00AA68A5">
        <w:t> </w:t>
      </w:r>
      <w:proofErr w:type="spellStart"/>
      <w:r>
        <w:t>13</w:t>
      </w:r>
      <w:r w:rsidR="009D75F7">
        <w:t>A.48</w:t>
      </w:r>
      <w:proofErr w:type="spellEnd"/>
      <w:r>
        <w:t xml:space="preserve"> for a full list of categories.</w:t>
      </w:r>
      <w:r w:rsidR="008177F7">
        <w:t xml:space="preserve"> </w:t>
      </w:r>
      <w:r w:rsidR="00535E21">
        <w:br/>
      </w:r>
      <w:r w:rsidR="00F25404">
        <w:rPr>
          <w:rStyle w:val="NoteLabel"/>
        </w:rPr>
        <w:t>e</w:t>
      </w:r>
      <w:r>
        <w:t xml:space="preserve"> Includes home meals and centre meals. .. Not applicable.</w:t>
      </w:r>
    </w:p>
    <w:p w:rsidR="00A12C8F" w:rsidRPr="00BA39D7" w:rsidRDefault="00A12C8F" w:rsidP="0085088E">
      <w:pPr>
        <w:pStyle w:val="Source"/>
      </w:pPr>
      <w:r>
        <w:rPr>
          <w:i/>
        </w:rPr>
        <w:t>Source</w:t>
      </w:r>
      <w:r>
        <w:t xml:space="preserve">: </w:t>
      </w:r>
      <w:r w:rsidRPr="00F2055D">
        <w:rPr>
          <w:shd w:val="clear" w:color="auto" w:fill="FFFFFF" w:themeFill="background1"/>
        </w:rPr>
        <w:t>D</w:t>
      </w:r>
      <w:r w:rsidR="00CA7EC0" w:rsidRPr="00F2055D">
        <w:rPr>
          <w:shd w:val="clear" w:color="auto" w:fill="FFFFFF" w:themeFill="background1"/>
        </w:rPr>
        <w:t>SS</w:t>
      </w:r>
      <w:r w:rsidRPr="00F2055D">
        <w:rPr>
          <w:shd w:val="clear" w:color="auto" w:fill="FFFFFF" w:themeFill="background1"/>
        </w:rPr>
        <w:t xml:space="preserve"> </w:t>
      </w:r>
      <w:r w:rsidR="00D8051F" w:rsidRPr="00F2055D">
        <w:rPr>
          <w:shd w:val="clear" w:color="auto" w:fill="FFFFFF" w:themeFill="background1"/>
        </w:rPr>
        <w:t xml:space="preserve">(unpublished) </w:t>
      </w:r>
      <w:r w:rsidR="00B76D3E" w:rsidRPr="00F2055D">
        <w:rPr>
          <w:i/>
          <w:shd w:val="clear" w:color="auto" w:fill="FFFFFF" w:themeFill="background1"/>
        </w:rPr>
        <w:t>HACC</w:t>
      </w:r>
      <w:r w:rsidRPr="00F2055D">
        <w:rPr>
          <w:i/>
          <w:shd w:val="clear" w:color="auto" w:fill="FFFFFF" w:themeFill="background1"/>
        </w:rPr>
        <w:t xml:space="preserve"> Minimum Data Set </w:t>
      </w:r>
      <w:r w:rsidR="00714EDC" w:rsidRPr="00F2055D">
        <w:rPr>
          <w:i/>
          <w:shd w:val="clear" w:color="auto" w:fill="FFFFFF" w:themeFill="background1"/>
        </w:rPr>
        <w:t>201</w:t>
      </w:r>
      <w:r w:rsidR="00FC3D95" w:rsidRPr="00F2055D">
        <w:rPr>
          <w:i/>
          <w:shd w:val="clear" w:color="auto" w:fill="FFFFFF" w:themeFill="background1"/>
        </w:rPr>
        <w:t>1</w:t>
      </w:r>
      <w:r w:rsidR="00AA68A5">
        <w:rPr>
          <w:i/>
          <w:shd w:val="clear" w:color="auto" w:fill="FFFFFF" w:themeFill="background1"/>
        </w:rPr>
        <w:noBreakHyphen/>
      </w:r>
      <w:r w:rsidR="00714EDC" w:rsidRPr="00F2055D">
        <w:rPr>
          <w:i/>
          <w:shd w:val="clear" w:color="auto" w:fill="FFFFFF" w:themeFill="background1"/>
        </w:rPr>
        <w:t>1</w:t>
      </w:r>
      <w:r w:rsidR="00FC3D95" w:rsidRPr="00F2055D">
        <w:rPr>
          <w:i/>
          <w:shd w:val="clear" w:color="auto" w:fill="FFFFFF" w:themeFill="background1"/>
        </w:rPr>
        <w:t>2</w:t>
      </w:r>
      <w:r w:rsidR="00543AE9" w:rsidRPr="00F2055D">
        <w:rPr>
          <w:shd w:val="clear" w:color="auto" w:fill="FFFFFF" w:themeFill="background1"/>
        </w:rPr>
        <w:t>; D</w:t>
      </w:r>
      <w:r w:rsidR="00CA7EC0" w:rsidRPr="00F2055D">
        <w:rPr>
          <w:shd w:val="clear" w:color="auto" w:fill="FFFFFF" w:themeFill="background1"/>
        </w:rPr>
        <w:t>SS</w:t>
      </w:r>
      <w:r w:rsidRPr="00F2055D">
        <w:rPr>
          <w:shd w:val="clear" w:color="auto" w:fill="FFFFFF" w:themeFill="background1"/>
        </w:rPr>
        <w:t xml:space="preserve"> </w:t>
      </w:r>
      <w:r w:rsidR="00D8051F" w:rsidRPr="00F2055D">
        <w:rPr>
          <w:shd w:val="clear" w:color="auto" w:fill="FFFFFF" w:themeFill="background1"/>
        </w:rPr>
        <w:t xml:space="preserve">(unpublished) </w:t>
      </w:r>
      <w:r w:rsidRPr="00F2055D">
        <w:rPr>
          <w:i/>
          <w:shd w:val="clear" w:color="auto" w:fill="FFFFFF" w:themeFill="background1"/>
        </w:rPr>
        <w:t>HACC National Data Repository</w:t>
      </w:r>
      <w:r w:rsidRPr="00F2055D">
        <w:rPr>
          <w:shd w:val="clear" w:color="auto" w:fill="FFFFFF" w:themeFill="background1"/>
        </w:rPr>
        <w:t>; tables</w:t>
      </w:r>
      <w:r w:rsidR="00AA68A5">
        <w:rPr>
          <w:shd w:val="clear" w:color="auto" w:fill="FFFFFF" w:themeFill="background1"/>
        </w:rPr>
        <w:t> </w:t>
      </w:r>
      <w:proofErr w:type="spellStart"/>
      <w:r w:rsidR="009D75F7" w:rsidRPr="00F2055D">
        <w:rPr>
          <w:shd w:val="clear" w:color="auto" w:fill="FFFFFF" w:themeFill="background1"/>
        </w:rPr>
        <w:t>13A.4</w:t>
      </w:r>
      <w:r w:rsidR="00CE7DF4" w:rsidRPr="00F2055D">
        <w:rPr>
          <w:shd w:val="clear" w:color="auto" w:fill="FFFFFF" w:themeFill="background1"/>
        </w:rPr>
        <w:t>6</w:t>
      </w:r>
      <w:proofErr w:type="spellEnd"/>
      <w:r w:rsidR="009D75F7" w:rsidRPr="00F2055D">
        <w:rPr>
          <w:shd w:val="clear" w:color="auto" w:fill="FFFFFF" w:themeFill="background1"/>
        </w:rPr>
        <w:t xml:space="preserve">, </w:t>
      </w:r>
      <w:proofErr w:type="spellStart"/>
      <w:r w:rsidR="009D75F7" w:rsidRPr="00F2055D">
        <w:rPr>
          <w:shd w:val="clear" w:color="auto" w:fill="FFFFFF" w:themeFill="background1"/>
        </w:rPr>
        <w:t>13A.</w:t>
      </w:r>
      <w:r w:rsidR="00CE7DF4" w:rsidRPr="00F2055D">
        <w:rPr>
          <w:shd w:val="clear" w:color="auto" w:fill="FFFFFF" w:themeFill="background1"/>
        </w:rPr>
        <w:t>48</w:t>
      </w:r>
      <w:proofErr w:type="spellEnd"/>
      <w:r w:rsidR="0031365D" w:rsidRPr="00F2055D">
        <w:rPr>
          <w:shd w:val="clear" w:color="auto" w:fill="FFFFFF" w:themeFill="background1"/>
        </w:rPr>
        <w:t>–</w:t>
      </w:r>
      <w:r w:rsidR="009D75F7" w:rsidRPr="00F2055D">
        <w:rPr>
          <w:shd w:val="clear" w:color="auto" w:fill="FFFFFF" w:themeFill="background1"/>
        </w:rPr>
        <w:t>52</w:t>
      </w:r>
      <w:r>
        <w:t>.</w:t>
      </w:r>
    </w:p>
    <w:p w:rsidR="00A12C8F" w:rsidRPr="00463BD7" w:rsidRDefault="009F6CBF" w:rsidP="00DE59A5">
      <w:pPr>
        <w:pStyle w:val="D"/>
        <w:shd w:val="clear" w:color="auto" w:fill="FFFFFF" w:themeFill="background1"/>
      </w:pPr>
      <w:r w:rsidRPr="00DE59A5">
        <w:t xml:space="preserve">There are substantial differences in the age profile across the Indigenous and </w:t>
      </w:r>
      <w:r w:rsidRPr="00DE59A5">
        <w:br/>
        <w:t>non</w:t>
      </w:r>
      <w:r w:rsidR="00AA68A5">
        <w:noBreakHyphen/>
      </w:r>
      <w:r w:rsidRPr="00DE59A5">
        <w:t xml:space="preserve">Indigenous populations. </w:t>
      </w:r>
      <w:r w:rsidR="00A12C8F" w:rsidRPr="00DE59A5">
        <w:t xml:space="preserve">This reflects the difference in morbidity and mortality trends between </w:t>
      </w:r>
      <w:r w:rsidR="00EB2705" w:rsidRPr="00DE59A5">
        <w:t>Indigenous Australians</w:t>
      </w:r>
      <w:r w:rsidR="00A12C8F" w:rsidRPr="0061529E">
        <w:t xml:space="preserve"> and the general population. The proportion of </w:t>
      </w:r>
      <w:r w:rsidR="00FC3D95">
        <w:t xml:space="preserve">older </w:t>
      </w:r>
      <w:r w:rsidR="00A12C8F" w:rsidRPr="0061529E">
        <w:t>Indigenous HACC clients</w:t>
      </w:r>
      <w:r w:rsidR="00FC3D95">
        <w:t xml:space="preserve"> (aged 65 years or over)</w:t>
      </w:r>
      <w:r w:rsidR="00A12C8F" w:rsidRPr="0061529E">
        <w:t xml:space="preserve"> who are aged </w:t>
      </w:r>
      <w:r w:rsidR="00FC3D95">
        <w:t>80</w:t>
      </w:r>
      <w:r w:rsidR="00A12C8F" w:rsidRPr="0061529E">
        <w:t xml:space="preserve"> years </w:t>
      </w:r>
      <w:r w:rsidR="00A12C8F">
        <w:t>or </w:t>
      </w:r>
      <w:r w:rsidR="00A12C8F" w:rsidRPr="0061529E">
        <w:t>over i</w:t>
      </w:r>
      <w:r w:rsidR="00A12C8F" w:rsidRPr="00E950AB">
        <w:t xml:space="preserve">s </w:t>
      </w:r>
      <w:r w:rsidR="00FE05BC">
        <w:t>26.2</w:t>
      </w:r>
      <w:r w:rsidR="00A12C8F" w:rsidRPr="00E950AB">
        <w:t xml:space="preserve"> per cent and the proportion of non</w:t>
      </w:r>
      <w:r w:rsidR="00AA68A5">
        <w:noBreakHyphen/>
      </w:r>
      <w:r w:rsidR="00A12C8F" w:rsidRPr="00E950AB">
        <w:t xml:space="preserve">Indigenous HACC clients who are aged </w:t>
      </w:r>
      <w:r w:rsidR="00FC3D95">
        <w:t>80</w:t>
      </w:r>
      <w:r w:rsidR="00A12C8F" w:rsidRPr="00E950AB">
        <w:t xml:space="preserve"> years or over is</w:t>
      </w:r>
      <w:r w:rsidR="00E73DD1">
        <w:t xml:space="preserve"> </w:t>
      </w:r>
      <w:r w:rsidR="00FE05BC">
        <w:t>54.8</w:t>
      </w:r>
      <w:r w:rsidR="00A12C8F" w:rsidRPr="0061529E">
        <w:t xml:space="preserve"> per</w:t>
      </w:r>
      <w:r w:rsidR="00A12C8F">
        <w:t xml:space="preserve"> cent (figure</w:t>
      </w:r>
      <w:r w:rsidR="00AA68A5">
        <w:t> </w:t>
      </w:r>
      <w:r w:rsidR="00A12C8F">
        <w:t>13.1</w:t>
      </w:r>
      <w:r w:rsidR="00C02D2C">
        <w:t>3</w:t>
      </w:r>
      <w:r w:rsidR="00A12C8F" w:rsidRPr="00463BD7">
        <w:t xml:space="preserve">). </w:t>
      </w:r>
    </w:p>
    <w:p w:rsidR="00A12C8F" w:rsidRDefault="00A12C8F" w:rsidP="00267F32">
      <w:pPr>
        <w:pStyle w:val="FigureTitle"/>
        <w:ind w:left="1560" w:hanging="1560"/>
      </w:pPr>
      <w:r>
        <w:rPr>
          <w:b w:val="0"/>
        </w:rPr>
        <w:lastRenderedPageBreak/>
        <w:t xml:space="preserve">Figure </w:t>
      </w:r>
      <w:r w:rsidR="00C02D2C">
        <w:rPr>
          <w:b w:val="0"/>
        </w:rPr>
        <w:t>13.</w:t>
      </w:r>
      <w:r w:rsidR="00E4728C">
        <w:rPr>
          <w:b w:val="0"/>
          <w:noProof/>
        </w:rPr>
        <w:t>13</w:t>
      </w:r>
      <w:r>
        <w:tab/>
      </w:r>
      <w:r w:rsidR="00E10D09">
        <w:t>Older r</w:t>
      </w:r>
      <w:r>
        <w:t xml:space="preserve">ecipients of HACC </w:t>
      </w:r>
      <w:r w:rsidR="00FC3D95">
        <w:t xml:space="preserve">aged care </w:t>
      </w:r>
      <w:r>
        <w:t xml:space="preserve">services by age and Indigenous status, </w:t>
      </w:r>
      <w:r w:rsidR="00714EDC">
        <w:t>201</w:t>
      </w:r>
      <w:r w:rsidR="007906D6">
        <w:t>2</w:t>
      </w:r>
      <w:r w:rsidR="00AA68A5">
        <w:noBreakHyphen/>
      </w:r>
      <w:r w:rsidR="00714EDC">
        <w:t>1</w:t>
      </w:r>
      <w:r w:rsidR="007906D6">
        <w:t>3</w:t>
      </w:r>
      <w:r w:rsidRPr="00F05CB2">
        <w:rPr>
          <w:rStyle w:val="NoteLabel"/>
          <w:b/>
        </w:rPr>
        <w:t>a</w:t>
      </w:r>
      <w:r>
        <w:rPr>
          <w:rStyle w:val="NoteLabel"/>
          <w:b/>
        </w:rPr>
        <w:t>, b</w:t>
      </w:r>
      <w:r w:rsidR="009F6CBF">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4354" w:rsidRPr="00640545" w:rsidTr="002435FC">
        <w:tc>
          <w:tcPr>
            <w:tcW w:w="8777" w:type="dxa"/>
            <w:tcBorders>
              <w:top w:val="single" w:sz="4" w:space="0" w:color="auto"/>
              <w:bottom w:val="nil"/>
              <w:right w:val="nil"/>
            </w:tcBorders>
          </w:tcPr>
          <w:p w:rsidR="001A185E" w:rsidRDefault="00F14423" w:rsidP="006223F0">
            <w:pPr>
              <w:pStyle w:val="Figure"/>
              <w:spacing w:after="0"/>
              <w:rPr>
                <w:rFonts w:ascii="Arial" w:hAnsi="Arial" w:cs="Arial"/>
                <w:b/>
                <w:sz w:val="20"/>
              </w:rPr>
            </w:pPr>
            <w:r>
              <w:rPr>
                <w:rFonts w:ascii="Arial" w:hAnsi="Arial" w:cs="Arial"/>
                <w:b/>
                <w:noProof/>
                <w:sz w:val="20"/>
              </w:rPr>
              <w:drawing>
                <wp:inline distT="0" distB="0" distL="0" distR="0" wp14:anchorId="081F2F6A" wp14:editId="2F6ABD24">
                  <wp:extent cx="5387340" cy="350520"/>
                  <wp:effectExtent l="0" t="0" r="3810" b="0"/>
                  <wp:docPr id="35" name="Picture 35" descr="More details can be found within the text surrounding this image." title="Figure 13.16 Older recipients of HACC aged care services by age and Indigenous status, 201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87340" cy="350520"/>
                          </a:xfrm>
                          <a:prstGeom prst="rect">
                            <a:avLst/>
                          </a:prstGeom>
                          <a:noFill/>
                          <a:ln>
                            <a:noFill/>
                          </a:ln>
                        </pic:spPr>
                      </pic:pic>
                    </a:graphicData>
                  </a:graphic>
                </wp:inline>
              </w:drawing>
            </w:r>
            <w:r w:rsidR="001A185E" w:rsidRPr="006109D9">
              <w:rPr>
                <w:rFonts w:ascii="Arial" w:hAnsi="Arial" w:cs="Arial"/>
                <w:b/>
                <w:sz w:val="20"/>
              </w:rPr>
              <w:t xml:space="preserve">Proportion of </w:t>
            </w:r>
            <w:r w:rsidR="00FC3D95">
              <w:rPr>
                <w:rFonts w:ascii="Arial" w:hAnsi="Arial" w:cs="Arial"/>
                <w:b/>
                <w:sz w:val="20"/>
              </w:rPr>
              <w:t xml:space="preserve">older </w:t>
            </w:r>
            <w:r w:rsidR="001A185E" w:rsidRPr="006109D9">
              <w:rPr>
                <w:rFonts w:ascii="Arial" w:hAnsi="Arial" w:cs="Arial"/>
                <w:b/>
                <w:sz w:val="20"/>
              </w:rPr>
              <w:t>Indigenous HACC clients, by age cohor</w:t>
            </w:r>
            <w:r w:rsidR="001A185E">
              <w:rPr>
                <w:rFonts w:ascii="Arial" w:hAnsi="Arial" w:cs="Arial"/>
                <w:b/>
                <w:sz w:val="20"/>
              </w:rPr>
              <w:t>t</w:t>
            </w:r>
          </w:p>
          <w:p w:rsidR="00C44354" w:rsidRPr="007D40FF" w:rsidRDefault="00D23896" w:rsidP="002435FC">
            <w:pPr>
              <w:pStyle w:val="Figure"/>
            </w:pPr>
            <w:r>
              <w:rPr>
                <w:noProof/>
              </w:rPr>
              <w:drawing>
                <wp:inline distT="0" distB="0" distL="0" distR="0">
                  <wp:extent cx="5372100" cy="2638425"/>
                  <wp:effectExtent l="0" t="0" r="0" b="9525"/>
                  <wp:docPr id="29" name="Picture 29" descr="Figure 13.13 Older recipients of HACC aged care services by age and Indigenous status, 2012-13&#10;&#10;Proportion of older Indigenous HACC clients, by age coh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72100" cy="2638425"/>
                          </a:xfrm>
                          <a:prstGeom prst="rect">
                            <a:avLst/>
                          </a:prstGeom>
                          <a:noFill/>
                          <a:ln>
                            <a:noFill/>
                          </a:ln>
                        </pic:spPr>
                      </pic:pic>
                    </a:graphicData>
                  </a:graphic>
                </wp:inline>
              </w:drawing>
            </w:r>
          </w:p>
        </w:tc>
      </w:tr>
      <w:tr w:rsidR="001A185E" w:rsidRPr="00640545" w:rsidTr="002435FC">
        <w:tc>
          <w:tcPr>
            <w:tcW w:w="8777" w:type="dxa"/>
            <w:tcBorders>
              <w:top w:val="nil"/>
              <w:bottom w:val="single" w:sz="6" w:space="0" w:color="auto"/>
              <w:right w:val="nil"/>
            </w:tcBorders>
          </w:tcPr>
          <w:p w:rsidR="001A185E" w:rsidRPr="006109D9" w:rsidRDefault="001A185E" w:rsidP="001A185E">
            <w:pPr>
              <w:pStyle w:val="Figure"/>
              <w:spacing w:before="0" w:after="0" w:line="120" w:lineRule="atLeast"/>
              <w:rPr>
                <w:rFonts w:ascii="Arial" w:hAnsi="Arial" w:cs="Arial"/>
                <w:b/>
                <w:sz w:val="20"/>
              </w:rPr>
            </w:pPr>
            <w:r w:rsidRPr="006109D9">
              <w:rPr>
                <w:rFonts w:ascii="Arial" w:hAnsi="Arial" w:cs="Arial"/>
                <w:b/>
                <w:sz w:val="20"/>
              </w:rPr>
              <w:t xml:space="preserve">Proportion of </w:t>
            </w:r>
            <w:r w:rsidR="00FC3D95">
              <w:rPr>
                <w:rFonts w:ascii="Arial" w:hAnsi="Arial" w:cs="Arial"/>
                <w:b/>
                <w:sz w:val="20"/>
              </w:rPr>
              <w:t xml:space="preserve">older </w:t>
            </w:r>
            <w:r w:rsidRPr="006109D9">
              <w:rPr>
                <w:rFonts w:ascii="Arial" w:hAnsi="Arial" w:cs="Arial"/>
                <w:b/>
                <w:sz w:val="20"/>
              </w:rPr>
              <w:t>non</w:t>
            </w:r>
            <w:r w:rsidR="00AA68A5">
              <w:rPr>
                <w:rFonts w:ascii="Arial" w:hAnsi="Arial" w:cs="Arial"/>
                <w:b/>
                <w:sz w:val="20"/>
              </w:rPr>
              <w:noBreakHyphen/>
            </w:r>
            <w:r w:rsidRPr="006109D9">
              <w:rPr>
                <w:rFonts w:ascii="Arial" w:hAnsi="Arial" w:cs="Arial"/>
                <w:b/>
                <w:sz w:val="20"/>
              </w:rPr>
              <w:t>Indigenous HACC clients, by age cohort</w:t>
            </w:r>
          </w:p>
          <w:p w:rsidR="001A185E" w:rsidRPr="007D40FF" w:rsidRDefault="008018D4" w:rsidP="002435FC">
            <w:pPr>
              <w:pStyle w:val="Figure"/>
            </w:pPr>
            <w:r>
              <w:rPr>
                <w:noProof/>
              </w:rPr>
              <w:drawing>
                <wp:inline distT="0" distB="0" distL="0" distR="0">
                  <wp:extent cx="5362575" cy="2647950"/>
                  <wp:effectExtent l="0" t="0" r="9525" b="0"/>
                  <wp:docPr id="16" name="Picture 16" descr="Figure 13.13 Older recipients of HACC aged care services by age and Indigenous status, 2012-13&#10;&#10;Proportion of older non-Indigenous HACC clients, by age cohort&#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62575" cy="2647950"/>
                          </a:xfrm>
                          <a:prstGeom prst="rect">
                            <a:avLst/>
                          </a:prstGeom>
                          <a:noFill/>
                          <a:ln>
                            <a:noFill/>
                          </a:ln>
                        </pic:spPr>
                      </pic:pic>
                    </a:graphicData>
                  </a:graphic>
                </wp:inline>
              </w:drawing>
            </w:r>
          </w:p>
        </w:tc>
      </w:tr>
    </w:tbl>
    <w:p w:rsidR="00A12C8F" w:rsidRPr="009F6CBF" w:rsidRDefault="00A12C8F" w:rsidP="00B322B0">
      <w:pPr>
        <w:pStyle w:val="Note"/>
      </w:pPr>
      <w:r>
        <w:rPr>
          <w:rStyle w:val="NoteLabel"/>
        </w:rPr>
        <w:t>a</w:t>
      </w:r>
      <w:r>
        <w:t> Reports provisional HACC data that have not been validated and may be subject to revisio</w:t>
      </w:r>
      <w:r w:rsidRPr="002E54FB">
        <w:t xml:space="preserve">n. </w:t>
      </w:r>
      <w:r>
        <w:rPr>
          <w:rStyle w:val="NoteLabel"/>
        </w:rPr>
        <w:t>b</w:t>
      </w:r>
      <w:r>
        <w:t> </w:t>
      </w:r>
      <w:r w:rsidR="00E73DD1" w:rsidRPr="00E73DD1">
        <w:t>The proportio</w:t>
      </w:r>
      <w:r w:rsidR="00E73DD1">
        <w:t xml:space="preserve">n of </w:t>
      </w:r>
      <w:r w:rsidR="00C121F1">
        <w:t xml:space="preserve">older </w:t>
      </w:r>
      <w:r w:rsidR="00E73DD1">
        <w:t xml:space="preserve">HACC clients with unknown </w:t>
      </w:r>
      <w:r w:rsidR="00E73DD1" w:rsidRPr="00E73DD1">
        <w:t>Indigenous status differed across jurisdictions</w:t>
      </w:r>
      <w:r w:rsidR="00FF5827">
        <w:t xml:space="preserve">. </w:t>
      </w:r>
      <w:r w:rsidR="00454974" w:rsidRPr="00454974">
        <w:t xml:space="preserve">Nationally, the proportion of </w:t>
      </w:r>
      <w:r w:rsidR="0031365D">
        <w:t xml:space="preserve">older </w:t>
      </w:r>
      <w:r w:rsidR="00454974" w:rsidRPr="00454974">
        <w:t>HACC clients with unknown or null Ind</w:t>
      </w:r>
      <w:r w:rsidR="00454974">
        <w:t xml:space="preserve">igenous status was </w:t>
      </w:r>
      <w:r w:rsidR="0031365D">
        <w:t>5.9</w:t>
      </w:r>
      <w:r w:rsidR="00454974">
        <w:t xml:space="preserve"> per cent</w:t>
      </w:r>
      <w:r w:rsidR="006D7698">
        <w:t xml:space="preserve"> (table</w:t>
      </w:r>
      <w:r w:rsidR="00AA68A5">
        <w:t> </w:t>
      </w:r>
      <w:proofErr w:type="spellStart"/>
      <w:r w:rsidR="006D7698">
        <w:t>13</w:t>
      </w:r>
      <w:r w:rsidR="00E16794">
        <w:t>A.</w:t>
      </w:r>
      <w:r w:rsidR="0031365D">
        <w:t>60</w:t>
      </w:r>
      <w:proofErr w:type="spellEnd"/>
      <w:r w:rsidR="006D7698">
        <w:t>)</w:t>
      </w:r>
      <w:r w:rsidR="00E73DD1" w:rsidRPr="00E73DD1">
        <w:t>.</w:t>
      </w:r>
      <w:r w:rsidR="009F6CBF">
        <w:t xml:space="preserve"> </w:t>
      </w:r>
      <w:r w:rsidR="00C121F1">
        <w:br/>
      </w:r>
      <w:r w:rsidR="009F6CBF" w:rsidRPr="009F6CBF">
        <w:rPr>
          <w:rStyle w:val="NoteLabel"/>
        </w:rPr>
        <w:t>c</w:t>
      </w:r>
      <w:r w:rsidR="009F6CBF">
        <w:t xml:space="preserve"> </w:t>
      </w:r>
      <w:r w:rsidR="009F6CBF" w:rsidRPr="00C16403">
        <w:t>The Indigenous proportions are derived using data contained in table</w:t>
      </w:r>
      <w:r w:rsidR="00AA68A5">
        <w:t> </w:t>
      </w:r>
      <w:proofErr w:type="spellStart"/>
      <w:r w:rsidR="009F6CBF" w:rsidRPr="00C16403">
        <w:t>13A.</w:t>
      </w:r>
      <w:r w:rsidR="0031365D">
        <w:t>61</w:t>
      </w:r>
      <w:proofErr w:type="spellEnd"/>
      <w:r w:rsidR="009F6CBF" w:rsidRPr="00C16403">
        <w:t>.</w:t>
      </w:r>
      <w:r w:rsidR="009F6CBF">
        <w:t xml:space="preserve"> </w:t>
      </w:r>
    </w:p>
    <w:p w:rsidR="00A12C8F" w:rsidRPr="00C16403" w:rsidRDefault="00A12C8F" w:rsidP="00C16403">
      <w:pPr>
        <w:pStyle w:val="Note"/>
      </w:pPr>
      <w:r w:rsidRPr="00C16403">
        <w:t>Source</w:t>
      </w:r>
      <w:r w:rsidRPr="00797AA1">
        <w:t xml:space="preserve">: </w:t>
      </w:r>
      <w:proofErr w:type="spellStart"/>
      <w:r>
        <w:t>D</w:t>
      </w:r>
      <w:r w:rsidR="00C121F1">
        <w:t>SS</w:t>
      </w:r>
      <w:proofErr w:type="spellEnd"/>
      <w:r>
        <w:t xml:space="preserve"> (unpublished); table</w:t>
      </w:r>
      <w:r w:rsidR="00AA68A5">
        <w:t> </w:t>
      </w:r>
      <w:proofErr w:type="spellStart"/>
      <w:r>
        <w:t>13</w:t>
      </w:r>
      <w:r w:rsidR="00E16794">
        <w:t>A.</w:t>
      </w:r>
      <w:r w:rsidR="0031365D">
        <w:t>61</w:t>
      </w:r>
      <w:proofErr w:type="spellEnd"/>
      <w:r>
        <w:t>.</w:t>
      </w:r>
      <w:r w:rsidRPr="00C16403">
        <w:t xml:space="preserve"> </w:t>
      </w:r>
    </w:p>
    <w:p w:rsidR="00A12C8F" w:rsidRPr="00141456" w:rsidRDefault="00A12C8F" w:rsidP="00CC1191">
      <w:pPr>
        <w:pStyle w:val="Heading5"/>
      </w:pPr>
      <w:r>
        <w:lastRenderedPageBreak/>
        <w:t xml:space="preserve">Access by </w:t>
      </w:r>
      <w:r w:rsidR="00EB2705">
        <w:t>Indigenous Australians</w:t>
      </w:r>
      <w:r>
        <w:t xml:space="preserve"> to </w:t>
      </w:r>
      <w:bookmarkStart w:id="87" w:name="OLE_LINK5"/>
      <w:r w:rsidR="00141456" w:rsidRPr="00141456">
        <w:t>Commonwealth Respite and Carelink Centres</w:t>
      </w:r>
      <w:bookmarkEnd w:id="87"/>
    </w:p>
    <w:p w:rsidR="00A12C8F" w:rsidRPr="000B65AD" w:rsidRDefault="00141456" w:rsidP="00E13A04">
      <w:pPr>
        <w:pStyle w:val="BodyText"/>
      </w:pPr>
      <w:r w:rsidRPr="00141456">
        <w:t>Commonwealth Respite and Carelink Centres</w:t>
      </w:r>
      <w:r w:rsidR="00A12C8F">
        <w:t xml:space="preserve"> are information centres for older people, people with disabilities, carers and service providers. Information is provided on community services and aged care, disability and other support services available locally or anywhere in Australia, the costs of services, assessment processes and eligibility criteria. The national </w:t>
      </w:r>
      <w:r w:rsidR="00A12C8F" w:rsidRPr="00E950AB">
        <w:t xml:space="preserve">rate at which </w:t>
      </w:r>
      <w:r w:rsidR="00EB2705">
        <w:t>Indigenous Australians</w:t>
      </w:r>
      <w:r w:rsidR="00A12C8F" w:rsidRPr="00E950AB">
        <w:t xml:space="preserve"> contacted </w:t>
      </w:r>
      <w:r w:rsidR="008F4F8B" w:rsidRPr="00141456">
        <w:t>Respite and Carelink Centres</w:t>
      </w:r>
      <w:r w:rsidR="008F4F8B" w:rsidRPr="00E950AB">
        <w:t xml:space="preserve"> </w:t>
      </w:r>
      <w:r w:rsidR="00A12C8F" w:rsidRPr="00E950AB">
        <w:t>at 30</w:t>
      </w:r>
      <w:r w:rsidR="00AA68A5">
        <w:t> </w:t>
      </w:r>
      <w:r w:rsidR="00714EDC">
        <w:t>June 201</w:t>
      </w:r>
      <w:r w:rsidR="008017FD">
        <w:t>3</w:t>
      </w:r>
      <w:r w:rsidR="00A12C8F" w:rsidRPr="00E950AB">
        <w:t xml:space="preserve">, was </w:t>
      </w:r>
      <w:r w:rsidR="008017FD">
        <w:t>31.7</w:t>
      </w:r>
      <w:r w:rsidR="00A12C8F" w:rsidRPr="00E950AB">
        <w:t xml:space="preserve"> people per 1000 </w:t>
      </w:r>
      <w:r w:rsidR="00EB2705">
        <w:t>Indigenous Australians</w:t>
      </w:r>
      <w:r w:rsidR="00A12C8F" w:rsidRPr="00E950AB">
        <w:t xml:space="preserve"> in the Indigenous </w:t>
      </w:r>
      <w:r w:rsidR="00932F26" w:rsidRPr="00E13A04">
        <w:rPr>
          <w:shd w:val="clear" w:color="auto" w:fill="FFFFFF" w:themeFill="background1"/>
        </w:rPr>
        <w:t>aged care</w:t>
      </w:r>
      <w:r w:rsidR="00932F26">
        <w:t xml:space="preserve"> </w:t>
      </w:r>
      <w:r w:rsidR="00A12C8F" w:rsidRPr="00E950AB">
        <w:t>target population (</w:t>
      </w:r>
      <w:r w:rsidR="00EB2705">
        <w:t>Indigenous Australians</w:t>
      </w:r>
      <w:r w:rsidR="00A12C8F" w:rsidRPr="00E950AB">
        <w:t xml:space="preserve"> aged 50 years </w:t>
      </w:r>
      <w:r w:rsidR="004E7E6D">
        <w:t>or</w:t>
      </w:r>
      <w:r w:rsidR="00A12C8F" w:rsidRPr="00E950AB">
        <w:t xml:space="preserve"> over). The rate for all Australians was </w:t>
      </w:r>
      <w:r w:rsidR="008017FD">
        <w:t>163.3</w:t>
      </w:r>
      <w:r w:rsidR="00C02D2C">
        <w:t xml:space="preserve"> </w:t>
      </w:r>
      <w:r w:rsidR="00A12C8F" w:rsidRPr="00E950AB">
        <w:t>per 1000</w:t>
      </w:r>
      <w:r w:rsidR="00A12C8F">
        <w:t xml:space="preserve"> people in the </w:t>
      </w:r>
      <w:r w:rsidR="00932F26" w:rsidRPr="00E13A04">
        <w:rPr>
          <w:shd w:val="clear" w:color="auto" w:fill="FFFFFF" w:themeFill="background1"/>
        </w:rPr>
        <w:t>aged care</w:t>
      </w:r>
      <w:r w:rsidR="00932F26">
        <w:t xml:space="preserve"> </w:t>
      </w:r>
      <w:r w:rsidR="00A12C8F">
        <w:t xml:space="preserve">target population (people aged </w:t>
      </w:r>
      <w:r w:rsidR="00626C4D">
        <w:t>65</w:t>
      </w:r>
      <w:r w:rsidR="00A12C8F">
        <w:t xml:space="preserve"> years or </w:t>
      </w:r>
      <w:r w:rsidR="00145E8B">
        <w:t xml:space="preserve">over </w:t>
      </w:r>
      <w:r w:rsidR="00CF2C9C" w:rsidRPr="00A857BD">
        <w:t>and</w:t>
      </w:r>
      <w:r w:rsidR="00A12C8F">
        <w:t xml:space="preserve"> </w:t>
      </w:r>
      <w:r w:rsidR="00EB2705">
        <w:t>Indigenous Australians</w:t>
      </w:r>
      <w:r w:rsidR="00A12C8F">
        <w:t xml:space="preserve"> aged 50–6</w:t>
      </w:r>
      <w:r w:rsidR="00626C4D">
        <w:t>4</w:t>
      </w:r>
      <w:r w:rsidR="004E7E6D">
        <w:t xml:space="preserve"> years</w:t>
      </w:r>
      <w:r w:rsidR="00A12C8F">
        <w:t>). These figures varied across jurisdictions (figure</w:t>
      </w:r>
      <w:r w:rsidR="00AA68A5">
        <w:t> </w:t>
      </w:r>
      <w:r w:rsidR="00A12C8F">
        <w:t>13.1</w:t>
      </w:r>
      <w:r w:rsidR="00C02D2C">
        <w:t>4</w:t>
      </w:r>
      <w:r w:rsidR="00A12C8F" w:rsidRPr="000B65AD">
        <w:t xml:space="preserve">). </w:t>
      </w:r>
    </w:p>
    <w:p w:rsidR="00A12C8F" w:rsidRDefault="00A12C8F" w:rsidP="00102788">
      <w:pPr>
        <w:pStyle w:val="FigureTitle"/>
        <w:ind w:left="1560" w:hanging="1560"/>
      </w:pPr>
      <w:r>
        <w:rPr>
          <w:b w:val="0"/>
        </w:rPr>
        <w:t xml:space="preserve">Figure </w:t>
      </w:r>
      <w:r w:rsidR="00C02D2C">
        <w:rPr>
          <w:b w:val="0"/>
        </w:rPr>
        <w:t>13.</w:t>
      </w:r>
      <w:r w:rsidR="00E4728C">
        <w:rPr>
          <w:b w:val="0"/>
          <w:noProof/>
        </w:rPr>
        <w:t>14</w:t>
      </w:r>
      <w:r>
        <w:tab/>
      </w:r>
      <w:r w:rsidR="00043B02" w:rsidRPr="00141456">
        <w:t>Commonwealth Respite and Carelink Centres</w:t>
      </w:r>
      <w:r>
        <w:t xml:space="preserve">, contacts per 1000 </w:t>
      </w:r>
      <w:r w:rsidR="00E10D09">
        <w:t xml:space="preserve">aged care </w:t>
      </w:r>
      <w:r>
        <w:t>target population, by Indigenous status, 30</w:t>
      </w:r>
      <w:r w:rsidR="00AA68A5">
        <w:t> </w:t>
      </w:r>
      <w:r w:rsidR="00714EDC">
        <w:t>June 201</w:t>
      </w:r>
      <w:r w:rsidR="007906D6">
        <w:t>3</w:t>
      </w:r>
      <w:r w:rsidRPr="00F05CB2">
        <w:rPr>
          <w:rStyle w:val="NoteLabel"/>
          <w:b/>
        </w:rPr>
        <w:t>a, b, c</w:t>
      </w:r>
      <w:r>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4354" w:rsidRPr="00640545" w:rsidTr="00E74698">
        <w:tc>
          <w:tcPr>
            <w:tcW w:w="8777" w:type="dxa"/>
            <w:tcBorders>
              <w:top w:val="single" w:sz="6" w:space="0" w:color="auto"/>
              <w:bottom w:val="single" w:sz="6" w:space="0" w:color="auto"/>
              <w:right w:val="nil"/>
            </w:tcBorders>
          </w:tcPr>
          <w:p w:rsidR="00C44354" w:rsidRPr="007D40FF" w:rsidRDefault="008018D4" w:rsidP="00102788">
            <w:pPr>
              <w:pStyle w:val="Figure"/>
            </w:pPr>
            <w:r>
              <w:rPr>
                <w:noProof/>
              </w:rPr>
              <w:drawing>
                <wp:inline distT="0" distB="0" distL="0" distR="0">
                  <wp:extent cx="5391150" cy="2638425"/>
                  <wp:effectExtent l="0" t="0" r="0" b="9525"/>
                  <wp:docPr id="17" name="Picture 17" descr="Figure 13.14 Commonwealth Respite and Carelink Centres, contacts per 1000 aged care target population, by Indigenous status, 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A12C8F" w:rsidRDefault="00A12C8F" w:rsidP="00102788">
      <w:pPr>
        <w:pStyle w:val="Note"/>
        <w:keepNext/>
      </w:pPr>
      <w:r>
        <w:rPr>
          <w:rStyle w:val="NoteLabel"/>
        </w:rPr>
        <w:t>a</w:t>
      </w:r>
      <w:r>
        <w:t xml:space="preserve"> Contacts include phone calls, visits, emails and facsimiles. </w:t>
      </w:r>
      <w:r w:rsidRPr="006109D9">
        <w:rPr>
          <w:rStyle w:val="NoteLabel"/>
        </w:rPr>
        <w:t>b</w:t>
      </w:r>
      <w:r>
        <w:t xml:space="preserve"> Indigenous contacts refer to contacts by </w:t>
      </w:r>
      <w:r w:rsidR="00EB2705">
        <w:t>Indigenous Australians</w:t>
      </w:r>
      <w:r>
        <w:t xml:space="preserve"> per 1000 </w:t>
      </w:r>
      <w:r w:rsidR="00EB2705">
        <w:t>Indigenous Australians</w:t>
      </w:r>
      <w:r>
        <w:t xml:space="preserve"> </w:t>
      </w:r>
      <w:r w:rsidR="00626C4D">
        <w:t>aged 50 years or over</w:t>
      </w:r>
      <w:r>
        <w:t xml:space="preserve">. </w:t>
      </w:r>
      <w:r w:rsidRPr="006109D9">
        <w:rPr>
          <w:rStyle w:val="NoteLabel"/>
        </w:rPr>
        <w:t>c</w:t>
      </w:r>
      <w:r w:rsidR="00313C0F">
        <w:t> </w:t>
      </w:r>
      <w:r>
        <w:t xml:space="preserve">All contacts refers to contacts per 1000 </w:t>
      </w:r>
      <w:r w:rsidR="00626C4D">
        <w:t>aged 65 years o</w:t>
      </w:r>
      <w:r w:rsidR="00ED18E9">
        <w:t>r</w:t>
      </w:r>
      <w:r w:rsidR="00626C4D">
        <w:t xml:space="preserve"> over and </w:t>
      </w:r>
      <w:r w:rsidR="00EB2705">
        <w:t>Indigenous Australians</w:t>
      </w:r>
      <w:r w:rsidR="00626C4D" w:rsidRPr="00626C4D">
        <w:t xml:space="preserve"> aged 50</w:t>
      </w:r>
      <w:r w:rsidR="00ED18E9">
        <w:rPr>
          <w:rFonts w:ascii="Calibri" w:hAnsi="Calibri"/>
        </w:rPr>
        <w:t>–</w:t>
      </w:r>
      <w:r w:rsidR="00626C4D">
        <w:t>64</w:t>
      </w:r>
      <w:r w:rsidR="00626C4D" w:rsidRPr="00626C4D">
        <w:t xml:space="preserve"> years</w:t>
      </w:r>
      <w:r w:rsidRPr="00B3213E">
        <w:t xml:space="preserve">. </w:t>
      </w:r>
      <w:r>
        <w:rPr>
          <w:rStyle w:val="NoteLabel"/>
        </w:rPr>
        <w:t>d</w:t>
      </w:r>
      <w:r>
        <w:t> </w:t>
      </w:r>
      <w:r w:rsidR="004D7909">
        <w:t>Indigenous status is determined through p</w:t>
      </w:r>
      <w:r>
        <w:t xml:space="preserve">eople making contact </w:t>
      </w:r>
      <w:r w:rsidR="00626C4D">
        <w:t>self</w:t>
      </w:r>
      <w:r w:rsidR="00AA68A5">
        <w:noBreakHyphen/>
      </w:r>
      <w:r w:rsidR="00626C4D">
        <w:t>identifying</w:t>
      </w:r>
      <w:r w:rsidR="004D7909">
        <w:t xml:space="preserve"> themselves</w:t>
      </w:r>
      <w:r>
        <w:t xml:space="preserve"> as Indigenous. Therefore, there is likely to be substantial under</w:t>
      </w:r>
      <w:r w:rsidR="00AA68A5">
        <w:noBreakHyphen/>
      </w:r>
      <w:r>
        <w:t>reporting of Indigenous status.</w:t>
      </w:r>
    </w:p>
    <w:p w:rsidR="00A12C8F" w:rsidRDefault="00A12C8F" w:rsidP="00102788">
      <w:pPr>
        <w:pStyle w:val="Source"/>
        <w:keepNext/>
      </w:pPr>
      <w:r>
        <w:rPr>
          <w:i/>
        </w:rPr>
        <w:t>Source</w:t>
      </w:r>
      <w:r w:rsidRPr="006109D9">
        <w:t>:</w:t>
      </w:r>
      <w:r>
        <w:t xml:space="preserve"> </w:t>
      </w:r>
      <w:proofErr w:type="spellStart"/>
      <w:r>
        <w:t>D</w:t>
      </w:r>
      <w:r w:rsidR="00CA7EC0">
        <w:t>SS</w:t>
      </w:r>
      <w:proofErr w:type="spellEnd"/>
      <w:r>
        <w:t xml:space="preserve"> (unpublished); table</w:t>
      </w:r>
      <w:r w:rsidR="00AA68A5">
        <w:t> </w:t>
      </w:r>
      <w:proofErr w:type="spellStart"/>
      <w:r>
        <w:t>13</w:t>
      </w:r>
      <w:r w:rsidR="00E16794">
        <w:t>A.</w:t>
      </w:r>
      <w:r w:rsidR="00FE05BC">
        <w:t>63</w:t>
      </w:r>
      <w:proofErr w:type="spellEnd"/>
      <w:r>
        <w:t>.</w:t>
      </w:r>
    </w:p>
    <w:p w:rsidR="00A12C8F" w:rsidRDefault="00A12C8F" w:rsidP="00723EEA">
      <w:pPr>
        <w:pStyle w:val="Heading5"/>
      </w:pPr>
      <w:r>
        <w:t>Access to residential services by financially disadvantaged users</w:t>
      </w:r>
    </w:p>
    <w:p w:rsidR="00626C4D" w:rsidRDefault="00626C4D" w:rsidP="00723EEA">
      <w:pPr>
        <w:pStyle w:val="BodyText"/>
      </w:pPr>
      <w:r>
        <w:t xml:space="preserve">New residents who are assessed as eligible to receive subsidised accommodation costs are known as supported residents. </w:t>
      </w:r>
      <w:r w:rsidRPr="00C60A88">
        <w:t xml:space="preserve">Residents who entered care prior to </w:t>
      </w:r>
      <w:r w:rsidRPr="00C60A88">
        <w:lastRenderedPageBreak/>
        <w:t>20</w:t>
      </w:r>
      <w:r>
        <w:t> M</w:t>
      </w:r>
      <w:r w:rsidRPr="00C60A88">
        <w:t>arch</w:t>
      </w:r>
      <w:r w:rsidR="00AA68A5">
        <w:t xml:space="preserve"> </w:t>
      </w:r>
      <w:r w:rsidRPr="00C60A88">
        <w:t xml:space="preserve">2008 are still subject to the eligibility criteria for </w:t>
      </w:r>
      <w:r w:rsidR="007952D3">
        <w:t>‘</w:t>
      </w:r>
      <w:r w:rsidRPr="00C60A88">
        <w:t>concessional</w:t>
      </w:r>
      <w:r w:rsidR="007952D3">
        <w:t>’</w:t>
      </w:r>
      <w:r w:rsidRPr="00C60A88">
        <w:t xml:space="preserve"> or </w:t>
      </w:r>
      <w:r w:rsidR="007952D3">
        <w:t>‘</w:t>
      </w:r>
      <w:r w:rsidRPr="00C60A88">
        <w:t>assisted</w:t>
      </w:r>
      <w:r w:rsidR="007952D3">
        <w:t>’</w:t>
      </w:r>
      <w:r w:rsidRPr="00C60A88">
        <w:t xml:space="preserve"> resident status</w:t>
      </w:r>
      <w:r>
        <w:t>.</w:t>
      </w:r>
    </w:p>
    <w:p w:rsidR="0084071C" w:rsidRPr="00AA5E55" w:rsidRDefault="00A12C8F" w:rsidP="00315F52">
      <w:pPr>
        <w:pStyle w:val="BodyText"/>
      </w:pPr>
      <w:r>
        <w:t xml:space="preserve">The proportion of all new residents classified as supported residents during </w:t>
      </w:r>
      <w:r w:rsidR="00714EDC">
        <w:t>201</w:t>
      </w:r>
      <w:r w:rsidR="00C02D2C">
        <w:t>2</w:t>
      </w:r>
      <w:r w:rsidR="00AA68A5">
        <w:noBreakHyphen/>
      </w:r>
      <w:r w:rsidR="00714EDC">
        <w:t>1</w:t>
      </w:r>
      <w:r w:rsidR="00C02D2C">
        <w:t>3</w:t>
      </w:r>
      <w:r w:rsidRPr="00DD52D1">
        <w:t xml:space="preserve"> </w:t>
      </w:r>
      <w:r w:rsidRPr="00E950AB">
        <w:t xml:space="preserve">was </w:t>
      </w:r>
      <w:r w:rsidR="004C2EE4">
        <w:t>37.8</w:t>
      </w:r>
      <w:r w:rsidRPr="00E950AB">
        <w:t xml:space="preserve"> per</w:t>
      </w:r>
      <w:r w:rsidRPr="00DD52D1">
        <w:t xml:space="preserve"> cent</w:t>
      </w:r>
      <w:r>
        <w:t xml:space="preserve"> nationally but varied across jurisdictions (figure 13.</w:t>
      </w:r>
      <w:r w:rsidR="00A13B34">
        <w:t>1</w:t>
      </w:r>
      <w:r w:rsidR="00C02D2C">
        <w:t>5</w:t>
      </w:r>
      <w:r>
        <w:t>).</w:t>
      </w:r>
      <w:r w:rsidRPr="0049068A">
        <w:t xml:space="preserve"> </w:t>
      </w:r>
      <w:r>
        <w:t xml:space="preserve">Targets for financially disadvantaged users range </w:t>
      </w:r>
      <w:r w:rsidRPr="00D51893">
        <w:t>from 16 per cent to 40 per cent of places, depending on the service’s region</w:t>
      </w:r>
      <w:r w:rsidRPr="00C5181F">
        <w:t>.</w:t>
      </w:r>
    </w:p>
    <w:p w:rsidR="00A12C8F" w:rsidRPr="00F05CB2" w:rsidRDefault="00A12C8F" w:rsidP="00AA43C8">
      <w:pPr>
        <w:pStyle w:val="FigureTitle"/>
        <w:ind w:left="1560" w:hanging="1560"/>
        <w:rPr>
          <w:rStyle w:val="NoteLabel"/>
          <w:b/>
        </w:rPr>
      </w:pPr>
      <w:r>
        <w:rPr>
          <w:b w:val="0"/>
        </w:rPr>
        <w:t xml:space="preserve">Figure </w:t>
      </w:r>
      <w:r w:rsidR="00C02D2C">
        <w:rPr>
          <w:b w:val="0"/>
        </w:rPr>
        <w:t>13.</w:t>
      </w:r>
      <w:r w:rsidR="00E4728C">
        <w:rPr>
          <w:b w:val="0"/>
          <w:noProof/>
        </w:rPr>
        <w:t>15</w:t>
      </w:r>
      <w:r>
        <w:tab/>
        <w:t xml:space="preserve">New residents classified as supported residents, </w:t>
      </w:r>
      <w:r w:rsidR="00714EDC">
        <w:t>201</w:t>
      </w:r>
      <w:r w:rsidR="007906D6">
        <w:t>2</w:t>
      </w:r>
      <w:r w:rsidR="00AA68A5">
        <w:noBreakHyphen/>
      </w:r>
      <w:r w:rsidR="00714EDC">
        <w:t>1</w:t>
      </w:r>
      <w:r w:rsidR="007906D6">
        <w:t>3</w:t>
      </w:r>
      <w:r w:rsidRPr="00607F44">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4354" w:rsidRPr="00640545" w:rsidTr="00E74698">
        <w:tc>
          <w:tcPr>
            <w:tcW w:w="8777" w:type="dxa"/>
            <w:tcBorders>
              <w:top w:val="single" w:sz="6" w:space="0" w:color="auto"/>
              <w:bottom w:val="single" w:sz="6" w:space="0" w:color="auto"/>
              <w:right w:val="nil"/>
            </w:tcBorders>
          </w:tcPr>
          <w:p w:rsidR="00C44354" w:rsidRPr="007D40FF" w:rsidRDefault="008018D4" w:rsidP="002435FC">
            <w:pPr>
              <w:pStyle w:val="Figure"/>
            </w:pPr>
            <w:r>
              <w:rPr>
                <w:noProof/>
              </w:rPr>
              <w:drawing>
                <wp:inline distT="0" distB="0" distL="0" distR="0">
                  <wp:extent cx="5362575" cy="2638425"/>
                  <wp:effectExtent l="0" t="0" r="9525" b="9525"/>
                  <wp:docPr id="18" name="Picture 18" descr="Figure 13.15 New residents classified as supported residents,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62575" cy="2638425"/>
                          </a:xfrm>
                          <a:prstGeom prst="rect">
                            <a:avLst/>
                          </a:prstGeom>
                          <a:noFill/>
                          <a:ln>
                            <a:noFill/>
                          </a:ln>
                        </pic:spPr>
                      </pic:pic>
                    </a:graphicData>
                  </a:graphic>
                </wp:inline>
              </w:drawing>
            </w:r>
          </w:p>
        </w:tc>
      </w:tr>
    </w:tbl>
    <w:p w:rsidR="00A12C8F" w:rsidRPr="00A51627" w:rsidRDefault="00A12C8F" w:rsidP="008017FD">
      <w:pPr>
        <w:pStyle w:val="Note"/>
      </w:pPr>
      <w:r>
        <w:rPr>
          <w:rStyle w:val="NoteLabel"/>
        </w:rPr>
        <w:t>a</w:t>
      </w:r>
      <w:r>
        <w:t> </w:t>
      </w:r>
      <w:bookmarkStart w:id="88" w:name="OLE_LINK10"/>
      <w:bookmarkStart w:id="89" w:name="OLE_LINK11"/>
      <w:r w:rsidRPr="00C60A88">
        <w:t>Supported residents are those who have entered permanent residential care on or after 20</w:t>
      </w:r>
      <w:r>
        <w:t> </w:t>
      </w:r>
      <w:r w:rsidRPr="00437651">
        <w:t>March 2008</w:t>
      </w:r>
      <w:r w:rsidRPr="00C5181F">
        <w:t xml:space="preserve"> (o</w:t>
      </w:r>
      <w:r w:rsidRPr="00C60A88">
        <w:t>r who re</w:t>
      </w:r>
      <w:r w:rsidR="00AA68A5">
        <w:noBreakHyphen/>
      </w:r>
      <w:r w:rsidRPr="00C60A88">
        <w:t>enter</w:t>
      </w:r>
      <w:r w:rsidR="00386417">
        <w:t>ed</w:t>
      </w:r>
      <w:r w:rsidRPr="00C60A88">
        <w:t xml:space="preserve"> care on or after 20</w:t>
      </w:r>
      <w:r w:rsidR="00AA68A5">
        <w:t> </w:t>
      </w:r>
      <w:r w:rsidRPr="00437651">
        <w:t>March 2008 after</w:t>
      </w:r>
      <w:r w:rsidRPr="00C60A88">
        <w:t xml:space="preserve"> a break in care of more than 28 days) and have assets of up to a set value (</w:t>
      </w:r>
      <w:r w:rsidR="00A51627" w:rsidRPr="00A51627">
        <w:t>from 20</w:t>
      </w:r>
      <w:r w:rsidR="00AA68A5">
        <w:t> </w:t>
      </w:r>
      <w:r w:rsidR="00A51627" w:rsidRPr="00A51627">
        <w:t>March 201</w:t>
      </w:r>
      <w:r w:rsidR="00C02D2C">
        <w:t>2</w:t>
      </w:r>
      <w:r w:rsidR="00A51627" w:rsidRPr="00A51627">
        <w:t xml:space="preserve"> to 19</w:t>
      </w:r>
      <w:r w:rsidR="00AA68A5">
        <w:t> </w:t>
      </w:r>
      <w:r w:rsidR="00A51627" w:rsidRPr="00A51627">
        <w:t>September 201</w:t>
      </w:r>
      <w:r w:rsidR="008017FD">
        <w:t>2</w:t>
      </w:r>
      <w:r w:rsidR="00A51627" w:rsidRPr="00A51627">
        <w:t xml:space="preserve"> </w:t>
      </w:r>
      <w:r w:rsidR="0099068E">
        <w:t xml:space="preserve">— $108 </w:t>
      </w:r>
      <w:r w:rsidR="008017FD">
        <w:t>266.40</w:t>
      </w:r>
      <w:r w:rsidR="00A51627" w:rsidRPr="00A51627">
        <w:t xml:space="preserve">, from </w:t>
      </w:r>
      <w:r w:rsidR="008017FD">
        <w:t>20</w:t>
      </w:r>
      <w:r w:rsidR="00AA68A5">
        <w:t> </w:t>
      </w:r>
      <w:r w:rsidR="008017FD">
        <w:t xml:space="preserve">September 2012 to </w:t>
      </w:r>
      <w:r w:rsidR="0099068E">
        <w:br/>
        <w:t>19</w:t>
      </w:r>
      <w:r w:rsidR="00AA68A5">
        <w:t> </w:t>
      </w:r>
      <w:r w:rsidR="0099068E">
        <w:t xml:space="preserve">March 2013 — $109 </w:t>
      </w:r>
      <w:r w:rsidR="008017FD">
        <w:t xml:space="preserve">640.80 </w:t>
      </w:r>
      <w:r w:rsidR="00A51627" w:rsidRPr="00A51627">
        <w:t xml:space="preserve">and from </w:t>
      </w:r>
      <w:r w:rsidR="008017FD">
        <w:t>20</w:t>
      </w:r>
      <w:r w:rsidR="00AA68A5">
        <w:t> </w:t>
      </w:r>
      <w:r w:rsidR="008017FD">
        <w:t>Ma</w:t>
      </w:r>
      <w:r w:rsidR="0099068E">
        <w:t>rch 2013 to 30</w:t>
      </w:r>
      <w:r w:rsidR="00AA68A5">
        <w:t> </w:t>
      </w:r>
      <w:r w:rsidR="0099068E">
        <w:t xml:space="preserve">June 2013 — $112 </w:t>
      </w:r>
      <w:r w:rsidR="008017FD">
        <w:t>243</w:t>
      </w:r>
      <w:r w:rsidR="0099068E">
        <w:t>.20</w:t>
      </w:r>
      <w:r w:rsidR="008017FD">
        <w:t xml:space="preserve">). </w:t>
      </w:r>
    </w:p>
    <w:bookmarkEnd w:id="88"/>
    <w:bookmarkEnd w:id="89"/>
    <w:p w:rsidR="00A12C8F" w:rsidRDefault="00A12C8F" w:rsidP="00723EEA">
      <w:pPr>
        <w:pStyle w:val="Source"/>
      </w:pPr>
      <w:r>
        <w:rPr>
          <w:i/>
        </w:rPr>
        <w:t>Source</w:t>
      </w:r>
      <w:r>
        <w:t xml:space="preserve">: </w:t>
      </w:r>
      <w:proofErr w:type="spellStart"/>
      <w:r>
        <w:t>D</w:t>
      </w:r>
      <w:r w:rsidR="00CA7EC0">
        <w:t>SS</w:t>
      </w:r>
      <w:proofErr w:type="spellEnd"/>
      <w:r>
        <w:t xml:space="preserve"> (unpublished); table</w:t>
      </w:r>
      <w:r w:rsidR="00AA68A5">
        <w:t> </w:t>
      </w:r>
      <w:proofErr w:type="spellStart"/>
      <w:r>
        <w:t>13</w:t>
      </w:r>
      <w:r w:rsidR="00E16794">
        <w:t>A.3</w:t>
      </w:r>
      <w:r w:rsidR="008017FD">
        <w:t>6</w:t>
      </w:r>
      <w:proofErr w:type="spellEnd"/>
      <w:r>
        <w:t>.</w:t>
      </w:r>
    </w:p>
    <w:p w:rsidR="00CB407F" w:rsidRDefault="00CB407F" w:rsidP="00CB407F">
      <w:pPr>
        <w:pStyle w:val="BodyText"/>
      </w:pPr>
      <w:r>
        <w:t xml:space="preserve">The proportion of all </w:t>
      </w:r>
      <w:r w:rsidR="00A56276">
        <w:t>permanent resident</w:t>
      </w:r>
      <w:r w:rsidR="00315F52" w:rsidRPr="00315F52">
        <w:t xml:space="preserve"> care days </w:t>
      </w:r>
      <w:r w:rsidR="00315F52">
        <w:t xml:space="preserve">classified as concessional, </w:t>
      </w:r>
      <w:r w:rsidR="00315F52" w:rsidRPr="00D635CA">
        <w:t>assisted or supported</w:t>
      </w:r>
      <w:r w:rsidR="00315F52">
        <w:t xml:space="preserve"> </w:t>
      </w:r>
      <w:r>
        <w:t>during 201</w:t>
      </w:r>
      <w:r w:rsidR="00C02D2C">
        <w:t>2</w:t>
      </w:r>
      <w:r w:rsidR="00AA68A5">
        <w:noBreakHyphen/>
      </w:r>
      <w:r>
        <w:t>1</w:t>
      </w:r>
      <w:r w:rsidR="00C02D2C">
        <w:t>3</w:t>
      </w:r>
      <w:r w:rsidRPr="00DD52D1">
        <w:t xml:space="preserve"> </w:t>
      </w:r>
      <w:r w:rsidRPr="00E950AB">
        <w:t xml:space="preserve">was </w:t>
      </w:r>
      <w:r w:rsidR="004C2EE4">
        <w:t>41.2</w:t>
      </w:r>
      <w:r w:rsidRPr="00E950AB">
        <w:t xml:space="preserve"> per</w:t>
      </w:r>
      <w:r w:rsidRPr="00DD52D1">
        <w:t xml:space="preserve"> cent</w:t>
      </w:r>
      <w:r>
        <w:t xml:space="preserve"> nationally</w:t>
      </w:r>
      <w:r w:rsidR="00644A9F">
        <w:t>,</w:t>
      </w:r>
      <w:r>
        <w:t xml:space="preserve"> but varied across jurisdictions (figure 13.</w:t>
      </w:r>
      <w:r w:rsidR="00B63271">
        <w:t>1</w:t>
      </w:r>
      <w:r w:rsidR="00C02D2C">
        <w:t>6</w:t>
      </w:r>
      <w:r>
        <w:t>).</w:t>
      </w:r>
      <w:r w:rsidRPr="0049068A">
        <w:t xml:space="preserve"> </w:t>
      </w:r>
    </w:p>
    <w:p w:rsidR="00CB407F" w:rsidRPr="00F05CB2" w:rsidRDefault="00CB407F" w:rsidP="00CB407F">
      <w:pPr>
        <w:pStyle w:val="FigureTitle"/>
        <w:ind w:left="1560" w:hanging="1560"/>
        <w:rPr>
          <w:rStyle w:val="NoteLabel"/>
          <w:b/>
        </w:rPr>
      </w:pPr>
      <w:r>
        <w:rPr>
          <w:b w:val="0"/>
        </w:rPr>
        <w:lastRenderedPageBreak/>
        <w:t xml:space="preserve">Figure </w:t>
      </w:r>
      <w:r w:rsidR="00C02D2C">
        <w:rPr>
          <w:b w:val="0"/>
        </w:rPr>
        <w:t>13.</w:t>
      </w:r>
      <w:r w:rsidR="00E4728C">
        <w:rPr>
          <w:b w:val="0"/>
          <w:noProof/>
        </w:rPr>
        <w:t>16</w:t>
      </w:r>
      <w:r>
        <w:tab/>
      </w:r>
      <w:r w:rsidR="00A56276">
        <w:t>Permanent</w:t>
      </w:r>
      <w:r w:rsidR="00907700">
        <w:t xml:space="preserve"> residents</w:t>
      </w:r>
      <w:r w:rsidR="00A80375">
        <w:t>’</w:t>
      </w:r>
      <w:r w:rsidR="00907700">
        <w:t xml:space="preserve"> </w:t>
      </w:r>
      <w:r w:rsidR="00A56276">
        <w:t>c</w:t>
      </w:r>
      <w:r w:rsidR="00A56276" w:rsidRPr="00315F52">
        <w:t xml:space="preserve">are days </w:t>
      </w:r>
      <w:r w:rsidR="00907700">
        <w:t xml:space="preserve">classified as concessional, </w:t>
      </w:r>
      <w:r w:rsidR="00907700" w:rsidRPr="00D635CA">
        <w:t>assisted or supported</w:t>
      </w:r>
      <w:r>
        <w:t>, 201</w:t>
      </w:r>
      <w:r w:rsidR="007906D6">
        <w:t>2</w:t>
      </w:r>
      <w:r w:rsidR="00AA68A5">
        <w:noBreakHyphen/>
      </w:r>
      <w:r>
        <w:t>1</w:t>
      </w:r>
      <w:r w:rsidR="007906D6">
        <w:t>3</w:t>
      </w:r>
      <w:r w:rsidRPr="00607F44">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B407F" w:rsidRPr="00640545" w:rsidTr="00FF2329">
        <w:tc>
          <w:tcPr>
            <w:tcW w:w="8777" w:type="dxa"/>
            <w:tcBorders>
              <w:top w:val="single" w:sz="6" w:space="0" w:color="auto"/>
              <w:bottom w:val="single" w:sz="6" w:space="0" w:color="auto"/>
              <w:right w:val="nil"/>
            </w:tcBorders>
          </w:tcPr>
          <w:p w:rsidR="00CB407F" w:rsidRPr="007D40FF" w:rsidRDefault="008018D4" w:rsidP="00FF2329">
            <w:pPr>
              <w:pStyle w:val="Figure"/>
            </w:pPr>
            <w:r>
              <w:rPr>
                <w:noProof/>
              </w:rPr>
              <w:drawing>
                <wp:inline distT="0" distB="0" distL="0" distR="0">
                  <wp:extent cx="5362575" cy="2638425"/>
                  <wp:effectExtent l="0" t="0" r="9525" b="9525"/>
                  <wp:docPr id="19" name="Picture 19" descr="Figure 13.16 Permanent residents’ care days classified as concessional, assisted or supported,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362575" cy="2638425"/>
                          </a:xfrm>
                          <a:prstGeom prst="rect">
                            <a:avLst/>
                          </a:prstGeom>
                          <a:noFill/>
                          <a:ln>
                            <a:noFill/>
                          </a:ln>
                        </pic:spPr>
                      </pic:pic>
                    </a:graphicData>
                  </a:graphic>
                </wp:inline>
              </w:drawing>
            </w:r>
          </w:p>
        </w:tc>
      </w:tr>
    </w:tbl>
    <w:p w:rsidR="006E752E" w:rsidRPr="00664ED0" w:rsidRDefault="00CB407F" w:rsidP="0099068E">
      <w:pPr>
        <w:pStyle w:val="Note"/>
      </w:pPr>
      <w:r>
        <w:rPr>
          <w:rStyle w:val="NoteLabel"/>
        </w:rPr>
        <w:t>a</w:t>
      </w:r>
      <w:r>
        <w:t> </w:t>
      </w:r>
      <w:r w:rsidR="00422009">
        <w:t xml:space="preserve">Concessional residents are those </w:t>
      </w:r>
      <w:r w:rsidR="00422009" w:rsidRPr="00B27969">
        <w:t>who</w:t>
      </w:r>
      <w:r w:rsidR="007F7EC3" w:rsidRPr="00B27969">
        <w:t xml:space="preserve"> entered permanent residential care before 20</w:t>
      </w:r>
      <w:r w:rsidR="00AA68A5">
        <w:t> </w:t>
      </w:r>
      <w:r w:rsidR="007F7EC3" w:rsidRPr="00B27969">
        <w:t>March 2008,</w:t>
      </w:r>
      <w:r w:rsidR="00422009" w:rsidRPr="00B27969">
        <w:t xml:space="preserve"> </w:t>
      </w:r>
      <w:r w:rsidR="00422009">
        <w:t>receive an income support payment and have not owned a home for the last two or more years (or whose home is</w:t>
      </w:r>
      <w:r w:rsidR="00D45C4B">
        <w:t xml:space="preserve"> occupied by a protected person,</w:t>
      </w:r>
      <w:r w:rsidR="00422009">
        <w:t xml:space="preserve"> for example, the care recipient’s partner), and have assets of less than </w:t>
      </w:r>
      <w:r w:rsidR="00FA0AD2">
        <w:br/>
      </w:r>
      <w:r w:rsidR="00422009">
        <w:t>2.5 times the annual single basic age pension</w:t>
      </w:r>
      <w:r w:rsidR="00664ED0">
        <w:t xml:space="preserve"> </w:t>
      </w:r>
      <w:r w:rsidR="00664ED0" w:rsidRPr="00664ED0">
        <w:t>(or for a transfer from 20</w:t>
      </w:r>
      <w:r w:rsidR="00AA68A5">
        <w:t> </w:t>
      </w:r>
      <w:r w:rsidR="00664ED0">
        <w:t>September 2009 less than 2.25)</w:t>
      </w:r>
      <w:r w:rsidR="00422009">
        <w:t>. Assisted residents are those meeting the above criteria, but with assets between 2.5 and 4.0 times the annual single basic age pension</w:t>
      </w:r>
      <w:r w:rsidR="00664ED0" w:rsidRPr="00664ED0">
        <w:rPr>
          <w:rFonts w:cs="Arial"/>
          <w:color w:val="FF0000"/>
          <w:sz w:val="15"/>
          <w:szCs w:val="15"/>
        </w:rPr>
        <w:t xml:space="preserve"> </w:t>
      </w:r>
      <w:r w:rsidR="00664ED0" w:rsidRPr="00664ED0">
        <w:t>(or for a transfer from 20</w:t>
      </w:r>
      <w:r w:rsidR="00AA68A5">
        <w:t> </w:t>
      </w:r>
      <w:r w:rsidR="00664ED0" w:rsidRPr="00664ED0">
        <w:t>September 2009 between 2.25 and 3.61).</w:t>
      </w:r>
      <w:r w:rsidR="00422009">
        <w:t xml:space="preserve"> Supported residents are those who have entered permanent residential care on or after 20</w:t>
      </w:r>
      <w:r w:rsidR="00AA68A5">
        <w:t> </w:t>
      </w:r>
      <w:r w:rsidR="00422009">
        <w:t>March 2008 (or who re</w:t>
      </w:r>
      <w:r w:rsidR="00AA68A5">
        <w:noBreakHyphen/>
      </w:r>
      <w:r w:rsidR="00422009">
        <w:t>enter care on or after 20</w:t>
      </w:r>
      <w:r w:rsidR="00AA68A5">
        <w:t> </w:t>
      </w:r>
      <w:r w:rsidR="00422009">
        <w:t xml:space="preserve">March 2008 after a break in care of more than 28 days) and have assets of up to a set value </w:t>
      </w:r>
      <w:r w:rsidR="008017FD" w:rsidRPr="008017FD">
        <w:t>(</w:t>
      </w:r>
      <w:r w:rsidR="0099068E">
        <w:t>from 20</w:t>
      </w:r>
      <w:r w:rsidR="00AA68A5">
        <w:t> </w:t>
      </w:r>
      <w:r w:rsidR="0099068E">
        <w:t>March 2012 to 19</w:t>
      </w:r>
      <w:r w:rsidR="00AA68A5">
        <w:t> </w:t>
      </w:r>
      <w:r w:rsidR="0099068E">
        <w:t>September 2012 — $108 266.40, from 20</w:t>
      </w:r>
      <w:r w:rsidR="00AA68A5">
        <w:t> </w:t>
      </w:r>
      <w:r w:rsidR="0099068E">
        <w:t>September 2012 to 19</w:t>
      </w:r>
      <w:r w:rsidR="00AA68A5">
        <w:t> </w:t>
      </w:r>
      <w:r w:rsidR="0099068E">
        <w:t>March 2013 — $109 640.80 and from 20</w:t>
      </w:r>
      <w:r w:rsidR="00AA68A5">
        <w:t> </w:t>
      </w:r>
      <w:r w:rsidR="0099068E">
        <w:t>March 2013 to 30</w:t>
      </w:r>
      <w:r w:rsidR="00AA68A5">
        <w:t> </w:t>
      </w:r>
      <w:r w:rsidR="0099068E">
        <w:t>June 2013 — $112 243.20</w:t>
      </w:r>
      <w:r w:rsidR="008017FD" w:rsidRPr="008017FD">
        <w:t>)</w:t>
      </w:r>
      <w:r w:rsidR="008017FD">
        <w:t>.</w:t>
      </w:r>
      <w:r w:rsidR="00626C4D" w:rsidRPr="00626C4D">
        <w:t xml:space="preserve"> </w:t>
      </w:r>
    </w:p>
    <w:p w:rsidR="00CB407F" w:rsidRDefault="00CB407F" w:rsidP="00CB407F">
      <w:pPr>
        <w:pStyle w:val="Source"/>
      </w:pPr>
      <w:r>
        <w:rPr>
          <w:i/>
        </w:rPr>
        <w:t>Source</w:t>
      </w:r>
      <w:r>
        <w:t xml:space="preserve">: </w:t>
      </w:r>
      <w:proofErr w:type="spellStart"/>
      <w:r>
        <w:t>D</w:t>
      </w:r>
      <w:r w:rsidR="00CA7EC0">
        <w:t>SS</w:t>
      </w:r>
      <w:proofErr w:type="spellEnd"/>
      <w:r>
        <w:t xml:space="preserve"> (unpublished); table</w:t>
      </w:r>
      <w:r w:rsidR="00AA68A5">
        <w:t> </w:t>
      </w:r>
      <w:proofErr w:type="spellStart"/>
      <w:r>
        <w:t>13</w:t>
      </w:r>
      <w:r w:rsidR="00E16794">
        <w:t>A.</w:t>
      </w:r>
      <w:r w:rsidR="008204AE">
        <w:t>3</w:t>
      </w:r>
      <w:r w:rsidR="005747EB">
        <w:t>6</w:t>
      </w:r>
      <w:proofErr w:type="spellEnd"/>
      <w:r>
        <w:t>.</w:t>
      </w:r>
    </w:p>
    <w:p w:rsidR="00A12C8F" w:rsidRPr="00F45121" w:rsidRDefault="00A12C8F" w:rsidP="00F45121">
      <w:pPr>
        <w:pStyle w:val="Heading4"/>
      </w:pPr>
      <w:r w:rsidRPr="00F45121">
        <w:t>Effectiveness — level of access</w:t>
      </w:r>
    </w:p>
    <w:p w:rsidR="00A12C8F" w:rsidRDefault="00A12C8F" w:rsidP="00CC1191">
      <w:pPr>
        <w:pStyle w:val="Heading5"/>
        <w:spacing w:before="360" w:line="240" w:lineRule="auto"/>
      </w:pPr>
      <w:r>
        <w:t xml:space="preserve">Operational aged care places </w:t>
      </w:r>
    </w:p>
    <w:p w:rsidR="00A12C8F" w:rsidRPr="00E60F2B" w:rsidRDefault="00A12C8F" w:rsidP="00CC1191">
      <w:pPr>
        <w:pStyle w:val="BodyText"/>
      </w:pPr>
      <w:r>
        <w:t xml:space="preserve">‘Operational aged care places’ is an indicator of governments’ objective </w:t>
      </w:r>
      <w:r w:rsidRPr="00A650D5">
        <w:t xml:space="preserve">to provide </w:t>
      </w:r>
      <w:r>
        <w:t>older Australians with</w:t>
      </w:r>
      <w:r w:rsidRPr="00A650D5">
        <w:t xml:space="preserve"> </w:t>
      </w:r>
      <w:r w:rsidR="0025531A">
        <w:t xml:space="preserve">access to a range of </w:t>
      </w:r>
      <w:r>
        <w:t>aged care services that can meet their care needs (box 13.</w:t>
      </w:r>
      <w:r w:rsidR="007F5120">
        <w:t>4</w:t>
      </w:r>
      <w:r>
        <w:t xml:space="preserve">). </w:t>
      </w:r>
      <w:r w:rsidR="00E60F2B">
        <w:t xml:space="preserve">This indicator does not include </w:t>
      </w:r>
      <w:r w:rsidR="00E60F2B" w:rsidRPr="00E60F2B">
        <w:t>places that have been approved</w:t>
      </w:r>
      <w:r w:rsidR="00997BA4">
        <w:t>,</w:t>
      </w:r>
      <w:r w:rsidR="00E60F2B" w:rsidRPr="00E60F2B">
        <w:t xml:space="preserve"> but are not yet operational.</w:t>
      </w:r>
    </w:p>
    <w:p w:rsidR="00C230F1" w:rsidRDefault="00C230F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230F1" w:rsidTr="00E05EC8">
        <w:tc>
          <w:tcPr>
            <w:tcW w:w="8771" w:type="dxa"/>
            <w:tcBorders>
              <w:top w:val="single" w:sz="6" w:space="0" w:color="auto"/>
              <w:bottom w:val="nil"/>
            </w:tcBorders>
          </w:tcPr>
          <w:p w:rsidR="00C230F1" w:rsidRDefault="00C230F1">
            <w:pPr>
              <w:pStyle w:val="BoxTitle"/>
            </w:pPr>
            <w:r>
              <w:rPr>
                <w:b w:val="0"/>
              </w:rPr>
              <w:t xml:space="preserve">Box </w:t>
            </w:r>
            <w:bookmarkStart w:id="90" w:name="OLE_LINK44"/>
            <w:r w:rsidR="007F5120">
              <w:rPr>
                <w:b w:val="0"/>
              </w:rPr>
              <w:t>13.</w:t>
            </w:r>
            <w:r w:rsidR="00E4728C">
              <w:rPr>
                <w:b w:val="0"/>
                <w:noProof/>
              </w:rPr>
              <w:t>4</w:t>
            </w:r>
            <w:bookmarkEnd w:id="90"/>
            <w:r>
              <w:tab/>
              <w:t xml:space="preserve">Operational aged care places </w:t>
            </w:r>
          </w:p>
        </w:tc>
      </w:tr>
      <w:tr w:rsidR="00C230F1" w:rsidTr="00E05EC8">
        <w:trPr>
          <w:cantSplit/>
        </w:trPr>
        <w:tc>
          <w:tcPr>
            <w:tcW w:w="8771" w:type="dxa"/>
            <w:tcBorders>
              <w:top w:val="nil"/>
              <w:left w:val="single" w:sz="4" w:space="0" w:color="auto"/>
              <w:bottom w:val="nil"/>
              <w:right w:val="single" w:sz="6" w:space="0" w:color="auto"/>
            </w:tcBorders>
          </w:tcPr>
          <w:p w:rsidR="00C230F1" w:rsidRDefault="00C230F1" w:rsidP="005747EB">
            <w:pPr>
              <w:pStyle w:val="Box"/>
              <w:keepNext w:val="0"/>
              <w:widowControl w:val="0"/>
            </w:pPr>
            <w:r>
              <w:t>‘Operational aged care places’ is defined by two measures, the number of operational places (by type) per 1000 people</w:t>
            </w:r>
            <w:r w:rsidR="0025531A">
              <w:t xml:space="preserve"> in the </w:t>
            </w:r>
            <w:r w:rsidR="00E10D09">
              <w:t xml:space="preserve">aged care planning </w:t>
            </w:r>
            <w:r w:rsidR="0025531A">
              <w:t>population</w:t>
            </w:r>
            <w:r>
              <w:t xml:space="preserve">: </w:t>
            </w:r>
          </w:p>
          <w:p w:rsidR="00C230F1" w:rsidRDefault="00C230F1" w:rsidP="005747EB">
            <w:pPr>
              <w:pStyle w:val="BoxListBullet"/>
              <w:keepNext w:val="0"/>
              <w:widowControl w:val="0"/>
            </w:pPr>
            <w:r>
              <w:t xml:space="preserve">aged 70 years or over </w:t>
            </w:r>
          </w:p>
          <w:p w:rsidR="00C230F1" w:rsidRDefault="00C230F1" w:rsidP="005747EB">
            <w:pPr>
              <w:pStyle w:val="BoxListBullet"/>
              <w:keepNext w:val="0"/>
              <w:widowControl w:val="0"/>
            </w:pPr>
            <w:r>
              <w:t xml:space="preserve">aged 70 years or </w:t>
            </w:r>
            <w:r w:rsidR="00C05C11">
              <w:t xml:space="preserve">over </w:t>
            </w:r>
            <w:r w:rsidR="00CF2C9C" w:rsidRPr="00B27969">
              <w:t>and</w:t>
            </w:r>
            <w:r>
              <w:t xml:space="preserve"> </w:t>
            </w:r>
            <w:r w:rsidR="00EB2705">
              <w:t>Indigenous Australians</w:t>
            </w:r>
            <w:r>
              <w:t xml:space="preserve"> aged 50–69 years.</w:t>
            </w:r>
          </w:p>
          <w:p w:rsidR="00C230F1" w:rsidRPr="00BA32D6" w:rsidRDefault="00C230F1" w:rsidP="005747EB">
            <w:pPr>
              <w:pStyle w:val="Box"/>
              <w:keepNext w:val="0"/>
              <w:widowControl w:val="0"/>
            </w:pPr>
            <w:r>
              <w:t xml:space="preserve">The planning framework for services provided under the </w:t>
            </w:r>
            <w:r w:rsidRPr="00A024A4">
              <w:rPr>
                <w:i/>
              </w:rPr>
              <w:t xml:space="preserve">Aged Care Act </w:t>
            </w:r>
            <w:r w:rsidR="00B939F8">
              <w:rPr>
                <w:i/>
              </w:rPr>
              <w:t xml:space="preserve">1997 </w:t>
            </w:r>
            <w:r>
              <w:t xml:space="preserve">aims to keep the growth in the number of Australian Government subsidised aged care places in line with growth in the aged population, and to ensure a balance of services across Australia, including services for people with lower levels of need and in </w:t>
            </w:r>
            <w:bookmarkStart w:id="91" w:name="OLE_LINK17"/>
            <w:bookmarkStart w:id="92" w:name="OLE_LINK18"/>
            <w:r>
              <w:t>rural and remote areas</w:t>
            </w:r>
            <w:bookmarkEnd w:id="91"/>
            <w:bookmarkEnd w:id="92"/>
            <w:r>
              <w:t xml:space="preserve">. </w:t>
            </w:r>
            <w:r w:rsidR="003D7490" w:rsidRPr="00BA32D6">
              <w:t xml:space="preserve">The </w:t>
            </w:r>
            <w:r w:rsidR="00984193" w:rsidRPr="00BA32D6">
              <w:t>current</w:t>
            </w:r>
            <w:r w:rsidRPr="00BA32D6">
              <w:t xml:space="preserve"> national provision ratio </w:t>
            </w:r>
            <w:r w:rsidR="00984193" w:rsidRPr="00BA32D6">
              <w:t>is</w:t>
            </w:r>
            <w:r w:rsidRPr="00BA32D6">
              <w:t xml:space="preserve"> 113 operational aged care places per 1000 of the population aged 70 years </w:t>
            </w:r>
            <w:r w:rsidR="004E7E6D" w:rsidRPr="00BA32D6">
              <w:t>or over</w:t>
            </w:r>
            <w:r w:rsidR="0063065F" w:rsidRPr="00BA32D6">
              <w:rPr>
                <w:rStyle w:val="NoteLabel"/>
                <w:shd w:val="clear" w:color="auto" w:fill="FFFFFF" w:themeFill="background1"/>
              </w:rPr>
              <w:t>a</w:t>
            </w:r>
            <w:r w:rsidR="0063065F" w:rsidRPr="00BA32D6">
              <w:t>.</w:t>
            </w:r>
            <w:r w:rsidR="00984193" w:rsidRPr="00BA32D6">
              <w:t xml:space="preserve"> W</w:t>
            </w:r>
            <w:r w:rsidRPr="00BA32D6">
              <w:t>ithin th</w:t>
            </w:r>
            <w:r w:rsidR="00984193" w:rsidRPr="00BA32D6">
              <w:t>is</w:t>
            </w:r>
            <w:r w:rsidRPr="00BA32D6">
              <w:t xml:space="preserve"> overall target provision ratio</w:t>
            </w:r>
            <w:r w:rsidR="00984193" w:rsidRPr="00BA32D6">
              <w:t xml:space="preserve"> of 113</w:t>
            </w:r>
            <w:r w:rsidR="004B2892" w:rsidRPr="00BA32D6">
              <w:t xml:space="preserve"> places</w:t>
            </w:r>
            <w:r w:rsidRPr="00BA32D6">
              <w:t>:</w:t>
            </w:r>
          </w:p>
          <w:p w:rsidR="00C230F1" w:rsidRPr="00BA32D6" w:rsidRDefault="00AF30AD" w:rsidP="005747EB">
            <w:pPr>
              <w:pStyle w:val="BoxListBullet"/>
              <w:keepNext w:val="0"/>
              <w:widowControl w:val="0"/>
              <w:spacing w:line="240" w:lineRule="auto"/>
            </w:pPr>
            <w:r w:rsidRPr="00BA32D6">
              <w:t xml:space="preserve">42 </w:t>
            </w:r>
            <w:r w:rsidR="00C230F1" w:rsidRPr="00BA32D6">
              <w:t>places (</w:t>
            </w:r>
            <w:r w:rsidR="008D7C6D" w:rsidRPr="00BA32D6">
              <w:t xml:space="preserve">37 </w:t>
            </w:r>
            <w:r w:rsidR="00C230F1" w:rsidRPr="00BA32D6">
              <w:t>per cent) should be residential high care — designed to meet the needs of residents equivalent to high care</w:t>
            </w:r>
          </w:p>
          <w:p w:rsidR="00C230F1" w:rsidRPr="00BA32D6" w:rsidRDefault="00C230F1" w:rsidP="005747EB">
            <w:pPr>
              <w:pStyle w:val="BoxListBullet"/>
              <w:keepNext w:val="0"/>
              <w:widowControl w:val="0"/>
              <w:spacing w:line="240" w:lineRule="auto"/>
            </w:pPr>
            <w:r w:rsidRPr="00BA32D6">
              <w:t>44 places (39 per cent) should be residential low care — designed to meet the needs of residents equivalent to low care</w:t>
            </w:r>
          </w:p>
          <w:p w:rsidR="00C230F1" w:rsidRPr="00BA32D6" w:rsidRDefault="00AF30AD" w:rsidP="005747EB">
            <w:pPr>
              <w:pStyle w:val="BoxListBullet"/>
              <w:keepNext w:val="0"/>
              <w:widowControl w:val="0"/>
              <w:spacing w:line="240" w:lineRule="auto"/>
            </w:pPr>
            <w:r w:rsidRPr="00BA32D6">
              <w:t xml:space="preserve">27 </w:t>
            </w:r>
            <w:r w:rsidR="00C230F1" w:rsidRPr="00BA32D6">
              <w:t>places (</w:t>
            </w:r>
            <w:r w:rsidR="008D7C6D" w:rsidRPr="00BA32D6">
              <w:t xml:space="preserve">24 </w:t>
            </w:r>
            <w:r w:rsidR="00C230F1" w:rsidRPr="00BA32D6">
              <w:t xml:space="preserve">per cent) should be community care, with </w:t>
            </w:r>
            <w:r w:rsidRPr="00BA32D6">
              <w:t xml:space="preserve">6 </w:t>
            </w:r>
            <w:r w:rsidR="00C230F1" w:rsidRPr="00BA32D6">
              <w:t>of these places (around</w:t>
            </w:r>
            <w:r w:rsidR="00926F6B">
              <w:t xml:space="preserve"> </w:t>
            </w:r>
            <w:r w:rsidR="008D7C6D" w:rsidRPr="00BA32D6">
              <w:t>5.3</w:t>
            </w:r>
            <w:r w:rsidR="00C230F1" w:rsidRPr="00BA32D6">
              <w:t xml:space="preserve"> per cent of total places) being for high level community care — designed to enable those with high/low care needs to continue living in, or return to, the community (</w:t>
            </w:r>
            <w:r w:rsidR="00386417" w:rsidRPr="00BA32D6">
              <w:t>DoHA unpublished</w:t>
            </w:r>
            <w:r w:rsidR="00984193" w:rsidRPr="00BA32D6">
              <w:t>)</w:t>
            </w:r>
            <w:r w:rsidR="00984193" w:rsidRPr="00BA32D6">
              <w:rPr>
                <w:rStyle w:val="NoteLabel"/>
              </w:rPr>
              <w:t>a</w:t>
            </w:r>
            <w:r w:rsidR="00C230F1" w:rsidRPr="00BA32D6">
              <w:t xml:space="preserve">. </w:t>
            </w:r>
          </w:p>
          <w:p w:rsidR="00A90241" w:rsidRPr="00BA32D6" w:rsidRDefault="004D7909" w:rsidP="005747EB">
            <w:pPr>
              <w:pStyle w:val="Box"/>
              <w:keepLines/>
            </w:pPr>
            <w:r w:rsidRPr="00BA32D6">
              <w:t>In</w:t>
            </w:r>
            <w:r w:rsidR="00A90241" w:rsidRPr="00BA32D6">
              <w:t xml:space="preserve"> recognition of poorer health among Indigenous communities and that planning in some cases also takes account of the Indigenous population aged 50–69 years, the provision ratio is also reported </w:t>
            </w:r>
            <w:r w:rsidRPr="00BA32D6">
              <w:t>for</w:t>
            </w:r>
            <w:r w:rsidR="00A90241" w:rsidRPr="00BA32D6">
              <w:t xml:space="preserve"> operational places per 1000 people aged</w:t>
            </w:r>
            <w:r w:rsidRPr="00BA32D6">
              <w:t xml:space="preserve"> </w:t>
            </w:r>
            <w:r w:rsidR="00A90241" w:rsidRPr="00BA32D6">
              <w:t xml:space="preserve">70 years or </w:t>
            </w:r>
            <w:r w:rsidR="00145E8B" w:rsidRPr="00BA32D6">
              <w:t xml:space="preserve">over </w:t>
            </w:r>
            <w:r w:rsidR="00CF2C9C" w:rsidRPr="00BA32D6">
              <w:t>and</w:t>
            </w:r>
            <w:r w:rsidR="00A90241" w:rsidRPr="00BA32D6">
              <w:t xml:space="preserve"> </w:t>
            </w:r>
            <w:r w:rsidR="00EB2705" w:rsidRPr="00BA32D6">
              <w:t>Indigenous Australians</w:t>
            </w:r>
            <w:r w:rsidR="00A90241" w:rsidRPr="00BA32D6">
              <w:t xml:space="preserve"> aged 50–69 years. A provision ratio based on the population aged 70 years or over will appear high in areas with a high Indigenous population (such as the NT).</w:t>
            </w:r>
          </w:p>
          <w:p w:rsidR="004C2EE4" w:rsidRDefault="004C2EE4" w:rsidP="005747EB">
            <w:pPr>
              <w:pStyle w:val="Box"/>
              <w:keepLines/>
            </w:pPr>
            <w:r>
              <w:t xml:space="preserve">In general, provision ratios across states and territories, and across regions, that are broadly similar to the </w:t>
            </w:r>
            <w:bookmarkStart w:id="93" w:name="OLE_LINK24"/>
            <w:bookmarkStart w:id="94" w:name="OLE_LINK25"/>
            <w:r>
              <w:t xml:space="preserve">overall target provision ratios </w:t>
            </w:r>
            <w:bookmarkEnd w:id="93"/>
            <w:bookmarkEnd w:id="94"/>
            <w:r>
              <w:t xml:space="preserve">are desirable as it indicates that older Australians have access to a similar level and mix of services to meet their care needs. </w:t>
            </w:r>
          </w:p>
          <w:p w:rsidR="00984193" w:rsidRPr="00984193" w:rsidRDefault="00E05EC8" w:rsidP="005747EB">
            <w:pPr>
              <w:pStyle w:val="Note"/>
              <w:rPr>
                <w:rFonts w:ascii="Times New Roman" w:hAnsi="Times New Roman"/>
                <w:szCs w:val="22"/>
              </w:rPr>
            </w:pPr>
            <w:proofErr w:type="spellStart"/>
            <w:r w:rsidRPr="00FD4D49">
              <w:rPr>
                <w:rStyle w:val="NoteLabel"/>
                <w:shd w:val="clear" w:color="auto" w:fill="FFFFFF" w:themeFill="background1"/>
              </w:rPr>
              <w:t>a</w:t>
            </w:r>
            <w:proofErr w:type="spellEnd"/>
            <w:r w:rsidRPr="00FD4D49">
              <w:rPr>
                <w:rStyle w:val="NoteChar"/>
                <w:shd w:val="clear" w:color="auto" w:fill="FFFFFF" w:themeFill="background1"/>
              </w:rPr>
              <w:t xml:space="preserve"> </w:t>
            </w:r>
            <w:r w:rsidR="00BA32D6" w:rsidRPr="002A7E1B">
              <w:rPr>
                <w:rFonts w:cs="Arial"/>
                <w:shd w:val="clear" w:color="auto" w:fill="FFFFFF" w:themeFill="background1"/>
              </w:rPr>
              <w:t xml:space="preserve">The national provision ratio is planned to increase from 113 operational places per 1000 people aged </w:t>
            </w:r>
            <w:r w:rsidR="00AA03CC" w:rsidRPr="002A7E1B">
              <w:rPr>
                <w:rFonts w:cs="Arial"/>
                <w:shd w:val="clear" w:color="auto" w:fill="FFFFFF" w:themeFill="background1"/>
              </w:rPr>
              <w:br/>
            </w:r>
            <w:r w:rsidR="00BA32D6" w:rsidRPr="002A7E1B">
              <w:rPr>
                <w:rFonts w:cs="Arial"/>
                <w:shd w:val="clear" w:color="auto" w:fill="FFFFFF" w:themeFill="background1"/>
              </w:rPr>
              <w:t>70 years or over to 125 places by 2021</w:t>
            </w:r>
            <w:r w:rsidR="00AA68A5">
              <w:rPr>
                <w:rFonts w:cs="Arial"/>
                <w:shd w:val="clear" w:color="auto" w:fill="FFFFFF" w:themeFill="background1"/>
              </w:rPr>
              <w:noBreakHyphen/>
            </w:r>
            <w:r w:rsidR="00BA32D6" w:rsidRPr="002A7E1B">
              <w:rPr>
                <w:rFonts w:cs="Arial"/>
                <w:shd w:val="clear" w:color="auto" w:fill="FFFFFF" w:themeFill="background1"/>
              </w:rPr>
              <w:t>22. Within this provision ratio, the number of home care packages will increase from 27 to 45, reflecting a greater emphasis on assisting people to remain in their own home as they age. The absolute number of residential aged care places will also continue to increase, but at a rate more reflective of consumer demand (decreasing from 86 to 80 per 1000 of the population aged 70 years or over)</w:t>
            </w:r>
            <w:r w:rsidR="00984193" w:rsidRPr="002A7E1B">
              <w:rPr>
                <w:rFonts w:cs="Arial"/>
                <w:shd w:val="clear" w:color="auto" w:fill="FFFFFF" w:themeFill="background1"/>
              </w:rPr>
              <w:t>.</w:t>
            </w:r>
            <w:r w:rsidR="00984193">
              <w:t xml:space="preserve"> </w:t>
            </w:r>
          </w:p>
        </w:tc>
      </w:tr>
      <w:tr w:rsidR="004C2EE4">
        <w:trPr>
          <w:cantSplit/>
        </w:trPr>
        <w:tc>
          <w:tcPr>
            <w:tcW w:w="8771" w:type="dxa"/>
            <w:tcBorders>
              <w:top w:val="nil"/>
              <w:left w:val="single" w:sz="6" w:space="0" w:color="auto"/>
              <w:bottom w:val="single" w:sz="6" w:space="0" w:color="auto"/>
              <w:right w:val="single" w:sz="6" w:space="0" w:color="auto"/>
            </w:tcBorders>
          </w:tcPr>
          <w:p w:rsidR="004C2EE4" w:rsidRDefault="004C2EE4" w:rsidP="004C2EE4">
            <w:pPr>
              <w:pStyle w:val="Continued"/>
            </w:pPr>
            <w:r>
              <w:t>(Continued next page)</w:t>
            </w:r>
          </w:p>
        </w:tc>
      </w:tr>
      <w:tr w:rsidR="004C2EE4">
        <w:tc>
          <w:tcPr>
            <w:tcW w:w="8771" w:type="dxa"/>
            <w:tcBorders>
              <w:top w:val="nil"/>
              <w:left w:val="nil"/>
              <w:bottom w:val="nil"/>
              <w:right w:val="nil"/>
            </w:tcBorders>
          </w:tcPr>
          <w:p w:rsidR="004C2EE4" w:rsidRDefault="004C2EE4">
            <w:pPr>
              <w:pStyle w:val="Box"/>
              <w:keepNext w:val="0"/>
              <w:spacing w:before="60" w:after="60" w:line="80" w:lineRule="exact"/>
              <w:rPr>
                <w:b/>
                <w:color w:val="FF00FF"/>
                <w:sz w:val="14"/>
              </w:rPr>
            </w:pPr>
          </w:p>
        </w:tc>
      </w:tr>
    </w:tbl>
    <w:p w:rsidR="004C2EE4" w:rsidRDefault="004C2EE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4C2EE4">
        <w:tc>
          <w:tcPr>
            <w:tcW w:w="8771" w:type="dxa"/>
            <w:tcBorders>
              <w:top w:val="single" w:sz="6" w:space="0" w:color="auto"/>
              <w:bottom w:val="nil"/>
            </w:tcBorders>
          </w:tcPr>
          <w:p w:rsidR="004C2EE4" w:rsidRDefault="004C2EE4" w:rsidP="004C2EE4">
            <w:pPr>
              <w:pStyle w:val="BoxTitle"/>
            </w:pPr>
            <w:r>
              <w:rPr>
                <w:b w:val="0"/>
              </w:rPr>
              <w:t xml:space="preserve">Box </w:t>
            </w:r>
            <w:r w:rsidRPr="004C2EE4">
              <w:rPr>
                <w:b w:val="0"/>
              </w:rPr>
              <w:t>13.4</w:t>
            </w:r>
            <w:r>
              <w:tab/>
            </w:r>
            <w:r w:rsidRPr="004C2EE4">
              <w:rPr>
                <w:sz w:val="18"/>
                <w:szCs w:val="18"/>
              </w:rPr>
              <w:t>(continued)</w:t>
            </w:r>
          </w:p>
        </w:tc>
      </w:tr>
      <w:tr w:rsidR="004C2EE4">
        <w:trPr>
          <w:cantSplit/>
        </w:trPr>
        <w:tc>
          <w:tcPr>
            <w:tcW w:w="8771" w:type="dxa"/>
            <w:tcBorders>
              <w:top w:val="nil"/>
              <w:left w:val="single" w:sz="6" w:space="0" w:color="auto"/>
              <w:bottom w:val="nil"/>
              <w:right w:val="single" w:sz="6" w:space="0" w:color="auto"/>
            </w:tcBorders>
          </w:tcPr>
          <w:p w:rsidR="004C2EE4" w:rsidRDefault="004C2EE4" w:rsidP="004C2EE4">
            <w:pPr>
              <w:pStyle w:val="Box"/>
              <w:keepLines/>
            </w:pPr>
            <w:r>
              <w:t>This indicator does not provide information on whether the overall target provision ratios are adequate or provide an appropriate mix of services relative to need.</w:t>
            </w:r>
          </w:p>
          <w:p w:rsidR="004C2EE4" w:rsidRDefault="004C2EE4" w:rsidP="004C2EE4">
            <w:pPr>
              <w:pStyle w:val="Box"/>
            </w:pPr>
            <w:r>
              <w:t>Data reported for this indicator are:</w:t>
            </w:r>
          </w:p>
          <w:p w:rsidR="004C2EE4" w:rsidRDefault="004C2EE4" w:rsidP="00685D4E">
            <w:pPr>
              <w:pStyle w:val="BoxListBullet"/>
            </w:pPr>
            <w:r>
              <w:t xml:space="preserve">comparable (subject to caveats) across jurisdictions </w:t>
            </w:r>
            <w:r w:rsidR="00685D4E" w:rsidRPr="00685D4E">
              <w:t>and over time</w:t>
            </w:r>
          </w:p>
          <w:p w:rsidR="004C2EE4" w:rsidRDefault="004C2EE4" w:rsidP="004C2EE4">
            <w:pPr>
              <w:pStyle w:val="BoxListBullet"/>
            </w:pPr>
            <w:r>
              <w:t xml:space="preserve">complete for the current reporting period (subject to caveats). All required </w:t>
            </w:r>
            <w:r>
              <w:br/>
            </w:r>
            <w:r w:rsidRPr="004C2EE4">
              <w:t>30</w:t>
            </w:r>
            <w:r w:rsidR="00AA68A5">
              <w:t> </w:t>
            </w:r>
            <w:r w:rsidRPr="004C2EE4">
              <w:t>June 2013</w:t>
            </w:r>
            <w:r>
              <w:t xml:space="preserve"> data are available for all jurisdictions.</w:t>
            </w:r>
          </w:p>
          <w:p w:rsidR="004C2EE4" w:rsidRPr="004C2EE4" w:rsidRDefault="007B127C" w:rsidP="0096362B">
            <w:pPr>
              <w:pStyle w:val="Box"/>
              <w:keepNext w:val="0"/>
              <w:widowControl w:val="0"/>
              <w:rPr>
                <w:rFonts w:cs="Arial"/>
                <w:szCs w:val="22"/>
              </w:rPr>
            </w:pPr>
            <w:r>
              <w:t>D</w:t>
            </w:r>
            <w:r w:rsidR="004C2EE4">
              <w:t xml:space="preserve">ata quality </w:t>
            </w:r>
            <w:r>
              <w:t xml:space="preserve">information </w:t>
            </w:r>
            <w:r w:rsidR="004C2EE4">
              <w:t>for this indicator</w:t>
            </w:r>
            <w:r w:rsidR="004C2EE4" w:rsidRPr="00102DF2">
              <w:t xml:space="preserve"> is at </w:t>
            </w:r>
            <w:proofErr w:type="spellStart"/>
            <w:r w:rsidR="004C2EE4" w:rsidRPr="00102DF2">
              <w:t>www.pc.gov.au</w:t>
            </w:r>
            <w:proofErr w:type="spellEnd"/>
            <w:r w:rsidR="004C2EE4" w:rsidRPr="00102DF2">
              <w:t>/</w:t>
            </w:r>
            <w:proofErr w:type="spellStart"/>
            <w:r w:rsidR="004C2EE4" w:rsidRPr="00102DF2">
              <w:t>gsp</w:t>
            </w:r>
            <w:proofErr w:type="spellEnd"/>
            <w:r w:rsidR="004C2EE4">
              <w:t>/reports/</w:t>
            </w:r>
            <w:proofErr w:type="spellStart"/>
            <w:r w:rsidR="004C2EE4">
              <w:t>rogs</w:t>
            </w:r>
            <w:proofErr w:type="spellEnd"/>
            <w:r w:rsidR="004C2EE4">
              <w:t>/2014</w:t>
            </w:r>
            <w:r w:rsidR="004C2EE4" w:rsidRPr="009612B9">
              <w:t>.</w:t>
            </w:r>
          </w:p>
        </w:tc>
      </w:tr>
      <w:tr w:rsidR="004C2EE4">
        <w:trPr>
          <w:cantSplit/>
        </w:trPr>
        <w:tc>
          <w:tcPr>
            <w:tcW w:w="8771" w:type="dxa"/>
            <w:tcBorders>
              <w:top w:val="nil"/>
              <w:left w:val="single" w:sz="6" w:space="0" w:color="auto"/>
              <w:bottom w:val="single" w:sz="6" w:space="0" w:color="auto"/>
              <w:right w:val="single" w:sz="6" w:space="0" w:color="auto"/>
            </w:tcBorders>
          </w:tcPr>
          <w:p w:rsidR="004C2EE4" w:rsidRDefault="004C2EE4">
            <w:pPr>
              <w:pStyle w:val="Box"/>
              <w:spacing w:before="0" w:line="120" w:lineRule="exact"/>
            </w:pPr>
          </w:p>
        </w:tc>
      </w:tr>
      <w:tr w:rsidR="004C2EE4" w:rsidRPr="000863A5">
        <w:tc>
          <w:tcPr>
            <w:tcW w:w="8771" w:type="dxa"/>
            <w:tcBorders>
              <w:top w:val="nil"/>
              <w:left w:val="nil"/>
              <w:bottom w:val="nil"/>
              <w:right w:val="nil"/>
            </w:tcBorders>
          </w:tcPr>
          <w:p w:rsidR="004C2EE4" w:rsidRPr="000863A5" w:rsidRDefault="004C2EE4" w:rsidP="00417108">
            <w:pPr>
              <w:pStyle w:val="Box"/>
              <w:keepNext w:val="0"/>
              <w:spacing w:before="60" w:after="60" w:line="80" w:lineRule="exact"/>
              <w:rPr>
                <w:b/>
                <w:sz w:val="14"/>
              </w:rPr>
            </w:pPr>
          </w:p>
        </w:tc>
      </w:tr>
    </w:tbl>
    <w:p w:rsidR="00A12C8F" w:rsidRPr="005A1842" w:rsidRDefault="00A12C8F" w:rsidP="005A1842">
      <w:pPr>
        <w:pStyle w:val="BodyText"/>
      </w:pPr>
      <w:r w:rsidRPr="005A1842">
        <w:t>Nationally, the combined number of high care residential places, low care residential places, CACPs, flexible care places (</w:t>
      </w:r>
      <w:r w:rsidR="0002626E" w:rsidRPr="005A1842">
        <w:t>including EACH and EACH</w:t>
      </w:r>
      <w:r w:rsidR="00AA68A5">
        <w:noBreakHyphen/>
      </w:r>
      <w:r w:rsidR="0002626E" w:rsidRPr="005A1842">
        <w:t xml:space="preserve">D, but </w:t>
      </w:r>
      <w:r w:rsidRPr="005A1842">
        <w:t>excluding Transition Care places</w:t>
      </w:r>
      <w:r w:rsidR="00127389">
        <w:t>)</w:t>
      </w:r>
      <w:r w:rsidRPr="005A1842">
        <w:t xml:space="preserve"> and places under the </w:t>
      </w:r>
      <w:r w:rsidR="005F7FAB" w:rsidRPr="005A1842">
        <w:t>National Aboriginal and Torres Strait Islander Flexible Aged Care Program</w:t>
      </w:r>
      <w:r w:rsidRPr="005A1842">
        <w:t xml:space="preserve"> at 30 </w:t>
      </w:r>
      <w:r w:rsidR="00714EDC" w:rsidRPr="005A1842">
        <w:t xml:space="preserve">June </w:t>
      </w:r>
      <w:r w:rsidR="004A091C" w:rsidRPr="005A1842">
        <w:t>201</w:t>
      </w:r>
      <w:r w:rsidR="00C02D2C">
        <w:t>3</w:t>
      </w:r>
      <w:r w:rsidRPr="005A1842">
        <w:t>, was</w:t>
      </w:r>
      <w:r w:rsidR="00C543A2" w:rsidRPr="005A1842">
        <w:t xml:space="preserve"> </w:t>
      </w:r>
      <w:r w:rsidR="005F5C5A">
        <w:br/>
        <w:t>111.7</w:t>
      </w:r>
      <w:r w:rsidRPr="005A1842">
        <w:t xml:space="preserve"> per 1000 people aged 70 years or over</w:t>
      </w:r>
      <w:r w:rsidR="003A6D72" w:rsidRPr="005A1842">
        <w:t xml:space="preserve"> </w:t>
      </w:r>
      <w:r w:rsidRPr="005A1842">
        <w:t>(figure</w:t>
      </w:r>
      <w:r w:rsidR="00AA68A5">
        <w:t> </w:t>
      </w:r>
      <w:r w:rsidRPr="005A1842">
        <w:t>13.</w:t>
      </w:r>
      <w:r w:rsidR="00C02D2C">
        <w:t>17</w:t>
      </w:r>
      <w:r w:rsidRPr="005A1842">
        <w:t xml:space="preserve">). Transition Care places add an additional </w:t>
      </w:r>
      <w:r w:rsidR="005F5C5A">
        <w:t>1.8</w:t>
      </w:r>
      <w:r w:rsidRPr="005A1842">
        <w:t xml:space="preserve"> per 1000 people aged 70 years or over</w:t>
      </w:r>
      <w:r w:rsidR="00CE05A0">
        <w:t xml:space="preserve"> </w:t>
      </w:r>
      <w:r w:rsidR="00CE05A0" w:rsidRPr="005A1842">
        <w:t>(table </w:t>
      </w:r>
      <w:proofErr w:type="spellStart"/>
      <w:r w:rsidR="00CE05A0" w:rsidRPr="005A1842">
        <w:t>13A.24</w:t>
      </w:r>
      <w:proofErr w:type="spellEnd"/>
      <w:r w:rsidR="00CE05A0" w:rsidRPr="005A1842">
        <w:t>)</w:t>
      </w:r>
      <w:r w:rsidR="004D7909" w:rsidRPr="005A1842">
        <w:t>,</w:t>
      </w:r>
      <w:r w:rsidRPr="005A1842">
        <w:t xml:space="preserve"> however, these places are not included in the target of </w:t>
      </w:r>
      <w:r w:rsidR="00127389">
        <w:t>113</w:t>
      </w:r>
      <w:r w:rsidR="004A091C" w:rsidRPr="005A1842">
        <w:t xml:space="preserve"> </w:t>
      </w:r>
      <w:r w:rsidRPr="005A1842">
        <w:t>places</w:t>
      </w:r>
      <w:r w:rsidR="00CE05A0">
        <w:t xml:space="preserve"> (box</w:t>
      </w:r>
      <w:r w:rsidR="00AA68A5">
        <w:t> </w:t>
      </w:r>
      <w:r w:rsidR="00CE05A0">
        <w:t>13.4)</w:t>
      </w:r>
      <w:r w:rsidRPr="005A1842">
        <w:t xml:space="preserve">. The number of operational aged care places per 1000 people aged 70 years or over by care type was: </w:t>
      </w:r>
    </w:p>
    <w:p w:rsidR="00A12C8F" w:rsidRPr="005A1842" w:rsidRDefault="005F5C5A" w:rsidP="005A1842">
      <w:pPr>
        <w:pStyle w:val="ListBullet"/>
      </w:pPr>
      <w:bookmarkStart w:id="95" w:name="OLE_LINK26"/>
      <w:bookmarkStart w:id="96" w:name="OLE_LINK27"/>
      <w:r>
        <w:t>42.3</w:t>
      </w:r>
      <w:r w:rsidR="00644A9F" w:rsidRPr="005A1842">
        <w:t xml:space="preserve"> </w:t>
      </w:r>
      <w:r w:rsidR="00A12C8F" w:rsidRPr="005A1842">
        <w:t>places (</w:t>
      </w:r>
      <w:r>
        <w:t>37.8</w:t>
      </w:r>
      <w:r w:rsidR="004A091C" w:rsidRPr="005A1842">
        <w:t xml:space="preserve"> </w:t>
      </w:r>
      <w:r w:rsidR="00A12C8F" w:rsidRPr="005A1842">
        <w:t>per cent</w:t>
      </w:r>
      <w:r w:rsidR="00C543A2" w:rsidRPr="005A1842">
        <w:t xml:space="preserve"> of total</w:t>
      </w:r>
      <w:r w:rsidR="00A12C8F" w:rsidRPr="005A1842">
        <w:t xml:space="preserve">) for residential high care </w:t>
      </w:r>
    </w:p>
    <w:p w:rsidR="00A12C8F" w:rsidRPr="005A1842" w:rsidRDefault="005F5C5A" w:rsidP="005A1842">
      <w:pPr>
        <w:pStyle w:val="ListBullet"/>
      </w:pPr>
      <w:r>
        <w:t>42.2</w:t>
      </w:r>
      <w:r w:rsidR="00A12C8F" w:rsidRPr="005A1842">
        <w:t xml:space="preserve"> places (</w:t>
      </w:r>
      <w:r>
        <w:t>37.8</w:t>
      </w:r>
      <w:r w:rsidR="00A12C8F" w:rsidRPr="005A1842">
        <w:t xml:space="preserve"> per cent</w:t>
      </w:r>
      <w:r w:rsidR="00C543A2" w:rsidRPr="005A1842">
        <w:t xml:space="preserve"> of total</w:t>
      </w:r>
      <w:r w:rsidR="00A12C8F" w:rsidRPr="005A1842">
        <w:t xml:space="preserve">) for residential low care </w:t>
      </w:r>
    </w:p>
    <w:p w:rsidR="00A12C8F" w:rsidRPr="005A1842" w:rsidRDefault="005F5C5A" w:rsidP="005A1842">
      <w:pPr>
        <w:pStyle w:val="ListBullet"/>
      </w:pPr>
      <w:r>
        <w:t>27.2</w:t>
      </w:r>
      <w:r w:rsidR="00A12C8F" w:rsidRPr="005A1842">
        <w:t xml:space="preserve"> places (</w:t>
      </w:r>
      <w:r>
        <w:t>24.4</w:t>
      </w:r>
      <w:r w:rsidR="00A12C8F" w:rsidRPr="005A1842">
        <w:t xml:space="preserve"> per cent</w:t>
      </w:r>
      <w:r w:rsidR="00C543A2" w:rsidRPr="005A1842">
        <w:t xml:space="preserve"> of total</w:t>
      </w:r>
      <w:r w:rsidR="00A12C8F" w:rsidRPr="005A1842">
        <w:t xml:space="preserve">) for community care — </w:t>
      </w:r>
      <w:r w:rsidR="00771D40">
        <w:t>21.4</w:t>
      </w:r>
      <w:r w:rsidR="002D5A41" w:rsidRPr="005A1842">
        <w:t xml:space="preserve"> </w:t>
      </w:r>
      <w:r w:rsidR="00A12C8F" w:rsidRPr="005A1842">
        <w:t xml:space="preserve">places for CACPs and </w:t>
      </w:r>
      <w:r w:rsidR="00771D40">
        <w:t>5.9</w:t>
      </w:r>
      <w:r w:rsidR="00A12C8F" w:rsidRPr="005A1842">
        <w:t xml:space="preserve"> places for EACH and EACH</w:t>
      </w:r>
      <w:r w:rsidR="00AA68A5">
        <w:noBreakHyphen/>
      </w:r>
      <w:r w:rsidR="00A12C8F" w:rsidRPr="005A1842">
        <w:t>D combined (</w:t>
      </w:r>
      <w:r>
        <w:t>5.2</w:t>
      </w:r>
      <w:r w:rsidR="00A12C8F" w:rsidRPr="005A1842">
        <w:t xml:space="preserve"> per cent of total places) </w:t>
      </w:r>
      <w:r w:rsidR="0006501E" w:rsidRPr="005A1842">
        <w:br/>
      </w:r>
      <w:r w:rsidR="00A12C8F" w:rsidRPr="005A1842">
        <w:t>(figure</w:t>
      </w:r>
      <w:r w:rsidR="00AA68A5">
        <w:t> </w:t>
      </w:r>
      <w:r w:rsidR="00A12C8F" w:rsidRPr="005A1842">
        <w:t>13.</w:t>
      </w:r>
      <w:r w:rsidR="001648D9">
        <w:t>17</w:t>
      </w:r>
      <w:r w:rsidR="00A12C8F" w:rsidRPr="005A1842">
        <w:t>).</w:t>
      </w:r>
    </w:p>
    <w:bookmarkEnd w:id="95"/>
    <w:bookmarkEnd w:id="96"/>
    <w:p w:rsidR="00A12C8F" w:rsidRDefault="00A12C8F" w:rsidP="00AA43C8">
      <w:pPr>
        <w:pStyle w:val="FigureTitle"/>
        <w:ind w:left="1560" w:hanging="1560"/>
      </w:pPr>
      <w:r w:rsidRPr="005A1842">
        <w:rPr>
          <w:b w:val="0"/>
          <w:sz w:val="24"/>
        </w:rPr>
        <w:lastRenderedPageBreak/>
        <w:t xml:space="preserve">Figure </w:t>
      </w:r>
      <w:r w:rsidR="00C02D2C">
        <w:rPr>
          <w:b w:val="0"/>
          <w:sz w:val="24"/>
        </w:rPr>
        <w:t>13.</w:t>
      </w:r>
      <w:r w:rsidR="00E4728C">
        <w:rPr>
          <w:b w:val="0"/>
          <w:noProof/>
          <w:sz w:val="24"/>
        </w:rPr>
        <w:t>17</w:t>
      </w:r>
      <w:r w:rsidRPr="005A1842">
        <w:rPr>
          <w:sz w:val="24"/>
        </w:rPr>
        <w:tab/>
        <w:t>Operational residential places, CACPs, EACH and EACH</w:t>
      </w:r>
      <w:r w:rsidR="00AA68A5">
        <w:rPr>
          <w:sz w:val="24"/>
        </w:rPr>
        <w:noBreakHyphen/>
      </w:r>
      <w:r w:rsidRPr="005A1842">
        <w:rPr>
          <w:sz w:val="24"/>
        </w:rPr>
        <w:t xml:space="preserve">D packages per 1000 people aged 70 years or over, </w:t>
      </w:r>
      <w:r w:rsidR="00C02D2C">
        <w:rPr>
          <w:sz w:val="24"/>
        </w:rPr>
        <w:br/>
      </w:r>
      <w:r w:rsidRPr="005A1842">
        <w:rPr>
          <w:sz w:val="24"/>
        </w:rPr>
        <w:t>30 </w:t>
      </w:r>
      <w:r w:rsidR="00714EDC" w:rsidRPr="005A1842">
        <w:rPr>
          <w:sz w:val="24"/>
        </w:rPr>
        <w:t xml:space="preserve">June </w:t>
      </w:r>
      <w:r w:rsidR="004A091C" w:rsidRPr="005A1842">
        <w:rPr>
          <w:sz w:val="24"/>
        </w:rPr>
        <w:t>201</w:t>
      </w:r>
      <w:r w:rsidR="007906D6">
        <w:rPr>
          <w:sz w:val="24"/>
        </w:rPr>
        <w:t>3</w:t>
      </w:r>
      <w:r w:rsidR="004A091C" w:rsidRPr="00F05CB2">
        <w:rPr>
          <w:rStyle w:val="NoteLabel"/>
          <w:b/>
        </w:rPr>
        <w:t>a</w:t>
      </w:r>
      <w:r w:rsidRPr="00F05CB2">
        <w:rPr>
          <w:rStyle w:val="NoteLabel"/>
          <w:b/>
        </w:rPr>
        <w:t>, b, c, d, e, f</w:t>
      </w:r>
      <w:r w:rsidR="00D302D9">
        <w:rPr>
          <w:rStyle w:val="NoteLabel"/>
          <w:b/>
        </w:rPr>
        <w:t>, 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4354" w:rsidRPr="00640545" w:rsidTr="00E74698">
        <w:tc>
          <w:tcPr>
            <w:tcW w:w="8777" w:type="dxa"/>
            <w:tcBorders>
              <w:top w:val="single" w:sz="6" w:space="0" w:color="auto"/>
              <w:bottom w:val="single" w:sz="6" w:space="0" w:color="auto"/>
              <w:right w:val="nil"/>
            </w:tcBorders>
          </w:tcPr>
          <w:p w:rsidR="00C44354" w:rsidRPr="007D40FF" w:rsidRDefault="008018D4" w:rsidP="00041A94">
            <w:pPr>
              <w:pStyle w:val="Figure"/>
            </w:pPr>
            <w:r>
              <w:rPr>
                <w:noProof/>
              </w:rPr>
              <w:drawing>
                <wp:inline distT="0" distB="0" distL="0" distR="0">
                  <wp:extent cx="5381625" cy="2638425"/>
                  <wp:effectExtent l="0" t="0" r="9525" b="9525"/>
                  <wp:docPr id="20" name="Picture 20" descr="Figure 13.17 Operational residential places, CACPs, EACH and EACH- D packages per 1000 people aged 70 years or over, &#10;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81625" cy="2638425"/>
                          </a:xfrm>
                          <a:prstGeom prst="rect">
                            <a:avLst/>
                          </a:prstGeom>
                          <a:noFill/>
                          <a:ln>
                            <a:noFill/>
                          </a:ln>
                        </pic:spPr>
                      </pic:pic>
                    </a:graphicData>
                  </a:graphic>
                </wp:inline>
              </w:drawing>
            </w:r>
          </w:p>
        </w:tc>
      </w:tr>
    </w:tbl>
    <w:p w:rsidR="00A12C8F" w:rsidRDefault="00A12C8F" w:rsidP="00927318">
      <w:pPr>
        <w:pStyle w:val="Note"/>
      </w:pPr>
      <w:proofErr w:type="spellStart"/>
      <w:r>
        <w:rPr>
          <w:rStyle w:val="NoteLabel"/>
        </w:rPr>
        <w:t>a</w:t>
      </w:r>
      <w:proofErr w:type="spellEnd"/>
      <w:r>
        <w:t xml:space="preserve"> Excludes places that have been approved but are not yet operational. </w:t>
      </w:r>
      <w:r w:rsidRPr="00BA341E">
        <w:rPr>
          <w:rStyle w:val="NoteLabel"/>
        </w:rPr>
        <w:t>b</w:t>
      </w:r>
      <w:r>
        <w:t xml:space="preserve"> Ageing in place may result in some low care places being filled by high care residents. </w:t>
      </w:r>
      <w:r w:rsidRPr="00BA341E">
        <w:rPr>
          <w:rStyle w:val="NoteLabel"/>
        </w:rPr>
        <w:t>c</w:t>
      </w:r>
      <w:r>
        <w:t xml:space="preserve"> For this Report, Australian Government planning targets are based on providing 113 places per 1000 people aged 70 years or over. However, in recognition of poorer health among Indigenous communities, planning in some cases also takes account of the Indigenous population aged 50–69 years. This means that the provision ratio based on the population aged 70 years or over will appear high in areas with a high Indigenous population (such as the NT). </w:t>
      </w:r>
      <w:r w:rsidRPr="00BA341E">
        <w:rPr>
          <w:rStyle w:val="NoteLabel"/>
        </w:rPr>
        <w:t>d</w:t>
      </w:r>
      <w:r>
        <w:rPr>
          <w:rStyle w:val="NoteLabel"/>
        </w:rPr>
        <w:t> </w:t>
      </w:r>
      <w:r>
        <w:t xml:space="preserve">Includes residential places categorised as high care or low care. </w:t>
      </w:r>
      <w:r w:rsidRPr="00BB118F">
        <w:rPr>
          <w:rStyle w:val="NoteLabel"/>
        </w:rPr>
        <w:t>e</w:t>
      </w:r>
      <w:r>
        <w:t> CACPs, EACH and EACH</w:t>
      </w:r>
      <w:r w:rsidR="00AA68A5">
        <w:noBreakHyphen/>
      </w:r>
      <w:r>
        <w:t xml:space="preserve">D packages are included in the Australian Government planning targets. </w:t>
      </w:r>
      <w:r>
        <w:rPr>
          <w:rStyle w:val="NoteLabel"/>
        </w:rPr>
        <w:t>f</w:t>
      </w:r>
      <w:r>
        <w:t> </w:t>
      </w:r>
      <w:r w:rsidR="00965264">
        <w:t>CACP data include</w:t>
      </w:r>
      <w:r w:rsidR="00965264" w:rsidRPr="00454974">
        <w:t xml:space="preserve"> flexible community low</w:t>
      </w:r>
      <w:r w:rsidR="00965264">
        <w:t xml:space="preserve"> care </w:t>
      </w:r>
      <w:r w:rsidR="00965264" w:rsidRPr="00454974">
        <w:t xml:space="preserve">places under the </w:t>
      </w:r>
      <w:r w:rsidR="005F7FAB" w:rsidRPr="00B27969">
        <w:t>National Aboriginal and Torres Strait Islander Flexible Aged Care Program</w:t>
      </w:r>
      <w:r w:rsidR="00965264" w:rsidRPr="00454974">
        <w:t>, Multi</w:t>
      </w:r>
      <w:r w:rsidR="00AA68A5">
        <w:noBreakHyphen/>
      </w:r>
      <w:r w:rsidR="00965264" w:rsidRPr="00454974">
        <w:t xml:space="preserve">Purpose Service Program and Innovative Pool Program (including </w:t>
      </w:r>
      <w:r w:rsidR="00965264">
        <w:t>CDC</w:t>
      </w:r>
      <w:r w:rsidR="00965264" w:rsidRPr="00454974">
        <w:t xml:space="preserve"> low care places). </w:t>
      </w:r>
      <w:r w:rsidR="00D302D9">
        <w:rPr>
          <w:rStyle w:val="NoteLabel"/>
        </w:rPr>
        <w:t>g</w:t>
      </w:r>
      <w:r>
        <w:t> See table</w:t>
      </w:r>
      <w:r w:rsidR="00AA68A5">
        <w:t> </w:t>
      </w:r>
      <w:proofErr w:type="spellStart"/>
      <w:r>
        <w:t>13A.24</w:t>
      </w:r>
      <w:proofErr w:type="spellEnd"/>
      <w:r>
        <w:t xml:space="preserve"> for further information regarding the calculation of provision ratios.</w:t>
      </w:r>
    </w:p>
    <w:p w:rsidR="00A12C8F" w:rsidRDefault="00A12C8F" w:rsidP="00E13A04">
      <w:pPr>
        <w:pStyle w:val="Source"/>
        <w:shd w:val="clear" w:color="auto" w:fill="FFFFFF" w:themeFill="background1"/>
      </w:pPr>
      <w:r>
        <w:rPr>
          <w:i/>
        </w:rPr>
        <w:t>Source</w:t>
      </w:r>
      <w:r w:rsidRPr="00BA341E">
        <w:t>:</w:t>
      </w:r>
      <w:r>
        <w:t xml:space="preserve"> </w:t>
      </w:r>
      <w:proofErr w:type="spellStart"/>
      <w:r w:rsidRPr="00E13A04">
        <w:rPr>
          <w:shd w:val="clear" w:color="auto" w:fill="FFFFFF" w:themeFill="background1"/>
        </w:rPr>
        <w:t>D</w:t>
      </w:r>
      <w:r w:rsidR="005F5C5A" w:rsidRPr="00E13A04">
        <w:rPr>
          <w:shd w:val="clear" w:color="auto" w:fill="FFFFFF" w:themeFill="background1"/>
        </w:rPr>
        <w:t>SS</w:t>
      </w:r>
      <w:proofErr w:type="spellEnd"/>
      <w:r w:rsidRPr="00E13A04">
        <w:rPr>
          <w:shd w:val="clear" w:color="auto" w:fill="FFFFFF" w:themeFill="background1"/>
        </w:rPr>
        <w:t xml:space="preserve"> </w:t>
      </w:r>
      <w:r>
        <w:t>(unpublished); table</w:t>
      </w:r>
      <w:r w:rsidR="00AA68A5">
        <w:t> </w:t>
      </w:r>
      <w:proofErr w:type="spellStart"/>
      <w:r>
        <w:t>13A.24</w:t>
      </w:r>
      <w:proofErr w:type="spellEnd"/>
      <w:r>
        <w:t>.</w:t>
      </w:r>
    </w:p>
    <w:p w:rsidR="00A12C8F" w:rsidRDefault="00A12C8F" w:rsidP="002501A2">
      <w:pPr>
        <w:pStyle w:val="BodyText"/>
      </w:pPr>
      <w:r>
        <w:t>The number of operational aged care places can also be shown using a</w:t>
      </w:r>
      <w:r w:rsidR="00E10D09">
        <w:t>n aged care</w:t>
      </w:r>
      <w:r>
        <w:t xml:space="preserve"> </w:t>
      </w:r>
      <w:r w:rsidR="00E10D09">
        <w:t xml:space="preserve">planning </w:t>
      </w:r>
      <w:r>
        <w:t xml:space="preserve">population that incorporates </w:t>
      </w:r>
      <w:r w:rsidR="00EB2705">
        <w:t>Indigenous Australians</w:t>
      </w:r>
      <w:r>
        <w:t xml:space="preserve"> aged 50–69 years </w:t>
      </w:r>
      <w:r w:rsidR="00BE5A45">
        <w:br/>
      </w:r>
      <w:r>
        <w:t>(figure</w:t>
      </w:r>
      <w:r w:rsidR="00AA68A5">
        <w:t> </w:t>
      </w:r>
      <w:r>
        <w:t>13.</w:t>
      </w:r>
      <w:r w:rsidR="00C02D2C">
        <w:t>18</w:t>
      </w:r>
      <w:r>
        <w:t xml:space="preserve">). Use of this ‘adjusted’ </w:t>
      </w:r>
      <w:r w:rsidR="00E10D09">
        <w:t>aged care planning population</w:t>
      </w:r>
      <w:r>
        <w:t xml:space="preserve"> has a noticeable effect on the NT, which has a large proportion of </w:t>
      </w:r>
      <w:r w:rsidR="00EB2705">
        <w:t>Indigenous Australians</w:t>
      </w:r>
      <w:r>
        <w:t>.</w:t>
      </w:r>
      <w:r w:rsidR="009F4E0C">
        <w:t xml:space="preserve"> </w:t>
      </w:r>
    </w:p>
    <w:p w:rsidR="00A12C8F" w:rsidRPr="00F05CB2" w:rsidRDefault="00A12C8F" w:rsidP="00B27969">
      <w:pPr>
        <w:pStyle w:val="FigureTitle"/>
        <w:ind w:left="1560" w:hanging="1560"/>
        <w:rPr>
          <w:rStyle w:val="NoteLabel"/>
          <w:b/>
        </w:rPr>
      </w:pPr>
      <w:r w:rsidRPr="00AD1B44">
        <w:rPr>
          <w:b w:val="0"/>
          <w:sz w:val="24"/>
        </w:rPr>
        <w:lastRenderedPageBreak/>
        <w:t xml:space="preserve">Figure </w:t>
      </w:r>
      <w:r w:rsidR="006154A6">
        <w:rPr>
          <w:b w:val="0"/>
          <w:sz w:val="24"/>
        </w:rPr>
        <w:t>13.</w:t>
      </w:r>
      <w:r w:rsidR="00E4728C">
        <w:rPr>
          <w:b w:val="0"/>
          <w:noProof/>
          <w:sz w:val="24"/>
        </w:rPr>
        <w:t>18</w:t>
      </w:r>
      <w:r w:rsidRPr="00AD1B44">
        <w:rPr>
          <w:sz w:val="24"/>
        </w:rPr>
        <w:tab/>
        <w:t>Operational residential places, CACPs, EACH and EACH</w:t>
      </w:r>
      <w:r w:rsidR="00AA68A5">
        <w:rPr>
          <w:sz w:val="24"/>
        </w:rPr>
        <w:noBreakHyphen/>
      </w:r>
      <w:r w:rsidRPr="00AD1B44">
        <w:rPr>
          <w:sz w:val="24"/>
        </w:rPr>
        <w:t xml:space="preserve">D packages per 1000 people aged 70 years or </w:t>
      </w:r>
      <w:r w:rsidR="00C05C11" w:rsidRPr="00AD1B44">
        <w:rPr>
          <w:sz w:val="24"/>
        </w:rPr>
        <w:t xml:space="preserve">over </w:t>
      </w:r>
      <w:r w:rsidR="00CF2C9C" w:rsidRPr="00AD1B44">
        <w:rPr>
          <w:sz w:val="24"/>
        </w:rPr>
        <w:t>and</w:t>
      </w:r>
      <w:r w:rsidRPr="00AD1B44">
        <w:rPr>
          <w:sz w:val="24"/>
        </w:rPr>
        <w:t xml:space="preserve"> </w:t>
      </w:r>
      <w:r w:rsidR="00EB2705">
        <w:rPr>
          <w:sz w:val="24"/>
        </w:rPr>
        <w:t>Indigenous Australians</w:t>
      </w:r>
      <w:r w:rsidRPr="00AD1B44">
        <w:rPr>
          <w:sz w:val="24"/>
        </w:rPr>
        <w:t xml:space="preserve"> aged 50–69 years</w:t>
      </w:r>
      <w:r w:rsidR="00723EEA" w:rsidRPr="00AD1B44">
        <w:rPr>
          <w:sz w:val="24"/>
        </w:rPr>
        <w:t>, 30 </w:t>
      </w:r>
      <w:r w:rsidR="00714EDC" w:rsidRPr="00AD1B44">
        <w:rPr>
          <w:sz w:val="24"/>
        </w:rPr>
        <w:t>June 201</w:t>
      </w:r>
      <w:r w:rsidR="007906D6">
        <w:rPr>
          <w:sz w:val="24"/>
        </w:rPr>
        <w:t>3</w:t>
      </w:r>
      <w:r w:rsidRPr="00F05CB2">
        <w:rPr>
          <w:rStyle w:val="NoteLabel"/>
          <w:b/>
        </w:rPr>
        <w:t>a, b, c, d, e</w:t>
      </w:r>
      <w:r>
        <w:rPr>
          <w:rStyle w:val="NoteLabel"/>
          <w:b/>
        </w:rPr>
        <w:t>, f, g</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4354" w:rsidRPr="00640545" w:rsidTr="00E74698">
        <w:tc>
          <w:tcPr>
            <w:tcW w:w="8777" w:type="dxa"/>
            <w:tcBorders>
              <w:top w:val="single" w:sz="6" w:space="0" w:color="auto"/>
              <w:bottom w:val="single" w:sz="6" w:space="0" w:color="auto"/>
              <w:right w:val="nil"/>
            </w:tcBorders>
          </w:tcPr>
          <w:p w:rsidR="00C44354" w:rsidRPr="007D40FF" w:rsidRDefault="008018D4" w:rsidP="002435FC">
            <w:pPr>
              <w:pStyle w:val="Figure"/>
            </w:pPr>
            <w:r>
              <w:rPr>
                <w:noProof/>
              </w:rPr>
              <w:drawing>
                <wp:inline distT="0" distB="0" distL="0" distR="0">
                  <wp:extent cx="5362575" cy="2638425"/>
                  <wp:effectExtent l="0" t="0" r="9525" b="9525"/>
                  <wp:docPr id="21" name="Picture 21" descr="Figure 13.18 Operational residential places, CACPs, EACH and EACH-D packages per 1000 people aged 70 years or over and Indigenous Australians aged 50–69 years, 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362575" cy="2638425"/>
                          </a:xfrm>
                          <a:prstGeom prst="rect">
                            <a:avLst/>
                          </a:prstGeom>
                          <a:noFill/>
                          <a:ln>
                            <a:noFill/>
                          </a:ln>
                        </pic:spPr>
                      </pic:pic>
                    </a:graphicData>
                  </a:graphic>
                </wp:inline>
              </w:drawing>
            </w:r>
          </w:p>
        </w:tc>
      </w:tr>
    </w:tbl>
    <w:p w:rsidR="00A12C8F" w:rsidRDefault="00A12C8F" w:rsidP="00B27969">
      <w:pPr>
        <w:pStyle w:val="Note"/>
      </w:pPr>
      <w:proofErr w:type="spellStart"/>
      <w:r>
        <w:rPr>
          <w:rStyle w:val="NoteLabel"/>
        </w:rPr>
        <w:t>a</w:t>
      </w:r>
      <w:proofErr w:type="spellEnd"/>
      <w:r>
        <w:t xml:space="preserve"> Excludes places that have been approved but are not yet operational. </w:t>
      </w:r>
      <w:r w:rsidRPr="00BA341E">
        <w:rPr>
          <w:rStyle w:val="NoteLabel"/>
        </w:rPr>
        <w:t>b</w:t>
      </w:r>
      <w:r>
        <w:t xml:space="preserve"> Ageing in place may result in some low care places being filled by high care residents. </w:t>
      </w:r>
      <w:r w:rsidRPr="00BA341E">
        <w:rPr>
          <w:rStyle w:val="NoteLabel"/>
        </w:rPr>
        <w:t>c</w:t>
      </w:r>
      <w:r>
        <w:t> CACPs, EACH and EACH</w:t>
      </w:r>
      <w:r w:rsidR="00AA68A5">
        <w:noBreakHyphen/>
      </w:r>
      <w:r>
        <w:t xml:space="preserve">D packages are included in the Australian Government planning targets. </w:t>
      </w:r>
      <w:r w:rsidRPr="00BB118F">
        <w:rPr>
          <w:rStyle w:val="NoteLabel"/>
        </w:rPr>
        <w:t>d</w:t>
      </w:r>
      <w:r>
        <w:t> Includes residential places categorised as high care or low care</w:t>
      </w:r>
      <w:r w:rsidR="0025091B">
        <w:t>.</w:t>
      </w:r>
      <w:r>
        <w:t xml:space="preserve"> </w:t>
      </w:r>
      <w:r>
        <w:rPr>
          <w:rStyle w:val="NoteLabel"/>
        </w:rPr>
        <w:t>e</w:t>
      </w:r>
      <w:r>
        <w:t xml:space="preserve"> CACPs provide a more flexible model of care more suitable to remote Indigenous communities, so areas with a high Indigenous population (such as the NT) may have a higher proportion of CACPs. </w:t>
      </w:r>
      <w:r>
        <w:rPr>
          <w:rStyle w:val="NoteLabel"/>
        </w:rPr>
        <w:t>f</w:t>
      </w:r>
      <w:r>
        <w:t> </w:t>
      </w:r>
      <w:r w:rsidR="00965264">
        <w:t>CACP data include</w:t>
      </w:r>
      <w:r w:rsidR="00454974" w:rsidRPr="00454974">
        <w:t xml:space="preserve"> flexible community low</w:t>
      </w:r>
      <w:r w:rsidR="00454974">
        <w:t xml:space="preserve"> </w:t>
      </w:r>
      <w:r w:rsidR="00965264">
        <w:t>care</w:t>
      </w:r>
      <w:r w:rsidR="00454974" w:rsidRPr="00454974">
        <w:t xml:space="preserve"> places under the </w:t>
      </w:r>
      <w:r w:rsidR="005F7FAB" w:rsidRPr="00B27969">
        <w:t>National Aboriginal and Torres Strait Islander Flexible Aged Care Program</w:t>
      </w:r>
      <w:r w:rsidR="00454974" w:rsidRPr="00454974">
        <w:t>, Multi</w:t>
      </w:r>
      <w:r w:rsidR="00AA68A5">
        <w:noBreakHyphen/>
      </w:r>
      <w:r w:rsidR="00454974" w:rsidRPr="00454974">
        <w:t xml:space="preserve">Purpose Service Program and Innovative Pool Program (including </w:t>
      </w:r>
      <w:r w:rsidR="00965264">
        <w:t>CDC</w:t>
      </w:r>
      <w:r w:rsidR="00454974" w:rsidRPr="00454974">
        <w:t xml:space="preserve"> low care places). EACH data includes CDC high care places and EACH</w:t>
      </w:r>
      <w:r w:rsidR="00AA68A5">
        <w:noBreakHyphen/>
      </w:r>
      <w:r w:rsidR="00454974" w:rsidRPr="00454974">
        <w:t>D data includes CDC high care dementia places.</w:t>
      </w:r>
      <w:r>
        <w:t xml:space="preserve"> </w:t>
      </w:r>
      <w:r>
        <w:rPr>
          <w:rStyle w:val="NoteLabel"/>
        </w:rPr>
        <w:t>g</w:t>
      </w:r>
      <w:r w:rsidR="00D8051F">
        <w:t xml:space="preserve"> TCP places are not shown, </w:t>
      </w:r>
      <w:r>
        <w:t>see table</w:t>
      </w:r>
      <w:r w:rsidR="00AA68A5">
        <w:t> </w:t>
      </w:r>
      <w:proofErr w:type="spellStart"/>
      <w:r>
        <w:t>13A</w:t>
      </w:r>
      <w:r w:rsidR="00D8051F">
        <w:t>.25</w:t>
      </w:r>
      <w:proofErr w:type="spellEnd"/>
      <w:r>
        <w:t>.</w:t>
      </w:r>
    </w:p>
    <w:p w:rsidR="00A12C8F" w:rsidRDefault="00A12C8F" w:rsidP="00E13A04">
      <w:pPr>
        <w:pStyle w:val="Source"/>
      </w:pPr>
      <w:r>
        <w:rPr>
          <w:i/>
        </w:rPr>
        <w:t>Source</w:t>
      </w:r>
      <w:r w:rsidRPr="00F5036E">
        <w:t xml:space="preserve">: </w:t>
      </w:r>
      <w:proofErr w:type="spellStart"/>
      <w:r w:rsidRPr="00E13A04">
        <w:rPr>
          <w:shd w:val="clear" w:color="auto" w:fill="FFFFFF" w:themeFill="background1"/>
        </w:rPr>
        <w:t>D</w:t>
      </w:r>
      <w:r w:rsidR="00CA7EC0" w:rsidRPr="00E13A04">
        <w:rPr>
          <w:shd w:val="clear" w:color="auto" w:fill="FFFFFF" w:themeFill="background1"/>
        </w:rPr>
        <w:t>SS</w:t>
      </w:r>
      <w:proofErr w:type="spellEnd"/>
      <w:r w:rsidRPr="00E13A04">
        <w:rPr>
          <w:shd w:val="clear" w:color="auto" w:fill="FFFFFF" w:themeFill="background1"/>
        </w:rPr>
        <w:t xml:space="preserve"> </w:t>
      </w:r>
      <w:r>
        <w:t>(unpublished); table</w:t>
      </w:r>
      <w:r w:rsidR="00AA68A5">
        <w:t> </w:t>
      </w:r>
      <w:proofErr w:type="spellStart"/>
      <w:r>
        <w:t>13A.25</w:t>
      </w:r>
      <w:proofErr w:type="spellEnd"/>
      <w:r>
        <w:t>.</w:t>
      </w:r>
    </w:p>
    <w:p w:rsidR="00A12C8F" w:rsidRDefault="00A12C8F" w:rsidP="00927318">
      <w:pPr>
        <w:pStyle w:val="BodyText"/>
      </w:pPr>
      <w:r>
        <w:t xml:space="preserve">Data on the number of residential and community care operational aged care places </w:t>
      </w:r>
      <w:r w:rsidRPr="00554BA0">
        <w:t xml:space="preserve">per </w:t>
      </w:r>
      <w:r>
        <w:t xml:space="preserve">1000 people aged 70 years or </w:t>
      </w:r>
      <w:r w:rsidR="00C05C11">
        <w:t xml:space="preserve">over </w:t>
      </w:r>
      <w:r w:rsidR="00CF2C9C" w:rsidRPr="00B27969">
        <w:t>and</w:t>
      </w:r>
      <w:r>
        <w:t xml:space="preserve"> </w:t>
      </w:r>
      <w:r w:rsidR="00EB2705">
        <w:t>Indigenous Australians</w:t>
      </w:r>
      <w:r>
        <w:t xml:space="preserve"> aged 50</w:t>
      </w:r>
      <w:r w:rsidR="0079479E">
        <w:rPr>
          <w:rFonts w:ascii="Calibri" w:hAnsi="Calibri"/>
        </w:rPr>
        <w:t>–</w:t>
      </w:r>
      <w:r>
        <w:t>69 years by planning region and remoteness are in tables</w:t>
      </w:r>
      <w:r w:rsidR="00AA68A5">
        <w:t> </w:t>
      </w:r>
      <w:proofErr w:type="spellStart"/>
      <w:r>
        <w:t>13A.26</w:t>
      </w:r>
      <w:proofErr w:type="spellEnd"/>
      <w:r w:rsidR="00AA68A5">
        <w:noBreakHyphen/>
      </w:r>
      <w:r>
        <w:t>27.</w:t>
      </w:r>
      <w:r w:rsidR="00926F6B">
        <w:t xml:space="preserve"> </w:t>
      </w:r>
    </w:p>
    <w:p w:rsidR="00A12C8F" w:rsidRDefault="00A12C8F" w:rsidP="002F4ABE">
      <w:pPr>
        <w:pStyle w:val="Heading4"/>
      </w:pPr>
      <w:r>
        <w:t>Effectiveness — timeliness of access</w:t>
      </w:r>
    </w:p>
    <w:p w:rsidR="00A12C8F" w:rsidRDefault="00160C97" w:rsidP="002F4ABE">
      <w:pPr>
        <w:pStyle w:val="Heading5"/>
      </w:pPr>
      <w:r>
        <w:t>Elapsed</w:t>
      </w:r>
      <w:r w:rsidR="00A12C8F">
        <w:t xml:space="preserve"> times for </w:t>
      </w:r>
      <w:r w:rsidR="00A90561">
        <w:t xml:space="preserve">aged care services </w:t>
      </w:r>
    </w:p>
    <w:p w:rsidR="002168F6" w:rsidRDefault="00A12C8F" w:rsidP="002F4ABE">
      <w:pPr>
        <w:pStyle w:val="BodyText"/>
        <w:keepNext/>
      </w:pPr>
      <w:r>
        <w:t>‘</w:t>
      </w:r>
      <w:r w:rsidR="00160C97">
        <w:t>Elapsed</w:t>
      </w:r>
      <w:r>
        <w:t xml:space="preserve"> times for </w:t>
      </w:r>
      <w:r w:rsidR="00A90561">
        <w:t>aged care services</w:t>
      </w:r>
      <w:r>
        <w:t xml:space="preserve">’ is an indicator of governments’ objective to maximise the timeliness with which people are able to access </w:t>
      </w:r>
      <w:r w:rsidR="00160C97">
        <w:t xml:space="preserve">aged </w:t>
      </w:r>
      <w:r>
        <w:t xml:space="preserve">care </w:t>
      </w:r>
      <w:r w:rsidR="00160C97">
        <w:t xml:space="preserve">services </w:t>
      </w:r>
      <w:r>
        <w:t>(box 13.</w:t>
      </w:r>
      <w:r w:rsidR="007F5120">
        <w:t>5</w:t>
      </w:r>
      <w:r>
        <w:t xml:space="preserve">). </w:t>
      </w:r>
    </w:p>
    <w:p w:rsidR="002168F6" w:rsidRDefault="002168F6">
      <w:pPr>
        <w:rPr>
          <w:szCs w:val="20"/>
        </w:rPr>
      </w:pPr>
      <w:r>
        <w:br w:type="page"/>
      </w:r>
    </w:p>
    <w:p w:rsidR="00A12C8F" w:rsidRDefault="00A12C8F" w:rsidP="006735CB">
      <w:pPr>
        <w:pStyle w:val="BoxSpace"/>
        <w:keepNext w:val="0"/>
      </w:pPr>
    </w:p>
    <w:tbl>
      <w:tblPr>
        <w:tblW w:w="0" w:type="auto"/>
        <w:jc w:val="center"/>
        <w:tblBorders>
          <w:top w:val="single" w:sz="6" w:space="0" w:color="auto"/>
          <w:left w:val="single" w:sz="6" w:space="0" w:color="auto"/>
          <w:bottom w:val="single" w:sz="6" w:space="0" w:color="auto"/>
          <w:right w:val="single" w:sz="6" w:space="0" w:color="auto"/>
        </w:tblBorders>
        <w:shd w:val="clear" w:color="auto" w:fill="CCCCCC"/>
        <w:tblLayout w:type="fixed"/>
        <w:tblCellMar>
          <w:left w:w="142" w:type="dxa"/>
          <w:right w:w="142" w:type="dxa"/>
        </w:tblCellMar>
        <w:tblLook w:val="0000" w:firstRow="0" w:lastRow="0" w:firstColumn="0" w:lastColumn="0" w:noHBand="0" w:noVBand="0"/>
      </w:tblPr>
      <w:tblGrid>
        <w:gridCol w:w="8771"/>
      </w:tblGrid>
      <w:tr w:rsidR="00A12C8F" w:rsidTr="00232986">
        <w:trPr>
          <w:jc w:val="center"/>
        </w:trPr>
        <w:tc>
          <w:tcPr>
            <w:tcW w:w="8771" w:type="dxa"/>
            <w:tcBorders>
              <w:top w:val="single" w:sz="6" w:space="0" w:color="auto"/>
              <w:bottom w:val="nil"/>
            </w:tcBorders>
            <w:shd w:val="clear" w:color="auto" w:fill="auto"/>
          </w:tcPr>
          <w:p w:rsidR="00A12C8F" w:rsidRPr="00AD1B44" w:rsidRDefault="00A12C8F" w:rsidP="006735CB">
            <w:pPr>
              <w:pStyle w:val="BoxTitle"/>
              <w:keepNext w:val="0"/>
              <w:keepLines w:val="0"/>
              <w:rPr>
                <w:sz w:val="24"/>
              </w:rPr>
            </w:pPr>
            <w:bookmarkStart w:id="97" w:name="OLE_LINK33"/>
            <w:r w:rsidRPr="00AD1B44">
              <w:rPr>
                <w:b w:val="0"/>
                <w:sz w:val="24"/>
              </w:rPr>
              <w:t xml:space="preserve">Box </w:t>
            </w:r>
            <w:bookmarkStart w:id="98" w:name="OLE_LINK16"/>
            <w:r w:rsidR="00856D96">
              <w:rPr>
                <w:b w:val="0"/>
                <w:sz w:val="24"/>
              </w:rPr>
              <w:t>13.</w:t>
            </w:r>
            <w:r w:rsidR="00E4728C">
              <w:rPr>
                <w:b w:val="0"/>
                <w:noProof/>
                <w:sz w:val="24"/>
              </w:rPr>
              <w:t>5</w:t>
            </w:r>
            <w:bookmarkEnd w:id="97"/>
            <w:bookmarkEnd w:id="98"/>
            <w:r w:rsidRPr="00AD1B44">
              <w:rPr>
                <w:sz w:val="24"/>
              </w:rPr>
              <w:tab/>
            </w:r>
            <w:r w:rsidR="00160C97" w:rsidRPr="00AD1B44">
              <w:rPr>
                <w:sz w:val="24"/>
              </w:rPr>
              <w:t>Elapsed</w:t>
            </w:r>
            <w:r w:rsidRPr="00AD1B44">
              <w:rPr>
                <w:sz w:val="24"/>
              </w:rPr>
              <w:t xml:space="preserve"> times for </w:t>
            </w:r>
            <w:r w:rsidR="00A90561" w:rsidRPr="00AD1B44">
              <w:rPr>
                <w:sz w:val="24"/>
              </w:rPr>
              <w:t>aged care services</w:t>
            </w:r>
          </w:p>
        </w:tc>
      </w:tr>
      <w:tr w:rsidR="00A12C8F" w:rsidTr="00232986">
        <w:trPr>
          <w:cantSplit/>
          <w:trHeight w:val="7759"/>
          <w:jc w:val="center"/>
        </w:trPr>
        <w:tc>
          <w:tcPr>
            <w:tcW w:w="8771" w:type="dxa"/>
            <w:tcBorders>
              <w:top w:val="nil"/>
              <w:left w:val="single" w:sz="6" w:space="0" w:color="auto"/>
              <w:bottom w:val="nil"/>
              <w:right w:val="single" w:sz="4" w:space="0" w:color="auto"/>
            </w:tcBorders>
            <w:shd w:val="clear" w:color="auto" w:fill="auto"/>
          </w:tcPr>
          <w:p w:rsidR="00C80C52" w:rsidRDefault="00A12C8F" w:rsidP="006735CB">
            <w:pPr>
              <w:pStyle w:val="Box"/>
              <w:keepNext w:val="0"/>
            </w:pPr>
            <w:r>
              <w:t>‘</w:t>
            </w:r>
            <w:r w:rsidR="00160C97">
              <w:t>Elapsed</w:t>
            </w:r>
            <w:r>
              <w:t xml:space="preserve"> times for </w:t>
            </w:r>
            <w:r w:rsidR="00C80C52">
              <w:t>aged care services</w:t>
            </w:r>
            <w:r>
              <w:t xml:space="preserve">’ is defined </w:t>
            </w:r>
            <w:r w:rsidR="00684BF5">
              <w:t xml:space="preserve">by </w:t>
            </w:r>
            <w:r w:rsidR="004D7909">
              <w:t>two measures.</w:t>
            </w:r>
          </w:p>
          <w:p w:rsidR="00A12C8F" w:rsidRDefault="00C80C52" w:rsidP="00AD2251">
            <w:pPr>
              <w:pStyle w:val="BoxListBullet"/>
              <w:keepNext w:val="0"/>
              <w:shd w:val="clear" w:color="auto" w:fill="FFFFFF" w:themeFill="background1"/>
            </w:pPr>
            <w:r>
              <w:t>T</w:t>
            </w:r>
            <w:r w:rsidR="00A12C8F">
              <w:t xml:space="preserve">he </w:t>
            </w:r>
            <w:r w:rsidR="008020A8">
              <w:t>proportion</w:t>
            </w:r>
            <w:r w:rsidR="00A12C8F">
              <w:t xml:space="preserve"> of people who </w:t>
            </w:r>
            <w:r w:rsidR="000D7524">
              <w:t>entered</w:t>
            </w:r>
            <w:r w:rsidR="00A12C8F">
              <w:t xml:space="preserve"> residential high </w:t>
            </w:r>
            <w:r w:rsidR="00A12C8F" w:rsidRPr="00E13A04">
              <w:rPr>
                <w:shd w:val="clear" w:color="auto" w:fill="FFFFFF" w:themeFill="background1"/>
              </w:rPr>
              <w:t xml:space="preserve">care </w:t>
            </w:r>
            <w:r w:rsidR="0063065F" w:rsidRPr="00E13A04">
              <w:rPr>
                <w:shd w:val="clear" w:color="auto" w:fill="FFFFFF" w:themeFill="background1"/>
              </w:rPr>
              <w:t>who did so</w:t>
            </w:r>
            <w:r w:rsidR="0063065F">
              <w:t xml:space="preserve"> </w:t>
            </w:r>
            <w:r w:rsidR="00A12C8F">
              <w:t xml:space="preserve">within three months of </w:t>
            </w:r>
            <w:r w:rsidR="00A12C8F" w:rsidRPr="00E13A04">
              <w:rPr>
                <w:shd w:val="clear" w:color="auto" w:fill="FFFFFF" w:themeFill="background1"/>
              </w:rPr>
              <w:t>their ACA</w:t>
            </w:r>
            <w:r w:rsidR="00243860" w:rsidRPr="00E13A04">
              <w:rPr>
                <w:shd w:val="clear" w:color="auto" w:fill="FFFFFF" w:themeFill="background1"/>
              </w:rPr>
              <w:t>T</w:t>
            </w:r>
            <w:r w:rsidR="00A12C8F" w:rsidRPr="00E13A04">
              <w:rPr>
                <w:shd w:val="clear" w:color="auto" w:fill="FFFFFF" w:themeFill="background1"/>
              </w:rPr>
              <w:t xml:space="preserve"> approval. Entry into a residential care service refers to the date of admission to a residential </w:t>
            </w:r>
            <w:r w:rsidRPr="00E13A04">
              <w:rPr>
                <w:shd w:val="clear" w:color="auto" w:fill="FFFFFF" w:themeFill="background1"/>
              </w:rPr>
              <w:t xml:space="preserve">aged </w:t>
            </w:r>
            <w:r w:rsidR="00A12C8F" w:rsidRPr="00E13A04">
              <w:rPr>
                <w:shd w:val="clear" w:color="auto" w:fill="FFFFFF" w:themeFill="background1"/>
              </w:rPr>
              <w:t xml:space="preserve">care service. </w:t>
            </w:r>
            <w:r w:rsidRPr="00E13A04">
              <w:rPr>
                <w:shd w:val="clear" w:color="auto" w:fill="FFFFFF" w:themeFill="background1"/>
              </w:rPr>
              <w:t>ACA</w:t>
            </w:r>
            <w:r w:rsidR="00243860" w:rsidRPr="00E13A04">
              <w:rPr>
                <w:shd w:val="clear" w:color="auto" w:fill="FFFFFF" w:themeFill="background1"/>
              </w:rPr>
              <w:t>T</w:t>
            </w:r>
            <w:r w:rsidRPr="00E13A04">
              <w:rPr>
                <w:shd w:val="clear" w:color="auto" w:fill="FFFFFF" w:themeFill="background1"/>
              </w:rPr>
              <w:t xml:space="preserve"> approval refers to the approval date of the most recent assessment </w:t>
            </w:r>
            <w:r w:rsidR="00315037" w:rsidRPr="00E13A04">
              <w:rPr>
                <w:shd w:val="clear" w:color="auto" w:fill="FFFFFF" w:themeFill="background1"/>
              </w:rPr>
              <w:t xml:space="preserve">by an ACAT </w:t>
            </w:r>
            <w:r w:rsidRPr="00E13A04">
              <w:rPr>
                <w:shd w:val="clear" w:color="auto" w:fill="FFFFFF" w:themeFill="background1"/>
              </w:rPr>
              <w:t>prior</w:t>
            </w:r>
            <w:r>
              <w:t xml:space="preserve"> to admission into care. </w:t>
            </w:r>
          </w:p>
          <w:p w:rsidR="00C80C52" w:rsidRDefault="002E674D" w:rsidP="00AD2251">
            <w:pPr>
              <w:pStyle w:val="BoxListBullet"/>
              <w:keepNext w:val="0"/>
              <w:shd w:val="clear" w:color="auto" w:fill="FFFFFF" w:themeFill="background1"/>
            </w:pPr>
            <w:r>
              <w:t>The p</w:t>
            </w:r>
            <w:r w:rsidR="00C80C52">
              <w:t xml:space="preserve">roportion of people who commenced a CACP who did so within three months of their </w:t>
            </w:r>
            <w:r w:rsidR="00C80C52" w:rsidRPr="00E13A04">
              <w:rPr>
                <w:shd w:val="clear" w:color="auto" w:fill="FFFFFF" w:themeFill="background1"/>
              </w:rPr>
              <w:t>ACA</w:t>
            </w:r>
            <w:r w:rsidR="00243860" w:rsidRPr="00E13A04">
              <w:rPr>
                <w:shd w:val="clear" w:color="auto" w:fill="FFFFFF" w:themeFill="background1"/>
              </w:rPr>
              <w:t>T</w:t>
            </w:r>
            <w:r w:rsidR="00C80C52">
              <w:t xml:space="preserve"> approval</w:t>
            </w:r>
            <w:r w:rsidR="004B1AA5">
              <w:t xml:space="preserve">. </w:t>
            </w:r>
            <w:r w:rsidR="00C80C52" w:rsidRPr="00E13A04">
              <w:rPr>
                <w:shd w:val="clear" w:color="auto" w:fill="FFFFFF" w:themeFill="background1"/>
              </w:rPr>
              <w:t>ACA</w:t>
            </w:r>
            <w:r w:rsidR="00243860" w:rsidRPr="00E13A04">
              <w:rPr>
                <w:shd w:val="clear" w:color="auto" w:fill="FFFFFF" w:themeFill="background1"/>
              </w:rPr>
              <w:t>T</w:t>
            </w:r>
            <w:r w:rsidR="00C80C52" w:rsidRPr="00E13A04">
              <w:rPr>
                <w:shd w:val="clear" w:color="auto" w:fill="FFFFFF" w:themeFill="background1"/>
              </w:rPr>
              <w:t xml:space="preserve"> </w:t>
            </w:r>
            <w:r w:rsidR="00C80C52">
              <w:t xml:space="preserve">approval refers to the approval date of the most recent assessment </w:t>
            </w:r>
            <w:r w:rsidR="00315037">
              <w:t xml:space="preserve">by an ACAT </w:t>
            </w:r>
            <w:r w:rsidR="00C80C52">
              <w:t xml:space="preserve">prior to commencement of care. </w:t>
            </w:r>
          </w:p>
          <w:p w:rsidR="00BA1953" w:rsidRDefault="00BA1953" w:rsidP="00E13A04">
            <w:pPr>
              <w:pStyle w:val="Box"/>
              <w:keepNext w:val="0"/>
              <w:shd w:val="clear" w:color="auto" w:fill="FFFFFF" w:themeFill="background1"/>
            </w:pPr>
            <w:r>
              <w:t xml:space="preserve">Data are also presented for these service types on the proportions who enter/receive these services within other periods of time. </w:t>
            </w:r>
            <w:r w:rsidRPr="00206329">
              <w:t>Data on ‘elapsed’ times for EACH and EACH</w:t>
            </w:r>
            <w:r w:rsidR="001B2B43">
              <w:t>-</w:t>
            </w:r>
            <w:r w:rsidRPr="00206329">
              <w:t>D services are also included in table</w:t>
            </w:r>
            <w:r w:rsidR="00AA68A5">
              <w:t> </w:t>
            </w:r>
            <w:proofErr w:type="spellStart"/>
            <w:r w:rsidRPr="00206329">
              <w:t>13A.</w:t>
            </w:r>
            <w:r w:rsidR="00856D96">
              <w:t>66</w:t>
            </w:r>
            <w:proofErr w:type="spellEnd"/>
            <w:r>
              <w:t xml:space="preserve">. </w:t>
            </w:r>
          </w:p>
          <w:p w:rsidR="006E5308" w:rsidRDefault="00160C97" w:rsidP="00AD2251">
            <w:pPr>
              <w:pStyle w:val="Box"/>
              <w:keepNext w:val="0"/>
              <w:shd w:val="clear" w:color="auto" w:fill="FFFFFF" w:themeFill="background1"/>
            </w:pPr>
            <w:r>
              <w:t>H</w:t>
            </w:r>
            <w:r w:rsidR="00A12C8F">
              <w:t xml:space="preserve">igher </w:t>
            </w:r>
            <w:r>
              <w:t>proportions</w:t>
            </w:r>
            <w:r w:rsidR="00A12C8F">
              <w:t xml:space="preserve"> of admission to residential </w:t>
            </w:r>
            <w:r w:rsidR="00EA2BEB">
              <w:t xml:space="preserve">high </w:t>
            </w:r>
            <w:r w:rsidR="00A12C8F">
              <w:t xml:space="preserve">care </w:t>
            </w:r>
            <w:r w:rsidR="00937333">
              <w:t>or of commen</w:t>
            </w:r>
            <w:r w:rsidR="00BA1953">
              <w:t xml:space="preserve">cement of a CACP service within </w:t>
            </w:r>
            <w:r w:rsidR="00937333">
              <w:t xml:space="preserve">three months of </w:t>
            </w:r>
            <w:r w:rsidR="00937333" w:rsidRPr="00E13A04">
              <w:rPr>
                <w:shd w:val="clear" w:color="auto" w:fill="FFFFFF" w:themeFill="background1"/>
              </w:rPr>
              <w:t>ACA</w:t>
            </w:r>
            <w:r w:rsidR="00243860" w:rsidRPr="00E13A04">
              <w:rPr>
                <w:shd w:val="clear" w:color="auto" w:fill="FFFFFF" w:themeFill="background1"/>
              </w:rPr>
              <w:t>T</w:t>
            </w:r>
            <w:r w:rsidR="00937333" w:rsidRPr="00E13A04">
              <w:rPr>
                <w:shd w:val="clear" w:color="auto" w:fill="FFFFFF" w:themeFill="background1"/>
              </w:rPr>
              <w:t xml:space="preserve"> </w:t>
            </w:r>
            <w:r w:rsidR="00937333">
              <w:t>approva</w:t>
            </w:r>
            <w:r>
              <w:t>l</w:t>
            </w:r>
            <w:r w:rsidR="00A12C8F">
              <w:t xml:space="preserve"> are desirable.</w:t>
            </w:r>
            <w:r w:rsidR="006E5308">
              <w:t xml:space="preserve"> </w:t>
            </w:r>
          </w:p>
          <w:p w:rsidR="00A12C8F" w:rsidRDefault="00A12C8F" w:rsidP="00AD2251">
            <w:pPr>
              <w:pStyle w:val="Box"/>
              <w:keepNext w:val="0"/>
              <w:shd w:val="clear" w:color="auto" w:fill="FFFFFF" w:themeFill="background1"/>
            </w:pPr>
            <w:r>
              <w:t>This indicator needs to be interpreted with care. The measure of ‘elapsed time’ is utilised</w:t>
            </w:r>
            <w:r w:rsidR="00FC2190">
              <w:t>,</w:t>
            </w:r>
            <w:r>
              <w:t xml:space="preserve"> </w:t>
            </w:r>
            <w:r w:rsidR="00160C97">
              <w:t>rather than ‘waiting times’</w:t>
            </w:r>
            <w:r w:rsidR="00B0728F">
              <w:t>,</w:t>
            </w:r>
            <w:r w:rsidR="00160C97">
              <w:t xml:space="preserve"> </w:t>
            </w:r>
            <w:r>
              <w:t xml:space="preserve">because the period of time between the </w:t>
            </w:r>
            <w:r w:rsidRPr="00E13A04">
              <w:rPr>
                <w:shd w:val="clear" w:color="auto" w:fill="FFFFFF" w:themeFill="background1"/>
              </w:rPr>
              <w:t>ACA</w:t>
            </w:r>
            <w:r w:rsidR="003F3D0A" w:rsidRPr="00E13A04">
              <w:rPr>
                <w:shd w:val="clear" w:color="auto" w:fill="FFFFFF" w:themeFill="background1"/>
              </w:rPr>
              <w:t>T</w:t>
            </w:r>
            <w:r>
              <w:t xml:space="preserve"> approval and entry into residential care </w:t>
            </w:r>
            <w:r w:rsidR="006E5308">
              <w:t xml:space="preserve">or commencement of a CACP </w:t>
            </w:r>
            <w:r>
              <w:t xml:space="preserve">may be </w:t>
            </w:r>
            <w:r w:rsidR="002C02D3">
              <w:t xml:space="preserve">affected </w:t>
            </w:r>
            <w:r w:rsidR="00272C7B">
              <w:t>by</w:t>
            </w:r>
            <w:r>
              <w:t xml:space="preserve"> factors </w:t>
            </w:r>
            <w:r w:rsidR="00160C97">
              <w:t>other than</w:t>
            </w:r>
            <w:r w:rsidR="002C02D3">
              <w:t xml:space="preserve"> </w:t>
            </w:r>
            <w:r w:rsidR="008A5C2B">
              <w:t xml:space="preserve">time spent </w:t>
            </w:r>
            <w:r>
              <w:t>‘waiting’</w:t>
            </w:r>
            <w:r w:rsidR="00160C97">
              <w:t xml:space="preserve"> to enter/receive a service</w:t>
            </w:r>
            <w:r w:rsidR="00987F76">
              <w:t>, for example</w:t>
            </w:r>
            <w:r w:rsidR="00272C7B">
              <w:t>:</w:t>
            </w:r>
          </w:p>
          <w:p w:rsidR="00160C97" w:rsidRDefault="00160C97" w:rsidP="00AD2251">
            <w:pPr>
              <w:pStyle w:val="BoxListBullet"/>
              <w:keepNext w:val="0"/>
              <w:shd w:val="clear" w:color="auto" w:fill="FFFFFF" w:themeFill="background1"/>
            </w:pPr>
            <w:r>
              <w:t>hospital discharge policies and practices</w:t>
            </w:r>
          </w:p>
          <w:p w:rsidR="00160C97" w:rsidRPr="00D302D9" w:rsidRDefault="00160C97" w:rsidP="00AD2251">
            <w:pPr>
              <w:pStyle w:val="BoxListBullet"/>
              <w:keepNext w:val="0"/>
              <w:shd w:val="clear" w:color="auto" w:fill="FFFFFF" w:themeFill="background1"/>
              <w:spacing w:line="240" w:lineRule="auto"/>
            </w:pPr>
            <w:r w:rsidRPr="00D302D9">
              <w:t xml:space="preserve">client choice </w:t>
            </w:r>
            <w:r w:rsidRPr="00E13A04">
              <w:rPr>
                <w:shd w:val="clear" w:color="auto" w:fill="FFFFFF" w:themeFill="background1"/>
              </w:rPr>
              <w:t xml:space="preserve">not to </w:t>
            </w:r>
            <w:r w:rsidR="0063065F" w:rsidRPr="00E13A04">
              <w:rPr>
                <w:shd w:val="clear" w:color="auto" w:fill="FFFFFF" w:themeFill="background1"/>
              </w:rPr>
              <w:t>enter or commence</w:t>
            </w:r>
            <w:r w:rsidRPr="00D302D9">
              <w:t xml:space="preserve"> care immediately</w:t>
            </w:r>
            <w:r w:rsidR="00B0728F">
              <w:t>,</w:t>
            </w:r>
            <w:r w:rsidRPr="00D302D9">
              <w:t xml:space="preserve"> but to take up the option at a later time</w:t>
            </w:r>
          </w:p>
          <w:p w:rsidR="008C4344" w:rsidRDefault="00EA2BEB" w:rsidP="00AD2251">
            <w:pPr>
              <w:pStyle w:val="BoxListBullet"/>
              <w:keepNext w:val="0"/>
              <w:shd w:val="clear" w:color="auto" w:fill="FFFFFF" w:themeFill="background1"/>
              <w:spacing w:line="240" w:lineRule="auto"/>
            </w:pPr>
            <w:r w:rsidRPr="00AD2251">
              <w:rPr>
                <w:shd w:val="clear" w:color="auto" w:fill="FFFFFF" w:themeFill="background1"/>
              </w:rPr>
              <w:t xml:space="preserve">variations in </w:t>
            </w:r>
            <w:r w:rsidR="00160C97" w:rsidRPr="00AD2251">
              <w:rPr>
                <w:shd w:val="clear" w:color="auto" w:fill="FFFFFF" w:themeFill="background1"/>
              </w:rPr>
              <w:t>perce</w:t>
            </w:r>
            <w:r w:rsidRPr="00AD2251">
              <w:rPr>
                <w:shd w:val="clear" w:color="auto" w:fill="FFFFFF" w:themeFill="background1"/>
              </w:rPr>
              <w:t>ived</w:t>
            </w:r>
            <w:r w:rsidR="00160C97" w:rsidRPr="00AD2251">
              <w:rPr>
                <w:shd w:val="clear" w:color="auto" w:fill="FFFFFF" w:themeFill="background1"/>
              </w:rPr>
              <w:t xml:space="preserve"> quality of care</w:t>
            </w:r>
            <w:r w:rsidR="0063065F" w:rsidRPr="00AD2251">
              <w:rPr>
                <w:shd w:val="clear" w:color="auto" w:fill="FFFFFF" w:themeFill="background1"/>
              </w:rPr>
              <w:t>,</w:t>
            </w:r>
            <w:r w:rsidR="00661B70" w:rsidRPr="00AD2251">
              <w:rPr>
                <w:shd w:val="clear" w:color="auto" w:fill="FFFFFF" w:themeFill="background1"/>
              </w:rPr>
              <w:t xml:space="preserve"> care fee regimes</w:t>
            </w:r>
            <w:r w:rsidR="0063065F" w:rsidRPr="00AD2251">
              <w:rPr>
                <w:shd w:val="clear" w:color="auto" w:fill="FFFFFF" w:themeFill="background1"/>
              </w:rPr>
              <w:t xml:space="preserve"> and</w:t>
            </w:r>
            <w:r w:rsidR="00160C97" w:rsidRPr="00AD2251">
              <w:rPr>
                <w:shd w:val="clear" w:color="auto" w:fill="FFFFFF" w:themeFill="background1"/>
              </w:rPr>
              <w:t xml:space="preserve"> </w:t>
            </w:r>
            <w:r w:rsidR="0063065F" w:rsidRPr="00AD2251">
              <w:rPr>
                <w:shd w:val="clear" w:color="auto" w:fill="FFFFFF" w:themeFill="background1"/>
              </w:rPr>
              <w:t xml:space="preserve">building quality, </w:t>
            </w:r>
            <w:r w:rsidR="00160C97" w:rsidRPr="00AD2251">
              <w:rPr>
                <w:shd w:val="clear" w:color="auto" w:fill="FFFFFF" w:themeFill="background1"/>
              </w:rPr>
              <w:t xml:space="preserve">which influence client choice of preferred service </w:t>
            </w:r>
            <w:r w:rsidR="00661B70" w:rsidRPr="00AD2251">
              <w:rPr>
                <w:shd w:val="clear" w:color="auto" w:fill="FFFFFF" w:themeFill="background1"/>
              </w:rPr>
              <w:t>and delay</w:t>
            </w:r>
            <w:r w:rsidR="00FC2190" w:rsidRPr="00AD2251">
              <w:rPr>
                <w:shd w:val="clear" w:color="auto" w:fill="FFFFFF" w:themeFill="background1"/>
              </w:rPr>
              <w:t xml:space="preserve">s their take up of </w:t>
            </w:r>
            <w:r w:rsidR="00661B70" w:rsidRPr="00AD2251">
              <w:rPr>
                <w:shd w:val="clear" w:color="auto" w:fill="FFFFFF" w:themeFill="background1"/>
              </w:rPr>
              <w:t>care</w:t>
            </w:r>
            <w:r w:rsidR="00BA1953">
              <w:t>.</w:t>
            </w:r>
          </w:p>
          <w:p w:rsidR="00B60CD8" w:rsidRDefault="00B60CD8" w:rsidP="00AD2251">
            <w:pPr>
              <w:pStyle w:val="Box"/>
              <w:keepLines/>
              <w:shd w:val="clear" w:color="auto" w:fill="FFFFFF" w:themeFill="background1"/>
            </w:pPr>
            <w:r>
              <w:t>In addition, the measure does not include c</w:t>
            </w:r>
            <w:r w:rsidR="00315037">
              <w:t xml:space="preserve">lients who have received an </w:t>
            </w:r>
            <w:r w:rsidR="00315037" w:rsidRPr="00AD2251">
              <w:rPr>
                <w:shd w:val="clear" w:color="auto" w:fill="FFFFFF" w:themeFill="background1"/>
              </w:rPr>
              <w:t>ACA</w:t>
            </w:r>
            <w:r w:rsidR="003F3D0A" w:rsidRPr="00AD2251">
              <w:rPr>
                <w:shd w:val="clear" w:color="auto" w:fill="FFFFFF" w:themeFill="background1"/>
              </w:rPr>
              <w:t>T</w:t>
            </w:r>
            <w:r w:rsidRPr="00AD2251">
              <w:rPr>
                <w:shd w:val="clear" w:color="auto" w:fill="FFFFFF" w:themeFill="background1"/>
              </w:rPr>
              <w:t xml:space="preserve"> </w:t>
            </w:r>
            <w:r>
              <w:t>approval and who may have spent time waiting, but who:</w:t>
            </w:r>
          </w:p>
          <w:p w:rsidR="00B60CD8" w:rsidRDefault="00B60CD8" w:rsidP="00AD2251">
            <w:pPr>
              <w:pStyle w:val="BoxListBullet"/>
            </w:pPr>
            <w:r w:rsidRPr="00E31363">
              <w:rPr>
                <w:rStyle w:val="BoxListBulletChar"/>
              </w:rPr>
              <w:t xml:space="preserve">do not </w:t>
            </w:r>
            <w:r w:rsidRPr="00A05A82">
              <w:t>enter</w:t>
            </w:r>
            <w:r w:rsidRPr="00E31363">
              <w:rPr>
                <w:rStyle w:val="BoxListBulletChar"/>
              </w:rPr>
              <w:t xml:space="preserve"> residential care</w:t>
            </w:r>
            <w:r>
              <w:rPr>
                <w:rStyle w:val="BoxListBulletChar"/>
              </w:rPr>
              <w:t xml:space="preserve"> or commence a CACP</w:t>
            </w:r>
            <w:r w:rsidRPr="00E31363">
              <w:rPr>
                <w:rStyle w:val="BoxListBulletChar"/>
              </w:rPr>
              <w:t xml:space="preserve"> (for example, who die before</w:t>
            </w:r>
            <w:r>
              <w:t xml:space="preserve"> entering care) </w:t>
            </w:r>
          </w:p>
          <w:p w:rsidR="00B60CD8" w:rsidRDefault="00B60CD8" w:rsidP="00B60CD8">
            <w:pPr>
              <w:pStyle w:val="BoxListBullet"/>
            </w:pPr>
            <w:r>
              <w:t>ultimately decide not to take</w:t>
            </w:r>
            <w:r w:rsidR="00AA68A5">
              <w:noBreakHyphen/>
            </w:r>
            <w:r>
              <w:t xml:space="preserve">up a care placement offer </w:t>
            </w:r>
          </w:p>
          <w:p w:rsidR="00F052C2" w:rsidRDefault="00F052C2" w:rsidP="00F052C2">
            <w:pPr>
              <w:pStyle w:val="BoxListBullet"/>
              <w:keepLines/>
              <w:spacing w:line="240" w:lineRule="auto"/>
            </w:pPr>
            <w:r>
              <w:t>choose</w:t>
            </w:r>
            <w:r w:rsidRPr="00D302D9">
              <w:t xml:space="preserve"> </w:t>
            </w:r>
            <w:r>
              <w:t>to take</w:t>
            </w:r>
            <w:r w:rsidR="00AA68A5">
              <w:noBreakHyphen/>
            </w:r>
            <w:r>
              <w:t>up an</w:t>
            </w:r>
            <w:r w:rsidRPr="00D302D9">
              <w:t xml:space="preserve"> alternative care option</w:t>
            </w:r>
            <w:r>
              <w:t xml:space="preserve"> due to, for example, </w:t>
            </w:r>
            <w:r w:rsidRPr="00D302D9">
              <w:t>varying fee regimes</w:t>
            </w:r>
            <w:r>
              <w:t>.</w:t>
            </w:r>
          </w:p>
          <w:p w:rsidR="00186DC2" w:rsidRDefault="00186DC2" w:rsidP="00186DC2">
            <w:pPr>
              <w:pStyle w:val="Box"/>
              <w:keepLines/>
              <w:shd w:val="clear" w:color="auto" w:fill="FFFFFF" w:themeFill="background1"/>
            </w:pPr>
            <w:r w:rsidRPr="00E911B3">
              <w:t xml:space="preserve">Elapsed time needs to be interpreted locally and may vary in relevance according to individual circumstances. </w:t>
            </w:r>
            <w:r w:rsidRPr="00186DC2">
              <w:t>A client’s decision to take</w:t>
            </w:r>
            <w:r w:rsidR="00AA68A5">
              <w:noBreakHyphen/>
            </w:r>
            <w:r w:rsidRPr="00186DC2">
              <w:t xml:space="preserve">up care at a particular point in time can be influenced by </w:t>
            </w:r>
            <w:r>
              <w:t>the location of residential care services; the availability of alternatives to residential care, such as EACH and EACH</w:t>
            </w:r>
            <w:r w:rsidR="00AA68A5">
              <w:noBreakHyphen/>
            </w:r>
            <w:r>
              <w:t>D; and for community care, the availability of informal care and respite services.</w:t>
            </w:r>
          </w:p>
        </w:tc>
      </w:tr>
      <w:tr w:rsidR="00D302D9" w:rsidTr="005043B0">
        <w:trPr>
          <w:cantSplit/>
          <w:trHeight w:val="304"/>
          <w:jc w:val="center"/>
        </w:trPr>
        <w:tc>
          <w:tcPr>
            <w:tcW w:w="8771" w:type="dxa"/>
            <w:tcBorders>
              <w:top w:val="nil"/>
              <w:left w:val="single" w:sz="6" w:space="0" w:color="auto"/>
              <w:bottom w:val="nil"/>
              <w:right w:val="single" w:sz="6" w:space="0" w:color="auto"/>
            </w:tcBorders>
            <w:shd w:val="clear" w:color="auto" w:fill="auto"/>
          </w:tcPr>
          <w:p w:rsidR="00D302D9" w:rsidRDefault="00D302D9" w:rsidP="00D302D9">
            <w:pPr>
              <w:pStyle w:val="Continued"/>
            </w:pPr>
            <w:r>
              <w:t>(Continued next page)</w:t>
            </w:r>
          </w:p>
        </w:tc>
      </w:tr>
      <w:tr w:rsidR="008A5C2B" w:rsidTr="006735CB">
        <w:trPr>
          <w:cantSplit/>
          <w:trHeight w:val="80"/>
          <w:jc w:val="center"/>
        </w:trPr>
        <w:tc>
          <w:tcPr>
            <w:tcW w:w="8771" w:type="dxa"/>
            <w:tcBorders>
              <w:top w:val="nil"/>
              <w:left w:val="single" w:sz="6" w:space="0" w:color="auto"/>
              <w:bottom w:val="single" w:sz="4" w:space="0" w:color="auto"/>
              <w:right w:val="single" w:sz="6" w:space="0" w:color="auto"/>
            </w:tcBorders>
            <w:shd w:val="clear" w:color="auto" w:fill="auto"/>
          </w:tcPr>
          <w:p w:rsidR="008A5C2B" w:rsidRDefault="008A5C2B" w:rsidP="003F7ABE">
            <w:pPr>
              <w:pStyle w:val="Box"/>
              <w:keepNext w:val="0"/>
              <w:widowControl w:val="0"/>
              <w:spacing w:before="0" w:line="120" w:lineRule="exact"/>
            </w:pPr>
          </w:p>
        </w:tc>
      </w:tr>
      <w:tr w:rsidR="008A5C2B" w:rsidTr="00D302D9">
        <w:trPr>
          <w:cantSplit/>
          <w:jc w:val="center"/>
        </w:trPr>
        <w:tc>
          <w:tcPr>
            <w:tcW w:w="8771" w:type="dxa"/>
            <w:tcBorders>
              <w:top w:val="single" w:sz="4" w:space="0" w:color="auto"/>
              <w:left w:val="nil"/>
              <w:bottom w:val="nil"/>
              <w:right w:val="nil"/>
            </w:tcBorders>
            <w:shd w:val="clear" w:color="auto" w:fill="auto"/>
          </w:tcPr>
          <w:p w:rsidR="008A5C2B" w:rsidRDefault="008A5C2B" w:rsidP="003F7ABE">
            <w:pPr>
              <w:pStyle w:val="Box"/>
              <w:keepNext w:val="0"/>
              <w:widowControl w:val="0"/>
              <w:spacing w:before="0" w:line="120" w:lineRule="exact"/>
            </w:pPr>
          </w:p>
        </w:tc>
      </w:tr>
    </w:tbl>
    <w:p w:rsidR="00D40F87" w:rsidRPr="00684BF5" w:rsidRDefault="00D40F87" w:rsidP="00684BF5">
      <w:pPr>
        <w:pStyle w:val="BoxSpace"/>
        <w:keepLines/>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40F87">
        <w:tc>
          <w:tcPr>
            <w:tcW w:w="8771" w:type="dxa"/>
            <w:tcBorders>
              <w:top w:val="single" w:sz="6" w:space="0" w:color="auto"/>
              <w:bottom w:val="nil"/>
            </w:tcBorders>
          </w:tcPr>
          <w:p w:rsidR="00D40F87" w:rsidRDefault="00AA512C" w:rsidP="007F5120">
            <w:pPr>
              <w:pStyle w:val="BoxTitle"/>
            </w:pPr>
            <w:r>
              <w:rPr>
                <w:b w:val="0"/>
                <w:sz w:val="24"/>
              </w:rPr>
              <w:t>Box 13.</w:t>
            </w:r>
            <w:r w:rsidR="007F5120">
              <w:rPr>
                <w:b w:val="0"/>
                <w:sz w:val="24"/>
              </w:rPr>
              <w:t>5</w:t>
            </w:r>
            <w:r w:rsidR="00D40F87" w:rsidRPr="00AD1B44">
              <w:rPr>
                <w:sz w:val="24"/>
              </w:rPr>
              <w:tab/>
            </w:r>
            <w:r w:rsidR="00937333" w:rsidRPr="00937333">
              <w:rPr>
                <w:sz w:val="18"/>
                <w:szCs w:val="18"/>
              </w:rPr>
              <w:t>(</w:t>
            </w:r>
            <w:r w:rsidR="00E911B3">
              <w:rPr>
                <w:sz w:val="18"/>
                <w:szCs w:val="18"/>
              </w:rPr>
              <w:t>c</w:t>
            </w:r>
            <w:r w:rsidR="00937333" w:rsidRPr="00937333">
              <w:rPr>
                <w:sz w:val="18"/>
                <w:szCs w:val="18"/>
              </w:rPr>
              <w:t>ontinued)</w:t>
            </w:r>
          </w:p>
        </w:tc>
      </w:tr>
      <w:tr w:rsidR="00D40F87">
        <w:trPr>
          <w:cantSplit/>
        </w:trPr>
        <w:tc>
          <w:tcPr>
            <w:tcW w:w="8771" w:type="dxa"/>
            <w:tcBorders>
              <w:top w:val="nil"/>
              <w:left w:val="single" w:sz="6" w:space="0" w:color="auto"/>
              <w:bottom w:val="nil"/>
              <w:right w:val="single" w:sz="6" w:space="0" w:color="auto"/>
            </w:tcBorders>
          </w:tcPr>
          <w:p w:rsidR="00E911B3" w:rsidRPr="00E911B3" w:rsidRDefault="003F7ABE" w:rsidP="00AD2251">
            <w:pPr>
              <w:pStyle w:val="Box"/>
              <w:keepLines/>
            </w:pPr>
            <w:r>
              <w:t xml:space="preserve">For residential aged care, this indicator focuses on high care services because the link between ‘elapsed time’ before entry to residential care and actual ‘waiting time’ is stronger for high care residents than for low care residents. This is due to the urgency of high care residents’ needs, and the greater number of alternatives for people with </w:t>
            </w:r>
            <w:r w:rsidRPr="00AD2251">
              <w:rPr>
                <w:shd w:val="clear" w:color="auto" w:fill="FFFFFF" w:themeFill="background1"/>
              </w:rPr>
              <w:t>ACA</w:t>
            </w:r>
            <w:r w:rsidR="003F3D0A" w:rsidRPr="00AD2251">
              <w:rPr>
                <w:shd w:val="clear" w:color="auto" w:fill="FFFFFF" w:themeFill="background1"/>
              </w:rPr>
              <w:t>T</w:t>
            </w:r>
            <w:r>
              <w:t xml:space="preserve"> approvals for low residential aged care only. </w:t>
            </w:r>
            <w:r w:rsidR="00E911B3" w:rsidRPr="00E911B3">
              <w:t xml:space="preserve">Where there is some urgency because of a client’s high care needs, it is clearly desirable to minimise the time elapsing between </w:t>
            </w:r>
            <w:r w:rsidR="00E911B3" w:rsidRPr="00AD2251">
              <w:rPr>
                <w:shd w:val="clear" w:color="auto" w:fill="FFFFFF" w:themeFill="background1"/>
              </w:rPr>
              <w:t>ACA</w:t>
            </w:r>
            <w:r w:rsidR="003F3D0A" w:rsidRPr="00AD2251">
              <w:rPr>
                <w:shd w:val="clear" w:color="auto" w:fill="FFFFFF" w:themeFill="background1"/>
              </w:rPr>
              <w:t>T</w:t>
            </w:r>
            <w:r w:rsidR="00E911B3" w:rsidRPr="00AD2251">
              <w:rPr>
                <w:shd w:val="clear" w:color="auto" w:fill="FFFFFF" w:themeFill="background1"/>
              </w:rPr>
              <w:t xml:space="preserve"> </w:t>
            </w:r>
            <w:r w:rsidR="00E911B3" w:rsidRPr="00E911B3">
              <w:t xml:space="preserve">approval and entry to high level residential aged care. However, there is an equally strong argument for ensuring all options are explored, including Transition Care, to ensure that premature entry to residential aged care is avoided or at least postponed for as long as practical given individual circumstances. </w:t>
            </w:r>
          </w:p>
          <w:p w:rsidR="00D40F87" w:rsidRDefault="00D40F87" w:rsidP="00D40F87">
            <w:pPr>
              <w:pStyle w:val="Box"/>
            </w:pPr>
            <w:r>
              <w:t>It is recognised that this indicator has limitations and work is underway to review the data. This indicator will continue to be reported until improved data are available.</w:t>
            </w:r>
          </w:p>
          <w:p w:rsidR="007648EB" w:rsidRDefault="007648EB" w:rsidP="007648EB">
            <w:pPr>
              <w:pStyle w:val="Box"/>
            </w:pPr>
            <w:r w:rsidRPr="008573A9">
              <w:t>Data reported for this indicator are</w:t>
            </w:r>
            <w:r>
              <w:t>:</w:t>
            </w:r>
          </w:p>
          <w:p w:rsidR="007648EB" w:rsidRDefault="007648EB" w:rsidP="007648EB">
            <w:pPr>
              <w:pStyle w:val="BoxListBullet"/>
              <w:spacing w:before="60"/>
            </w:pPr>
            <w:r w:rsidRPr="002825E5">
              <w:rPr>
                <w:lang w:eastAsia="en-US"/>
              </w:rPr>
              <w:t>comparable</w:t>
            </w:r>
            <w:r w:rsidRPr="008573A9">
              <w:t xml:space="preserve"> (subject to caveats) across jurisdictions and over time</w:t>
            </w:r>
          </w:p>
          <w:p w:rsidR="007648EB" w:rsidRDefault="007648EB" w:rsidP="007648EB">
            <w:pPr>
              <w:pStyle w:val="BoxListBullet"/>
              <w:spacing w:before="60"/>
            </w:pPr>
            <w:r w:rsidRPr="008573A9">
              <w:t xml:space="preserve">complete for the current reporting period (subject to caveats). All required </w:t>
            </w:r>
            <w:r>
              <w:t>2012</w:t>
            </w:r>
            <w:r w:rsidR="00AA68A5">
              <w:noBreakHyphen/>
            </w:r>
            <w:r>
              <w:t xml:space="preserve">13 </w:t>
            </w:r>
            <w:r w:rsidRPr="008573A9">
              <w:t xml:space="preserve">data are </w:t>
            </w:r>
            <w:r>
              <w:t>available for all jurisdictions.</w:t>
            </w:r>
          </w:p>
          <w:p w:rsidR="00D40F87" w:rsidRPr="009C1060" w:rsidRDefault="007B127C" w:rsidP="007B127C">
            <w:pPr>
              <w:pStyle w:val="Box"/>
              <w:keepNext w:val="0"/>
              <w:widowControl w:val="0"/>
              <w:rPr>
                <w:rFonts w:cs="Arial"/>
                <w:szCs w:val="22"/>
              </w:rPr>
            </w:pPr>
            <w:r>
              <w:t>D</w:t>
            </w:r>
            <w:r w:rsidR="009C1060">
              <w:t xml:space="preserve">ata quality </w:t>
            </w:r>
            <w:r>
              <w:t xml:space="preserve">information </w:t>
            </w:r>
            <w:r w:rsidR="009C1060">
              <w:t>for this indicator</w:t>
            </w:r>
            <w:r w:rsidR="009C1060" w:rsidRPr="00102DF2">
              <w:t xml:space="preserve"> is at </w:t>
            </w:r>
            <w:proofErr w:type="spellStart"/>
            <w:r w:rsidR="009C1060" w:rsidRPr="00102DF2">
              <w:t>www.pc.gov.au</w:t>
            </w:r>
            <w:proofErr w:type="spellEnd"/>
            <w:r w:rsidR="009C1060" w:rsidRPr="00102DF2">
              <w:t>/</w:t>
            </w:r>
            <w:proofErr w:type="spellStart"/>
            <w:r w:rsidR="009C1060" w:rsidRPr="00102DF2">
              <w:t>gsp</w:t>
            </w:r>
            <w:proofErr w:type="spellEnd"/>
            <w:r w:rsidR="009C1060">
              <w:t>/reports/</w:t>
            </w:r>
            <w:proofErr w:type="spellStart"/>
            <w:r w:rsidR="009C1060">
              <w:t>rogs</w:t>
            </w:r>
            <w:proofErr w:type="spellEnd"/>
            <w:r w:rsidR="009C1060">
              <w:t>/201</w:t>
            </w:r>
            <w:r w:rsidR="00D715DF">
              <w:t>4</w:t>
            </w:r>
            <w:r w:rsidR="009C1060" w:rsidRPr="009612B9">
              <w:t>.</w:t>
            </w:r>
          </w:p>
        </w:tc>
      </w:tr>
      <w:tr w:rsidR="00D40F87">
        <w:trPr>
          <w:cantSplit/>
        </w:trPr>
        <w:tc>
          <w:tcPr>
            <w:tcW w:w="8771" w:type="dxa"/>
            <w:tcBorders>
              <w:top w:val="nil"/>
              <w:left w:val="single" w:sz="6" w:space="0" w:color="auto"/>
              <w:bottom w:val="single" w:sz="6" w:space="0" w:color="auto"/>
              <w:right w:val="single" w:sz="6" w:space="0" w:color="auto"/>
            </w:tcBorders>
          </w:tcPr>
          <w:p w:rsidR="00D40F87" w:rsidRDefault="00D40F87">
            <w:pPr>
              <w:pStyle w:val="Box"/>
              <w:spacing w:before="0" w:line="120" w:lineRule="exact"/>
            </w:pPr>
          </w:p>
        </w:tc>
      </w:tr>
      <w:tr w:rsidR="00D40F87">
        <w:tc>
          <w:tcPr>
            <w:tcW w:w="8771" w:type="dxa"/>
            <w:tcBorders>
              <w:top w:val="nil"/>
              <w:left w:val="nil"/>
              <w:bottom w:val="nil"/>
              <w:right w:val="nil"/>
            </w:tcBorders>
          </w:tcPr>
          <w:p w:rsidR="00D40F87" w:rsidRDefault="00D40F87">
            <w:pPr>
              <w:pStyle w:val="Box"/>
              <w:keepNext w:val="0"/>
              <w:spacing w:before="60" w:after="60" w:line="80" w:lineRule="exact"/>
              <w:rPr>
                <w:b/>
                <w:color w:val="FF00FF"/>
                <w:sz w:val="14"/>
              </w:rPr>
            </w:pPr>
          </w:p>
        </w:tc>
      </w:tr>
    </w:tbl>
    <w:p w:rsidR="00A12C8F" w:rsidRPr="001B4AC8" w:rsidRDefault="00A12C8F" w:rsidP="00BD35E9">
      <w:pPr>
        <w:pStyle w:val="BodyText"/>
      </w:pPr>
      <w:r w:rsidRPr="00DD52D1">
        <w:t>Overall</w:t>
      </w:r>
      <w:r w:rsidRPr="00E950AB">
        <w:t xml:space="preserve">, </w:t>
      </w:r>
      <w:r w:rsidR="007648EB">
        <w:t>22.0</w:t>
      </w:r>
      <w:r w:rsidRPr="00E950AB">
        <w:t xml:space="preserve"> per cent of all people entering residential </w:t>
      </w:r>
      <w:r>
        <w:t xml:space="preserve">high </w:t>
      </w:r>
      <w:r w:rsidRPr="00E950AB">
        <w:t xml:space="preserve">care during </w:t>
      </w:r>
      <w:r w:rsidR="002C02D3">
        <w:t>201</w:t>
      </w:r>
      <w:r w:rsidR="00C02D2C">
        <w:t>2</w:t>
      </w:r>
      <w:r w:rsidR="00AA68A5">
        <w:noBreakHyphen/>
      </w:r>
      <w:r w:rsidR="002C02D3">
        <w:t>1</w:t>
      </w:r>
      <w:r w:rsidR="00C02D2C">
        <w:t>3</w:t>
      </w:r>
      <w:r w:rsidR="002C02D3" w:rsidRPr="00E950AB">
        <w:t xml:space="preserve"> </w:t>
      </w:r>
      <w:r w:rsidRPr="00E950AB">
        <w:t xml:space="preserve">did so within </w:t>
      </w:r>
      <w:r w:rsidR="00CE6F51">
        <w:t>seven</w:t>
      </w:r>
      <w:r w:rsidRPr="00E950AB">
        <w:t xml:space="preserve"> days of being approved by an ACAT</w:t>
      </w:r>
      <w:r>
        <w:t xml:space="preserve"> compared with </w:t>
      </w:r>
      <w:r w:rsidR="007648EB">
        <w:t>22.6</w:t>
      </w:r>
      <w:r>
        <w:t xml:space="preserve"> per cent in </w:t>
      </w:r>
      <w:r w:rsidR="009C0C70">
        <w:t>201</w:t>
      </w:r>
      <w:r w:rsidR="00C02D2C">
        <w:t>1</w:t>
      </w:r>
      <w:r w:rsidR="00AA68A5">
        <w:noBreakHyphen/>
      </w:r>
      <w:r w:rsidR="006708B8">
        <w:t>1</w:t>
      </w:r>
      <w:r w:rsidR="00C02D2C">
        <w:t>2</w:t>
      </w:r>
      <w:r>
        <w:t>.</w:t>
      </w:r>
      <w:r w:rsidRPr="00E950AB">
        <w:t xml:space="preserve"> </w:t>
      </w:r>
      <w:r>
        <w:t xml:space="preserve">In </w:t>
      </w:r>
      <w:r w:rsidR="00714EDC">
        <w:t>20</w:t>
      </w:r>
      <w:r w:rsidR="002C02D3">
        <w:t>1</w:t>
      </w:r>
      <w:r w:rsidR="0079398A">
        <w:t>2</w:t>
      </w:r>
      <w:r w:rsidR="00AA68A5">
        <w:noBreakHyphen/>
      </w:r>
      <w:r w:rsidR="00714EDC">
        <w:t>1</w:t>
      </w:r>
      <w:r w:rsidR="0079398A">
        <w:t>3</w:t>
      </w:r>
      <w:r>
        <w:t xml:space="preserve">, </w:t>
      </w:r>
      <w:r w:rsidR="007648EB">
        <w:t>50.0</w:t>
      </w:r>
      <w:r w:rsidR="006223F0">
        <w:t xml:space="preserve"> </w:t>
      </w:r>
      <w:r w:rsidRPr="00E950AB">
        <w:t xml:space="preserve">per cent entered within one month of their ACAT approval and </w:t>
      </w:r>
      <w:r w:rsidR="007648EB">
        <w:t>72.0</w:t>
      </w:r>
      <w:r w:rsidRPr="00E950AB">
        <w:t xml:space="preserve"> per cent entered within </w:t>
      </w:r>
      <w:r w:rsidR="00EA2BEB" w:rsidRPr="00E950AB">
        <w:t>three</w:t>
      </w:r>
      <w:r w:rsidRPr="00E950AB">
        <w:t xml:space="preserve"> months of their approval</w:t>
      </w:r>
      <w:r>
        <w:t xml:space="preserve"> </w:t>
      </w:r>
      <w:r w:rsidR="004115CE" w:rsidRPr="00E950AB">
        <w:t>(figure 13.</w:t>
      </w:r>
      <w:r w:rsidR="0079398A">
        <w:t>19</w:t>
      </w:r>
      <w:r w:rsidR="004115CE">
        <w:t>)</w:t>
      </w:r>
      <w:r w:rsidR="00144423">
        <w:t>,</w:t>
      </w:r>
      <w:r w:rsidR="004115CE">
        <w:t xml:space="preserve"> </w:t>
      </w:r>
      <w:r>
        <w:t xml:space="preserve">compared with </w:t>
      </w:r>
      <w:r w:rsidR="007648EB">
        <w:t>51.2</w:t>
      </w:r>
      <w:r>
        <w:t xml:space="preserve"> per cent and </w:t>
      </w:r>
      <w:r w:rsidR="007648EB">
        <w:t>73.2</w:t>
      </w:r>
      <w:r>
        <w:t xml:space="preserve"> per cent respectively in </w:t>
      </w:r>
      <w:r w:rsidR="006708B8">
        <w:br/>
      </w:r>
      <w:r w:rsidR="009C0C70">
        <w:t>201</w:t>
      </w:r>
      <w:r w:rsidR="0079398A">
        <w:t>1</w:t>
      </w:r>
      <w:r w:rsidR="00AA68A5">
        <w:noBreakHyphen/>
      </w:r>
      <w:r w:rsidR="009C0C70">
        <w:t>1</w:t>
      </w:r>
      <w:r w:rsidR="0079398A">
        <w:t>2</w:t>
      </w:r>
      <w:r w:rsidR="002C02D3">
        <w:t xml:space="preserve"> </w:t>
      </w:r>
      <w:r w:rsidR="004115CE">
        <w:t>(table</w:t>
      </w:r>
      <w:r w:rsidR="00AA68A5">
        <w:t> </w:t>
      </w:r>
      <w:proofErr w:type="spellStart"/>
      <w:r w:rsidR="004115CE">
        <w:t>13A.</w:t>
      </w:r>
      <w:r w:rsidR="00856D96">
        <w:t>66</w:t>
      </w:r>
      <w:proofErr w:type="spellEnd"/>
      <w:r w:rsidR="004115CE">
        <w:t>)</w:t>
      </w:r>
      <w:r w:rsidRPr="00E950AB">
        <w:t xml:space="preserve">. The median time for entry into high care residential </w:t>
      </w:r>
      <w:r>
        <w:t>services</w:t>
      </w:r>
      <w:r w:rsidRPr="00E950AB">
        <w:t xml:space="preserve"> was </w:t>
      </w:r>
      <w:r w:rsidR="007648EB">
        <w:t>30</w:t>
      </w:r>
      <w:r w:rsidRPr="00E950AB">
        <w:t xml:space="preserve"> days</w:t>
      </w:r>
      <w:r>
        <w:t xml:space="preserve"> in </w:t>
      </w:r>
      <w:r w:rsidR="00714EDC">
        <w:t>201</w:t>
      </w:r>
      <w:r w:rsidR="0079398A">
        <w:t>2</w:t>
      </w:r>
      <w:r w:rsidR="00AA68A5">
        <w:noBreakHyphen/>
      </w:r>
      <w:r w:rsidR="00714EDC">
        <w:t>1</w:t>
      </w:r>
      <w:r w:rsidR="0079398A">
        <w:t>3</w:t>
      </w:r>
      <w:r w:rsidR="007648EB">
        <w:t xml:space="preserve"> compared to 28 days </w:t>
      </w:r>
      <w:r>
        <w:t>in</w:t>
      </w:r>
      <w:r w:rsidR="006708B8">
        <w:t xml:space="preserve"> </w:t>
      </w:r>
      <w:r w:rsidR="009C0C70">
        <w:t>201</w:t>
      </w:r>
      <w:r w:rsidR="0079398A">
        <w:t>1</w:t>
      </w:r>
      <w:r w:rsidR="00AA68A5">
        <w:noBreakHyphen/>
      </w:r>
      <w:r w:rsidR="009C0C70">
        <w:t>1</w:t>
      </w:r>
      <w:r w:rsidR="0079398A">
        <w:t>2</w:t>
      </w:r>
      <w:r w:rsidRPr="00DD52D1">
        <w:t xml:space="preserve"> </w:t>
      </w:r>
      <w:r>
        <w:t>(table</w:t>
      </w:r>
      <w:r w:rsidR="00AA68A5">
        <w:t> </w:t>
      </w:r>
      <w:proofErr w:type="spellStart"/>
      <w:r>
        <w:t>13</w:t>
      </w:r>
      <w:r w:rsidR="00E16794">
        <w:t>A.</w:t>
      </w:r>
      <w:r w:rsidR="007648EB">
        <w:t>66</w:t>
      </w:r>
      <w:proofErr w:type="spellEnd"/>
      <w:r>
        <w:t>)</w:t>
      </w:r>
      <w:r w:rsidRPr="00DD52D1">
        <w:t>.</w:t>
      </w:r>
      <w:r>
        <w:t xml:space="preserve"> </w:t>
      </w:r>
    </w:p>
    <w:p w:rsidR="00A12C8F" w:rsidRDefault="00A12C8F" w:rsidP="00BD35E9">
      <w:pPr>
        <w:pStyle w:val="BodyText"/>
      </w:pPr>
      <w:r w:rsidRPr="00DD52D1">
        <w:t>Nationally</w:t>
      </w:r>
      <w:r w:rsidR="00473FF6">
        <w:t xml:space="preserve"> in 201</w:t>
      </w:r>
      <w:r w:rsidR="0079398A">
        <w:t>2</w:t>
      </w:r>
      <w:r w:rsidR="00AA68A5">
        <w:noBreakHyphen/>
      </w:r>
      <w:r w:rsidR="00473FF6">
        <w:t>1</w:t>
      </w:r>
      <w:r w:rsidR="0079398A">
        <w:t>3</w:t>
      </w:r>
      <w:r w:rsidRPr="00DD52D1">
        <w:t xml:space="preserve">, a greater proportion of people </w:t>
      </w:r>
      <w:r w:rsidRPr="00E950AB">
        <w:t xml:space="preserve">entering high care residential services entered within </w:t>
      </w:r>
      <w:r w:rsidR="00EA2BEB" w:rsidRPr="00E950AB">
        <w:t>three</w:t>
      </w:r>
      <w:r w:rsidRPr="00E950AB">
        <w:t xml:space="preserve"> months of approval (</w:t>
      </w:r>
      <w:r w:rsidR="007648EB">
        <w:t>72.0</w:t>
      </w:r>
      <w:r w:rsidRPr="00E950AB">
        <w:t xml:space="preserve"> per cent), compared with the proportion entering low care residential services within that time (</w:t>
      </w:r>
      <w:r w:rsidR="007648EB">
        <w:t>64.9</w:t>
      </w:r>
      <w:r w:rsidRPr="00E950AB">
        <w:t xml:space="preserve"> per</w:t>
      </w:r>
      <w:r w:rsidRPr="00DD52D1">
        <w:t xml:space="preserve"> cent).</w:t>
      </w:r>
      <w:r>
        <w:t xml:space="preserve"> </w:t>
      </w:r>
      <w:r w:rsidR="004D7909">
        <w:t xml:space="preserve">Further data on </w:t>
      </w:r>
      <w:r w:rsidR="006708B8">
        <w:t>elapsed</w:t>
      </w:r>
      <w:r w:rsidR="004D7909" w:rsidRPr="004D7909">
        <w:t xml:space="preserve"> time </w:t>
      </w:r>
      <w:r w:rsidR="006708B8">
        <w:t>by remoteness, S</w:t>
      </w:r>
      <w:r w:rsidR="001B2B43">
        <w:t xml:space="preserve">ocio Economic </w:t>
      </w:r>
      <w:r w:rsidR="006708B8">
        <w:t>I</w:t>
      </w:r>
      <w:r w:rsidR="001B2B43">
        <w:t xml:space="preserve">ndexes for </w:t>
      </w:r>
      <w:r w:rsidR="006708B8">
        <w:t>A</w:t>
      </w:r>
      <w:r w:rsidR="001B2B43">
        <w:t>reas (</w:t>
      </w:r>
      <w:proofErr w:type="spellStart"/>
      <w:r w:rsidR="001B2B43">
        <w:t>SEIFA</w:t>
      </w:r>
      <w:proofErr w:type="spellEnd"/>
      <w:r w:rsidR="001B2B43">
        <w:t>)</w:t>
      </w:r>
      <w:r w:rsidR="006708B8">
        <w:t xml:space="preserve"> and Indigenous status are </w:t>
      </w:r>
      <w:r w:rsidR="004D7909" w:rsidRPr="004D7909">
        <w:t>included</w:t>
      </w:r>
      <w:r w:rsidR="004D7909">
        <w:t xml:space="preserve"> </w:t>
      </w:r>
      <w:r w:rsidR="006708B8">
        <w:t>in table</w:t>
      </w:r>
      <w:r w:rsidR="00AA68A5">
        <w:t> </w:t>
      </w:r>
      <w:proofErr w:type="spellStart"/>
      <w:r w:rsidR="006708B8">
        <w:t>13A.</w:t>
      </w:r>
      <w:r w:rsidR="007648EB">
        <w:t>67</w:t>
      </w:r>
      <w:proofErr w:type="spellEnd"/>
      <w:r w:rsidR="005469D4">
        <w:t>–</w:t>
      </w:r>
      <w:r w:rsidR="007648EB">
        <w:t>69</w:t>
      </w:r>
      <w:r w:rsidR="004D7909" w:rsidRPr="004D7909">
        <w:t>.</w:t>
      </w:r>
      <w:r w:rsidR="004D7909">
        <w:t xml:space="preserve"> </w:t>
      </w:r>
    </w:p>
    <w:p w:rsidR="00186DC2" w:rsidRDefault="00186DC2" w:rsidP="00186DC2">
      <w:pPr>
        <w:pStyle w:val="BodyText"/>
        <w:tabs>
          <w:tab w:val="left" w:pos="3686"/>
        </w:tabs>
      </w:pPr>
      <w:r w:rsidRPr="00947054">
        <w:t>Overall</w:t>
      </w:r>
      <w:r w:rsidRPr="00E950AB">
        <w:t xml:space="preserve">, </w:t>
      </w:r>
      <w:r>
        <w:t>65.4</w:t>
      </w:r>
      <w:r w:rsidRPr="00E950AB">
        <w:t xml:space="preserve"> per cent of all people </w:t>
      </w:r>
      <w:r>
        <w:t>commencing</w:t>
      </w:r>
      <w:r w:rsidRPr="00E950AB">
        <w:t xml:space="preserve"> a CACP during </w:t>
      </w:r>
      <w:r>
        <w:t>2012</w:t>
      </w:r>
      <w:r w:rsidR="00AA68A5">
        <w:noBreakHyphen/>
      </w:r>
      <w:r>
        <w:t>13</w:t>
      </w:r>
      <w:r w:rsidRPr="00E950AB">
        <w:t xml:space="preserve"> received it within three months of being approved by an ACAT. This proportion varied across jurisdictions. On average, </w:t>
      </w:r>
      <w:r>
        <w:t>35.1</w:t>
      </w:r>
      <w:r w:rsidRPr="00947054">
        <w:t xml:space="preserve"> per cent started receiving a CACP within one month of </w:t>
      </w:r>
      <w:r w:rsidRPr="00315037">
        <w:t xml:space="preserve">being approved by an ACAT </w:t>
      </w:r>
      <w:r w:rsidRPr="00947054">
        <w:t>(figure</w:t>
      </w:r>
      <w:r w:rsidR="00AA68A5">
        <w:t> </w:t>
      </w:r>
      <w:r w:rsidRPr="00947054">
        <w:t>13.2</w:t>
      </w:r>
      <w:r>
        <w:t>0</w:t>
      </w:r>
      <w:r w:rsidRPr="00947054">
        <w:t>).</w:t>
      </w:r>
    </w:p>
    <w:p w:rsidR="00186DC2" w:rsidRDefault="00186DC2" w:rsidP="00BD35E9">
      <w:pPr>
        <w:pStyle w:val="BodyText"/>
      </w:pPr>
    </w:p>
    <w:p w:rsidR="00A12C8F" w:rsidRDefault="00A12C8F" w:rsidP="00AA43C8">
      <w:pPr>
        <w:pStyle w:val="FigureTitle"/>
        <w:ind w:left="1560" w:hanging="1560"/>
      </w:pPr>
      <w:r w:rsidRPr="00AD1B44">
        <w:rPr>
          <w:b w:val="0"/>
          <w:sz w:val="24"/>
        </w:rPr>
        <w:lastRenderedPageBreak/>
        <w:t xml:space="preserve">Figure </w:t>
      </w:r>
      <w:r w:rsidR="0079398A">
        <w:rPr>
          <w:b w:val="0"/>
          <w:sz w:val="24"/>
        </w:rPr>
        <w:t>13.</w:t>
      </w:r>
      <w:r w:rsidR="00E4728C">
        <w:rPr>
          <w:b w:val="0"/>
          <w:noProof/>
          <w:sz w:val="24"/>
        </w:rPr>
        <w:t>19</w:t>
      </w:r>
      <w:r w:rsidRPr="00AD1B44">
        <w:rPr>
          <w:sz w:val="24"/>
        </w:rPr>
        <w:tab/>
        <w:t>People entering high care residential care within specified time periods of their ACA</w:t>
      </w:r>
      <w:r w:rsidR="00B862B7">
        <w:rPr>
          <w:sz w:val="24"/>
        </w:rPr>
        <w:t>T</w:t>
      </w:r>
      <w:r w:rsidRPr="00AD1B44">
        <w:rPr>
          <w:sz w:val="24"/>
        </w:rPr>
        <w:t xml:space="preserve"> approval, </w:t>
      </w:r>
      <w:r w:rsidR="00714EDC" w:rsidRPr="00AD1B44">
        <w:rPr>
          <w:sz w:val="24"/>
        </w:rPr>
        <w:t>201</w:t>
      </w:r>
      <w:r w:rsidR="007906D6">
        <w:rPr>
          <w:sz w:val="24"/>
        </w:rPr>
        <w:t>2</w:t>
      </w:r>
      <w:r w:rsidR="00AA68A5">
        <w:rPr>
          <w:sz w:val="24"/>
        </w:rPr>
        <w:noBreakHyphen/>
      </w:r>
      <w:r w:rsidR="00714EDC" w:rsidRPr="00AD1B44">
        <w:rPr>
          <w:sz w:val="24"/>
        </w:rPr>
        <w:t>1</w:t>
      </w:r>
      <w:r w:rsidR="007906D6">
        <w:rPr>
          <w:sz w:val="24"/>
        </w:rPr>
        <w:t>3</w:t>
      </w:r>
      <w:r w:rsidRPr="00E01D29">
        <w:rPr>
          <w:rStyle w:val="NoteLabel"/>
          <w:b/>
        </w:rPr>
        <w:t>a</w:t>
      </w:r>
      <w:r w:rsidR="00905536">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4354" w:rsidRPr="00640545" w:rsidTr="00186DC2">
        <w:tc>
          <w:tcPr>
            <w:tcW w:w="8777" w:type="dxa"/>
            <w:tcBorders>
              <w:top w:val="single" w:sz="4" w:space="0" w:color="auto"/>
              <w:bottom w:val="single" w:sz="4" w:space="0" w:color="auto"/>
              <w:right w:val="nil"/>
            </w:tcBorders>
            <w:shd w:val="clear" w:color="auto" w:fill="FFFFFF" w:themeFill="background1"/>
          </w:tcPr>
          <w:p w:rsidR="00C44354" w:rsidRPr="007D40FF" w:rsidRDefault="008018D4" w:rsidP="002435FC">
            <w:pPr>
              <w:pStyle w:val="Figure"/>
            </w:pPr>
            <w:r>
              <w:rPr>
                <w:noProof/>
              </w:rPr>
              <w:drawing>
                <wp:inline distT="0" distB="0" distL="0" distR="0">
                  <wp:extent cx="5391150" cy="2714625"/>
                  <wp:effectExtent l="0" t="0" r="0" b="9525"/>
                  <wp:docPr id="22" name="Picture 22" descr="-Figure 13.19 People entering high care residential care within specified time periods of their ACAT approval,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A12C8F" w:rsidRPr="00186DC2" w:rsidRDefault="00A12C8F" w:rsidP="00186DC2">
      <w:pPr>
        <w:pStyle w:val="Note"/>
      </w:pPr>
      <w:proofErr w:type="spellStart"/>
      <w:r w:rsidRPr="00186DC2">
        <w:rPr>
          <w:rStyle w:val="NoteLabel"/>
        </w:rPr>
        <w:t>a</w:t>
      </w:r>
      <w:proofErr w:type="spellEnd"/>
      <w:r w:rsidRPr="00186DC2">
        <w:t> Includes residential places categorised as high care.</w:t>
      </w:r>
      <w:r w:rsidR="004F7106" w:rsidRPr="00186DC2">
        <w:t xml:space="preserve"> </w:t>
      </w:r>
      <w:r w:rsidR="004F7106" w:rsidRPr="00186DC2">
        <w:rPr>
          <w:rStyle w:val="NoteLabel"/>
        </w:rPr>
        <w:t>b</w:t>
      </w:r>
      <w:r w:rsidR="004F7106" w:rsidRPr="00186DC2">
        <w:t xml:space="preserve"> NT data for people who entered high care residential care within ‘2 days or less’ and ‘7 days or less’ are not published due to small numbers.</w:t>
      </w:r>
    </w:p>
    <w:p w:rsidR="00A12C8F" w:rsidRDefault="00A12C8F" w:rsidP="00C533D9">
      <w:pPr>
        <w:pStyle w:val="Source"/>
        <w:keepNext/>
      </w:pPr>
      <w:r>
        <w:rPr>
          <w:i/>
        </w:rPr>
        <w:t>Source</w:t>
      </w:r>
      <w:r w:rsidRPr="00127B8B">
        <w:t>:</w:t>
      </w:r>
      <w:r>
        <w:rPr>
          <w:i/>
        </w:rPr>
        <w:t xml:space="preserve"> </w:t>
      </w:r>
      <w:proofErr w:type="spellStart"/>
      <w:r w:rsidRPr="00C533D9">
        <w:rPr>
          <w:shd w:val="clear" w:color="auto" w:fill="FFFFFF" w:themeFill="background1"/>
        </w:rPr>
        <w:t>D</w:t>
      </w:r>
      <w:r w:rsidR="00856D96" w:rsidRPr="00C533D9">
        <w:rPr>
          <w:shd w:val="clear" w:color="auto" w:fill="FFFFFF" w:themeFill="background1"/>
        </w:rPr>
        <w:t>SS</w:t>
      </w:r>
      <w:proofErr w:type="spellEnd"/>
      <w:r w:rsidRPr="00C533D9">
        <w:rPr>
          <w:shd w:val="clear" w:color="auto" w:fill="FFFFFF" w:themeFill="background1"/>
        </w:rPr>
        <w:t xml:space="preserve"> </w:t>
      </w:r>
      <w:r>
        <w:t>(unpublished); table</w:t>
      </w:r>
      <w:r w:rsidR="00AA68A5">
        <w:t> </w:t>
      </w:r>
      <w:proofErr w:type="spellStart"/>
      <w:r>
        <w:t>13</w:t>
      </w:r>
      <w:r w:rsidR="005469D4">
        <w:t>A.</w:t>
      </w:r>
      <w:r w:rsidR="007648EB">
        <w:t>66</w:t>
      </w:r>
      <w:proofErr w:type="spellEnd"/>
      <w:r>
        <w:t>.</w:t>
      </w:r>
    </w:p>
    <w:p w:rsidR="00A12C8F" w:rsidRPr="00AD1B44" w:rsidRDefault="00A12C8F" w:rsidP="00AA43C8">
      <w:pPr>
        <w:pStyle w:val="FigureTitle"/>
        <w:ind w:left="1560" w:hanging="1560"/>
        <w:rPr>
          <w:sz w:val="24"/>
        </w:rPr>
      </w:pPr>
      <w:r w:rsidRPr="00AD1B44">
        <w:rPr>
          <w:b w:val="0"/>
          <w:sz w:val="24"/>
        </w:rPr>
        <w:t xml:space="preserve">Figure </w:t>
      </w:r>
      <w:r w:rsidR="00EA6B74">
        <w:rPr>
          <w:b w:val="0"/>
          <w:sz w:val="24"/>
        </w:rPr>
        <w:t>13.</w:t>
      </w:r>
      <w:r w:rsidR="00E4728C">
        <w:rPr>
          <w:b w:val="0"/>
          <w:noProof/>
          <w:sz w:val="24"/>
        </w:rPr>
        <w:t>20</w:t>
      </w:r>
      <w:r w:rsidRPr="00AD1B44">
        <w:rPr>
          <w:sz w:val="24"/>
        </w:rPr>
        <w:tab/>
        <w:t>People commencing a CACP within three months of their ACA</w:t>
      </w:r>
      <w:r w:rsidR="00B862B7">
        <w:rPr>
          <w:sz w:val="24"/>
        </w:rPr>
        <w:t>T</w:t>
      </w:r>
      <w:r w:rsidRPr="00AD1B44">
        <w:rPr>
          <w:sz w:val="24"/>
        </w:rPr>
        <w:t xml:space="preserve"> approval, </w:t>
      </w:r>
      <w:r w:rsidR="00714EDC" w:rsidRPr="00AD1B44">
        <w:rPr>
          <w:sz w:val="24"/>
        </w:rPr>
        <w:t>201</w:t>
      </w:r>
      <w:r w:rsidR="0079398A">
        <w:rPr>
          <w:sz w:val="24"/>
        </w:rPr>
        <w:t>2</w:t>
      </w:r>
      <w:r w:rsidR="00AA68A5">
        <w:rPr>
          <w:sz w:val="24"/>
        </w:rPr>
        <w:noBreakHyphen/>
      </w:r>
      <w:r w:rsidR="00714EDC" w:rsidRPr="00AD1B44">
        <w:rPr>
          <w:sz w:val="24"/>
        </w:rPr>
        <w:t>1</w:t>
      </w:r>
      <w:r w:rsidR="0079398A">
        <w:rPr>
          <w:sz w:val="24"/>
        </w:rPr>
        <w:t>3</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C44354" w:rsidRPr="00640545" w:rsidTr="00E74698">
        <w:tc>
          <w:tcPr>
            <w:tcW w:w="8777" w:type="dxa"/>
            <w:tcBorders>
              <w:top w:val="single" w:sz="6" w:space="0" w:color="auto"/>
              <w:bottom w:val="single" w:sz="6" w:space="0" w:color="auto"/>
              <w:right w:val="nil"/>
            </w:tcBorders>
          </w:tcPr>
          <w:p w:rsidR="00C44354" w:rsidRPr="007D40FF" w:rsidRDefault="008018D4" w:rsidP="002435FC">
            <w:pPr>
              <w:pStyle w:val="Figure"/>
            </w:pPr>
            <w:r>
              <w:rPr>
                <w:noProof/>
              </w:rPr>
              <w:drawing>
                <wp:inline distT="0" distB="0" distL="0" distR="0">
                  <wp:extent cx="5391150" cy="2714625"/>
                  <wp:effectExtent l="0" t="0" r="0" b="9525"/>
                  <wp:docPr id="23" name="Picture 23" descr="Figure 13.20 People commencing a CACP within three months of their ACAT approval, 2012 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A12C8F" w:rsidRDefault="00A12C8F" w:rsidP="002501A2">
      <w:pPr>
        <w:pStyle w:val="Source"/>
      </w:pPr>
      <w:r>
        <w:rPr>
          <w:i/>
        </w:rPr>
        <w:t>Source</w:t>
      </w:r>
      <w:r>
        <w:t xml:space="preserve">: </w:t>
      </w:r>
      <w:proofErr w:type="spellStart"/>
      <w:r w:rsidRPr="00F2055D">
        <w:rPr>
          <w:shd w:val="clear" w:color="auto" w:fill="FFFFFF" w:themeFill="background1"/>
        </w:rPr>
        <w:t>D</w:t>
      </w:r>
      <w:r w:rsidR="00520EF3" w:rsidRPr="00F2055D">
        <w:rPr>
          <w:shd w:val="clear" w:color="auto" w:fill="FFFFFF" w:themeFill="background1"/>
        </w:rPr>
        <w:t>SS</w:t>
      </w:r>
      <w:proofErr w:type="spellEnd"/>
      <w:r w:rsidRPr="00F2055D">
        <w:rPr>
          <w:shd w:val="clear" w:color="auto" w:fill="FFFFFF" w:themeFill="background1"/>
        </w:rPr>
        <w:t xml:space="preserve"> (unpublished</w:t>
      </w:r>
      <w:r>
        <w:t>); table</w:t>
      </w:r>
      <w:r w:rsidR="00AA68A5">
        <w:t> </w:t>
      </w:r>
      <w:proofErr w:type="spellStart"/>
      <w:r>
        <w:t>13</w:t>
      </w:r>
      <w:r w:rsidR="005469D4">
        <w:t>A.</w:t>
      </w:r>
      <w:r w:rsidR="00856D96">
        <w:t>66</w:t>
      </w:r>
      <w:proofErr w:type="spellEnd"/>
      <w:r>
        <w:t>.</w:t>
      </w:r>
    </w:p>
    <w:p w:rsidR="00A12C8F" w:rsidRDefault="00A12C8F" w:rsidP="002501A2">
      <w:pPr>
        <w:pStyle w:val="Heading4"/>
      </w:pPr>
      <w:r>
        <w:lastRenderedPageBreak/>
        <w:t xml:space="preserve">Effectiveness — appropriateness </w:t>
      </w:r>
    </w:p>
    <w:p w:rsidR="00A12C8F" w:rsidRDefault="00A12C8F" w:rsidP="0085088E">
      <w:pPr>
        <w:pStyle w:val="Heading5"/>
        <w:shd w:val="clear" w:color="auto" w:fill="FFFFFF" w:themeFill="background1"/>
      </w:pPr>
      <w:r w:rsidRPr="008242EB">
        <w:rPr>
          <w:shd w:val="clear" w:color="auto" w:fill="FFFFFF" w:themeFill="background1"/>
        </w:rPr>
        <w:t>Assessed long</w:t>
      </w:r>
      <w:r w:rsidR="00AA68A5">
        <w:rPr>
          <w:shd w:val="clear" w:color="auto" w:fill="FFFFFF" w:themeFill="background1"/>
        </w:rPr>
        <w:noBreakHyphen/>
      </w:r>
      <w:r w:rsidRPr="008242EB">
        <w:rPr>
          <w:shd w:val="clear" w:color="auto" w:fill="FFFFFF" w:themeFill="background1"/>
        </w:rPr>
        <w:t>term care arrangements</w:t>
      </w:r>
    </w:p>
    <w:p w:rsidR="00A12C8F" w:rsidRDefault="00A12C8F" w:rsidP="0085088E">
      <w:pPr>
        <w:pStyle w:val="BodyText"/>
      </w:pPr>
      <w:r>
        <w:t xml:space="preserve">‘Assessed </w:t>
      </w:r>
      <w:r w:rsidRPr="00F2055D">
        <w:rPr>
          <w:shd w:val="clear" w:color="auto" w:fill="FFFFFF" w:themeFill="background1"/>
        </w:rPr>
        <w:t>long</w:t>
      </w:r>
      <w:r w:rsidR="00AA68A5">
        <w:rPr>
          <w:shd w:val="clear" w:color="auto" w:fill="FFFFFF" w:themeFill="background1"/>
        </w:rPr>
        <w:noBreakHyphen/>
      </w:r>
      <w:r w:rsidRPr="00F2055D">
        <w:rPr>
          <w:shd w:val="clear" w:color="auto" w:fill="FFFFFF" w:themeFill="background1"/>
        </w:rPr>
        <w:t>term</w:t>
      </w:r>
      <w:r>
        <w:t xml:space="preserve"> care arrangements’ is an indicator of governments’ objective to meet clients’ needs through provision of appropriate aged care services (box 13.</w:t>
      </w:r>
      <w:r w:rsidR="007F5120">
        <w:t>6</w:t>
      </w:r>
      <w:r>
        <w:t xml:space="preserve">). </w:t>
      </w:r>
    </w:p>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09458F">
        <w:tc>
          <w:tcPr>
            <w:tcW w:w="8771" w:type="dxa"/>
            <w:tcBorders>
              <w:top w:val="single" w:sz="6" w:space="0" w:color="auto"/>
              <w:bottom w:val="nil"/>
              <w:right w:val="single" w:sz="4" w:space="0" w:color="auto"/>
            </w:tcBorders>
          </w:tcPr>
          <w:p w:rsidR="00A12C8F" w:rsidRPr="00AD1B44" w:rsidRDefault="00A12C8F" w:rsidP="00D63340">
            <w:pPr>
              <w:pStyle w:val="BoxTitle"/>
              <w:rPr>
                <w:sz w:val="24"/>
              </w:rPr>
            </w:pPr>
            <w:r w:rsidRPr="00AD1B44">
              <w:rPr>
                <w:b w:val="0"/>
                <w:sz w:val="24"/>
              </w:rPr>
              <w:t xml:space="preserve">Box </w:t>
            </w:r>
            <w:r w:rsidR="007F5120">
              <w:rPr>
                <w:b w:val="0"/>
                <w:sz w:val="24"/>
              </w:rPr>
              <w:t>13.</w:t>
            </w:r>
            <w:r w:rsidR="00E4728C">
              <w:rPr>
                <w:b w:val="0"/>
                <w:noProof/>
                <w:sz w:val="24"/>
              </w:rPr>
              <w:t>6</w:t>
            </w:r>
            <w:r w:rsidRPr="00AD1B44">
              <w:rPr>
                <w:sz w:val="24"/>
              </w:rPr>
              <w:tab/>
            </w:r>
            <w:r w:rsidR="00315037" w:rsidRPr="00315037">
              <w:rPr>
                <w:sz w:val="24"/>
              </w:rPr>
              <w:t xml:space="preserve">Assessed </w:t>
            </w:r>
            <w:r w:rsidR="00315037" w:rsidRPr="00F2055D">
              <w:rPr>
                <w:sz w:val="24"/>
                <w:shd w:val="clear" w:color="auto" w:fill="FFFFFF" w:themeFill="background1"/>
              </w:rPr>
              <w:t>long</w:t>
            </w:r>
            <w:r w:rsidR="00AA68A5">
              <w:rPr>
                <w:sz w:val="24"/>
                <w:shd w:val="clear" w:color="auto" w:fill="FFFFFF" w:themeFill="background1"/>
              </w:rPr>
              <w:noBreakHyphen/>
            </w:r>
            <w:r w:rsidR="00315037" w:rsidRPr="00F2055D">
              <w:rPr>
                <w:sz w:val="24"/>
                <w:shd w:val="clear" w:color="auto" w:fill="FFFFFF" w:themeFill="background1"/>
              </w:rPr>
              <w:t>term</w:t>
            </w:r>
            <w:r w:rsidR="00315037" w:rsidRPr="00315037">
              <w:rPr>
                <w:sz w:val="24"/>
              </w:rPr>
              <w:t xml:space="preserve"> care arrangements</w:t>
            </w:r>
          </w:p>
        </w:tc>
      </w:tr>
      <w:tr w:rsidR="00A12C8F" w:rsidTr="0009458F">
        <w:trPr>
          <w:cantSplit/>
        </w:trPr>
        <w:tc>
          <w:tcPr>
            <w:tcW w:w="8771" w:type="dxa"/>
            <w:tcBorders>
              <w:top w:val="nil"/>
              <w:left w:val="single" w:sz="6" w:space="0" w:color="auto"/>
              <w:bottom w:val="nil"/>
              <w:right w:val="single" w:sz="6" w:space="0" w:color="auto"/>
            </w:tcBorders>
          </w:tcPr>
          <w:p w:rsidR="00A12C8F" w:rsidRPr="001E323F" w:rsidRDefault="00A12C8F" w:rsidP="00F2055D">
            <w:pPr>
              <w:pStyle w:val="Box"/>
            </w:pPr>
            <w:bookmarkStart w:id="99" w:name="OLE_LINK8"/>
            <w:bookmarkStart w:id="100" w:name="OLE_LINK23"/>
            <w:r>
              <w:t>‘</w:t>
            </w:r>
            <w:r w:rsidRPr="00F2055D">
              <w:rPr>
                <w:shd w:val="clear" w:color="auto" w:fill="FFFFFF" w:themeFill="background1"/>
              </w:rPr>
              <w:t>Assessed long</w:t>
            </w:r>
            <w:r w:rsidR="00AA68A5">
              <w:rPr>
                <w:shd w:val="clear" w:color="auto" w:fill="FFFFFF" w:themeFill="background1"/>
              </w:rPr>
              <w:noBreakHyphen/>
            </w:r>
            <w:r w:rsidRPr="00F2055D">
              <w:rPr>
                <w:shd w:val="clear" w:color="auto" w:fill="FFFFFF" w:themeFill="background1"/>
              </w:rPr>
              <w:t>term care arrangements’ is defined as the proportions of ACA</w:t>
            </w:r>
            <w:r w:rsidR="003F3D0A" w:rsidRPr="00F2055D">
              <w:rPr>
                <w:shd w:val="clear" w:color="auto" w:fill="FFFFFF" w:themeFill="background1"/>
              </w:rPr>
              <w:t>T</w:t>
            </w:r>
            <w:r w:rsidRPr="00F2055D">
              <w:rPr>
                <w:shd w:val="clear" w:color="auto" w:fill="FFFFFF" w:themeFill="background1"/>
              </w:rPr>
              <w:t xml:space="preserve"> clients </w:t>
            </w:r>
            <w:r w:rsidR="001E323F" w:rsidRPr="00F2055D">
              <w:rPr>
                <w:shd w:val="clear" w:color="auto" w:fill="FFFFFF" w:themeFill="background1"/>
              </w:rPr>
              <w:t xml:space="preserve">recommended to reside in the community (private residence or other community), or in residential care (high or low level), or </w:t>
            </w:r>
            <w:r w:rsidR="004D7909" w:rsidRPr="00F2055D">
              <w:rPr>
                <w:shd w:val="clear" w:color="auto" w:fill="FFFFFF" w:themeFill="background1"/>
              </w:rPr>
              <w:t>in an</w:t>
            </w:r>
            <w:r w:rsidR="001E323F" w:rsidRPr="00F2055D">
              <w:rPr>
                <w:shd w:val="clear" w:color="auto" w:fill="FFFFFF" w:themeFill="background1"/>
              </w:rPr>
              <w:t xml:space="preserve">other location (such as, </w:t>
            </w:r>
            <w:r w:rsidR="008C0574" w:rsidRPr="00F2055D">
              <w:rPr>
                <w:shd w:val="clear" w:color="auto" w:fill="FFFFFF" w:themeFill="background1"/>
              </w:rPr>
              <w:t>other institutional care</w:t>
            </w:r>
            <w:r w:rsidR="001E323F" w:rsidRPr="00F2055D">
              <w:rPr>
                <w:shd w:val="clear" w:color="auto" w:fill="FFFFFF" w:themeFill="background1"/>
              </w:rPr>
              <w:t xml:space="preserve">) or </w:t>
            </w:r>
            <w:r w:rsidR="00BE0E0C" w:rsidRPr="00F2055D">
              <w:rPr>
                <w:shd w:val="clear" w:color="auto" w:fill="FFFFFF" w:themeFill="background1"/>
              </w:rPr>
              <w:t>for clients whom ACATs d</w:t>
            </w:r>
            <w:r w:rsidR="00FB1EC1" w:rsidRPr="00F2055D">
              <w:rPr>
                <w:shd w:val="clear" w:color="auto" w:fill="FFFFFF" w:themeFill="background1"/>
              </w:rPr>
              <w:t>id not make a recommendation for long</w:t>
            </w:r>
            <w:r w:rsidR="00AA68A5">
              <w:rPr>
                <w:shd w:val="clear" w:color="auto" w:fill="FFFFFF" w:themeFill="background1"/>
              </w:rPr>
              <w:noBreakHyphen/>
            </w:r>
            <w:r w:rsidR="00FB1EC1" w:rsidRPr="00F2055D">
              <w:rPr>
                <w:shd w:val="clear" w:color="auto" w:fill="FFFFFF" w:themeFill="background1"/>
              </w:rPr>
              <w:t xml:space="preserve">term </w:t>
            </w:r>
            <w:r w:rsidR="004651D0" w:rsidRPr="00F2055D">
              <w:rPr>
                <w:shd w:val="clear" w:color="auto" w:fill="FFFFFF" w:themeFill="background1"/>
              </w:rPr>
              <w:t>care</w:t>
            </w:r>
            <w:r w:rsidR="00FB1EC1" w:rsidRPr="00F2055D">
              <w:rPr>
                <w:shd w:val="clear" w:color="auto" w:fill="FFFFFF" w:themeFill="background1"/>
              </w:rPr>
              <w:t xml:space="preserve"> arrangements</w:t>
            </w:r>
            <w:r w:rsidR="00BE0E0C" w:rsidRPr="00F2055D">
              <w:rPr>
                <w:shd w:val="clear" w:color="auto" w:fill="FFFFFF" w:themeFill="background1"/>
              </w:rPr>
              <w:t xml:space="preserve"> for reasons such as death</w:t>
            </w:r>
            <w:r w:rsidR="003C6EB0" w:rsidRPr="00F2055D">
              <w:rPr>
                <w:shd w:val="clear" w:color="auto" w:fill="FFFFFF" w:themeFill="background1"/>
              </w:rPr>
              <w:t>, transfer</w:t>
            </w:r>
            <w:r w:rsidR="00BE0E0C" w:rsidRPr="00F2055D">
              <w:rPr>
                <w:shd w:val="clear" w:color="auto" w:fill="FFFFFF" w:themeFill="background1"/>
              </w:rPr>
              <w:t xml:space="preserve"> or cancellation. </w:t>
            </w:r>
            <w:r w:rsidR="001E323F" w:rsidRPr="00F2055D">
              <w:rPr>
                <w:shd w:val="clear" w:color="auto" w:fill="FFFFFF" w:themeFill="background1"/>
              </w:rPr>
              <w:t>A recommendation does not mean that the person will be approved for the care recommended, and an approval does not mean that the person will take up the care approved.</w:t>
            </w:r>
            <w:r w:rsidR="00BE0FD5" w:rsidRPr="00F2055D">
              <w:rPr>
                <w:shd w:val="clear" w:color="auto" w:fill="FFFFFF" w:themeFill="background1"/>
              </w:rPr>
              <w:t xml:space="preserve"> A</w:t>
            </w:r>
            <w:r w:rsidRPr="00F2055D">
              <w:rPr>
                <w:shd w:val="clear" w:color="auto" w:fill="FFFFFF" w:themeFill="background1"/>
              </w:rPr>
              <w:t>ged care assessments are mandatory for admission to Australian Government subsidised residential care or for receipt of a CACP, EACH, EACH</w:t>
            </w:r>
            <w:r w:rsidR="00AA68A5">
              <w:rPr>
                <w:shd w:val="clear" w:color="auto" w:fill="FFFFFF" w:themeFill="background1"/>
              </w:rPr>
              <w:noBreakHyphen/>
            </w:r>
            <w:r w:rsidRPr="00F2055D">
              <w:rPr>
                <w:shd w:val="clear" w:color="auto" w:fill="FFFFFF" w:themeFill="background1"/>
              </w:rPr>
              <w:t>D or TCP package</w:t>
            </w:r>
            <w:r w:rsidRPr="001E323F">
              <w:t xml:space="preserve">. </w:t>
            </w:r>
          </w:p>
          <w:bookmarkEnd w:id="99"/>
          <w:bookmarkEnd w:id="100"/>
          <w:p w:rsidR="00A12C8F" w:rsidRDefault="00A12C8F" w:rsidP="002501A2">
            <w:pPr>
              <w:pStyle w:val="Box"/>
            </w:pPr>
            <w:r>
              <w:t xml:space="preserve">High or increasing proportions of clients </w:t>
            </w:r>
            <w:r w:rsidR="002717EB">
              <w:t xml:space="preserve">recommended to </w:t>
            </w:r>
            <w:r>
              <w:t xml:space="preserve">remain in the community </w:t>
            </w:r>
            <w:r w:rsidR="004D7909">
              <w:t xml:space="preserve">(assuming this is appropriate) </w:t>
            </w:r>
            <w:r>
              <w:t>are desirable.</w:t>
            </w:r>
          </w:p>
          <w:p w:rsidR="00A12C8F" w:rsidRDefault="00A12C8F" w:rsidP="00F2055D">
            <w:pPr>
              <w:pStyle w:val="Box"/>
            </w:pPr>
            <w:r>
              <w:t xml:space="preserve">The results for this indicator show the distribution of </w:t>
            </w:r>
            <w:r w:rsidR="004651D0" w:rsidRPr="00F2055D">
              <w:rPr>
                <w:shd w:val="clear" w:color="auto" w:fill="FFFFFF" w:themeFill="background1"/>
              </w:rPr>
              <w:t>long</w:t>
            </w:r>
            <w:r w:rsidR="00AA68A5">
              <w:rPr>
                <w:shd w:val="clear" w:color="auto" w:fill="FFFFFF" w:themeFill="background1"/>
              </w:rPr>
              <w:noBreakHyphen/>
            </w:r>
            <w:r w:rsidR="004651D0" w:rsidRPr="00F2055D">
              <w:rPr>
                <w:shd w:val="clear" w:color="auto" w:fill="FFFFFF" w:themeFill="background1"/>
              </w:rPr>
              <w:t>term care arrangements</w:t>
            </w:r>
            <w:r w:rsidR="004651D0" w:rsidRPr="004651D0">
              <w:t xml:space="preserve"> </w:t>
            </w:r>
            <w:r>
              <w:t>of ACA</w:t>
            </w:r>
            <w:r w:rsidR="003F3D0A">
              <w:t>T</w:t>
            </w:r>
            <w:r>
              <w:t xml:space="preserve"> clients in each jurisdiction. Differences in recommendations across jurisdictions </w:t>
            </w:r>
            <w:r w:rsidR="004D7909">
              <w:t>can</w:t>
            </w:r>
            <w:r>
              <w:t xml:space="preserve"> reflect external factors such as geographic dispersion of clients and service availability, but also views on the types of client best served by community</w:t>
            </w:r>
            <w:r w:rsidR="00AA68A5">
              <w:noBreakHyphen/>
            </w:r>
            <w:r>
              <w:t>based services</w:t>
            </w:r>
            <w:r w:rsidR="004651D0">
              <w:t xml:space="preserve"> and client preferences</w:t>
            </w:r>
            <w:r>
              <w:t>. The distribution of ACA</w:t>
            </w:r>
            <w:r w:rsidR="003F3D0A">
              <w:t>T</w:t>
            </w:r>
            <w:r>
              <w:t xml:space="preserve"> recommendations for various </w:t>
            </w:r>
            <w:r w:rsidR="0009458F">
              <w:t>care</w:t>
            </w:r>
            <w:r>
              <w:t xml:space="preserve"> arrangements are influenced by the degree to which any pre</w:t>
            </w:r>
            <w:r w:rsidR="00AA68A5">
              <w:noBreakHyphen/>
            </w:r>
            <w:r>
              <w:t xml:space="preserve">selection process refers people requiring residential care to </w:t>
            </w:r>
            <w:r w:rsidR="007D7DEC">
              <w:t xml:space="preserve">an </w:t>
            </w:r>
            <w:r>
              <w:t xml:space="preserve">ACAT for </w:t>
            </w:r>
            <w:r w:rsidR="007D7DEC">
              <w:t xml:space="preserve">an </w:t>
            </w:r>
            <w:r>
              <w:t xml:space="preserve">assessment. </w:t>
            </w:r>
          </w:p>
          <w:p w:rsidR="00857E45" w:rsidRDefault="00857E45" w:rsidP="00857E45">
            <w:pPr>
              <w:pStyle w:val="Box"/>
            </w:pPr>
            <w:r w:rsidRPr="008573A9">
              <w:t>Data reported for this indicator are</w:t>
            </w:r>
            <w:r>
              <w:t>:</w:t>
            </w:r>
          </w:p>
          <w:p w:rsidR="00857E45" w:rsidRDefault="00857E45" w:rsidP="00857E45">
            <w:pPr>
              <w:pStyle w:val="BoxListBullet"/>
              <w:spacing w:before="60"/>
            </w:pPr>
            <w:r w:rsidRPr="002825E5">
              <w:rPr>
                <w:lang w:eastAsia="en-US"/>
              </w:rPr>
              <w:t>comparable</w:t>
            </w:r>
            <w:r w:rsidRPr="008573A9">
              <w:t xml:space="preserve"> (subject to caveats) across jurisdictions and over time</w:t>
            </w:r>
          </w:p>
          <w:p w:rsidR="00A12C8F" w:rsidRDefault="00857E45" w:rsidP="002501A2">
            <w:pPr>
              <w:pStyle w:val="BoxListBullet"/>
              <w:spacing w:before="60"/>
            </w:pPr>
            <w:r w:rsidRPr="008573A9">
              <w:t xml:space="preserve">complete for the current reporting period (subject to caveats). All required </w:t>
            </w:r>
            <w:r>
              <w:t>201</w:t>
            </w:r>
            <w:r w:rsidR="00347EA5">
              <w:t>1</w:t>
            </w:r>
            <w:r w:rsidR="00AA68A5">
              <w:noBreakHyphen/>
            </w:r>
            <w:r>
              <w:t>1</w:t>
            </w:r>
            <w:r w:rsidR="00347EA5">
              <w:t xml:space="preserve">2 </w:t>
            </w:r>
            <w:r w:rsidRPr="008573A9">
              <w:t xml:space="preserve">data are </w:t>
            </w:r>
            <w:r>
              <w:t>available for all jurisdictions.</w:t>
            </w:r>
          </w:p>
          <w:p w:rsidR="00C230F1" w:rsidRDefault="00C230F1" w:rsidP="002501A2">
            <w:pPr>
              <w:pStyle w:val="Box"/>
            </w:pPr>
            <w:r w:rsidRPr="000A26F9">
              <w:t>Data quality information for this indicator is under development.</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7906D6" w:rsidRPr="0079398A" w:rsidRDefault="00A12C8F" w:rsidP="00F2055D">
      <w:pPr>
        <w:pStyle w:val="BodyText"/>
        <w:shd w:val="clear" w:color="auto" w:fill="FFFFFF" w:themeFill="background1"/>
      </w:pPr>
      <w:r w:rsidRPr="00640545">
        <w:t xml:space="preserve">The national </w:t>
      </w:r>
      <w:r w:rsidRPr="00F2055D">
        <w:rPr>
          <w:shd w:val="clear" w:color="auto" w:fill="FFFFFF" w:themeFill="background1"/>
        </w:rPr>
        <w:t>proportion of ACA</w:t>
      </w:r>
      <w:r w:rsidR="00F54F3D" w:rsidRPr="00F2055D">
        <w:rPr>
          <w:shd w:val="clear" w:color="auto" w:fill="FFFFFF" w:themeFill="background1"/>
        </w:rPr>
        <w:t>T</w:t>
      </w:r>
      <w:r w:rsidRPr="00F2055D">
        <w:rPr>
          <w:shd w:val="clear" w:color="auto" w:fill="FFFFFF" w:themeFill="background1"/>
        </w:rPr>
        <w:t xml:space="preserve"> clients </w:t>
      </w:r>
      <w:r w:rsidR="00FB1EC1" w:rsidRPr="00F2055D">
        <w:rPr>
          <w:shd w:val="clear" w:color="auto" w:fill="FFFFFF" w:themeFill="background1"/>
        </w:rPr>
        <w:t xml:space="preserve">recommended </w:t>
      </w:r>
      <w:r w:rsidRPr="00F2055D">
        <w:rPr>
          <w:shd w:val="clear" w:color="auto" w:fill="FFFFFF" w:themeFill="background1"/>
        </w:rPr>
        <w:t xml:space="preserve">for residential care in </w:t>
      </w:r>
      <w:r w:rsidR="00FB1EC1" w:rsidRPr="00F2055D">
        <w:rPr>
          <w:shd w:val="clear" w:color="auto" w:fill="FFFFFF" w:themeFill="background1"/>
        </w:rPr>
        <w:br/>
      </w:r>
      <w:r w:rsidR="00D02010" w:rsidRPr="00F2055D">
        <w:rPr>
          <w:shd w:val="clear" w:color="auto" w:fill="FFFFFF" w:themeFill="background1"/>
        </w:rPr>
        <w:t>2011</w:t>
      </w:r>
      <w:r w:rsidR="00AA68A5">
        <w:rPr>
          <w:shd w:val="clear" w:color="auto" w:fill="FFFFFF" w:themeFill="background1"/>
        </w:rPr>
        <w:noBreakHyphen/>
      </w:r>
      <w:r w:rsidR="00D02010" w:rsidRPr="00F2055D">
        <w:rPr>
          <w:shd w:val="clear" w:color="auto" w:fill="FFFFFF" w:themeFill="background1"/>
        </w:rPr>
        <w:t xml:space="preserve">12 </w:t>
      </w:r>
      <w:r w:rsidRPr="00F2055D">
        <w:rPr>
          <w:shd w:val="clear" w:color="auto" w:fill="FFFFFF" w:themeFill="background1"/>
        </w:rPr>
        <w:t xml:space="preserve">was </w:t>
      </w:r>
      <w:r w:rsidR="00FB1EC1" w:rsidRPr="00F2055D">
        <w:rPr>
          <w:shd w:val="clear" w:color="auto" w:fill="FFFFFF" w:themeFill="background1"/>
        </w:rPr>
        <w:t>37.1</w:t>
      </w:r>
      <w:r w:rsidR="0079398A" w:rsidRPr="00F2055D">
        <w:rPr>
          <w:shd w:val="clear" w:color="auto" w:fill="FFFFFF" w:themeFill="background1"/>
        </w:rPr>
        <w:t xml:space="preserve"> </w:t>
      </w:r>
      <w:r w:rsidRPr="00F2055D">
        <w:rPr>
          <w:shd w:val="clear" w:color="auto" w:fill="FFFFFF" w:themeFill="background1"/>
        </w:rPr>
        <w:t xml:space="preserve">per cent and the proportion recommended to remain in the community was </w:t>
      </w:r>
      <w:r w:rsidR="00FB1EC1" w:rsidRPr="00F2055D">
        <w:rPr>
          <w:shd w:val="clear" w:color="auto" w:fill="FFFFFF" w:themeFill="background1"/>
        </w:rPr>
        <w:t>50.7</w:t>
      </w:r>
      <w:r w:rsidR="00AC79E1" w:rsidRPr="00F2055D">
        <w:rPr>
          <w:shd w:val="clear" w:color="auto" w:fill="FFFFFF" w:themeFill="background1"/>
        </w:rPr>
        <w:t xml:space="preserve"> </w:t>
      </w:r>
      <w:r w:rsidRPr="00F2055D">
        <w:rPr>
          <w:shd w:val="clear" w:color="auto" w:fill="FFFFFF" w:themeFill="background1"/>
        </w:rPr>
        <w:t>per cent (</w:t>
      </w:r>
      <w:r w:rsidR="00230AC7" w:rsidRPr="00F2055D">
        <w:rPr>
          <w:shd w:val="clear" w:color="auto" w:fill="FFFFFF" w:themeFill="background1"/>
        </w:rPr>
        <w:t>figure</w:t>
      </w:r>
      <w:r w:rsidR="00AA68A5">
        <w:rPr>
          <w:shd w:val="clear" w:color="auto" w:fill="FFFFFF" w:themeFill="background1"/>
        </w:rPr>
        <w:t> </w:t>
      </w:r>
      <w:r w:rsidR="00230AC7" w:rsidRPr="00F2055D">
        <w:rPr>
          <w:shd w:val="clear" w:color="auto" w:fill="FFFFFF" w:themeFill="background1"/>
        </w:rPr>
        <w:t>13.2</w:t>
      </w:r>
      <w:r w:rsidR="0079398A" w:rsidRPr="00F2055D">
        <w:rPr>
          <w:shd w:val="clear" w:color="auto" w:fill="FFFFFF" w:themeFill="background1"/>
        </w:rPr>
        <w:t>1</w:t>
      </w:r>
      <w:r w:rsidRPr="00F2055D">
        <w:rPr>
          <w:shd w:val="clear" w:color="auto" w:fill="FFFFFF" w:themeFill="background1"/>
        </w:rPr>
        <w:t xml:space="preserve">). </w:t>
      </w:r>
      <w:r w:rsidR="00347EA5" w:rsidRPr="00F2055D">
        <w:rPr>
          <w:shd w:val="clear" w:color="auto" w:fill="FFFFFF" w:themeFill="background1"/>
        </w:rPr>
        <w:t xml:space="preserve">The </w:t>
      </w:r>
      <w:r w:rsidR="00FB1EC1" w:rsidRPr="00F2055D">
        <w:rPr>
          <w:shd w:val="clear" w:color="auto" w:fill="FFFFFF" w:themeFill="background1"/>
        </w:rPr>
        <w:t>remaining 12.2 per cent</w:t>
      </w:r>
      <w:r w:rsidR="00347EA5" w:rsidRPr="00F2055D">
        <w:rPr>
          <w:shd w:val="clear" w:color="auto" w:fill="FFFFFF" w:themeFill="background1"/>
        </w:rPr>
        <w:t xml:space="preserve"> </w:t>
      </w:r>
      <w:r w:rsidR="00FB1EC1" w:rsidRPr="00F2055D">
        <w:rPr>
          <w:shd w:val="clear" w:color="auto" w:fill="FFFFFF" w:themeFill="background1"/>
        </w:rPr>
        <w:t xml:space="preserve">comprise those for whom the recommendation was another location (for example, </w:t>
      </w:r>
      <w:r w:rsidR="008C0574" w:rsidRPr="00F2055D">
        <w:rPr>
          <w:shd w:val="clear" w:color="auto" w:fill="FFFFFF" w:themeFill="background1"/>
        </w:rPr>
        <w:t>other institutional care</w:t>
      </w:r>
      <w:r w:rsidR="00FB1EC1" w:rsidRPr="00F2055D">
        <w:rPr>
          <w:shd w:val="clear" w:color="auto" w:fill="FFFFFF" w:themeFill="background1"/>
        </w:rPr>
        <w:t xml:space="preserve">) or </w:t>
      </w:r>
      <w:r w:rsidR="00047601" w:rsidRPr="00F2055D">
        <w:rPr>
          <w:shd w:val="clear" w:color="auto" w:fill="FFFFFF" w:themeFill="background1"/>
        </w:rPr>
        <w:t xml:space="preserve">for whom reasons such as death, transfer or cancellation meant that </w:t>
      </w:r>
      <w:r w:rsidR="00FB1EC1" w:rsidRPr="00F2055D">
        <w:rPr>
          <w:shd w:val="clear" w:color="auto" w:fill="FFFFFF" w:themeFill="background1"/>
        </w:rPr>
        <w:t xml:space="preserve">no recommendation for </w:t>
      </w:r>
      <w:r w:rsidR="008C0574" w:rsidRPr="00F2055D">
        <w:rPr>
          <w:shd w:val="clear" w:color="auto" w:fill="FFFFFF" w:themeFill="background1"/>
        </w:rPr>
        <w:t>long</w:t>
      </w:r>
      <w:r w:rsidR="00AA68A5">
        <w:rPr>
          <w:shd w:val="clear" w:color="auto" w:fill="FFFFFF" w:themeFill="background1"/>
        </w:rPr>
        <w:noBreakHyphen/>
      </w:r>
      <w:r w:rsidR="008C0574" w:rsidRPr="00F2055D">
        <w:rPr>
          <w:shd w:val="clear" w:color="auto" w:fill="FFFFFF" w:themeFill="background1"/>
        </w:rPr>
        <w:t>term care</w:t>
      </w:r>
      <w:r w:rsidR="00FB1EC1" w:rsidRPr="00F2055D">
        <w:rPr>
          <w:shd w:val="clear" w:color="auto" w:fill="FFFFFF" w:themeFill="background1"/>
        </w:rPr>
        <w:t xml:space="preserve"> arrangements </w:t>
      </w:r>
      <w:r w:rsidR="00FB1EC1">
        <w:t>was made.</w:t>
      </w:r>
    </w:p>
    <w:p w:rsidR="00A12C8F" w:rsidRPr="00640545" w:rsidRDefault="00A12C8F" w:rsidP="0085088E">
      <w:pPr>
        <w:pStyle w:val="FigureTitle"/>
        <w:shd w:val="clear" w:color="auto" w:fill="FFFFFF" w:themeFill="background1"/>
        <w:ind w:left="1560" w:hanging="1560"/>
      </w:pPr>
      <w:r w:rsidRPr="00AD1B44">
        <w:rPr>
          <w:b w:val="0"/>
          <w:sz w:val="24"/>
        </w:rPr>
        <w:lastRenderedPageBreak/>
        <w:t xml:space="preserve">Figure </w:t>
      </w:r>
      <w:r w:rsidR="00EA6B74">
        <w:rPr>
          <w:b w:val="0"/>
          <w:sz w:val="24"/>
        </w:rPr>
        <w:t>13.</w:t>
      </w:r>
      <w:r w:rsidR="00E4728C">
        <w:rPr>
          <w:b w:val="0"/>
          <w:noProof/>
          <w:sz w:val="24"/>
        </w:rPr>
        <w:t>21</w:t>
      </w:r>
      <w:r w:rsidRPr="00AD1B44">
        <w:rPr>
          <w:sz w:val="24"/>
        </w:rPr>
        <w:tab/>
        <w:t xml:space="preserve">Recommended </w:t>
      </w:r>
      <w:r w:rsidRPr="00F2055D">
        <w:rPr>
          <w:sz w:val="24"/>
          <w:shd w:val="clear" w:color="auto" w:fill="FFFFFF" w:themeFill="background1"/>
        </w:rPr>
        <w:t>long</w:t>
      </w:r>
      <w:r w:rsidR="00AA68A5">
        <w:rPr>
          <w:sz w:val="24"/>
          <w:shd w:val="clear" w:color="auto" w:fill="FFFFFF" w:themeFill="background1"/>
        </w:rPr>
        <w:noBreakHyphen/>
      </w:r>
      <w:r w:rsidRPr="00F2055D">
        <w:rPr>
          <w:sz w:val="24"/>
          <w:shd w:val="clear" w:color="auto" w:fill="FFFFFF" w:themeFill="background1"/>
        </w:rPr>
        <w:t xml:space="preserve">term </w:t>
      </w:r>
      <w:r w:rsidR="008C0574" w:rsidRPr="00F2055D">
        <w:rPr>
          <w:sz w:val="24"/>
          <w:shd w:val="clear" w:color="auto" w:fill="FFFFFF" w:themeFill="background1"/>
        </w:rPr>
        <w:t>care</w:t>
      </w:r>
      <w:r w:rsidRPr="00F2055D">
        <w:rPr>
          <w:sz w:val="24"/>
          <w:shd w:val="clear" w:color="auto" w:fill="FFFFFF" w:themeFill="background1"/>
        </w:rPr>
        <w:t xml:space="preserve"> arrangements of ACA</w:t>
      </w:r>
      <w:r w:rsidR="00F54F3D" w:rsidRPr="00F2055D">
        <w:rPr>
          <w:sz w:val="24"/>
          <w:shd w:val="clear" w:color="auto" w:fill="FFFFFF" w:themeFill="background1"/>
        </w:rPr>
        <w:t>T</w:t>
      </w:r>
      <w:r w:rsidRPr="0085088E">
        <w:t xml:space="preserve"> </w:t>
      </w:r>
      <w:r w:rsidRPr="00AD1B44">
        <w:rPr>
          <w:sz w:val="24"/>
        </w:rPr>
        <w:t xml:space="preserve">clients, </w:t>
      </w:r>
      <w:r w:rsidR="009C0C70" w:rsidRPr="00AD1B44">
        <w:rPr>
          <w:sz w:val="24"/>
        </w:rPr>
        <w:t>201</w:t>
      </w:r>
      <w:r w:rsidR="0079398A">
        <w:rPr>
          <w:sz w:val="24"/>
        </w:rPr>
        <w:t>1</w:t>
      </w:r>
      <w:r w:rsidR="00AA68A5">
        <w:rPr>
          <w:sz w:val="24"/>
        </w:rPr>
        <w:noBreakHyphen/>
      </w:r>
      <w:r w:rsidR="000137D6">
        <w:rPr>
          <w:sz w:val="24"/>
        </w:rPr>
        <w:t>1</w:t>
      </w:r>
      <w:r w:rsidR="0079398A">
        <w:rPr>
          <w:sz w:val="24"/>
        </w:rPr>
        <w:t>2</w:t>
      </w:r>
      <w:r w:rsidRPr="00640545">
        <w:rPr>
          <w:rStyle w:val="NoteLabel"/>
          <w:b/>
        </w:rPr>
        <w:t>a</w:t>
      </w:r>
      <w:r w:rsidR="00EF3FD1">
        <w:rPr>
          <w:rStyle w:val="NoteLabel"/>
          <w:b/>
        </w:rPr>
        <w:t xml:space="preserve">, </w:t>
      </w:r>
      <w:r w:rsidR="00EF3FD1" w:rsidRPr="00F2055D">
        <w:rPr>
          <w:rStyle w:val="NoteLabel"/>
          <w:b/>
          <w:shd w:val="clear" w:color="auto" w:fill="FFFFFF" w:themeFill="background1"/>
        </w:rPr>
        <w:t>b</w:t>
      </w:r>
      <w:r w:rsidR="00CA09FE" w:rsidRPr="00F2055D">
        <w:rPr>
          <w:rStyle w:val="NoteLabel"/>
          <w:b/>
          <w:shd w:val="clear" w:color="auto" w:fill="FFFFFF" w:themeFill="background1"/>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12C8F" w:rsidRPr="00640545" w:rsidTr="009E3CB8">
        <w:tc>
          <w:tcPr>
            <w:tcW w:w="8777" w:type="dxa"/>
            <w:tcBorders>
              <w:top w:val="single" w:sz="6" w:space="0" w:color="auto"/>
              <w:bottom w:val="single" w:sz="6" w:space="0" w:color="auto"/>
              <w:right w:val="nil"/>
            </w:tcBorders>
          </w:tcPr>
          <w:p w:rsidR="00127ABB" w:rsidRPr="007D40FF" w:rsidRDefault="008018D4" w:rsidP="002435FC">
            <w:pPr>
              <w:pStyle w:val="Figure"/>
            </w:pPr>
            <w:r>
              <w:rPr>
                <w:noProof/>
              </w:rPr>
              <w:drawing>
                <wp:inline distT="0" distB="0" distL="0" distR="0">
                  <wp:extent cx="5362575" cy="2638425"/>
                  <wp:effectExtent l="0" t="0" r="9525" b="9525"/>
                  <wp:docPr id="24" name="Picture 24" descr="Figure 13.21 Recommended long term care arrangements of ACAT clients,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62575" cy="2638425"/>
                          </a:xfrm>
                          <a:prstGeom prst="rect">
                            <a:avLst/>
                          </a:prstGeom>
                          <a:noFill/>
                          <a:ln>
                            <a:noFill/>
                          </a:ln>
                        </pic:spPr>
                      </pic:pic>
                    </a:graphicData>
                  </a:graphic>
                </wp:inline>
              </w:drawing>
            </w:r>
          </w:p>
        </w:tc>
      </w:tr>
    </w:tbl>
    <w:p w:rsidR="00A12C8F" w:rsidRPr="00A43AA8" w:rsidRDefault="00A12C8F" w:rsidP="00A43AA8">
      <w:pPr>
        <w:pStyle w:val="Note"/>
      </w:pPr>
      <w:proofErr w:type="spellStart"/>
      <w:r w:rsidRPr="00A43AA8">
        <w:rPr>
          <w:rStyle w:val="NoteLabel"/>
        </w:rPr>
        <w:t>a</w:t>
      </w:r>
      <w:proofErr w:type="spellEnd"/>
      <w:r w:rsidR="00313C0F" w:rsidRPr="00A43AA8">
        <w:rPr>
          <w:rStyle w:val="NoteLabel"/>
        </w:rPr>
        <w:t> </w:t>
      </w:r>
      <w:r w:rsidR="00EF3FD1" w:rsidRPr="00A43AA8">
        <w:t>Other includes hospital</w:t>
      </w:r>
      <w:r w:rsidR="004B1AA5" w:rsidRPr="00A43AA8">
        <w:t xml:space="preserve"> and </w:t>
      </w:r>
      <w:r w:rsidR="00EF3FD1" w:rsidRPr="00A43AA8">
        <w:t xml:space="preserve">other institutional care. </w:t>
      </w:r>
      <w:r w:rsidR="00EF3FD1" w:rsidRPr="00A43AA8">
        <w:rPr>
          <w:rStyle w:val="NoteLabel"/>
        </w:rPr>
        <w:t>b</w:t>
      </w:r>
      <w:r w:rsidR="00EF3FD1" w:rsidRPr="00A43AA8">
        <w:t xml:space="preserve"> </w:t>
      </w:r>
      <w:r w:rsidRPr="00A43AA8">
        <w:t xml:space="preserve">No </w:t>
      </w:r>
      <w:r w:rsidR="00347EA5" w:rsidRPr="00A43AA8">
        <w:t>recommendation</w:t>
      </w:r>
      <w:r w:rsidRPr="00A43AA8">
        <w:t xml:space="preserve"> includes deaths, cancellations and transfers.</w:t>
      </w:r>
      <w:r w:rsidR="002D375F" w:rsidRPr="00A43AA8">
        <w:t xml:space="preserve"> </w:t>
      </w:r>
      <w:r w:rsidR="00CA09FE" w:rsidRPr="00A43AA8">
        <w:rPr>
          <w:rStyle w:val="NoteLabel"/>
        </w:rPr>
        <w:t>c</w:t>
      </w:r>
      <w:r w:rsidR="00CA09FE" w:rsidRPr="00A43AA8">
        <w:t xml:space="preserve"> Data are preliminary </w:t>
      </w:r>
      <w:r w:rsidR="00595620" w:rsidRPr="00A43AA8">
        <w:t>and were</w:t>
      </w:r>
      <w:r w:rsidR="00CA09FE" w:rsidRPr="00A43AA8">
        <w:t xml:space="preserve"> extracted from the Ageing and Aged Care Data Warehouse on </w:t>
      </w:r>
      <w:r w:rsidR="00CA09FE" w:rsidRPr="00A43AA8">
        <w:br/>
        <w:t>31</w:t>
      </w:r>
      <w:r w:rsidR="00AA68A5">
        <w:t> </w:t>
      </w:r>
      <w:r w:rsidR="00CA09FE" w:rsidRPr="00A43AA8">
        <w:t>August 2013. Future extracts of th</w:t>
      </w:r>
      <w:r w:rsidR="002C15D2" w:rsidRPr="00A43AA8">
        <w:t>ese</w:t>
      </w:r>
      <w:r w:rsidR="00CA09FE" w:rsidRPr="00A43AA8">
        <w:t xml:space="preserve"> data may change and thus alter final numbers.</w:t>
      </w:r>
    </w:p>
    <w:p w:rsidR="00A12C8F" w:rsidRPr="00640545" w:rsidRDefault="00A12C8F" w:rsidP="00F2055D">
      <w:pPr>
        <w:pStyle w:val="Source"/>
        <w:shd w:val="clear" w:color="auto" w:fill="FFFFFF" w:themeFill="background1"/>
      </w:pPr>
      <w:r w:rsidRPr="00640545">
        <w:rPr>
          <w:i/>
        </w:rPr>
        <w:t>Source</w:t>
      </w:r>
      <w:r w:rsidRPr="00640545">
        <w:t xml:space="preserve">: </w:t>
      </w:r>
      <w:r w:rsidR="00DA6BB0" w:rsidRPr="00F2055D">
        <w:rPr>
          <w:shd w:val="clear" w:color="auto" w:fill="FFFFFF" w:themeFill="background1"/>
        </w:rPr>
        <w:t>D</w:t>
      </w:r>
      <w:r w:rsidR="00347EA5" w:rsidRPr="00F2055D">
        <w:rPr>
          <w:shd w:val="clear" w:color="auto" w:fill="FFFFFF" w:themeFill="background1"/>
        </w:rPr>
        <w:t>SS</w:t>
      </w:r>
      <w:r w:rsidR="00DA6BB0">
        <w:t xml:space="preserve"> (unpublished) </w:t>
      </w:r>
      <w:r w:rsidR="00DA6BB0" w:rsidRPr="00D7635E">
        <w:rPr>
          <w:i/>
        </w:rPr>
        <w:t>Ageing and Aged Care Data Warehouse</w:t>
      </w:r>
      <w:r w:rsidR="00DA6BB0" w:rsidRPr="00DA6BB0">
        <w:t xml:space="preserve"> from </w:t>
      </w:r>
      <w:r w:rsidR="00DA6BB0" w:rsidRPr="00D7635E">
        <w:rPr>
          <w:i/>
        </w:rPr>
        <w:t>Aged Care Assessment Program Minimum Data Set</w:t>
      </w:r>
      <w:r w:rsidRPr="00640545">
        <w:t>; table</w:t>
      </w:r>
      <w:r w:rsidR="00AA68A5">
        <w:t> </w:t>
      </w:r>
      <w:proofErr w:type="spellStart"/>
      <w:r w:rsidRPr="00640545">
        <w:t>13</w:t>
      </w:r>
      <w:r w:rsidR="00E16794">
        <w:t>A.</w:t>
      </w:r>
      <w:r w:rsidR="00347EA5">
        <w:t>70</w:t>
      </w:r>
      <w:proofErr w:type="spellEnd"/>
      <w:r w:rsidRPr="00640545">
        <w:t>.</w:t>
      </w:r>
    </w:p>
    <w:p w:rsidR="00A12C8F" w:rsidRDefault="00A12C8F" w:rsidP="002501A2">
      <w:pPr>
        <w:pStyle w:val="Heading5"/>
      </w:pPr>
      <w:r>
        <w:t>Unmet need</w:t>
      </w:r>
    </w:p>
    <w:p w:rsidR="00A12C8F" w:rsidRDefault="00A12C8F" w:rsidP="002501A2">
      <w:pPr>
        <w:pStyle w:val="BodyText"/>
      </w:pPr>
      <w:r>
        <w:t>‘Unmet need’ is an indicator of governments’ objective of ensuring aged care services are allocated to meet clients’ needs (box</w:t>
      </w:r>
      <w:r w:rsidR="00AA68A5">
        <w:t> </w:t>
      </w:r>
      <w:r>
        <w:t>13.</w:t>
      </w:r>
      <w:r w:rsidR="007F5120">
        <w:t>7</w:t>
      </w:r>
      <w:r>
        <w:t xml:space="preserve">). </w:t>
      </w:r>
    </w:p>
    <w:p w:rsidR="00904089" w:rsidRDefault="00904089">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904089">
        <w:tc>
          <w:tcPr>
            <w:tcW w:w="8771" w:type="dxa"/>
            <w:tcBorders>
              <w:top w:val="single" w:sz="6" w:space="0" w:color="auto"/>
              <w:bottom w:val="nil"/>
            </w:tcBorders>
          </w:tcPr>
          <w:p w:rsidR="00904089" w:rsidRDefault="00904089" w:rsidP="00202818">
            <w:pPr>
              <w:pStyle w:val="BoxTitle"/>
            </w:pPr>
            <w:r>
              <w:rPr>
                <w:b w:val="0"/>
              </w:rPr>
              <w:t xml:space="preserve">Box </w:t>
            </w:r>
            <w:r w:rsidR="007F5120">
              <w:rPr>
                <w:b w:val="0"/>
              </w:rPr>
              <w:t>13.</w:t>
            </w:r>
            <w:r w:rsidR="00E4728C">
              <w:rPr>
                <w:b w:val="0"/>
                <w:noProof/>
              </w:rPr>
              <w:t>7</w:t>
            </w:r>
            <w:r>
              <w:tab/>
            </w:r>
            <w:r w:rsidR="00202818">
              <w:t>Unmet need</w:t>
            </w:r>
          </w:p>
        </w:tc>
      </w:tr>
      <w:tr w:rsidR="00904089">
        <w:trPr>
          <w:cantSplit/>
        </w:trPr>
        <w:tc>
          <w:tcPr>
            <w:tcW w:w="8771" w:type="dxa"/>
            <w:tcBorders>
              <w:top w:val="nil"/>
              <w:left w:val="single" w:sz="6" w:space="0" w:color="auto"/>
              <w:bottom w:val="nil"/>
              <w:right w:val="single" w:sz="6" w:space="0" w:color="auto"/>
            </w:tcBorders>
          </w:tcPr>
          <w:p w:rsidR="00904089" w:rsidRDefault="00904089" w:rsidP="00904089">
            <w:pPr>
              <w:pStyle w:val="Box"/>
            </w:pPr>
            <w:r>
              <w:t xml:space="preserve">‘Unmet need’ is defined as the extent to which demand for services to support older people requiring assistance with daily activities is not met. </w:t>
            </w:r>
          </w:p>
          <w:p w:rsidR="00904089" w:rsidRDefault="00904089" w:rsidP="00904089">
            <w:pPr>
              <w:pStyle w:val="Box"/>
            </w:pPr>
            <w:r>
              <w:t>Low rat</w:t>
            </w:r>
            <w:r w:rsidR="00991E9D">
              <w:t xml:space="preserve">es of unmet need are desirable; </w:t>
            </w:r>
            <w:r>
              <w:t xml:space="preserve">however, defining and determining the level of need at an individual level is complex and at a population level is highly complex. Perceptions of need and unmet need are often subjective. </w:t>
            </w:r>
          </w:p>
          <w:p w:rsidR="00904089" w:rsidRDefault="00904089" w:rsidP="008C51EC">
            <w:pPr>
              <w:pStyle w:val="Box"/>
            </w:pPr>
            <w:r>
              <w:t xml:space="preserve">Data for this indicator are drawn from the ABS </w:t>
            </w:r>
            <w:r w:rsidRPr="004D7909">
              <w:rPr>
                <w:i/>
              </w:rPr>
              <w:t>20</w:t>
            </w:r>
            <w:r w:rsidR="008C51EC">
              <w:rPr>
                <w:i/>
              </w:rPr>
              <w:t>12</w:t>
            </w:r>
            <w:r w:rsidRPr="004D7909">
              <w:rPr>
                <w:i/>
              </w:rPr>
              <w:t xml:space="preserve"> Survey of Disability, Ageing and Carers</w:t>
            </w:r>
            <w:r>
              <w:t>. Data are for people aged 65 years or over who self</w:t>
            </w:r>
            <w:r w:rsidR="00AA68A5">
              <w:noBreakHyphen/>
            </w:r>
            <w:r>
              <w:t xml:space="preserve">identified as having a need for assistance with at least one everyday activity, and the extent to which that need was being met (fully, partly or not at all). </w:t>
            </w:r>
          </w:p>
        </w:tc>
      </w:tr>
      <w:tr w:rsidR="00904089">
        <w:trPr>
          <w:cantSplit/>
        </w:trPr>
        <w:tc>
          <w:tcPr>
            <w:tcW w:w="8771" w:type="dxa"/>
            <w:tcBorders>
              <w:top w:val="nil"/>
              <w:left w:val="single" w:sz="6" w:space="0" w:color="auto"/>
              <w:bottom w:val="nil"/>
              <w:right w:val="single" w:sz="6" w:space="0" w:color="auto"/>
            </w:tcBorders>
          </w:tcPr>
          <w:p w:rsidR="00904089" w:rsidRDefault="00904089" w:rsidP="00904089">
            <w:pPr>
              <w:pStyle w:val="Continued"/>
            </w:pPr>
            <w:r>
              <w:t>(Continued next page)</w:t>
            </w:r>
          </w:p>
        </w:tc>
      </w:tr>
      <w:tr w:rsidR="00904089">
        <w:trPr>
          <w:cantSplit/>
        </w:trPr>
        <w:tc>
          <w:tcPr>
            <w:tcW w:w="8771" w:type="dxa"/>
            <w:tcBorders>
              <w:top w:val="nil"/>
              <w:left w:val="single" w:sz="6" w:space="0" w:color="auto"/>
              <w:bottom w:val="single" w:sz="6" w:space="0" w:color="auto"/>
              <w:right w:val="single" w:sz="6" w:space="0" w:color="auto"/>
            </w:tcBorders>
          </w:tcPr>
          <w:p w:rsidR="00904089" w:rsidRDefault="00904089">
            <w:pPr>
              <w:pStyle w:val="Box"/>
              <w:spacing w:before="0" w:line="120" w:lineRule="exact"/>
            </w:pPr>
          </w:p>
        </w:tc>
      </w:tr>
      <w:tr w:rsidR="00904089" w:rsidRPr="000863A5">
        <w:tc>
          <w:tcPr>
            <w:tcW w:w="8771" w:type="dxa"/>
            <w:tcBorders>
              <w:top w:val="nil"/>
              <w:left w:val="nil"/>
              <w:bottom w:val="nil"/>
              <w:right w:val="nil"/>
            </w:tcBorders>
          </w:tcPr>
          <w:p w:rsidR="00904089" w:rsidRPr="000863A5" w:rsidRDefault="00904089" w:rsidP="008E4A76">
            <w:pPr>
              <w:pStyle w:val="Box"/>
              <w:keepNext w:val="0"/>
              <w:spacing w:before="60" w:after="60" w:line="80" w:lineRule="exact"/>
              <w:rPr>
                <w:b/>
                <w:sz w:val="14"/>
              </w:rPr>
            </w:pPr>
          </w:p>
        </w:tc>
      </w:tr>
    </w:tbl>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A12C8F">
        <w:tc>
          <w:tcPr>
            <w:tcW w:w="8771" w:type="dxa"/>
            <w:tcBorders>
              <w:top w:val="single" w:sz="6" w:space="0" w:color="auto"/>
              <w:bottom w:val="nil"/>
            </w:tcBorders>
          </w:tcPr>
          <w:p w:rsidR="00A12C8F" w:rsidRPr="00AD1B44" w:rsidRDefault="00A12C8F" w:rsidP="007F5120">
            <w:pPr>
              <w:pStyle w:val="BoxTitle"/>
              <w:rPr>
                <w:sz w:val="24"/>
              </w:rPr>
            </w:pPr>
            <w:r w:rsidRPr="00AD1B44">
              <w:rPr>
                <w:b w:val="0"/>
                <w:sz w:val="24"/>
              </w:rPr>
              <w:t xml:space="preserve">Box </w:t>
            </w:r>
            <w:r w:rsidR="00904089">
              <w:rPr>
                <w:b w:val="0"/>
                <w:sz w:val="24"/>
              </w:rPr>
              <w:t>13.</w:t>
            </w:r>
            <w:r w:rsidR="007F5120">
              <w:rPr>
                <w:b w:val="0"/>
                <w:sz w:val="24"/>
              </w:rPr>
              <w:t>7</w:t>
            </w:r>
            <w:r w:rsidRPr="00AD1B44">
              <w:rPr>
                <w:sz w:val="24"/>
              </w:rPr>
              <w:tab/>
            </w:r>
            <w:r w:rsidR="00904089" w:rsidRPr="00904089">
              <w:rPr>
                <w:sz w:val="18"/>
                <w:szCs w:val="18"/>
              </w:rPr>
              <w:t>(continued)</w:t>
            </w:r>
          </w:p>
        </w:tc>
      </w:tr>
      <w:tr w:rsidR="00A12C8F" w:rsidTr="00A12C8F">
        <w:trPr>
          <w:cantSplit/>
        </w:trPr>
        <w:tc>
          <w:tcPr>
            <w:tcW w:w="8771" w:type="dxa"/>
            <w:tcBorders>
              <w:top w:val="nil"/>
              <w:left w:val="single" w:sz="6" w:space="0" w:color="auto"/>
              <w:bottom w:val="nil"/>
              <w:right w:val="single" w:sz="6" w:space="0" w:color="auto"/>
            </w:tcBorders>
          </w:tcPr>
          <w:p w:rsidR="00A12C8F" w:rsidRDefault="00A12C8F" w:rsidP="002501A2">
            <w:pPr>
              <w:pStyle w:val="Box"/>
            </w:pPr>
            <w:r>
              <w:t>Direct inferences about the demand for services need to be made with care, because the measure used does not:</w:t>
            </w:r>
          </w:p>
          <w:p w:rsidR="00A12C8F" w:rsidRDefault="00A12C8F" w:rsidP="002501A2">
            <w:pPr>
              <w:pStyle w:val="BoxListBullet"/>
            </w:pPr>
            <w:r>
              <w:t>reveal the intensity of care required by those who identify an unmet need — there is no indication of whether the need can readily be met informally or by formal home care, or whether the person may require residential care</w:t>
            </w:r>
          </w:p>
          <w:p w:rsidR="00A12C8F" w:rsidRDefault="00A12C8F" w:rsidP="002501A2">
            <w:pPr>
              <w:pStyle w:val="BoxListBullet"/>
            </w:pPr>
            <w:r>
              <w:t>reflect the degree of unmet demand for a specific type of service. Differences across jurisdictions in the proportion of unmet need can reflect different policy approaches to targeting services. Some governments may choose to focus on those with the greatest degree of need for care and on fully meeting their needs. By contrast, other governments may choose to provide a lower level of service to a greater number of people, while only partly meeting the needs of those with the greatest need for care — both are valid policy approaches</w:t>
            </w:r>
          </w:p>
          <w:p w:rsidR="00A12C8F" w:rsidRDefault="00A12C8F" w:rsidP="002501A2">
            <w:pPr>
              <w:pStyle w:val="BoxListBullet"/>
            </w:pPr>
            <w:r>
              <w:t>reflect the past and possible future duration of the need — that is, whether it is long term or transitory</w:t>
            </w:r>
          </w:p>
          <w:p w:rsidR="00A12C8F" w:rsidRDefault="00A12C8F" w:rsidP="002501A2">
            <w:pPr>
              <w:pStyle w:val="BoxListBullet"/>
            </w:pPr>
            <w:r>
              <w:t>reflect whether the need relates to a disability support service, aged care service or health care.</w:t>
            </w:r>
          </w:p>
          <w:p w:rsidR="00C230F1" w:rsidRPr="009510A3" w:rsidRDefault="002A1D93" w:rsidP="002501A2">
            <w:pPr>
              <w:pStyle w:val="Box"/>
            </w:pPr>
            <w:r>
              <w:t>Although data are included</w:t>
            </w:r>
            <w:r w:rsidR="00A12C8F">
              <w:t xml:space="preserve">, this indicator is regarded as yet to be developed, because of the extent of the caveats. </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A12C8F" w:rsidRDefault="00A12C8F" w:rsidP="002501A2">
      <w:pPr>
        <w:pStyle w:val="BodyText"/>
      </w:pPr>
      <w:r>
        <w:t xml:space="preserve">Of those people aged </w:t>
      </w:r>
      <w:r w:rsidR="00FD51CE">
        <w:t>65</w:t>
      </w:r>
      <w:r>
        <w:t xml:space="preserve"> years or </w:t>
      </w:r>
      <w:r w:rsidRPr="00A43AA8">
        <w:rPr>
          <w:shd w:val="clear" w:color="auto" w:fill="FFFFFF" w:themeFill="background1"/>
        </w:rPr>
        <w:t>over in 20</w:t>
      </w:r>
      <w:r w:rsidR="008C51EC" w:rsidRPr="00A43AA8">
        <w:rPr>
          <w:shd w:val="clear" w:color="auto" w:fill="FFFFFF" w:themeFill="background1"/>
        </w:rPr>
        <w:t>12</w:t>
      </w:r>
      <w:r>
        <w:t>, who were living in households and who self</w:t>
      </w:r>
      <w:r w:rsidR="00AA68A5">
        <w:noBreakHyphen/>
      </w:r>
      <w:r>
        <w:t xml:space="preserve">identified as having a need for assistance with at least one everyday activity, </w:t>
      </w:r>
      <w:r w:rsidR="00EA6B74" w:rsidRPr="00A43AA8">
        <w:rPr>
          <w:shd w:val="clear" w:color="auto" w:fill="FFFFFF" w:themeFill="background1"/>
        </w:rPr>
        <w:t>3</w:t>
      </w:r>
      <w:r w:rsidR="008C51EC" w:rsidRPr="00A43AA8">
        <w:rPr>
          <w:shd w:val="clear" w:color="auto" w:fill="FFFFFF" w:themeFill="background1"/>
        </w:rPr>
        <w:t>4</w:t>
      </w:r>
      <w:r w:rsidR="00EA6B74" w:rsidRPr="00A43AA8">
        <w:rPr>
          <w:shd w:val="clear" w:color="auto" w:fill="FFFFFF" w:themeFill="background1"/>
        </w:rPr>
        <w:t>.</w:t>
      </w:r>
      <w:r w:rsidR="008C51EC" w:rsidRPr="00A43AA8">
        <w:rPr>
          <w:shd w:val="clear" w:color="auto" w:fill="FFFFFF" w:themeFill="background1"/>
        </w:rPr>
        <w:t>0 ± 1.3</w:t>
      </w:r>
      <w:r w:rsidR="00EA6B74" w:rsidRPr="00A43AA8">
        <w:rPr>
          <w:shd w:val="clear" w:color="auto" w:fill="FFFFFF" w:themeFill="background1"/>
        </w:rPr>
        <w:t xml:space="preserve"> p</w:t>
      </w:r>
      <w:r w:rsidRPr="00A43AA8">
        <w:rPr>
          <w:shd w:val="clear" w:color="auto" w:fill="FFFFFF" w:themeFill="background1"/>
        </w:rPr>
        <w:t>er</w:t>
      </w:r>
      <w:r w:rsidR="002717EB" w:rsidRPr="00A43AA8">
        <w:rPr>
          <w:shd w:val="clear" w:color="auto" w:fill="FFFFFF" w:themeFill="background1"/>
        </w:rPr>
        <w:t xml:space="preserve"> cent</w:t>
      </w:r>
      <w:r w:rsidR="00230AC7">
        <w:t xml:space="preserve"> reported that their need</w:t>
      </w:r>
      <w:r>
        <w:t xml:space="preserve"> for assistance w</w:t>
      </w:r>
      <w:r w:rsidR="00230AC7">
        <w:t>as</w:t>
      </w:r>
      <w:r>
        <w:t xml:space="preserve"> not fully met </w:t>
      </w:r>
      <w:r w:rsidR="002717EB">
        <w:br/>
      </w:r>
      <w:r>
        <w:t>(table</w:t>
      </w:r>
      <w:r w:rsidR="00AA68A5">
        <w:t> </w:t>
      </w:r>
      <w:proofErr w:type="spellStart"/>
      <w:r>
        <w:t>13</w:t>
      </w:r>
      <w:r w:rsidR="00EA6B74">
        <w:t>A.</w:t>
      </w:r>
      <w:r w:rsidR="00704913">
        <w:t>71</w:t>
      </w:r>
      <w:proofErr w:type="spellEnd"/>
      <w:r>
        <w:t>).</w:t>
      </w:r>
    </w:p>
    <w:p w:rsidR="00A12C8F" w:rsidRDefault="00375645" w:rsidP="002501A2">
      <w:pPr>
        <w:pStyle w:val="Heading5"/>
      </w:pPr>
      <w:r>
        <w:t xml:space="preserve">Hospital patient days used by </w:t>
      </w:r>
      <w:r w:rsidR="007F0B33">
        <w:t xml:space="preserve">aged care type </w:t>
      </w:r>
      <w:r>
        <w:t>patients</w:t>
      </w:r>
      <w:r w:rsidR="007F0B33">
        <w:t xml:space="preserve"> </w:t>
      </w:r>
    </w:p>
    <w:p w:rsidR="004966B8" w:rsidRDefault="00A12C8F" w:rsidP="002501A2">
      <w:pPr>
        <w:pStyle w:val="BodyText"/>
      </w:pPr>
      <w:r>
        <w:t>‘</w:t>
      </w:r>
      <w:r w:rsidR="00375645">
        <w:t>Hospital patient days used by aged care type patients</w:t>
      </w:r>
      <w:r>
        <w:t xml:space="preserve">’ is an indicator of governments’ objective to minimise the incidence of older people staying in hospitals </w:t>
      </w:r>
      <w:r w:rsidR="009F36F8">
        <w:t xml:space="preserve">for extended periods of time </w:t>
      </w:r>
      <w:r>
        <w:t xml:space="preserve">when their care needs may be met </w:t>
      </w:r>
      <w:r w:rsidR="00903D24">
        <w:t xml:space="preserve">more appropriately </w:t>
      </w:r>
      <w:r>
        <w:t>through residential or community care services (box</w:t>
      </w:r>
      <w:r w:rsidR="00AA68A5">
        <w:t> </w:t>
      </w:r>
      <w:r>
        <w:t>13.</w:t>
      </w:r>
      <w:r w:rsidR="007F5120">
        <w:t>8</w:t>
      </w:r>
      <w:r>
        <w:t>).</w:t>
      </w:r>
      <w:r w:rsidR="004C70AE">
        <w:t xml:space="preserve"> </w:t>
      </w:r>
    </w:p>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A12C8F">
        <w:tc>
          <w:tcPr>
            <w:tcW w:w="8771" w:type="dxa"/>
            <w:tcBorders>
              <w:top w:val="single" w:sz="6" w:space="0" w:color="auto"/>
              <w:bottom w:val="nil"/>
            </w:tcBorders>
          </w:tcPr>
          <w:p w:rsidR="00A12C8F" w:rsidRPr="00805CB5" w:rsidRDefault="00A12C8F" w:rsidP="00551D13">
            <w:pPr>
              <w:pStyle w:val="BoxTitle"/>
              <w:rPr>
                <w:sz w:val="24"/>
              </w:rPr>
            </w:pPr>
            <w:r w:rsidRPr="00805CB5">
              <w:rPr>
                <w:b w:val="0"/>
                <w:sz w:val="24"/>
              </w:rPr>
              <w:t xml:space="preserve">Box </w:t>
            </w:r>
            <w:bookmarkStart w:id="101" w:name="OLE_LINK7"/>
            <w:r w:rsidR="002B5BA8">
              <w:rPr>
                <w:b w:val="0"/>
                <w:sz w:val="24"/>
              </w:rPr>
              <w:t>13.</w:t>
            </w:r>
            <w:r w:rsidR="00E4728C">
              <w:rPr>
                <w:b w:val="0"/>
                <w:noProof/>
                <w:sz w:val="24"/>
              </w:rPr>
              <w:t>8</w:t>
            </w:r>
            <w:bookmarkEnd w:id="101"/>
            <w:r w:rsidRPr="00805CB5">
              <w:rPr>
                <w:sz w:val="24"/>
              </w:rPr>
              <w:tab/>
            </w:r>
            <w:r w:rsidR="00375645" w:rsidRPr="00805CB5">
              <w:rPr>
                <w:sz w:val="24"/>
              </w:rPr>
              <w:t>Hospital patient days used by aged care type patients</w:t>
            </w:r>
          </w:p>
        </w:tc>
      </w:tr>
      <w:tr w:rsidR="00A12C8F" w:rsidTr="00A12C8F">
        <w:trPr>
          <w:cantSplit/>
        </w:trPr>
        <w:tc>
          <w:tcPr>
            <w:tcW w:w="8771" w:type="dxa"/>
            <w:tcBorders>
              <w:top w:val="nil"/>
              <w:left w:val="single" w:sz="6" w:space="0" w:color="auto"/>
              <w:bottom w:val="nil"/>
              <w:right w:val="single" w:sz="4" w:space="0" w:color="auto"/>
            </w:tcBorders>
          </w:tcPr>
          <w:p w:rsidR="00A12C8F" w:rsidRDefault="00A12C8F" w:rsidP="002501A2">
            <w:pPr>
              <w:pStyle w:val="Box"/>
            </w:pPr>
            <w:r>
              <w:t>‘</w:t>
            </w:r>
            <w:r w:rsidR="00375645" w:rsidRPr="00375645">
              <w:t>Hospital patient days used by aged care type patients</w:t>
            </w:r>
            <w:r>
              <w:t xml:space="preserve">’ </w:t>
            </w:r>
            <w:r w:rsidR="00551D13">
              <w:t>has</w:t>
            </w:r>
            <w:r>
              <w:t xml:space="preserve"> two measures:</w:t>
            </w:r>
          </w:p>
          <w:p w:rsidR="00A12C8F" w:rsidRDefault="007F0B33" w:rsidP="00BD35E9">
            <w:pPr>
              <w:pStyle w:val="BoxListBullet"/>
            </w:pPr>
            <w:r>
              <w:t xml:space="preserve">the proportion of completed </w:t>
            </w:r>
            <w:r w:rsidR="00A12C8F">
              <w:t xml:space="preserve">aged care type </w:t>
            </w:r>
            <w:r w:rsidR="007B33F0">
              <w:t xml:space="preserve">public </w:t>
            </w:r>
            <w:r w:rsidR="00A12C8F">
              <w:t xml:space="preserve">hospital separations for people aged </w:t>
            </w:r>
            <w:r w:rsidR="00FD51CE">
              <w:t>65</w:t>
            </w:r>
            <w:r w:rsidR="00A12C8F" w:rsidRPr="001B4AC8">
              <w:t xml:space="preserve"> y</w:t>
            </w:r>
            <w:r w:rsidR="00A12C8F">
              <w:t xml:space="preserve">ears or </w:t>
            </w:r>
            <w:r w:rsidR="00C05C11">
              <w:t xml:space="preserve">over </w:t>
            </w:r>
            <w:r w:rsidR="00CF2C9C" w:rsidRPr="00BD35E9">
              <w:t>and</w:t>
            </w:r>
            <w:r w:rsidR="00A12C8F">
              <w:t xml:space="preserve"> </w:t>
            </w:r>
            <w:r w:rsidR="00EB2705">
              <w:t>Indigenous Australians</w:t>
            </w:r>
            <w:r w:rsidR="00A12C8F">
              <w:t xml:space="preserve"> aged 50–6</w:t>
            </w:r>
            <w:r w:rsidR="00FD51CE">
              <w:t>4</w:t>
            </w:r>
            <w:r w:rsidR="00A12C8F">
              <w:t xml:space="preserve"> years for which the length of stay was 35 days or longer, where ‘aged care type’ hospital separations are defined as:</w:t>
            </w:r>
          </w:p>
          <w:p w:rsidR="00A12C8F" w:rsidRDefault="00A12C8F" w:rsidP="002501A2">
            <w:pPr>
              <w:pStyle w:val="BoxListBullet2"/>
            </w:pPr>
            <w:r>
              <w:t xml:space="preserve">the care type was maintenance, and </w:t>
            </w:r>
          </w:p>
          <w:p w:rsidR="00A12C8F" w:rsidRPr="001B4AC8" w:rsidRDefault="00A12C8F" w:rsidP="002501A2">
            <w:pPr>
              <w:pStyle w:val="BoxListBullet2"/>
              <w:rPr>
                <w:sz w:val="20"/>
              </w:rPr>
            </w:pPr>
            <w:r>
              <w:t>the diagnosis (either princ</w:t>
            </w:r>
            <w:r w:rsidR="00392798">
              <w:t xml:space="preserve">ipal or additional) was either </w:t>
            </w:r>
            <w:r>
              <w:t>person awaiting admission t</w:t>
            </w:r>
            <w:r w:rsidR="00392798">
              <w:t>o residential aged care service</w:t>
            </w:r>
            <w:r>
              <w:t xml:space="preserve"> or n</w:t>
            </w:r>
            <w:r w:rsidRPr="00153F04">
              <w:t>eed for assistance at home and no other household member able to render care</w:t>
            </w:r>
          </w:p>
          <w:p w:rsidR="00A12C8F" w:rsidRDefault="00A12C8F" w:rsidP="002501A2">
            <w:pPr>
              <w:pStyle w:val="BoxListBullet"/>
            </w:pPr>
            <w:r>
              <w:t>the proportion of all patient days (for overnight separations only) used by patients who are waiting for residential aged care, where the:</w:t>
            </w:r>
          </w:p>
          <w:p w:rsidR="00A12C8F" w:rsidRDefault="00A12C8F" w:rsidP="002501A2">
            <w:pPr>
              <w:pStyle w:val="BoxListBullet2"/>
            </w:pPr>
            <w:r>
              <w:t>care type was maintenance, and</w:t>
            </w:r>
          </w:p>
          <w:p w:rsidR="00A12C8F" w:rsidRDefault="00A12C8F" w:rsidP="002501A2">
            <w:pPr>
              <w:pStyle w:val="BoxListBullet2"/>
            </w:pPr>
            <w:r>
              <w:t>diagnosis (eithe</w:t>
            </w:r>
            <w:r w:rsidR="00392798">
              <w:t xml:space="preserve">r principal or additional) was </w:t>
            </w:r>
            <w:r>
              <w:t>person awaiting admission t</w:t>
            </w:r>
            <w:r w:rsidR="00392798">
              <w:t>o residential aged care service</w:t>
            </w:r>
            <w:r>
              <w:t>, and</w:t>
            </w:r>
          </w:p>
          <w:p w:rsidR="00A12C8F" w:rsidRDefault="00392798" w:rsidP="002501A2">
            <w:pPr>
              <w:pStyle w:val="BoxListBullet2"/>
            </w:pPr>
            <w:r>
              <w:t xml:space="preserve">separation mode was </w:t>
            </w:r>
            <w:r w:rsidR="00A12C8F">
              <w:t xml:space="preserve">discharge/transfer to </w:t>
            </w:r>
            <w:r>
              <w:t>an</w:t>
            </w:r>
            <w:r w:rsidR="00A12C8F">
              <w:t>other acute hospital</w:t>
            </w:r>
            <w:r>
              <w:t xml:space="preserve"> or to</w:t>
            </w:r>
            <w:r w:rsidR="00A12C8F">
              <w:t xml:space="preserve"> residential aged care (unless this is usual place of residence); stati</w:t>
            </w:r>
            <w:r w:rsidR="0002626E">
              <w:t>stical discharge, that is a change in care type;</w:t>
            </w:r>
            <w:r>
              <w:t xml:space="preserve"> the patient died; </w:t>
            </w:r>
            <w:r w:rsidR="00A12C8F">
              <w:t>discharge/transfer to other health care accommodation (in</w:t>
            </w:r>
            <w:r>
              <w:t xml:space="preserve">cluding mother craft hospitals and </w:t>
            </w:r>
            <w:r w:rsidR="0002626E">
              <w:t>an</w:t>
            </w:r>
            <w:r>
              <w:t>other psychiatric hospital)</w:t>
            </w:r>
            <w:r w:rsidR="0002626E">
              <w:t>;</w:t>
            </w:r>
            <w:r w:rsidR="00A12C8F">
              <w:t xml:space="preserve"> left against medical advice/discharge at own risk</w:t>
            </w:r>
            <w:r>
              <w:t xml:space="preserve"> or </w:t>
            </w:r>
            <w:r w:rsidR="00A12C8F">
              <w:t>statistical discharge from leave</w:t>
            </w:r>
            <w:r w:rsidR="004D7909">
              <w:t>.</w:t>
            </w:r>
          </w:p>
          <w:p w:rsidR="00A12C8F" w:rsidRDefault="001C406C" w:rsidP="002501A2">
            <w:pPr>
              <w:pStyle w:val="Box"/>
            </w:pPr>
            <w:r>
              <w:t>Low or decreasing</w:t>
            </w:r>
            <w:r w:rsidR="00A12C8F">
              <w:t xml:space="preserve"> proportions of hospital stays of 35 days or more and </w:t>
            </w:r>
            <w:r>
              <w:t>low or decreasing</w:t>
            </w:r>
            <w:r w:rsidR="00A12C8F">
              <w:t xml:space="preserve"> proportions of patient days used by </w:t>
            </w:r>
            <w:r w:rsidR="00C73951">
              <w:t>people</w:t>
            </w:r>
            <w:r w:rsidR="00A12C8F">
              <w:t xml:space="preserve"> waiting for residential aged care are desirable. </w:t>
            </w:r>
          </w:p>
          <w:p w:rsidR="00A12C8F" w:rsidRDefault="00A12C8F" w:rsidP="002501A2">
            <w:pPr>
              <w:pStyle w:val="Box"/>
            </w:pPr>
            <w:r>
              <w:t xml:space="preserve">Hospital inpatient services are geared towards shorter periods of care aimed at addressing serious illness or injury, or diagnosis, and are a less effective form of care for older people who cannot live independently in the long term. </w:t>
            </w:r>
          </w:p>
          <w:p w:rsidR="009561D3" w:rsidRDefault="009561D3" w:rsidP="009561D3">
            <w:pPr>
              <w:pStyle w:val="Box"/>
            </w:pPr>
            <w:r>
              <w:t>These measures should be interpreted with care, because:</w:t>
            </w:r>
          </w:p>
          <w:p w:rsidR="009561D3" w:rsidRDefault="009561D3" w:rsidP="009561D3">
            <w:pPr>
              <w:pStyle w:val="BoxListBullet"/>
            </w:pPr>
            <w:r>
              <w:t>patients who have not completed their period of care in a hospital are not included</w:t>
            </w:r>
          </w:p>
          <w:p w:rsidR="009561D3" w:rsidRDefault="009561D3" w:rsidP="0085088E">
            <w:pPr>
              <w:pStyle w:val="BoxListBullet"/>
            </w:pPr>
            <w:r>
              <w:t xml:space="preserve">although the diagnosis codes reflect a care type, they do not determine a person’s eligibility for residential aged care (this is determined by an </w:t>
            </w:r>
            <w:r w:rsidRPr="00F2055D">
              <w:rPr>
                <w:shd w:val="clear" w:color="auto" w:fill="FFFFFF" w:themeFill="background1"/>
              </w:rPr>
              <w:t>ACA</w:t>
            </w:r>
            <w:r w:rsidR="003F3D0A" w:rsidRPr="00F2055D">
              <w:rPr>
                <w:shd w:val="clear" w:color="auto" w:fill="FFFFFF" w:themeFill="background1"/>
              </w:rPr>
              <w:t>T</w:t>
            </w:r>
            <w:r>
              <w:t xml:space="preserve"> assessment) or necessarily reliably reflect access issues for residential aged care from the acute care sector</w:t>
            </w:r>
          </w:p>
          <w:p w:rsidR="009561D3" w:rsidRDefault="009561D3" w:rsidP="009561D3">
            <w:pPr>
              <w:pStyle w:val="BoxListBullet"/>
            </w:pPr>
            <w:r>
              <w:t xml:space="preserve">diagnosis codes may not be applied consistently across jurisdictions or over time </w:t>
            </w:r>
          </w:p>
          <w:p w:rsidR="009561D3" w:rsidRDefault="009561D3" w:rsidP="009561D3">
            <w:pPr>
              <w:pStyle w:val="BoxListBullet"/>
            </w:pPr>
            <w:r>
              <w:t>reported hospital separations and patient days do not necessarily reflect the full length of hospital stay for an individual patient. If a change in the type of care occurs during a patient’s hospital stay (for example, from acute to maintenance) then two separations are reported for that patient</w:t>
            </w:r>
          </w:p>
          <w:p w:rsidR="00A12C8F" w:rsidRPr="00A93262" w:rsidRDefault="003445DC" w:rsidP="002501A2">
            <w:pPr>
              <w:pStyle w:val="Box"/>
              <w:jc w:val="right"/>
              <w:rPr>
                <w:sz w:val="18"/>
                <w:szCs w:val="18"/>
              </w:rPr>
            </w:pPr>
            <w:r w:rsidRPr="00A93262">
              <w:rPr>
                <w:sz w:val="18"/>
                <w:szCs w:val="18"/>
              </w:rPr>
              <w:t xml:space="preserve"> </w:t>
            </w:r>
            <w:r w:rsidR="00A12C8F" w:rsidRPr="00A93262">
              <w:rPr>
                <w:sz w:val="18"/>
                <w:szCs w:val="18"/>
              </w:rPr>
              <w:t>(Continued next page)</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A12C8F">
        <w:tc>
          <w:tcPr>
            <w:tcW w:w="8771" w:type="dxa"/>
            <w:tcBorders>
              <w:top w:val="single" w:sz="6" w:space="0" w:color="auto"/>
              <w:bottom w:val="nil"/>
            </w:tcBorders>
          </w:tcPr>
          <w:p w:rsidR="00A12C8F" w:rsidRPr="00805CB5" w:rsidRDefault="00A12C8F" w:rsidP="007F5120">
            <w:pPr>
              <w:pStyle w:val="BoxTitle"/>
              <w:rPr>
                <w:sz w:val="24"/>
              </w:rPr>
            </w:pPr>
            <w:r w:rsidRPr="00805CB5">
              <w:rPr>
                <w:b w:val="0"/>
                <w:sz w:val="24"/>
              </w:rPr>
              <w:t xml:space="preserve">Box </w:t>
            </w:r>
            <w:r w:rsidR="00031579" w:rsidRPr="00805CB5">
              <w:rPr>
                <w:b w:val="0"/>
                <w:sz w:val="24"/>
              </w:rPr>
              <w:t>13.</w:t>
            </w:r>
            <w:r w:rsidR="007F5120">
              <w:rPr>
                <w:b w:val="0"/>
                <w:sz w:val="24"/>
              </w:rPr>
              <w:t>8</w:t>
            </w:r>
            <w:r w:rsidRPr="00805CB5">
              <w:rPr>
                <w:sz w:val="24"/>
              </w:rPr>
              <w:tab/>
            </w:r>
            <w:r w:rsidRPr="00805CB5">
              <w:rPr>
                <w:sz w:val="18"/>
                <w:szCs w:val="18"/>
              </w:rPr>
              <w:t>(</w:t>
            </w:r>
            <w:r w:rsidR="00805CB5" w:rsidRPr="00805CB5">
              <w:rPr>
                <w:sz w:val="18"/>
                <w:szCs w:val="18"/>
              </w:rPr>
              <w:t>c</w:t>
            </w:r>
            <w:r w:rsidRPr="00805CB5">
              <w:rPr>
                <w:sz w:val="18"/>
                <w:szCs w:val="18"/>
              </w:rPr>
              <w:t>ontinued)</w:t>
            </w:r>
          </w:p>
        </w:tc>
      </w:tr>
      <w:tr w:rsidR="00A12C8F" w:rsidTr="00A12C8F">
        <w:trPr>
          <w:cantSplit/>
        </w:trPr>
        <w:tc>
          <w:tcPr>
            <w:tcW w:w="8771" w:type="dxa"/>
            <w:tcBorders>
              <w:top w:val="nil"/>
              <w:left w:val="single" w:sz="6" w:space="0" w:color="auto"/>
              <w:bottom w:val="nil"/>
              <w:right w:val="single" w:sz="4" w:space="0" w:color="auto"/>
            </w:tcBorders>
          </w:tcPr>
          <w:p w:rsidR="00A12C8F" w:rsidRDefault="004D7909" w:rsidP="002501A2">
            <w:pPr>
              <w:pStyle w:val="BoxListBullet"/>
            </w:pPr>
            <w:r>
              <w:t>f</w:t>
            </w:r>
            <w:r w:rsidR="00A12C8F">
              <w:t>or the first measure, the code ‘n</w:t>
            </w:r>
            <w:r w:rsidR="00A12C8F" w:rsidRPr="00153F04">
              <w:t>eed for assistance at home and no other household member able to render care</w:t>
            </w:r>
            <w:r w:rsidR="00A12C8F">
              <w:t>’ may also be used for respite care for aged care residents or those receiving community care, and some jurisdictions may have a high proportion of this type of use. This is particularly relevant in some rural areas where there are few altern</w:t>
            </w:r>
            <w:r>
              <w:t>ative options for these clients</w:t>
            </w:r>
          </w:p>
          <w:p w:rsidR="00A12C8F" w:rsidRDefault="004D7909" w:rsidP="002501A2">
            <w:pPr>
              <w:pStyle w:val="BoxListBullet"/>
            </w:pPr>
            <w:r>
              <w:t>t</w:t>
            </w:r>
            <w:r w:rsidR="00A12C8F">
              <w:t>he measures do not necessarily reflect alternative strategies in place by states and territories to manage the older person into appropriate residential aged care facil</w:t>
            </w:r>
            <w:r>
              <w:t>ities from acute care hospitals</w:t>
            </w:r>
            <w:r w:rsidR="00A12C8F">
              <w:t xml:space="preserve"> </w:t>
            </w:r>
          </w:p>
          <w:p w:rsidR="00A12C8F" w:rsidRDefault="004D7909" w:rsidP="0085088E">
            <w:pPr>
              <w:pStyle w:val="BoxListBullet"/>
            </w:pPr>
            <w:r>
              <w:t>t</w:t>
            </w:r>
            <w:r w:rsidR="00A12C8F">
              <w:t xml:space="preserve">he measures are regarded as proxies, as the desired measures (utilising appropriate linked hospital separations </w:t>
            </w:r>
            <w:r w:rsidR="00A12C8F" w:rsidRPr="00F2055D">
              <w:rPr>
                <w:shd w:val="clear" w:color="auto" w:fill="FFFFFF" w:themeFill="background1"/>
              </w:rPr>
              <w:t>and ACA</w:t>
            </w:r>
            <w:r w:rsidR="00F54F3D" w:rsidRPr="00F2055D">
              <w:rPr>
                <w:shd w:val="clear" w:color="auto" w:fill="FFFFFF" w:themeFill="background1"/>
              </w:rPr>
              <w:t>T</w:t>
            </w:r>
            <w:r w:rsidR="00A12C8F" w:rsidRPr="00F2055D">
              <w:rPr>
                <w:shd w:val="clear" w:color="auto" w:fill="FFFFFF" w:themeFill="background1"/>
              </w:rPr>
              <w:t xml:space="preserve"> approvals</w:t>
            </w:r>
            <w:r w:rsidR="00A12C8F">
              <w:t>) are not available at this time. Further development is underway to improve available data sets and associa</w:t>
            </w:r>
            <w:r>
              <w:t>ted measures for future reports.</w:t>
            </w:r>
          </w:p>
          <w:p w:rsidR="00704913" w:rsidRDefault="00704913" w:rsidP="00704913">
            <w:pPr>
              <w:pStyle w:val="Box"/>
            </w:pPr>
            <w:r>
              <w:t xml:space="preserve">Data reported for the first </w:t>
            </w:r>
            <w:r w:rsidRPr="00704913">
              <w:t>measure</w:t>
            </w:r>
            <w:r>
              <w:t xml:space="preserve"> are:</w:t>
            </w:r>
          </w:p>
          <w:p w:rsidR="003D148D" w:rsidRPr="003D148D" w:rsidRDefault="003D148D" w:rsidP="003D148D">
            <w:pPr>
              <w:pStyle w:val="BoxListBullet"/>
            </w:pPr>
            <w:r w:rsidRPr="003D148D">
              <w:t xml:space="preserve">comparable (subject to caveats) across jurisdictions but a break in series means that data for </w:t>
            </w:r>
            <w:r>
              <w:t>2011</w:t>
            </w:r>
            <w:r w:rsidR="00AA68A5">
              <w:noBreakHyphen/>
            </w:r>
            <w:r>
              <w:t>12</w:t>
            </w:r>
            <w:r w:rsidRPr="003D148D">
              <w:t xml:space="preserve"> are not comparable to data </w:t>
            </w:r>
            <w:r>
              <w:t>for earlier years</w:t>
            </w:r>
          </w:p>
          <w:p w:rsidR="00A12C8F" w:rsidRDefault="00704913" w:rsidP="00704913">
            <w:pPr>
              <w:pStyle w:val="BoxListBullet"/>
            </w:pPr>
            <w:r>
              <w:t>complete for the current reporting period (subject to caveats). All required 2011</w:t>
            </w:r>
            <w:r w:rsidR="00AA68A5">
              <w:noBreakHyphen/>
            </w:r>
            <w:r>
              <w:t>12 data are available for all jurisdictions.</w:t>
            </w:r>
          </w:p>
          <w:p w:rsidR="00704913" w:rsidRDefault="00704913" w:rsidP="00704913">
            <w:pPr>
              <w:pStyle w:val="Box"/>
            </w:pPr>
            <w:r>
              <w:t xml:space="preserve">Data reported for the second </w:t>
            </w:r>
            <w:r w:rsidRPr="00704913">
              <w:t>measure</w:t>
            </w:r>
            <w:r>
              <w:t xml:space="preserve"> are:</w:t>
            </w:r>
          </w:p>
          <w:p w:rsidR="00704913" w:rsidRDefault="003D148D" w:rsidP="00340827">
            <w:pPr>
              <w:pStyle w:val="BoxListBullet"/>
            </w:pPr>
            <w:r w:rsidRPr="003D148D">
              <w:t>comparable (subject to caveats) across jurisdictions and over time</w:t>
            </w:r>
            <w:r w:rsidR="00340827">
              <w:t xml:space="preserve"> (except Tasmanian data where </w:t>
            </w:r>
            <w:r w:rsidR="00340827" w:rsidRPr="00340827">
              <w:t xml:space="preserve">two </w:t>
            </w:r>
            <w:r w:rsidR="00340827">
              <w:t xml:space="preserve">significant </w:t>
            </w:r>
            <w:r w:rsidR="00340827" w:rsidRPr="00340827">
              <w:t>private hospitals</w:t>
            </w:r>
            <w:r w:rsidR="00340827">
              <w:t xml:space="preserve"> are excluded in 2008</w:t>
            </w:r>
            <w:r w:rsidR="00AA68A5">
              <w:noBreakHyphen/>
            </w:r>
            <w:r w:rsidR="00340827">
              <w:t>09)</w:t>
            </w:r>
          </w:p>
          <w:p w:rsidR="00704913" w:rsidRDefault="00704913" w:rsidP="00704913">
            <w:pPr>
              <w:pStyle w:val="BoxListBullet"/>
            </w:pPr>
            <w:r>
              <w:t>complete for the current reporting period (subject to caveats). All required 2011</w:t>
            </w:r>
            <w:r w:rsidR="00AA68A5">
              <w:noBreakHyphen/>
            </w:r>
            <w:r>
              <w:t>12 data are available for all jurisdictions.</w:t>
            </w:r>
          </w:p>
          <w:p w:rsidR="00C230F1" w:rsidRDefault="007B127C" w:rsidP="002B5BA8">
            <w:pPr>
              <w:pStyle w:val="Box"/>
            </w:pPr>
            <w:r>
              <w:rPr>
                <w:rFonts w:cs="Arial"/>
                <w:szCs w:val="22"/>
                <w:shd w:val="clear" w:color="auto" w:fill="FFFFFF" w:themeFill="background1"/>
              </w:rPr>
              <w:t>D</w:t>
            </w:r>
            <w:r w:rsidR="009C1060" w:rsidRPr="00C16403">
              <w:rPr>
                <w:rFonts w:cs="Arial"/>
                <w:szCs w:val="22"/>
                <w:shd w:val="clear" w:color="auto" w:fill="FFFFFF" w:themeFill="background1"/>
              </w:rPr>
              <w:t xml:space="preserve">ata quality </w:t>
            </w:r>
            <w:r>
              <w:rPr>
                <w:rFonts w:cs="Arial"/>
                <w:szCs w:val="22"/>
                <w:shd w:val="clear" w:color="auto" w:fill="FFFFFF" w:themeFill="background1"/>
              </w:rPr>
              <w:t xml:space="preserve">information </w:t>
            </w:r>
            <w:r w:rsidR="009C1060" w:rsidRPr="00C16403">
              <w:rPr>
                <w:rFonts w:cs="Arial"/>
                <w:szCs w:val="22"/>
                <w:shd w:val="clear" w:color="auto" w:fill="FFFFFF" w:themeFill="background1"/>
              </w:rPr>
              <w:t xml:space="preserve">for </w:t>
            </w:r>
            <w:r w:rsidR="009C1060" w:rsidRPr="00C16403">
              <w:rPr>
                <w:shd w:val="clear" w:color="auto" w:fill="FFFFFF" w:themeFill="background1"/>
              </w:rPr>
              <w:t xml:space="preserve">one measure defined for this indicator is at </w:t>
            </w:r>
            <w:proofErr w:type="spellStart"/>
            <w:r w:rsidR="009C1060" w:rsidRPr="00C16403">
              <w:rPr>
                <w:rFonts w:cs="Arial"/>
                <w:szCs w:val="22"/>
                <w:shd w:val="clear" w:color="auto" w:fill="FFFFFF" w:themeFill="background1"/>
              </w:rPr>
              <w:t>www.pc.gov.au</w:t>
            </w:r>
            <w:proofErr w:type="spellEnd"/>
            <w:r w:rsidR="009C1060" w:rsidRPr="00C16403">
              <w:rPr>
                <w:rFonts w:cs="Arial"/>
                <w:szCs w:val="22"/>
                <w:shd w:val="clear" w:color="auto" w:fill="FFFFFF" w:themeFill="background1"/>
              </w:rPr>
              <w:t>/</w:t>
            </w:r>
            <w:proofErr w:type="spellStart"/>
            <w:r w:rsidR="009C1060" w:rsidRPr="00C16403">
              <w:rPr>
                <w:rFonts w:cs="Arial"/>
                <w:szCs w:val="22"/>
                <w:shd w:val="clear" w:color="auto" w:fill="FFFFFF" w:themeFill="background1"/>
              </w:rPr>
              <w:t>gsp</w:t>
            </w:r>
            <w:proofErr w:type="spellEnd"/>
            <w:r w:rsidR="009C1060" w:rsidRPr="00C16403">
              <w:rPr>
                <w:rFonts w:cs="Arial"/>
                <w:szCs w:val="22"/>
                <w:shd w:val="clear" w:color="auto" w:fill="FFFFFF" w:themeFill="background1"/>
              </w:rPr>
              <w:t>/reports/</w:t>
            </w:r>
            <w:proofErr w:type="spellStart"/>
            <w:r w:rsidR="009C1060" w:rsidRPr="00C16403">
              <w:rPr>
                <w:rFonts w:cs="Arial"/>
                <w:szCs w:val="22"/>
                <w:shd w:val="clear" w:color="auto" w:fill="FFFFFF" w:themeFill="background1"/>
              </w:rPr>
              <w:t>rogs</w:t>
            </w:r>
            <w:proofErr w:type="spellEnd"/>
            <w:r w:rsidR="009C1060" w:rsidRPr="00C16403">
              <w:rPr>
                <w:rFonts w:cs="Arial"/>
                <w:szCs w:val="22"/>
                <w:shd w:val="clear" w:color="auto" w:fill="FFFFFF" w:themeFill="background1"/>
              </w:rPr>
              <w:t>/201</w:t>
            </w:r>
            <w:r w:rsidR="002B5BA8">
              <w:rPr>
                <w:rFonts w:cs="Arial"/>
                <w:szCs w:val="22"/>
                <w:shd w:val="clear" w:color="auto" w:fill="FFFFFF" w:themeFill="background1"/>
              </w:rPr>
              <w:t>4</w:t>
            </w:r>
            <w:r w:rsidR="009C1060" w:rsidRPr="00C16403">
              <w:rPr>
                <w:shd w:val="clear" w:color="auto" w:fill="FFFFFF" w:themeFill="background1"/>
              </w:rPr>
              <w:t>.</w:t>
            </w:r>
            <w:r w:rsidR="009C1060" w:rsidRPr="00C16403">
              <w:rPr>
                <w:rFonts w:cs="Arial"/>
                <w:szCs w:val="22"/>
                <w:shd w:val="clear" w:color="auto" w:fill="FFFFFF" w:themeFill="background1"/>
              </w:rPr>
              <w:t xml:space="preserve"> </w:t>
            </w:r>
            <w:r w:rsidR="009C1060" w:rsidRPr="00C16403">
              <w:rPr>
                <w:shd w:val="clear" w:color="auto" w:fill="FFFFFF" w:themeFill="background1"/>
              </w:rPr>
              <w:t>Data quality information for the other measure is under development.</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A12C8F" w:rsidRDefault="00A12C8F" w:rsidP="00C16403">
      <w:pPr>
        <w:pStyle w:val="BodyText"/>
        <w:shd w:val="clear" w:color="auto" w:fill="FFFFFF" w:themeFill="background1"/>
      </w:pPr>
      <w:r>
        <w:t>The proportion of separations for ‘aged care type’ patients (as defined in box</w:t>
      </w:r>
      <w:r w:rsidR="00AA68A5">
        <w:t> </w:t>
      </w:r>
      <w:r>
        <w:t>13.</w:t>
      </w:r>
      <w:r w:rsidR="002B5BA8">
        <w:t>8</w:t>
      </w:r>
      <w:r w:rsidR="00031579">
        <w:t>)</w:t>
      </w:r>
      <w:r>
        <w:t xml:space="preserve"> aged </w:t>
      </w:r>
      <w:r w:rsidR="00FD51CE">
        <w:t>65</w:t>
      </w:r>
      <w:r>
        <w:t xml:space="preserve"> years or </w:t>
      </w:r>
      <w:r w:rsidR="00C05C11">
        <w:t xml:space="preserve">over </w:t>
      </w:r>
      <w:r w:rsidR="00CF2C9C" w:rsidRPr="003C2A7C">
        <w:t>and</w:t>
      </w:r>
      <w:r>
        <w:t xml:space="preserve"> </w:t>
      </w:r>
      <w:r w:rsidR="00EB2705">
        <w:t>Indigenous Australians</w:t>
      </w:r>
      <w:r>
        <w:t xml:space="preserve"> aged 50–6</w:t>
      </w:r>
      <w:r w:rsidR="00FD51CE">
        <w:t>4</w:t>
      </w:r>
      <w:r>
        <w:t xml:space="preserve"> years </w:t>
      </w:r>
      <w:r w:rsidRPr="00F531FD">
        <w:t xml:space="preserve">whose separation was 35 days or longer </w:t>
      </w:r>
      <w:r w:rsidRPr="00E950AB">
        <w:t xml:space="preserve">was </w:t>
      </w:r>
      <w:r w:rsidR="00287A83">
        <w:t>11.9</w:t>
      </w:r>
      <w:r w:rsidRPr="00CF4810">
        <w:t xml:space="preserve"> </w:t>
      </w:r>
      <w:r w:rsidR="004D7909">
        <w:t>per cent nationally</w:t>
      </w:r>
      <w:r w:rsidRPr="00E950AB">
        <w:t xml:space="preserve"> in </w:t>
      </w:r>
      <w:r w:rsidR="009C0C70">
        <w:t>201</w:t>
      </w:r>
      <w:r w:rsidR="0079398A">
        <w:t>1</w:t>
      </w:r>
      <w:r w:rsidR="00AA68A5">
        <w:noBreakHyphen/>
      </w:r>
      <w:r w:rsidR="009C0C70">
        <w:t>1</w:t>
      </w:r>
      <w:r w:rsidR="0079398A">
        <w:t>2</w:t>
      </w:r>
      <w:r w:rsidR="00473CE1">
        <w:t xml:space="preserve"> </w:t>
      </w:r>
      <w:r w:rsidR="00EA6B74">
        <w:br/>
      </w:r>
      <w:r w:rsidR="00473CE1">
        <w:t>(</w:t>
      </w:r>
      <w:r w:rsidRPr="00E950AB">
        <w:t>figure</w:t>
      </w:r>
      <w:r w:rsidR="00AA68A5">
        <w:t> </w:t>
      </w:r>
      <w:r w:rsidRPr="00E950AB">
        <w:t>13.</w:t>
      </w:r>
      <w:r w:rsidR="00B63271">
        <w:t>2</w:t>
      </w:r>
      <w:r w:rsidR="0079398A">
        <w:t>2</w:t>
      </w:r>
      <w:r w:rsidRPr="00E950AB">
        <w:t xml:space="preserve">). </w:t>
      </w:r>
      <w:r w:rsidR="00701990">
        <w:t>The number of</w:t>
      </w:r>
      <w:r w:rsidRPr="00E950AB">
        <w:t xml:space="preserve"> </w:t>
      </w:r>
      <w:r w:rsidR="00701990">
        <w:t xml:space="preserve">‘aged care type’ patient </w:t>
      </w:r>
      <w:r w:rsidRPr="00E950AB">
        <w:t xml:space="preserve">separations for </w:t>
      </w:r>
      <w:r w:rsidR="00701990">
        <w:t>people</w:t>
      </w:r>
      <w:r w:rsidRPr="00E950AB">
        <w:t xml:space="preserve"> aged </w:t>
      </w:r>
      <w:r w:rsidR="00FD51CE">
        <w:t>65</w:t>
      </w:r>
      <w:r w:rsidRPr="00E950AB">
        <w:t xml:space="preserve"> years or </w:t>
      </w:r>
      <w:r w:rsidR="00C05C11">
        <w:t xml:space="preserve">over </w:t>
      </w:r>
      <w:r w:rsidR="00CF2C9C" w:rsidRPr="003C2A7C">
        <w:t>and</w:t>
      </w:r>
      <w:r w:rsidRPr="00E950AB">
        <w:t xml:space="preserve"> </w:t>
      </w:r>
      <w:r w:rsidR="00EB2705">
        <w:t>Indigenous Australians</w:t>
      </w:r>
      <w:r w:rsidRPr="00E950AB">
        <w:t xml:space="preserve"> aged 50–6</w:t>
      </w:r>
      <w:r w:rsidR="00FD51CE">
        <w:t>4</w:t>
      </w:r>
      <w:r w:rsidR="00701990">
        <w:t xml:space="preserve"> years was </w:t>
      </w:r>
      <w:r w:rsidR="00287A83">
        <w:t>12 527</w:t>
      </w:r>
      <w:r w:rsidR="00CE49E3">
        <w:t>,</w:t>
      </w:r>
      <w:r w:rsidR="00701990">
        <w:t xml:space="preserve"> o</w:t>
      </w:r>
      <w:r w:rsidRPr="00E950AB">
        <w:t xml:space="preserve">f a total </w:t>
      </w:r>
      <w:r w:rsidR="00701990">
        <w:br/>
      </w:r>
      <w:r w:rsidR="00287A83">
        <w:t>2.2</w:t>
      </w:r>
      <w:r w:rsidR="00701990">
        <w:t xml:space="preserve"> million nationally </w:t>
      </w:r>
      <w:r w:rsidRPr="00E950AB">
        <w:t>(table</w:t>
      </w:r>
      <w:r w:rsidR="00AA68A5">
        <w:t> </w:t>
      </w:r>
      <w:proofErr w:type="spellStart"/>
      <w:r w:rsidRPr="00E950AB">
        <w:t>13</w:t>
      </w:r>
      <w:r w:rsidR="00EA6B74">
        <w:t>A.</w:t>
      </w:r>
      <w:r w:rsidR="00287A83">
        <w:t>72</w:t>
      </w:r>
      <w:proofErr w:type="spellEnd"/>
      <w:r w:rsidRPr="00E950AB">
        <w:t>).</w:t>
      </w:r>
    </w:p>
    <w:p w:rsidR="00A12C8F" w:rsidRPr="002F03FA" w:rsidRDefault="00A12C8F" w:rsidP="00267F32">
      <w:pPr>
        <w:pStyle w:val="FigureTitle"/>
        <w:ind w:left="1560" w:hanging="1560"/>
      </w:pPr>
      <w:r w:rsidRPr="00805CB5">
        <w:rPr>
          <w:b w:val="0"/>
          <w:sz w:val="24"/>
        </w:rPr>
        <w:lastRenderedPageBreak/>
        <w:t xml:space="preserve">Figure </w:t>
      </w:r>
      <w:bookmarkStart w:id="102" w:name="OLE_LINK40"/>
      <w:bookmarkStart w:id="103" w:name="OLE_LINK41"/>
      <w:r w:rsidR="00287A83">
        <w:rPr>
          <w:b w:val="0"/>
          <w:sz w:val="24"/>
        </w:rPr>
        <w:t>13.</w:t>
      </w:r>
      <w:r w:rsidR="00E4728C">
        <w:rPr>
          <w:b w:val="0"/>
          <w:noProof/>
          <w:sz w:val="24"/>
        </w:rPr>
        <w:t>22</w:t>
      </w:r>
      <w:bookmarkEnd w:id="102"/>
      <w:bookmarkEnd w:id="103"/>
      <w:r w:rsidRPr="00805CB5">
        <w:rPr>
          <w:sz w:val="24"/>
        </w:rPr>
        <w:tab/>
      </w:r>
      <w:bookmarkStart w:id="104" w:name="OLE_LINK60"/>
      <w:bookmarkStart w:id="105" w:name="OLE_LINK61"/>
      <w:r w:rsidRPr="00805CB5">
        <w:rPr>
          <w:sz w:val="24"/>
        </w:rPr>
        <w:t xml:space="preserve">Proportion of separations for ‘aged care type’ </w:t>
      </w:r>
      <w:r w:rsidR="002C64A3" w:rsidRPr="00805CB5">
        <w:rPr>
          <w:sz w:val="24"/>
        </w:rPr>
        <w:t xml:space="preserve">public hospitals </w:t>
      </w:r>
      <w:r w:rsidRPr="00805CB5">
        <w:rPr>
          <w:sz w:val="24"/>
        </w:rPr>
        <w:t xml:space="preserve">patients </w:t>
      </w:r>
      <w:r w:rsidR="008431E6" w:rsidRPr="00805CB5">
        <w:rPr>
          <w:sz w:val="24"/>
        </w:rPr>
        <w:t>that were 35 days or longer</w:t>
      </w:r>
      <w:bookmarkEnd w:id="104"/>
      <w:bookmarkEnd w:id="105"/>
      <w:r w:rsidRPr="00F05CB2">
        <w:rPr>
          <w:rStyle w:val="NoteLabel"/>
          <w:b/>
        </w:rPr>
        <w:t>a, b, c, d, e, f, g</w:t>
      </w:r>
      <w:r w:rsidR="002B5BA8">
        <w:rPr>
          <w:rStyle w:val="NoteLabel"/>
          <w:b/>
        </w:rPr>
        <w:t>, h</w:t>
      </w:r>
      <w:r>
        <w:rPr>
          <w:rStyle w:val="NoteLabel"/>
          <w:b/>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12C8F" w:rsidTr="008D469F">
        <w:tc>
          <w:tcPr>
            <w:tcW w:w="8777" w:type="dxa"/>
            <w:tcBorders>
              <w:top w:val="single" w:sz="4" w:space="0" w:color="auto"/>
              <w:bottom w:val="single" w:sz="4" w:space="0" w:color="auto"/>
              <w:right w:val="nil"/>
            </w:tcBorders>
          </w:tcPr>
          <w:p w:rsidR="00127ABB" w:rsidRPr="00026F7E" w:rsidRDefault="008018D4" w:rsidP="007A656F">
            <w:pPr>
              <w:pStyle w:val="Figure"/>
            </w:pPr>
            <w:r>
              <w:rPr>
                <w:noProof/>
              </w:rPr>
              <w:drawing>
                <wp:inline distT="0" distB="0" distL="0" distR="0">
                  <wp:extent cx="5391150" cy="2886075"/>
                  <wp:effectExtent l="0" t="0" r="0" b="9525"/>
                  <wp:docPr id="25" name="Picture 25" descr="Figure 13.22 Proportion of separations for ‘aged care type’ public hospitals patients that were 35 days or longer&#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391150" cy="2886075"/>
                          </a:xfrm>
                          <a:prstGeom prst="rect">
                            <a:avLst/>
                          </a:prstGeom>
                          <a:noFill/>
                          <a:ln>
                            <a:noFill/>
                          </a:ln>
                        </pic:spPr>
                      </pic:pic>
                    </a:graphicData>
                  </a:graphic>
                </wp:inline>
              </w:drawing>
            </w:r>
          </w:p>
        </w:tc>
      </w:tr>
    </w:tbl>
    <w:p w:rsidR="00A12C8F" w:rsidRDefault="00A12C8F" w:rsidP="0014540E">
      <w:pPr>
        <w:pStyle w:val="Note"/>
      </w:pPr>
      <w:r>
        <w:rPr>
          <w:rStyle w:val="NoteLabel"/>
        </w:rPr>
        <w:t>a</w:t>
      </w:r>
      <w:r>
        <w:t xml:space="preserve"> Data are for hospital separations with a care type of maintenance and a diagnosis (either principal or additional) of either ‘person </w:t>
      </w:r>
      <w:r w:rsidRPr="00F531FD">
        <w:t>awaiting admission to residential aged care</w:t>
      </w:r>
      <w:r>
        <w:t xml:space="preserve"> service’ or ‘n</w:t>
      </w:r>
      <w:r w:rsidRPr="00153F04">
        <w:t>eed for assistance at home and no other household member able to render care</w:t>
      </w:r>
      <w:r>
        <w:t xml:space="preserve">’ and where the separation lasted 35 days or longer. </w:t>
      </w:r>
      <w:r w:rsidRPr="008409FA">
        <w:rPr>
          <w:rStyle w:val="NoteLabel"/>
        </w:rPr>
        <w:t>b</w:t>
      </w:r>
      <w:r>
        <w:t xml:space="preserve"> Age </w:t>
      </w:r>
      <w:r w:rsidR="00BD35E9">
        <w:t xml:space="preserve">of patients is </w:t>
      </w:r>
      <w:r w:rsidR="002E5141">
        <w:t xml:space="preserve">65 </w:t>
      </w:r>
      <w:r w:rsidR="00BD35E9">
        <w:t>years or over</w:t>
      </w:r>
      <w:r>
        <w:t xml:space="preserve"> </w:t>
      </w:r>
      <w:r w:rsidR="00CF2C9C" w:rsidRPr="00BD35E9">
        <w:t>and</w:t>
      </w:r>
      <w:r>
        <w:t xml:space="preserve"> Indigenous patients 50–</w:t>
      </w:r>
      <w:r w:rsidR="002E5141">
        <w:t xml:space="preserve">64 </w:t>
      </w:r>
      <w:r>
        <w:t xml:space="preserve">years. </w:t>
      </w:r>
      <w:r w:rsidRPr="008409FA">
        <w:rPr>
          <w:rStyle w:val="NoteLabel"/>
        </w:rPr>
        <w:t>c</w:t>
      </w:r>
      <w:r>
        <w:t xml:space="preserve"> Although the diagnosis codes reflect a care type, they do not determine a person’s eligibility for residential aged care. </w:t>
      </w:r>
      <w:r w:rsidRPr="008409FA">
        <w:rPr>
          <w:rStyle w:val="NoteLabel"/>
        </w:rPr>
        <w:t>d</w:t>
      </w:r>
      <w:r>
        <w:t xml:space="preserve"> Diagnosis codes may not be applied consistently across jurisdictions or over time. </w:t>
      </w:r>
      <w:r w:rsidRPr="008409FA">
        <w:rPr>
          <w:rStyle w:val="NoteLabel"/>
        </w:rPr>
        <w:t>e</w:t>
      </w:r>
      <w:r>
        <w:t xml:space="preserve"> These data only account for completed unlinked separations. </w:t>
      </w:r>
      <w:proofErr w:type="spellStart"/>
      <w:r w:rsidRPr="008409FA">
        <w:rPr>
          <w:rStyle w:val="NoteLabel"/>
        </w:rPr>
        <w:t>f</w:t>
      </w:r>
      <w:proofErr w:type="spellEnd"/>
      <w:r>
        <w:rPr>
          <w:rStyle w:val="NoteLabel"/>
        </w:rPr>
        <w:t> </w:t>
      </w:r>
      <w:r>
        <w:t>The code ‘n</w:t>
      </w:r>
      <w:r w:rsidRPr="00153F04">
        <w:t>eed for assistance at home and no other household member able to render care</w:t>
      </w:r>
      <w:r>
        <w:t xml:space="preserve">’ may also be used for respite care for either residential or community care patients. </w:t>
      </w:r>
      <w:r w:rsidRPr="008409FA">
        <w:rPr>
          <w:rStyle w:val="NoteLabel"/>
        </w:rPr>
        <w:t>g</w:t>
      </w:r>
      <w:r>
        <w:t> An individual patient may have multiple hospital separations during a single hospital stay, for example, if a change in the type of care occurs during a patient’s hospital stay. Data on length of stay relate to each separation and not to the whole hospital stay.</w:t>
      </w:r>
      <w:r w:rsidR="002B5BA8">
        <w:t xml:space="preserve"> </w:t>
      </w:r>
      <w:r w:rsidR="002B5BA8" w:rsidRPr="00287A83">
        <w:rPr>
          <w:rStyle w:val="NoteLabel"/>
        </w:rPr>
        <w:t>h</w:t>
      </w:r>
      <w:r w:rsidR="002B5BA8">
        <w:t xml:space="preserve"> </w:t>
      </w:r>
      <w:r w:rsidR="00287A83">
        <w:t>D</w:t>
      </w:r>
      <w:r w:rsidR="002B5BA8">
        <w:t>ata for 2011</w:t>
      </w:r>
      <w:r w:rsidR="00AA68A5">
        <w:noBreakHyphen/>
      </w:r>
      <w:r w:rsidR="002B5BA8">
        <w:t xml:space="preserve">12 include public patients in private hospitals, these patients </w:t>
      </w:r>
      <w:r w:rsidR="00287A83">
        <w:t>we</w:t>
      </w:r>
      <w:r w:rsidR="002B5BA8">
        <w:t>re not included in 2009</w:t>
      </w:r>
      <w:r w:rsidR="00AA68A5">
        <w:noBreakHyphen/>
      </w:r>
      <w:r w:rsidR="002B5BA8">
        <w:t>10 or 2010</w:t>
      </w:r>
      <w:r w:rsidR="00AA68A5">
        <w:noBreakHyphen/>
      </w:r>
      <w:r w:rsidR="002B5BA8">
        <w:t>11.</w:t>
      </w:r>
    </w:p>
    <w:p w:rsidR="00A12C8F" w:rsidRDefault="00A12C8F" w:rsidP="002501A2">
      <w:pPr>
        <w:pStyle w:val="Source"/>
      </w:pPr>
      <w:r w:rsidRPr="008409FA">
        <w:rPr>
          <w:i/>
        </w:rPr>
        <w:t>Source</w:t>
      </w:r>
      <w:r>
        <w:t xml:space="preserve">: </w:t>
      </w:r>
      <w:proofErr w:type="spellStart"/>
      <w:r>
        <w:t>AIHW</w:t>
      </w:r>
      <w:proofErr w:type="spellEnd"/>
      <w:r>
        <w:t xml:space="preserve"> (unpublished); table</w:t>
      </w:r>
      <w:r w:rsidR="00AA68A5">
        <w:t> </w:t>
      </w:r>
      <w:proofErr w:type="spellStart"/>
      <w:r>
        <w:t>13</w:t>
      </w:r>
      <w:r w:rsidR="00EA6B74">
        <w:t>A.</w:t>
      </w:r>
      <w:r w:rsidR="00287A83">
        <w:t>72</w:t>
      </w:r>
      <w:proofErr w:type="spellEnd"/>
      <w:r>
        <w:t xml:space="preserve">. </w:t>
      </w:r>
    </w:p>
    <w:p w:rsidR="00A12C8F" w:rsidRDefault="00A12C8F" w:rsidP="002501A2">
      <w:pPr>
        <w:pStyle w:val="BodyText"/>
        <w:rPr>
          <w:rStyle w:val="BodyTextChar1Char"/>
        </w:rPr>
      </w:pPr>
      <w:bookmarkStart w:id="106" w:name="OLE_LINK87"/>
      <w:bookmarkStart w:id="107" w:name="OLE_LINK88"/>
      <w:r w:rsidRPr="005B7BB4">
        <w:rPr>
          <w:rStyle w:val="BodyTextChar1Char"/>
        </w:rPr>
        <w:t xml:space="preserve">The proportion of all </w:t>
      </w:r>
      <w:r>
        <w:rPr>
          <w:rStyle w:val="BodyTextChar1Char"/>
        </w:rPr>
        <w:t xml:space="preserve">hospital </w:t>
      </w:r>
      <w:r w:rsidRPr="005B7BB4">
        <w:rPr>
          <w:rStyle w:val="BodyTextChar1Char"/>
        </w:rPr>
        <w:t>patient days (</w:t>
      </w:r>
      <w:r w:rsidR="00C73951">
        <w:rPr>
          <w:rStyle w:val="BodyTextChar1Char"/>
        </w:rPr>
        <w:t xml:space="preserve">for overnight separations only) </w:t>
      </w:r>
      <w:r w:rsidRPr="005B7BB4">
        <w:rPr>
          <w:rStyle w:val="BodyTextChar1Char"/>
        </w:rPr>
        <w:t xml:space="preserve">used by patients who are waiting for residential aged care </w:t>
      </w:r>
      <w:r>
        <w:rPr>
          <w:rStyle w:val="BodyTextChar1Char"/>
        </w:rPr>
        <w:t>(as defined in box</w:t>
      </w:r>
      <w:r w:rsidR="00AA68A5">
        <w:rPr>
          <w:rStyle w:val="BodyTextChar1Char"/>
        </w:rPr>
        <w:t> </w:t>
      </w:r>
      <w:r>
        <w:rPr>
          <w:rStyle w:val="BodyTextChar1Char"/>
        </w:rPr>
        <w:t>13.</w:t>
      </w:r>
      <w:r w:rsidR="006F695F">
        <w:rPr>
          <w:rStyle w:val="BodyTextChar1Char"/>
        </w:rPr>
        <w:t>8</w:t>
      </w:r>
      <w:r>
        <w:rPr>
          <w:rStyle w:val="BodyTextChar1Char"/>
        </w:rPr>
        <w:t xml:space="preserve">) </w:t>
      </w:r>
      <w:r w:rsidRPr="00C73951">
        <w:t xml:space="preserve">was </w:t>
      </w:r>
      <w:r w:rsidR="00C73951">
        <w:br/>
      </w:r>
      <w:r w:rsidR="006F695F">
        <w:t>11.2</w:t>
      </w:r>
      <w:r w:rsidR="0079398A">
        <w:t xml:space="preserve"> </w:t>
      </w:r>
      <w:r>
        <w:rPr>
          <w:rStyle w:val="BodyTextChar1Char"/>
        </w:rPr>
        <w:t>per 1000 patient days</w:t>
      </w:r>
      <w:r w:rsidR="004D7909">
        <w:rPr>
          <w:rStyle w:val="BodyTextChar1Char"/>
        </w:rPr>
        <w:t xml:space="preserve"> nationally </w:t>
      </w:r>
      <w:r w:rsidRPr="005B7BB4">
        <w:rPr>
          <w:rStyle w:val="BodyTextChar1Char"/>
        </w:rPr>
        <w:t>in 20</w:t>
      </w:r>
      <w:r w:rsidR="00FD51CE">
        <w:rPr>
          <w:rStyle w:val="BodyTextChar1Char"/>
        </w:rPr>
        <w:t>1</w:t>
      </w:r>
      <w:r w:rsidR="0079398A">
        <w:rPr>
          <w:rStyle w:val="BodyTextChar1Char"/>
        </w:rPr>
        <w:t>1</w:t>
      </w:r>
      <w:r w:rsidR="00AA68A5">
        <w:rPr>
          <w:rStyle w:val="BodyTextChar1Char"/>
        </w:rPr>
        <w:noBreakHyphen/>
      </w:r>
      <w:r w:rsidR="00DB4AF5">
        <w:rPr>
          <w:rStyle w:val="BodyTextChar1Char"/>
        </w:rPr>
        <w:t>1</w:t>
      </w:r>
      <w:r w:rsidR="0079398A">
        <w:rPr>
          <w:rStyle w:val="BodyTextChar1Char"/>
        </w:rPr>
        <w:t>2</w:t>
      </w:r>
      <w:r>
        <w:rPr>
          <w:rStyle w:val="BodyTextChar1Char"/>
        </w:rPr>
        <w:t xml:space="preserve"> (figure</w:t>
      </w:r>
      <w:r w:rsidR="00AA68A5">
        <w:rPr>
          <w:rStyle w:val="BodyTextChar1Char"/>
        </w:rPr>
        <w:t> </w:t>
      </w:r>
      <w:r>
        <w:rPr>
          <w:rStyle w:val="BodyTextChar1Char"/>
        </w:rPr>
        <w:t>13.2</w:t>
      </w:r>
      <w:r w:rsidR="0079398A">
        <w:rPr>
          <w:rStyle w:val="BodyTextChar1Char"/>
        </w:rPr>
        <w:t>3</w:t>
      </w:r>
      <w:r>
        <w:rPr>
          <w:rStyle w:val="BodyTextChar1Char"/>
        </w:rPr>
        <w:t>)</w:t>
      </w:r>
      <w:r w:rsidRPr="005B7BB4">
        <w:rPr>
          <w:rStyle w:val="BodyTextChar1Char"/>
        </w:rPr>
        <w:t xml:space="preserve">. </w:t>
      </w:r>
    </w:p>
    <w:bookmarkEnd w:id="106"/>
    <w:bookmarkEnd w:id="107"/>
    <w:p w:rsidR="00A12C8F" w:rsidRPr="00396811" w:rsidRDefault="00A12C8F" w:rsidP="00267F32">
      <w:pPr>
        <w:pStyle w:val="FigureTitle"/>
        <w:ind w:left="1560" w:hanging="1560"/>
      </w:pPr>
      <w:r w:rsidRPr="00805CB5">
        <w:rPr>
          <w:b w:val="0"/>
          <w:sz w:val="24"/>
        </w:rPr>
        <w:lastRenderedPageBreak/>
        <w:t xml:space="preserve">Figure </w:t>
      </w:r>
      <w:r w:rsidR="0079398A">
        <w:rPr>
          <w:b w:val="0"/>
          <w:sz w:val="24"/>
        </w:rPr>
        <w:t>13.</w:t>
      </w:r>
      <w:r w:rsidR="00E4728C">
        <w:rPr>
          <w:b w:val="0"/>
          <w:noProof/>
          <w:sz w:val="24"/>
        </w:rPr>
        <w:t>23</w:t>
      </w:r>
      <w:r w:rsidRPr="00805CB5">
        <w:rPr>
          <w:sz w:val="24"/>
        </w:rPr>
        <w:tab/>
      </w:r>
      <w:r w:rsidR="00C02D25" w:rsidRPr="00805CB5">
        <w:rPr>
          <w:sz w:val="24"/>
        </w:rPr>
        <w:t>H</w:t>
      </w:r>
      <w:r w:rsidRPr="00805CB5">
        <w:rPr>
          <w:sz w:val="24"/>
        </w:rPr>
        <w:t xml:space="preserve">ospital patient days used by patients </w:t>
      </w:r>
      <w:r w:rsidRPr="00805CB5">
        <w:rPr>
          <w:rStyle w:val="BodyTextChar1Char"/>
          <w:sz w:val="24"/>
        </w:rPr>
        <w:t>waiting for residential aged care</w:t>
      </w:r>
      <w:r>
        <w:rPr>
          <w:rStyle w:val="NoteLabel"/>
          <w:b/>
        </w:rPr>
        <w:t>a, b, c, d, e, f</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A12C8F" w:rsidTr="00A12C8F">
        <w:tc>
          <w:tcPr>
            <w:tcW w:w="8777" w:type="dxa"/>
          </w:tcPr>
          <w:p w:rsidR="00A12C8F" w:rsidRPr="00026F7E" w:rsidRDefault="008018D4" w:rsidP="00DB4AF5">
            <w:pPr>
              <w:pStyle w:val="Figure"/>
            </w:pPr>
            <w:r>
              <w:rPr>
                <w:noProof/>
              </w:rPr>
              <w:drawing>
                <wp:inline distT="0" distB="0" distL="0" distR="0">
                  <wp:extent cx="5362575" cy="2638425"/>
                  <wp:effectExtent l="0" t="0" r="9525" b="9525"/>
                  <wp:docPr id="26" name="Picture 26" descr="Figure 13.23 Hospital patient days used by patients waiting for residential aged car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62575" cy="2638425"/>
                          </a:xfrm>
                          <a:prstGeom prst="rect">
                            <a:avLst/>
                          </a:prstGeom>
                          <a:noFill/>
                          <a:ln>
                            <a:noFill/>
                          </a:ln>
                        </pic:spPr>
                      </pic:pic>
                    </a:graphicData>
                  </a:graphic>
                </wp:inline>
              </w:drawing>
            </w:r>
          </w:p>
        </w:tc>
      </w:tr>
    </w:tbl>
    <w:p w:rsidR="00A12C8F" w:rsidRPr="00254787" w:rsidRDefault="00A12C8F" w:rsidP="002501A2">
      <w:pPr>
        <w:pStyle w:val="Note"/>
      </w:pPr>
      <w:r w:rsidRPr="00254787">
        <w:rPr>
          <w:rStyle w:val="NoteLabel"/>
        </w:rPr>
        <w:t>a</w:t>
      </w:r>
      <w:r w:rsidRPr="00254787">
        <w:t xml:space="preserve"> Data include overnight hospital separations only. </w:t>
      </w:r>
      <w:r w:rsidRPr="00254787">
        <w:rPr>
          <w:rStyle w:val="NoteLabel"/>
        </w:rPr>
        <w:t>b</w:t>
      </w:r>
      <w:r w:rsidRPr="00254787">
        <w:t xml:space="preserve"> Numerator data include patients w</w:t>
      </w:r>
      <w:r>
        <w:t>ith a care type of maintenance</w:t>
      </w:r>
      <w:r w:rsidRPr="00254787">
        <w:t>, and diagnosis (either principal or additional) was ‘person awaiting admission to residential aged care service’, and separation mode was ‘discharge/transf</w:t>
      </w:r>
      <w:r>
        <w:t>er to another acute hospital’;</w:t>
      </w:r>
      <w:r w:rsidRPr="00254787">
        <w:t xml:space="preserve"> ‘discharge, transfer to residential aged care (unless th</w:t>
      </w:r>
      <w:r>
        <w:t>is is usual place of residence);</w:t>
      </w:r>
      <w:r w:rsidRPr="00254787">
        <w:t xml:space="preserve"> ‘sta</w:t>
      </w:r>
      <w:r>
        <w:t>tistical discharge—type change’; ‘died’;</w:t>
      </w:r>
      <w:r w:rsidRPr="00254787">
        <w:t xml:space="preserve"> ‘discharge/transfer to other health care accommodation (including mother craft hospitals)’ or ‘left against medical advice/discharge at own risk; statistical discharge from leave; discharge/transfer to (an)other psychiatric hospital’.</w:t>
      </w:r>
      <w:r w:rsidRPr="00254787">
        <w:rPr>
          <w:rStyle w:val="NoteLabel"/>
        </w:rPr>
        <w:t xml:space="preserve"> c</w:t>
      </w:r>
      <w:r w:rsidRPr="00254787">
        <w:t xml:space="preserve"> Includes patients of all ages. </w:t>
      </w:r>
      <w:r w:rsidRPr="00254787">
        <w:rPr>
          <w:rStyle w:val="NoteLabel"/>
        </w:rPr>
        <w:t>d</w:t>
      </w:r>
      <w:r w:rsidRPr="00254787">
        <w:t xml:space="preserve"> Although the diagnosis codes reflect a care type, they do not determine a person’s eligibility for residential aged care. </w:t>
      </w:r>
      <w:r w:rsidRPr="00254787">
        <w:rPr>
          <w:rStyle w:val="NoteLabel"/>
        </w:rPr>
        <w:t>e</w:t>
      </w:r>
      <w:r w:rsidRPr="00254787">
        <w:t xml:space="preserve"> Diagnosis codes may not be applied consistently across jurisdictions or over time. </w:t>
      </w:r>
      <w:r w:rsidRPr="00254787">
        <w:rPr>
          <w:rStyle w:val="NoteLabel"/>
        </w:rPr>
        <w:t>f </w:t>
      </w:r>
      <w:r w:rsidRPr="00254787">
        <w:t xml:space="preserve">These data only account for completed unlinked separations. An individual patient may have multiple hospital separations during a single hospital stay, for example, if a change in the type of care occurs during a patient’s hospital stay. Data on patient days relate to </w:t>
      </w:r>
      <w:r>
        <w:t>the defined</w:t>
      </w:r>
      <w:r w:rsidRPr="00254787">
        <w:t xml:space="preserve"> separation</w:t>
      </w:r>
      <w:r>
        <w:t>s</w:t>
      </w:r>
      <w:r w:rsidRPr="00254787">
        <w:t xml:space="preserve"> and not to the whole hospital stay.</w:t>
      </w:r>
    </w:p>
    <w:p w:rsidR="00A12C8F" w:rsidRDefault="00A12C8F" w:rsidP="002501A2">
      <w:pPr>
        <w:pStyle w:val="Source"/>
      </w:pPr>
      <w:r w:rsidRPr="008409FA">
        <w:rPr>
          <w:i/>
        </w:rPr>
        <w:t>Source</w:t>
      </w:r>
      <w:r>
        <w:t xml:space="preserve">: </w:t>
      </w:r>
      <w:proofErr w:type="spellStart"/>
      <w:r>
        <w:t>AIHW</w:t>
      </w:r>
      <w:proofErr w:type="spellEnd"/>
      <w:r>
        <w:t xml:space="preserve"> (unpublished); table</w:t>
      </w:r>
      <w:r w:rsidR="00AA68A5">
        <w:t> </w:t>
      </w:r>
      <w:proofErr w:type="spellStart"/>
      <w:r>
        <w:t>13</w:t>
      </w:r>
      <w:r w:rsidR="00487216">
        <w:t>A.</w:t>
      </w:r>
      <w:r w:rsidR="00930170">
        <w:t>73</w:t>
      </w:r>
      <w:proofErr w:type="spellEnd"/>
      <w:r>
        <w:t xml:space="preserve">. </w:t>
      </w:r>
    </w:p>
    <w:p w:rsidR="00A12C8F" w:rsidRDefault="00A12C8F" w:rsidP="002501A2">
      <w:pPr>
        <w:pStyle w:val="Heading5"/>
      </w:pPr>
      <w:r>
        <w:t>Intensity of care</w:t>
      </w:r>
    </w:p>
    <w:p w:rsidR="00176562" w:rsidRPr="00587275" w:rsidRDefault="00A12C8F" w:rsidP="00176562">
      <w:pPr>
        <w:pStyle w:val="BodyText"/>
      </w:pPr>
      <w:r>
        <w:t>‘Intensity of care’ is an indicator of governments’ objective</w:t>
      </w:r>
      <w:r w:rsidR="001475AF">
        <w:t xml:space="preserve"> to encourage ‘ageing in place’</w:t>
      </w:r>
      <w:r w:rsidR="00176562">
        <w:t xml:space="preserve"> </w:t>
      </w:r>
      <w:r>
        <w:t>to increase choice and flexibility in residential aged care service provision (box</w:t>
      </w:r>
      <w:r w:rsidR="00AA68A5">
        <w:t> </w:t>
      </w:r>
      <w:r>
        <w:t>13.</w:t>
      </w:r>
      <w:r w:rsidR="007F5120">
        <w:t>9</w:t>
      </w:r>
      <w:r>
        <w:t>).</w:t>
      </w:r>
      <w:r w:rsidR="001475AF" w:rsidRPr="001475AF">
        <w:t xml:space="preserve"> </w:t>
      </w:r>
      <w:r w:rsidR="001475AF">
        <w:t>(See box</w:t>
      </w:r>
      <w:r w:rsidR="00AA68A5">
        <w:t> </w:t>
      </w:r>
      <w:r w:rsidR="001475AF">
        <w:t>13.</w:t>
      </w:r>
      <w:r w:rsidR="0079398A">
        <w:t>1</w:t>
      </w:r>
      <w:r w:rsidR="007F5120">
        <w:t>0</w:t>
      </w:r>
      <w:r w:rsidR="001475AF">
        <w:t xml:space="preserve"> for background information on the ‘ageing in place’ policy.)</w:t>
      </w:r>
    </w:p>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A12C8F">
        <w:tc>
          <w:tcPr>
            <w:tcW w:w="8771" w:type="dxa"/>
            <w:tcBorders>
              <w:top w:val="single" w:sz="6" w:space="0" w:color="auto"/>
              <w:bottom w:val="nil"/>
            </w:tcBorders>
          </w:tcPr>
          <w:p w:rsidR="00A12C8F" w:rsidRPr="00805CB5" w:rsidRDefault="00A12C8F" w:rsidP="002501A2">
            <w:pPr>
              <w:pStyle w:val="BoxTitle"/>
              <w:rPr>
                <w:sz w:val="24"/>
              </w:rPr>
            </w:pPr>
            <w:r w:rsidRPr="00805CB5">
              <w:rPr>
                <w:b w:val="0"/>
                <w:sz w:val="24"/>
              </w:rPr>
              <w:t xml:space="preserve">Box </w:t>
            </w:r>
            <w:r w:rsidR="007F5120">
              <w:rPr>
                <w:b w:val="0"/>
                <w:sz w:val="24"/>
              </w:rPr>
              <w:t>13.</w:t>
            </w:r>
            <w:r w:rsidR="00E4728C">
              <w:rPr>
                <w:b w:val="0"/>
                <w:noProof/>
                <w:sz w:val="24"/>
              </w:rPr>
              <w:t>9</w:t>
            </w:r>
            <w:r w:rsidRPr="00805CB5">
              <w:rPr>
                <w:sz w:val="24"/>
              </w:rPr>
              <w:tab/>
              <w:t>Intensity of care</w:t>
            </w:r>
            <w:r w:rsidRPr="00805CB5">
              <w:rPr>
                <w:b w:val="0"/>
                <w:sz w:val="24"/>
              </w:rPr>
              <w:t xml:space="preserve"> </w:t>
            </w:r>
          </w:p>
        </w:tc>
      </w:tr>
      <w:tr w:rsidR="00A12C8F" w:rsidTr="00A12C8F">
        <w:trPr>
          <w:cantSplit/>
        </w:trPr>
        <w:tc>
          <w:tcPr>
            <w:tcW w:w="8771" w:type="dxa"/>
            <w:tcBorders>
              <w:top w:val="nil"/>
              <w:left w:val="single" w:sz="6" w:space="0" w:color="auto"/>
              <w:bottom w:val="nil"/>
              <w:right w:val="single" w:sz="6" w:space="0" w:color="auto"/>
            </w:tcBorders>
          </w:tcPr>
          <w:p w:rsidR="00A12C8F" w:rsidRDefault="00A12C8F" w:rsidP="002501A2">
            <w:pPr>
              <w:pStyle w:val="Box"/>
            </w:pPr>
            <w:r>
              <w:t>‘Intensity of care’ is defined by two measures:</w:t>
            </w:r>
          </w:p>
          <w:p w:rsidR="00A12C8F" w:rsidRDefault="00A12C8F" w:rsidP="002501A2">
            <w:pPr>
              <w:pStyle w:val="BoxListBullet"/>
            </w:pPr>
            <w:r>
              <w:t>the proportion of people who stayed in the same residential aged care service when changing from low care to high care</w:t>
            </w:r>
          </w:p>
          <w:p w:rsidR="00A12C8F" w:rsidRDefault="00A12C8F" w:rsidP="002501A2">
            <w:pPr>
              <w:pStyle w:val="BoxListBullet"/>
            </w:pPr>
            <w:r>
              <w:t>the proportion of low care places occupied by residents with high care needs, compared with the proportion of all operational places taken up by residents with high care needs.</w:t>
            </w:r>
          </w:p>
          <w:p w:rsidR="00A12C8F" w:rsidRDefault="001C406C" w:rsidP="002501A2">
            <w:pPr>
              <w:pStyle w:val="Box"/>
            </w:pPr>
            <w:r>
              <w:t xml:space="preserve">High or increasing </w:t>
            </w:r>
            <w:r w:rsidR="00A12C8F">
              <w:t>rates of ageing in place are desirable, in the context of a flexible system that also meets the need for low level care either in residential facilities or in the community.</w:t>
            </w:r>
          </w:p>
          <w:p w:rsidR="00A12C8F" w:rsidRDefault="00A12C8F" w:rsidP="002501A2">
            <w:pPr>
              <w:pStyle w:val="Box"/>
            </w:pPr>
            <w:r>
              <w:t xml:space="preserve">These measures reflect the proportion of residents who remain in the same residential aged care facility as their care needs increase from low care to high care. The </w:t>
            </w:r>
            <w:r w:rsidRPr="00B939F8">
              <w:rPr>
                <w:i/>
              </w:rPr>
              <w:t xml:space="preserve">Aged Care Act </w:t>
            </w:r>
            <w:r w:rsidR="00B939F8" w:rsidRPr="00B939F8">
              <w:rPr>
                <w:i/>
              </w:rPr>
              <w:t>1997</w:t>
            </w:r>
            <w:r w:rsidR="00B939F8">
              <w:t xml:space="preserve"> </w:t>
            </w:r>
            <w:r>
              <w:t>aims explicitly to encourage ageing in place to increase choice and flexibility in residential aged care service provision (box</w:t>
            </w:r>
            <w:r w:rsidR="00AA68A5">
              <w:t> </w:t>
            </w:r>
            <w:r>
              <w:t>13.</w:t>
            </w:r>
            <w:r w:rsidR="000F214F">
              <w:t>1</w:t>
            </w:r>
            <w:r w:rsidR="004D053B">
              <w:t>0</w:t>
            </w:r>
            <w:r>
              <w:t xml:space="preserve">). </w:t>
            </w:r>
          </w:p>
          <w:p w:rsidR="00A12C8F" w:rsidRDefault="00A12C8F" w:rsidP="002501A2">
            <w:pPr>
              <w:pStyle w:val="Box"/>
            </w:pPr>
            <w:r>
              <w:t>This indicator needs to be viewed from the perspective of the system as a whole. The implication of ageing in place is that some places that were allocated for low care will be occupied by high care residents (or, conversely, allocated for high care and occupied by low care residents). Information about the use of operational residential aged care places is provided to demonstrate the impact of ageing in place on the aged care services system over time.</w:t>
            </w:r>
          </w:p>
          <w:p w:rsidR="004D053B" w:rsidRDefault="004D053B" w:rsidP="004D053B">
            <w:pPr>
              <w:pStyle w:val="Box"/>
            </w:pPr>
            <w:r>
              <w:t xml:space="preserve">Data reported for </w:t>
            </w:r>
            <w:r w:rsidR="00930170">
              <w:t>this indicator</w:t>
            </w:r>
            <w:r>
              <w:t xml:space="preserve"> are:</w:t>
            </w:r>
          </w:p>
          <w:p w:rsidR="004D053B" w:rsidRDefault="004D053B" w:rsidP="004D053B">
            <w:pPr>
              <w:pStyle w:val="BoxListBullet"/>
            </w:pPr>
            <w:r w:rsidRPr="003D148D">
              <w:t>comparable (subject to caveats) across jurisdictions and over time</w:t>
            </w:r>
            <w:r>
              <w:t xml:space="preserve"> </w:t>
            </w:r>
          </w:p>
          <w:p w:rsidR="00A12C8F" w:rsidRDefault="004D053B" w:rsidP="004D053B">
            <w:pPr>
              <w:pStyle w:val="BoxListBullet"/>
            </w:pPr>
            <w:r>
              <w:t xml:space="preserve">complete for the current reporting period (subject to caveats). All required </w:t>
            </w:r>
            <w:r w:rsidR="00930170">
              <w:br/>
              <w:t>June 2013</w:t>
            </w:r>
            <w:r>
              <w:t xml:space="preserve"> data are available for all jurisdictions.</w:t>
            </w:r>
          </w:p>
          <w:p w:rsidR="000A26F9" w:rsidRPr="000A26F9" w:rsidRDefault="000A26F9" w:rsidP="002501A2">
            <w:pPr>
              <w:pStyle w:val="Box"/>
            </w:pPr>
            <w:r w:rsidRPr="000A26F9">
              <w:t>Data quality information for this indicator is under development.</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1475AF" w:rsidRPr="00CF7F6D" w:rsidRDefault="001475AF" w:rsidP="001475AF">
      <w:pPr>
        <w:pStyle w:val="BodyText"/>
      </w:pPr>
      <w:r w:rsidRPr="00CF7F6D">
        <w:t>Nationally</w:t>
      </w:r>
      <w:r>
        <w:t>, f</w:t>
      </w:r>
      <w:r w:rsidRPr="00CF7F6D">
        <w:t xml:space="preserve">rom </w:t>
      </w:r>
      <w:r w:rsidR="00A43AA8">
        <w:t>2004</w:t>
      </w:r>
      <w:r w:rsidR="00AA68A5">
        <w:noBreakHyphen/>
      </w:r>
      <w:r w:rsidR="00A43AA8">
        <w:t xml:space="preserve">05 </w:t>
      </w:r>
      <w:r w:rsidRPr="00CF7F6D">
        <w:t xml:space="preserve">to </w:t>
      </w:r>
      <w:r w:rsidR="00A43AA8">
        <w:t>2012</w:t>
      </w:r>
      <w:r w:rsidR="00AA68A5">
        <w:noBreakHyphen/>
      </w:r>
      <w:r w:rsidR="00A43AA8">
        <w:t>13</w:t>
      </w:r>
      <w:r>
        <w:t>,</w:t>
      </w:r>
      <w:r w:rsidRPr="00CF7F6D">
        <w:t xml:space="preserve"> there was a steady increase in the proportion of people who stayed in the same residential aged care service when changing from low care to high care, from </w:t>
      </w:r>
      <w:r w:rsidR="00E152F6">
        <w:t>71.5</w:t>
      </w:r>
      <w:r w:rsidR="00DB4AF5">
        <w:t xml:space="preserve"> </w:t>
      </w:r>
      <w:r w:rsidRPr="00CF7F6D">
        <w:t xml:space="preserve">per cent </w:t>
      </w:r>
      <w:r w:rsidRPr="00E950AB">
        <w:t xml:space="preserve">to </w:t>
      </w:r>
      <w:r w:rsidR="00E152F6">
        <w:t>91.0</w:t>
      </w:r>
      <w:r w:rsidRPr="00E950AB">
        <w:t xml:space="preserve"> per cent (figure 13.2</w:t>
      </w:r>
      <w:r w:rsidR="0079398A">
        <w:t>4</w:t>
      </w:r>
      <w:r w:rsidRPr="00E950AB">
        <w:t xml:space="preserve">). </w:t>
      </w:r>
      <w:r w:rsidR="002A3B5B">
        <w:t>For</w:t>
      </w:r>
      <w:r w:rsidRPr="00E950AB">
        <w:t xml:space="preserve"> </w:t>
      </w:r>
      <w:r w:rsidR="00817F3D">
        <w:br/>
        <w:t>2012</w:t>
      </w:r>
      <w:r w:rsidR="00AA68A5">
        <w:noBreakHyphen/>
      </w:r>
      <w:r w:rsidR="00817F3D">
        <w:t>13</w:t>
      </w:r>
      <w:r>
        <w:t>,</w:t>
      </w:r>
      <w:r w:rsidRPr="00E950AB">
        <w:t xml:space="preserve"> the proportion </w:t>
      </w:r>
      <w:r w:rsidR="0059259D">
        <w:t xml:space="preserve">was highest in </w:t>
      </w:r>
      <w:r w:rsidR="00E152F6">
        <w:t xml:space="preserve">major cities </w:t>
      </w:r>
      <w:r w:rsidR="0059259D">
        <w:t>(</w:t>
      </w:r>
      <w:r w:rsidR="00E152F6">
        <w:t>91.2</w:t>
      </w:r>
      <w:r w:rsidR="0059259D" w:rsidRPr="0059259D">
        <w:t xml:space="preserve"> </w:t>
      </w:r>
      <w:r w:rsidR="0059259D" w:rsidRPr="00E950AB">
        <w:t>per cent</w:t>
      </w:r>
      <w:r w:rsidR="0059259D">
        <w:t xml:space="preserve">), compared to </w:t>
      </w:r>
      <w:r w:rsidR="00144423">
        <w:t xml:space="preserve">other areas: </w:t>
      </w:r>
      <w:r w:rsidRPr="00E950AB">
        <w:t xml:space="preserve">inner regional areas </w:t>
      </w:r>
      <w:r w:rsidR="00E152F6" w:rsidRPr="00E950AB">
        <w:t>(</w:t>
      </w:r>
      <w:r w:rsidR="00E152F6">
        <w:t>90.7</w:t>
      </w:r>
      <w:r w:rsidR="00E152F6" w:rsidRPr="00E950AB">
        <w:t xml:space="preserve"> per cent)</w:t>
      </w:r>
      <w:r w:rsidRPr="00E950AB">
        <w:t>, outer regional areas (</w:t>
      </w:r>
      <w:r w:rsidR="00E152F6">
        <w:t>90.3</w:t>
      </w:r>
      <w:r w:rsidR="0059259D">
        <w:t xml:space="preserve"> per cent)</w:t>
      </w:r>
      <w:r w:rsidR="00E152F6">
        <w:t>,</w:t>
      </w:r>
      <w:r w:rsidR="00E604F1">
        <w:t xml:space="preserve"> </w:t>
      </w:r>
      <w:r w:rsidR="00E152F6">
        <w:t xml:space="preserve">remote areas (80.2 per cent) </w:t>
      </w:r>
      <w:r w:rsidR="00E604F1">
        <w:t xml:space="preserve">and </w:t>
      </w:r>
      <w:r w:rsidR="008C4CFE" w:rsidRPr="00E950AB">
        <w:t xml:space="preserve">very remote areas </w:t>
      </w:r>
      <w:r w:rsidR="008C4CFE">
        <w:t>(</w:t>
      </w:r>
      <w:r w:rsidR="00E152F6">
        <w:t>83.3</w:t>
      </w:r>
      <w:r w:rsidR="008C4CFE">
        <w:t xml:space="preserve"> per cent)</w:t>
      </w:r>
      <w:r w:rsidRPr="00E950AB">
        <w:t xml:space="preserve"> (</w:t>
      </w:r>
      <w:r w:rsidR="008C4CFE">
        <w:t>table</w:t>
      </w:r>
      <w:r w:rsidR="00AA68A5">
        <w:t> </w:t>
      </w:r>
      <w:proofErr w:type="spellStart"/>
      <w:r w:rsidR="008C4CFE">
        <w:t>13</w:t>
      </w:r>
      <w:r w:rsidR="00E16794">
        <w:t>A.3</w:t>
      </w:r>
      <w:r w:rsidR="00E152F6">
        <w:t>7</w:t>
      </w:r>
      <w:proofErr w:type="spellEnd"/>
      <w:r w:rsidRPr="00CF7F6D">
        <w:t>).</w:t>
      </w:r>
    </w:p>
    <w:p w:rsidR="001475AF" w:rsidRDefault="001475AF" w:rsidP="001475A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1475AF" w:rsidTr="001475AF">
        <w:tc>
          <w:tcPr>
            <w:tcW w:w="8771" w:type="dxa"/>
            <w:tcBorders>
              <w:top w:val="single" w:sz="6" w:space="0" w:color="auto"/>
              <w:bottom w:val="nil"/>
            </w:tcBorders>
          </w:tcPr>
          <w:p w:rsidR="001475AF" w:rsidRPr="00805CB5" w:rsidRDefault="001475AF" w:rsidP="001475AF">
            <w:pPr>
              <w:pStyle w:val="BoxTitle"/>
              <w:rPr>
                <w:sz w:val="24"/>
              </w:rPr>
            </w:pPr>
            <w:r w:rsidRPr="00805CB5">
              <w:rPr>
                <w:b w:val="0"/>
                <w:sz w:val="24"/>
              </w:rPr>
              <w:t xml:space="preserve">Box </w:t>
            </w:r>
            <w:r w:rsidR="007F5120">
              <w:rPr>
                <w:b w:val="0"/>
                <w:sz w:val="24"/>
              </w:rPr>
              <w:t>13.</w:t>
            </w:r>
            <w:r w:rsidR="00E4728C">
              <w:rPr>
                <w:b w:val="0"/>
                <w:noProof/>
                <w:sz w:val="24"/>
              </w:rPr>
              <w:t>10</w:t>
            </w:r>
            <w:r w:rsidRPr="00805CB5">
              <w:rPr>
                <w:sz w:val="24"/>
              </w:rPr>
              <w:tab/>
              <w:t>Ageing in place in residential care</w:t>
            </w:r>
          </w:p>
        </w:tc>
      </w:tr>
      <w:tr w:rsidR="001475AF" w:rsidTr="001475AF">
        <w:trPr>
          <w:cantSplit/>
        </w:trPr>
        <w:tc>
          <w:tcPr>
            <w:tcW w:w="8771" w:type="dxa"/>
            <w:tcBorders>
              <w:top w:val="nil"/>
              <w:left w:val="single" w:sz="6" w:space="0" w:color="auto"/>
              <w:bottom w:val="nil"/>
              <w:right w:val="single" w:sz="6" w:space="0" w:color="auto"/>
            </w:tcBorders>
          </w:tcPr>
          <w:p w:rsidR="001475AF" w:rsidRDefault="001475AF" w:rsidP="001475AF">
            <w:pPr>
              <w:pStyle w:val="Box"/>
            </w:pPr>
            <w:r>
              <w:t xml:space="preserve">In its Objects, the </w:t>
            </w:r>
            <w:r w:rsidRPr="00B939F8">
              <w:rPr>
                <w:i/>
              </w:rPr>
              <w:t>Aged Care Act</w:t>
            </w:r>
            <w:r w:rsidR="00B939F8">
              <w:rPr>
                <w:i/>
              </w:rPr>
              <w:t xml:space="preserve"> 1997</w:t>
            </w:r>
            <w:r w:rsidRPr="001A047F">
              <w:rPr>
                <w:i/>
              </w:rPr>
              <w:t xml:space="preserve"> </w:t>
            </w:r>
            <w:r>
              <w:t>aims to:</w:t>
            </w:r>
          </w:p>
          <w:p w:rsidR="001475AF" w:rsidRPr="00163F85" w:rsidRDefault="00AA68A5" w:rsidP="001475AF">
            <w:pPr>
              <w:pStyle w:val="Quote"/>
              <w:rPr>
                <w:i/>
              </w:rPr>
            </w:pPr>
            <w:r>
              <w:rPr>
                <w:i/>
              </w:rPr>
              <w:t>…</w:t>
            </w:r>
            <w:r w:rsidR="001475AF" w:rsidRPr="00163F85">
              <w:rPr>
                <w:i/>
              </w:rPr>
              <w:t xml:space="preserve"> encourage diverse, flexible and responsive aged care services that:</w:t>
            </w:r>
          </w:p>
          <w:p w:rsidR="001475AF" w:rsidRPr="00163F85" w:rsidRDefault="001475AF" w:rsidP="001475AF">
            <w:pPr>
              <w:pStyle w:val="Quote"/>
              <w:rPr>
                <w:i/>
              </w:rPr>
            </w:pPr>
            <w:r w:rsidRPr="00163F85">
              <w:rPr>
                <w:i/>
              </w:rPr>
              <w:t>(i) are appropriate to meet the needs of the recipients of those services and the carers of those recipients; and</w:t>
            </w:r>
          </w:p>
          <w:p w:rsidR="001475AF" w:rsidRPr="00163F85" w:rsidRDefault="001475AF" w:rsidP="001475AF">
            <w:pPr>
              <w:pStyle w:val="Quote"/>
              <w:rPr>
                <w:i/>
              </w:rPr>
            </w:pPr>
            <w:r w:rsidRPr="00163F85">
              <w:rPr>
                <w:i/>
              </w:rPr>
              <w:t>(ii) facilitate the independence of, and choice available to, those recipients and carers.</w:t>
            </w:r>
          </w:p>
          <w:p w:rsidR="001475AF" w:rsidRDefault="001475AF" w:rsidP="001475AF">
            <w:pPr>
              <w:pStyle w:val="Box"/>
            </w:pPr>
            <w:r>
              <w:t xml:space="preserve">Further, the </w:t>
            </w:r>
            <w:r w:rsidRPr="00B939F8">
              <w:rPr>
                <w:i/>
              </w:rPr>
              <w:t xml:space="preserve">Aged Care Act </w:t>
            </w:r>
            <w:r w:rsidR="00B939F8" w:rsidRPr="00B939F8">
              <w:rPr>
                <w:i/>
              </w:rPr>
              <w:t>1997</w:t>
            </w:r>
            <w:r w:rsidR="00B939F8">
              <w:t xml:space="preserve"> </w:t>
            </w:r>
            <w:r>
              <w:t>explicitly aims to encourage and facilitate ‘ageing in place’. The Act does not define ‘ageing in place’, but one useful definition is ‘the provision of a responsive and flexible care service in line with the person’s changing needs in a familiar environment’. In effect, ‘ageing in place’ refers to a resident remaining in the same residential aged care service as his or her care needs increase from low level to high level. This is changing the profile of people in services.</w:t>
            </w:r>
          </w:p>
          <w:p w:rsidR="001475AF" w:rsidRDefault="001475AF" w:rsidP="001475AF">
            <w:pPr>
              <w:pStyle w:val="Box"/>
            </w:pPr>
            <w:r>
              <w:t xml:space="preserve">The </w:t>
            </w:r>
            <w:r w:rsidR="00B939F8" w:rsidRPr="00B939F8">
              <w:rPr>
                <w:i/>
              </w:rPr>
              <w:t>Aged Care Act 1997</w:t>
            </w:r>
            <w:r>
              <w:t xml:space="preserve"> does not establish any ‘program’ or require any residential aged care service to offer ageing in place. Rather, it creates the opportunity for providers to choose to provide the full continuum of care, by removing the legislative and administrative barriers that prevented this outcome in the past.</w:t>
            </w:r>
          </w:p>
          <w:p w:rsidR="000A26F9" w:rsidRDefault="001475AF" w:rsidP="001475AF">
            <w:pPr>
              <w:pStyle w:val="Box"/>
            </w:pPr>
            <w:r>
              <w:t xml:space="preserve">The concept of ‘ageing in place’ is linked to the outcomes of increasing choice and flexibility in residential aged care service provision. These are difficult outcomes to measure. </w:t>
            </w:r>
          </w:p>
        </w:tc>
      </w:tr>
      <w:tr w:rsidR="001475AF" w:rsidTr="001475AF">
        <w:trPr>
          <w:cantSplit/>
        </w:trPr>
        <w:tc>
          <w:tcPr>
            <w:tcW w:w="8771" w:type="dxa"/>
            <w:tcBorders>
              <w:top w:val="nil"/>
              <w:left w:val="single" w:sz="6" w:space="0" w:color="auto"/>
              <w:bottom w:val="nil"/>
              <w:right w:val="single" w:sz="6" w:space="0" w:color="auto"/>
            </w:tcBorders>
          </w:tcPr>
          <w:p w:rsidR="001475AF" w:rsidRDefault="001475AF" w:rsidP="00926F6B">
            <w:pPr>
              <w:pStyle w:val="BoxSource"/>
            </w:pPr>
            <w:r>
              <w:rPr>
                <w:i/>
              </w:rPr>
              <w:t>Source</w:t>
            </w:r>
            <w:r w:rsidRPr="001A047F">
              <w:t xml:space="preserve">: </w:t>
            </w:r>
            <w:r w:rsidR="00926F6B" w:rsidRPr="00F2055D">
              <w:rPr>
                <w:shd w:val="clear" w:color="auto" w:fill="FFFFFF" w:themeFill="background1"/>
              </w:rPr>
              <w:t>DoHA</w:t>
            </w:r>
            <w:r w:rsidRPr="00F2055D">
              <w:rPr>
                <w:shd w:val="clear" w:color="auto" w:fill="FFFFFF" w:themeFill="background1"/>
              </w:rPr>
              <w:t xml:space="preserve"> (unpublished).</w:t>
            </w:r>
          </w:p>
        </w:tc>
      </w:tr>
      <w:tr w:rsidR="001475AF" w:rsidTr="001475AF">
        <w:trPr>
          <w:cantSplit/>
        </w:trPr>
        <w:tc>
          <w:tcPr>
            <w:tcW w:w="8771" w:type="dxa"/>
            <w:tcBorders>
              <w:top w:val="nil"/>
              <w:left w:val="single" w:sz="6" w:space="0" w:color="auto"/>
              <w:bottom w:val="single" w:sz="6" w:space="0" w:color="auto"/>
              <w:right w:val="single" w:sz="6" w:space="0" w:color="auto"/>
            </w:tcBorders>
          </w:tcPr>
          <w:p w:rsidR="001475AF" w:rsidRDefault="001475AF" w:rsidP="001475AF">
            <w:pPr>
              <w:pStyle w:val="Box"/>
              <w:spacing w:before="0" w:line="120" w:lineRule="exact"/>
            </w:pPr>
          </w:p>
        </w:tc>
      </w:tr>
      <w:tr w:rsidR="001475AF" w:rsidTr="001475AF">
        <w:tc>
          <w:tcPr>
            <w:tcW w:w="8771" w:type="dxa"/>
            <w:tcBorders>
              <w:top w:val="nil"/>
              <w:left w:val="nil"/>
              <w:bottom w:val="nil"/>
              <w:right w:val="nil"/>
            </w:tcBorders>
          </w:tcPr>
          <w:p w:rsidR="001475AF" w:rsidRDefault="001475AF" w:rsidP="001475AF">
            <w:pPr>
              <w:pStyle w:val="Box"/>
              <w:keepNext w:val="0"/>
              <w:spacing w:before="60" w:after="60" w:line="80" w:lineRule="exact"/>
              <w:rPr>
                <w:b/>
                <w:color w:val="FF00FF"/>
                <w:sz w:val="14"/>
              </w:rPr>
            </w:pPr>
          </w:p>
        </w:tc>
      </w:tr>
    </w:tbl>
    <w:p w:rsidR="00416024" w:rsidRPr="00CF7F6D" w:rsidRDefault="00416024" w:rsidP="00416024">
      <w:pPr>
        <w:pStyle w:val="BodyText"/>
      </w:pPr>
      <w:r w:rsidRPr="00E950AB">
        <w:t xml:space="preserve">Nationally, </w:t>
      </w:r>
      <w:r w:rsidR="00930170">
        <w:t>57.6</w:t>
      </w:r>
      <w:r w:rsidRPr="00E950AB">
        <w:t xml:space="preserve"> per cent of low care places in </w:t>
      </w:r>
      <w:r>
        <w:t>201</w:t>
      </w:r>
      <w:r w:rsidR="001648D9">
        <w:t>2</w:t>
      </w:r>
      <w:r w:rsidR="00AA68A5">
        <w:noBreakHyphen/>
      </w:r>
      <w:r>
        <w:t>1</w:t>
      </w:r>
      <w:r w:rsidR="001648D9">
        <w:t>3</w:t>
      </w:r>
      <w:r w:rsidRPr="00E950AB">
        <w:t xml:space="preserve"> were occupied by residents with high care needs. The proportion of all operational places taken up by residents with high care needs was </w:t>
      </w:r>
      <w:r w:rsidR="00930170">
        <w:t>74.6</w:t>
      </w:r>
      <w:r w:rsidRPr="00E950AB">
        <w:t xml:space="preserve"> per cent (figure</w:t>
      </w:r>
      <w:r w:rsidR="00AA68A5">
        <w:t> </w:t>
      </w:r>
      <w:r w:rsidRPr="00E950AB">
        <w:t>13.</w:t>
      </w:r>
      <w:r>
        <w:t>2</w:t>
      </w:r>
      <w:r w:rsidR="00D715DF">
        <w:t>5</w:t>
      </w:r>
      <w:r w:rsidRPr="00E950AB">
        <w:t>). These data are provided by remoteness area in table</w:t>
      </w:r>
      <w:r w:rsidR="00AA68A5">
        <w:t> </w:t>
      </w:r>
      <w:proofErr w:type="spellStart"/>
      <w:r w:rsidRPr="00E950AB">
        <w:t>13</w:t>
      </w:r>
      <w:r>
        <w:t>A.</w:t>
      </w:r>
      <w:r w:rsidR="00930170">
        <w:t>38</w:t>
      </w:r>
      <w:proofErr w:type="spellEnd"/>
      <w:r w:rsidRPr="00CF7F6D">
        <w:t>.</w:t>
      </w:r>
    </w:p>
    <w:p w:rsidR="00A12C8F" w:rsidRDefault="00A12C8F" w:rsidP="00815EDA">
      <w:pPr>
        <w:pStyle w:val="FigureTitle"/>
        <w:spacing w:before="240"/>
        <w:ind w:left="1559" w:hanging="1559"/>
      </w:pPr>
      <w:r w:rsidRPr="00805CB5">
        <w:rPr>
          <w:b w:val="0"/>
          <w:sz w:val="24"/>
        </w:rPr>
        <w:lastRenderedPageBreak/>
        <w:t xml:space="preserve">Figure </w:t>
      </w:r>
      <w:r w:rsidR="00D715DF">
        <w:rPr>
          <w:b w:val="0"/>
          <w:sz w:val="24"/>
        </w:rPr>
        <w:t>13.</w:t>
      </w:r>
      <w:r w:rsidR="00E4728C">
        <w:rPr>
          <w:b w:val="0"/>
          <w:noProof/>
          <w:sz w:val="24"/>
        </w:rPr>
        <w:t>24</w:t>
      </w:r>
      <w:r w:rsidRPr="00805CB5">
        <w:rPr>
          <w:sz w:val="24"/>
        </w:rPr>
        <w:tab/>
        <w:t>Proportion of residents who changed from low care to high care and remained in the same aged care service</w:t>
      </w:r>
      <w:r w:rsidRPr="00E01D29">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92596" w:rsidTr="00F2055D">
        <w:tc>
          <w:tcPr>
            <w:tcW w:w="8777" w:type="dxa"/>
            <w:tcBorders>
              <w:top w:val="single" w:sz="4" w:space="0" w:color="auto"/>
              <w:bottom w:val="single" w:sz="4" w:space="0" w:color="auto"/>
              <w:right w:val="nil"/>
            </w:tcBorders>
            <w:shd w:val="clear" w:color="auto" w:fill="FFFFFF" w:themeFill="background1"/>
          </w:tcPr>
          <w:p w:rsidR="00492596" w:rsidRPr="00026F7E" w:rsidRDefault="008018D4" w:rsidP="00CA11EC">
            <w:pPr>
              <w:pStyle w:val="Figure"/>
            </w:pPr>
            <w:r>
              <w:rPr>
                <w:noProof/>
              </w:rPr>
              <w:drawing>
                <wp:inline distT="0" distB="0" distL="0" distR="0">
                  <wp:extent cx="5391150" cy="2714625"/>
                  <wp:effectExtent l="0" t="0" r="0" b="9525"/>
                  <wp:docPr id="27" name="Picture 27" descr="Figure 13.24 Proportion of residents who changed from low care to high care and remained in the same aged care servic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1B60E8" w:rsidRDefault="001B60E8" w:rsidP="001B60E8">
      <w:pPr>
        <w:pStyle w:val="Note"/>
      </w:pPr>
      <w:r w:rsidRPr="001B60E8">
        <w:rPr>
          <w:rStyle w:val="NoteLabel"/>
        </w:rPr>
        <w:t>a</w:t>
      </w:r>
      <w:r>
        <w:t xml:space="preserve"> </w:t>
      </w:r>
      <w:r w:rsidR="004D7909">
        <w:t>T</w:t>
      </w:r>
      <w:r w:rsidRPr="00927EB9">
        <w:t xml:space="preserve">en years </w:t>
      </w:r>
      <w:r>
        <w:t>of</w:t>
      </w:r>
      <w:r w:rsidRPr="00927EB9">
        <w:t xml:space="preserve"> </w:t>
      </w:r>
      <w:r w:rsidR="004D7909">
        <w:t xml:space="preserve">annual </w:t>
      </w:r>
      <w:r>
        <w:t>data</w:t>
      </w:r>
      <w:r w:rsidRPr="00927EB9">
        <w:t xml:space="preserve"> for this indicator are in </w:t>
      </w:r>
      <w:r w:rsidR="00BE21D3">
        <w:t>table</w:t>
      </w:r>
      <w:r w:rsidR="00AA68A5">
        <w:t> </w:t>
      </w:r>
      <w:proofErr w:type="spellStart"/>
      <w:r w:rsidRPr="00927EB9">
        <w:t>13</w:t>
      </w:r>
      <w:r w:rsidR="00E16794">
        <w:t>A.3</w:t>
      </w:r>
      <w:r w:rsidR="00E152F6">
        <w:t>7</w:t>
      </w:r>
      <w:proofErr w:type="spellEnd"/>
      <w:r w:rsidRPr="00927EB9">
        <w:t>.</w:t>
      </w:r>
    </w:p>
    <w:p w:rsidR="00A12C8F" w:rsidRDefault="00A12C8F" w:rsidP="002501A2">
      <w:pPr>
        <w:pStyle w:val="Source"/>
      </w:pPr>
      <w:r w:rsidRPr="009B1F2A">
        <w:rPr>
          <w:i/>
        </w:rPr>
        <w:t>Source</w:t>
      </w:r>
      <w:r>
        <w:t xml:space="preserve">: </w:t>
      </w:r>
      <w:proofErr w:type="spellStart"/>
      <w:r w:rsidRPr="00F2055D">
        <w:rPr>
          <w:shd w:val="clear" w:color="auto" w:fill="FFFFFF" w:themeFill="background1"/>
        </w:rPr>
        <w:t>DoHA</w:t>
      </w:r>
      <w:proofErr w:type="spellEnd"/>
      <w:r w:rsidR="00543AE9" w:rsidRPr="00F2055D">
        <w:rPr>
          <w:shd w:val="clear" w:color="auto" w:fill="FFFFFF" w:themeFill="background1"/>
        </w:rPr>
        <w:t>/</w:t>
      </w:r>
      <w:proofErr w:type="spellStart"/>
      <w:r w:rsidR="00543AE9" w:rsidRPr="00F2055D">
        <w:rPr>
          <w:shd w:val="clear" w:color="auto" w:fill="FFFFFF" w:themeFill="background1"/>
        </w:rPr>
        <w:t>D</w:t>
      </w:r>
      <w:r w:rsidR="00503C78" w:rsidRPr="00F2055D">
        <w:rPr>
          <w:shd w:val="clear" w:color="auto" w:fill="FFFFFF" w:themeFill="background1"/>
        </w:rPr>
        <w:t>SS</w:t>
      </w:r>
      <w:proofErr w:type="spellEnd"/>
      <w:r w:rsidRPr="00F2055D">
        <w:rPr>
          <w:shd w:val="clear" w:color="auto" w:fill="FFFFFF" w:themeFill="background1"/>
        </w:rPr>
        <w:t xml:space="preserve"> (unpublished</w:t>
      </w:r>
      <w:r>
        <w:t>); table</w:t>
      </w:r>
      <w:r w:rsidR="00AA68A5">
        <w:t> </w:t>
      </w:r>
      <w:proofErr w:type="spellStart"/>
      <w:r>
        <w:t>13</w:t>
      </w:r>
      <w:r w:rsidR="00E16794">
        <w:t>A.3</w:t>
      </w:r>
      <w:r w:rsidR="00E152F6">
        <w:t>7</w:t>
      </w:r>
      <w:proofErr w:type="spellEnd"/>
      <w:r>
        <w:t>.</w:t>
      </w:r>
    </w:p>
    <w:p w:rsidR="00A12C8F" w:rsidRDefault="00A12C8F" w:rsidP="00267F32">
      <w:pPr>
        <w:pStyle w:val="FigureTitle"/>
        <w:ind w:left="1560" w:hanging="1560"/>
      </w:pPr>
      <w:r w:rsidRPr="00805CB5">
        <w:rPr>
          <w:b w:val="0"/>
          <w:sz w:val="24"/>
        </w:rPr>
        <w:t xml:space="preserve">Figure </w:t>
      </w:r>
      <w:r w:rsidR="00D715DF">
        <w:rPr>
          <w:b w:val="0"/>
          <w:sz w:val="24"/>
        </w:rPr>
        <w:t>13.</w:t>
      </w:r>
      <w:r w:rsidR="00E4728C">
        <w:rPr>
          <w:b w:val="0"/>
          <w:noProof/>
          <w:sz w:val="24"/>
        </w:rPr>
        <w:t>25</w:t>
      </w:r>
      <w:r w:rsidRPr="00805CB5">
        <w:rPr>
          <w:sz w:val="24"/>
        </w:rPr>
        <w:tab/>
        <w:t>Utilisation of operational residential places, 30</w:t>
      </w:r>
      <w:r w:rsidR="00AA68A5">
        <w:rPr>
          <w:sz w:val="24"/>
        </w:rPr>
        <w:t> </w:t>
      </w:r>
      <w:r w:rsidR="00714EDC" w:rsidRPr="00805CB5">
        <w:rPr>
          <w:sz w:val="24"/>
        </w:rPr>
        <w:t>June 201</w:t>
      </w:r>
      <w:r w:rsidR="00D715DF">
        <w:rPr>
          <w:sz w:val="24"/>
        </w:rPr>
        <w:t>3</w:t>
      </w:r>
      <w:r w:rsidRPr="00E01D29">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92596" w:rsidRPr="00640545" w:rsidTr="00492596">
        <w:tc>
          <w:tcPr>
            <w:tcW w:w="8777" w:type="dxa"/>
            <w:tcBorders>
              <w:top w:val="single" w:sz="6" w:space="0" w:color="auto"/>
              <w:bottom w:val="single" w:sz="6" w:space="0" w:color="auto"/>
              <w:right w:val="nil"/>
            </w:tcBorders>
          </w:tcPr>
          <w:p w:rsidR="00492596" w:rsidRPr="00026F7E" w:rsidRDefault="008018D4" w:rsidP="00CA11EC">
            <w:pPr>
              <w:pStyle w:val="Figure"/>
            </w:pPr>
            <w:r>
              <w:rPr>
                <w:noProof/>
              </w:rPr>
              <w:drawing>
                <wp:inline distT="0" distB="0" distL="0" distR="0">
                  <wp:extent cx="5391150" cy="2714625"/>
                  <wp:effectExtent l="0" t="0" r="0" b="9525"/>
                  <wp:docPr id="28" name="Picture 28" descr="Figure 13.25 Utilisation of operational residential places, 30 June 20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A12C8F" w:rsidRDefault="00A12C8F" w:rsidP="002501A2">
      <w:pPr>
        <w:pStyle w:val="Note"/>
      </w:pPr>
      <w:proofErr w:type="spellStart"/>
      <w:r>
        <w:rPr>
          <w:rStyle w:val="NoteLabel"/>
        </w:rPr>
        <w:t>a</w:t>
      </w:r>
      <w:proofErr w:type="spellEnd"/>
      <w:r>
        <w:t> Includes residential places categorised as high care or low care.</w:t>
      </w:r>
    </w:p>
    <w:p w:rsidR="00A12C8F" w:rsidRDefault="00A12C8F" w:rsidP="00F2055D">
      <w:pPr>
        <w:pStyle w:val="Source"/>
      </w:pPr>
      <w:r>
        <w:rPr>
          <w:i/>
        </w:rPr>
        <w:t>Source</w:t>
      </w:r>
      <w:r w:rsidRPr="00F2055D">
        <w:rPr>
          <w:shd w:val="clear" w:color="auto" w:fill="FFFFFF" w:themeFill="background1"/>
        </w:rPr>
        <w:t xml:space="preserve">: </w:t>
      </w:r>
      <w:proofErr w:type="spellStart"/>
      <w:r w:rsidRPr="00F2055D">
        <w:rPr>
          <w:shd w:val="clear" w:color="auto" w:fill="FFFFFF" w:themeFill="background1"/>
        </w:rPr>
        <w:t>D</w:t>
      </w:r>
      <w:r w:rsidR="00503C78" w:rsidRPr="00F2055D">
        <w:rPr>
          <w:shd w:val="clear" w:color="auto" w:fill="FFFFFF" w:themeFill="background1"/>
        </w:rPr>
        <w:t>SS</w:t>
      </w:r>
      <w:proofErr w:type="spellEnd"/>
      <w:r w:rsidRPr="00F2055D">
        <w:rPr>
          <w:shd w:val="clear" w:color="auto" w:fill="FFFFFF" w:themeFill="background1"/>
        </w:rPr>
        <w:t xml:space="preserve"> (unpublished</w:t>
      </w:r>
      <w:r>
        <w:t>); table</w:t>
      </w:r>
      <w:r w:rsidR="00AA68A5">
        <w:t> </w:t>
      </w:r>
      <w:proofErr w:type="spellStart"/>
      <w:r>
        <w:t>13</w:t>
      </w:r>
      <w:r w:rsidR="00E16794">
        <w:t>A.</w:t>
      </w:r>
      <w:r w:rsidR="00930170">
        <w:t>38</w:t>
      </w:r>
      <w:proofErr w:type="spellEnd"/>
      <w:r>
        <w:t>.</w:t>
      </w:r>
    </w:p>
    <w:p w:rsidR="00A12C8F" w:rsidRDefault="00A12C8F" w:rsidP="002501A2">
      <w:pPr>
        <w:pStyle w:val="Heading4"/>
      </w:pPr>
      <w:r>
        <w:lastRenderedPageBreak/>
        <w:t xml:space="preserve">Effectiveness — quality </w:t>
      </w:r>
    </w:p>
    <w:p w:rsidR="00A12C8F" w:rsidRPr="00041CCC" w:rsidRDefault="00A12C8F" w:rsidP="00041CCC">
      <w:pPr>
        <w:pStyle w:val="Heading5"/>
      </w:pPr>
      <w:r w:rsidRPr="00041CCC">
        <w:t>Compliance with service standards for residential care</w:t>
      </w:r>
    </w:p>
    <w:p w:rsidR="00A12C8F" w:rsidRDefault="00A12C8F" w:rsidP="002501A2">
      <w:pPr>
        <w:pStyle w:val="BodyText"/>
        <w:rPr>
          <w:rStyle w:val="BodyTextChar1Char"/>
        </w:rPr>
      </w:pPr>
      <w:r w:rsidRPr="000D24A5">
        <w:rPr>
          <w:rStyle w:val="BodyTextChar1Char"/>
        </w:rPr>
        <w:t>‘Compliance with service standards for residential care’ is an indicator of governments’ objective to ensure residential care services attain high levels of service quality, through compliance with certification and accreditation standards (box</w:t>
      </w:r>
      <w:r w:rsidR="00AA68A5">
        <w:rPr>
          <w:rStyle w:val="BodyTextChar1Char"/>
        </w:rPr>
        <w:t> </w:t>
      </w:r>
      <w:r w:rsidRPr="000D24A5">
        <w:rPr>
          <w:rStyle w:val="BodyTextChar1Char"/>
        </w:rPr>
        <w:t>13.</w:t>
      </w:r>
      <w:r w:rsidR="002E5141">
        <w:rPr>
          <w:rStyle w:val="BodyTextChar1Char"/>
        </w:rPr>
        <w:t>1</w:t>
      </w:r>
      <w:r w:rsidR="007F5120">
        <w:rPr>
          <w:rStyle w:val="BodyTextChar1Char"/>
        </w:rPr>
        <w:t>1</w:t>
      </w:r>
      <w:r w:rsidRPr="000D24A5">
        <w:rPr>
          <w:rStyle w:val="BodyTextChar1Char"/>
        </w:rPr>
        <w:t>).</w:t>
      </w:r>
    </w:p>
    <w:p w:rsidR="00041CCC" w:rsidRDefault="00041CCC">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41CCC">
        <w:tc>
          <w:tcPr>
            <w:tcW w:w="8771" w:type="dxa"/>
            <w:tcBorders>
              <w:top w:val="single" w:sz="6" w:space="0" w:color="auto"/>
              <w:bottom w:val="nil"/>
            </w:tcBorders>
          </w:tcPr>
          <w:p w:rsidR="00041CCC" w:rsidRPr="00805CB5" w:rsidRDefault="00041CCC">
            <w:pPr>
              <w:pStyle w:val="BoxTitle"/>
              <w:rPr>
                <w:sz w:val="24"/>
              </w:rPr>
            </w:pPr>
            <w:r w:rsidRPr="00805CB5">
              <w:rPr>
                <w:b w:val="0"/>
                <w:sz w:val="24"/>
              </w:rPr>
              <w:t xml:space="preserve">Box </w:t>
            </w:r>
            <w:r w:rsidR="007F5120">
              <w:rPr>
                <w:b w:val="0"/>
                <w:sz w:val="24"/>
              </w:rPr>
              <w:t>13.</w:t>
            </w:r>
            <w:r w:rsidR="00E4728C">
              <w:rPr>
                <w:b w:val="0"/>
                <w:noProof/>
                <w:sz w:val="24"/>
              </w:rPr>
              <w:t>11</w:t>
            </w:r>
            <w:r w:rsidRPr="00805CB5">
              <w:rPr>
                <w:sz w:val="24"/>
              </w:rPr>
              <w:tab/>
              <w:t>Compliance with service standards for residential care</w:t>
            </w:r>
          </w:p>
        </w:tc>
      </w:tr>
      <w:tr w:rsidR="00041CCC">
        <w:trPr>
          <w:cantSplit/>
        </w:trPr>
        <w:tc>
          <w:tcPr>
            <w:tcW w:w="8771" w:type="dxa"/>
            <w:tcBorders>
              <w:top w:val="nil"/>
              <w:left w:val="single" w:sz="6" w:space="0" w:color="auto"/>
              <w:bottom w:val="nil"/>
              <w:right w:val="single" w:sz="6" w:space="0" w:color="auto"/>
            </w:tcBorders>
          </w:tcPr>
          <w:p w:rsidR="00041CCC" w:rsidRDefault="00041CCC" w:rsidP="00041CCC">
            <w:pPr>
              <w:pStyle w:val="Box"/>
            </w:pPr>
            <w:r>
              <w:t xml:space="preserve">‘Compliance with service standards for residential care’ is defined by two measures: </w:t>
            </w:r>
          </w:p>
          <w:p w:rsidR="00041CCC" w:rsidRDefault="00041CCC" w:rsidP="00041CCC">
            <w:pPr>
              <w:pStyle w:val="BoxListBullet"/>
            </w:pPr>
            <w:r>
              <w:t xml:space="preserve">the proportion of </w:t>
            </w:r>
            <w:r w:rsidR="00930170">
              <w:t>re</w:t>
            </w:r>
            <w:r w:rsidR="00AA68A5">
              <w:noBreakHyphen/>
            </w:r>
            <w:r>
              <w:t xml:space="preserve">accredited services which have received </w:t>
            </w:r>
            <w:r w:rsidR="007E3F52">
              <w:t>three</w:t>
            </w:r>
            <w:r>
              <w:t xml:space="preserve"> year accreditation</w:t>
            </w:r>
            <w:r w:rsidR="00930170">
              <w:t>:</w:t>
            </w:r>
          </w:p>
          <w:p w:rsidR="00216056" w:rsidRDefault="00216056" w:rsidP="00216056">
            <w:pPr>
              <w:pStyle w:val="BoxListBullet2"/>
            </w:pPr>
            <w:r>
              <w:t>service</w:t>
            </w:r>
            <w:r w:rsidR="00930170">
              <w:t>s</w:t>
            </w:r>
            <w:r>
              <w:t xml:space="preserve"> re</w:t>
            </w:r>
            <w:r w:rsidR="00AA68A5">
              <w:noBreakHyphen/>
            </w:r>
            <w:r>
              <w:t>accredited in the financial year</w:t>
            </w:r>
          </w:p>
          <w:p w:rsidR="00216056" w:rsidRDefault="00216056" w:rsidP="00216056">
            <w:pPr>
              <w:pStyle w:val="BoxListBullet2"/>
            </w:pPr>
            <w:r>
              <w:t>all re</w:t>
            </w:r>
            <w:r w:rsidR="00AA68A5">
              <w:noBreakHyphen/>
            </w:r>
            <w:r>
              <w:t>accredited services</w:t>
            </w:r>
          </w:p>
          <w:p w:rsidR="00041CCC" w:rsidRDefault="00041CCC" w:rsidP="00041CCC">
            <w:pPr>
              <w:pStyle w:val="BoxListBullet"/>
            </w:pPr>
            <w:r>
              <w:t xml:space="preserve">the </w:t>
            </w:r>
            <w:r w:rsidR="002F1A90">
              <w:t>proportion</w:t>
            </w:r>
            <w:r>
              <w:t xml:space="preserve"> of aged care services that are compliant with building certification, fire safety and privacy and space requirements.</w:t>
            </w:r>
          </w:p>
          <w:p w:rsidR="00041CCC" w:rsidRDefault="002F1A90" w:rsidP="00041CCC">
            <w:pPr>
              <w:pStyle w:val="Box"/>
            </w:pPr>
            <w:r w:rsidRPr="009B1F2A">
              <w:t xml:space="preserve">High </w:t>
            </w:r>
            <w:r>
              <w:t xml:space="preserve">or increasing proportions </w:t>
            </w:r>
            <w:r w:rsidRPr="009B1F2A">
              <w:t xml:space="preserve">of approval for </w:t>
            </w:r>
            <w:r w:rsidR="007E3F52">
              <w:t>three</w:t>
            </w:r>
            <w:r w:rsidRPr="009B1F2A">
              <w:t xml:space="preserve"> year </w:t>
            </w:r>
            <w:r>
              <w:t>re</w:t>
            </w:r>
            <w:r w:rsidR="00AA68A5">
              <w:noBreakHyphen/>
            </w:r>
            <w:r w:rsidRPr="009B1F2A">
              <w:t xml:space="preserve">accreditation </w:t>
            </w:r>
            <w:r>
              <w:t>and services that are compliant with building certification, fire safety and privacy and space requirements</w:t>
            </w:r>
            <w:r w:rsidRPr="009B1F2A">
              <w:t xml:space="preserve"> are desirable.</w:t>
            </w:r>
            <w:r>
              <w:t xml:space="preserve"> </w:t>
            </w:r>
            <w:r w:rsidR="00041CCC">
              <w:t>The extent to which residential care services comply with service standards</w:t>
            </w:r>
            <w:r>
              <w:t xml:space="preserve"> and other requirements</w:t>
            </w:r>
            <w:r w:rsidR="00041CCC">
              <w:t xml:space="preserve"> implies a certain level of care and service quality.</w:t>
            </w:r>
          </w:p>
          <w:p w:rsidR="00C34674" w:rsidRDefault="00041CCC" w:rsidP="0085088E">
            <w:pPr>
              <w:pStyle w:val="Box"/>
            </w:pPr>
            <w:r w:rsidRPr="009B1F2A">
              <w:t xml:space="preserve">Since 2001, each Australian Government funded residential service has been required to meet accreditation standards (which comprise 44 expected outcomes). The accreditation indicator reflects the period of accreditation granted. </w:t>
            </w:r>
            <w:r>
              <w:t>The accreditation process is managed by the Aged Care Standards and Accreditation Agency Ltd (</w:t>
            </w:r>
            <w:proofErr w:type="spellStart"/>
            <w:r>
              <w:t>ACSAA</w:t>
            </w:r>
            <w:proofErr w:type="spellEnd"/>
            <w:r>
              <w:t xml:space="preserve">). A service must apply to </w:t>
            </w:r>
            <w:proofErr w:type="spellStart"/>
            <w:r>
              <w:t>ACSAA</w:t>
            </w:r>
            <w:proofErr w:type="spellEnd"/>
            <w:r>
              <w:t xml:space="preserve"> for accreditation and its application is based on a self</w:t>
            </w:r>
            <w:r>
              <w:noBreakHyphen/>
              <w:t xml:space="preserve">assessment of performance against the accreditation standards. Following an existing residential service applying for accreditation, a team of registered quality assessors reviews the application, conducts an onsite assessment and prepares a report based on these observations, interviews with residents, relatives, staff and management, and relevant documentation. An authorised decision maker from </w:t>
            </w:r>
            <w:proofErr w:type="spellStart"/>
            <w:r>
              <w:t>ACSAA</w:t>
            </w:r>
            <w:proofErr w:type="spellEnd"/>
            <w:r>
              <w:t xml:space="preserve"> then considers the report, in conjunction with any submission from the residential service and other relevant information (including information from DoHA</w:t>
            </w:r>
            <w:r w:rsidR="00E61B43" w:rsidRPr="00F2055D">
              <w:rPr>
                <w:shd w:val="clear" w:color="auto" w:fill="FFFFFF" w:themeFill="background1"/>
              </w:rPr>
              <w:t>/DSS</w:t>
            </w:r>
            <w:r>
              <w:t>) and decides whether to accredit and, if so, for how long. Commencing services are subject to a desk audit only, and are accredited for one year.</w:t>
            </w:r>
          </w:p>
        </w:tc>
      </w:tr>
      <w:tr w:rsidR="00041CCC">
        <w:trPr>
          <w:cantSplit/>
        </w:trPr>
        <w:tc>
          <w:tcPr>
            <w:tcW w:w="8771" w:type="dxa"/>
            <w:tcBorders>
              <w:top w:val="nil"/>
              <w:left w:val="single" w:sz="6" w:space="0" w:color="auto"/>
              <w:bottom w:val="nil"/>
              <w:right w:val="single" w:sz="6" w:space="0" w:color="auto"/>
            </w:tcBorders>
          </w:tcPr>
          <w:p w:rsidR="00041CCC" w:rsidRDefault="00041CCC" w:rsidP="00041CCC">
            <w:pPr>
              <w:pStyle w:val="BoxSource"/>
              <w:jc w:val="right"/>
            </w:pPr>
            <w:r w:rsidRPr="00A93262">
              <w:rPr>
                <w:szCs w:val="18"/>
              </w:rPr>
              <w:t>(Continued next page)</w:t>
            </w:r>
          </w:p>
        </w:tc>
      </w:tr>
      <w:tr w:rsidR="00041CCC">
        <w:trPr>
          <w:cantSplit/>
        </w:trPr>
        <w:tc>
          <w:tcPr>
            <w:tcW w:w="8771" w:type="dxa"/>
            <w:tcBorders>
              <w:top w:val="nil"/>
              <w:left w:val="single" w:sz="6" w:space="0" w:color="auto"/>
              <w:bottom w:val="single" w:sz="6" w:space="0" w:color="auto"/>
              <w:right w:val="single" w:sz="6" w:space="0" w:color="auto"/>
            </w:tcBorders>
          </w:tcPr>
          <w:p w:rsidR="00041CCC" w:rsidRDefault="00041CCC">
            <w:pPr>
              <w:pStyle w:val="Box"/>
              <w:spacing w:before="0" w:line="120" w:lineRule="exact"/>
            </w:pPr>
          </w:p>
        </w:tc>
      </w:tr>
      <w:tr w:rsidR="00041CCC">
        <w:tc>
          <w:tcPr>
            <w:tcW w:w="8771" w:type="dxa"/>
            <w:tcBorders>
              <w:top w:val="nil"/>
              <w:left w:val="nil"/>
              <w:bottom w:val="nil"/>
              <w:right w:val="nil"/>
            </w:tcBorders>
          </w:tcPr>
          <w:p w:rsidR="00041CCC" w:rsidRDefault="00041CCC">
            <w:pPr>
              <w:pStyle w:val="Box"/>
              <w:keepNext w:val="0"/>
              <w:spacing w:before="60" w:after="60" w:line="80" w:lineRule="exact"/>
              <w:rPr>
                <w:b/>
                <w:color w:val="FF00FF"/>
                <w:sz w:val="14"/>
              </w:rPr>
            </w:pPr>
          </w:p>
        </w:tc>
      </w:tr>
    </w:tbl>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A12C8F">
        <w:tc>
          <w:tcPr>
            <w:tcW w:w="8771" w:type="dxa"/>
            <w:tcBorders>
              <w:top w:val="single" w:sz="6" w:space="0" w:color="auto"/>
              <w:bottom w:val="nil"/>
            </w:tcBorders>
          </w:tcPr>
          <w:p w:rsidR="00A12C8F" w:rsidRDefault="00A12C8F" w:rsidP="007F5120">
            <w:pPr>
              <w:pStyle w:val="BoxTitle"/>
            </w:pPr>
            <w:r w:rsidRPr="00805CB5">
              <w:rPr>
                <w:b w:val="0"/>
                <w:sz w:val="24"/>
              </w:rPr>
              <w:t xml:space="preserve">Box </w:t>
            </w:r>
            <w:r w:rsidR="00041CCC" w:rsidRPr="00805CB5">
              <w:rPr>
                <w:b w:val="0"/>
                <w:sz w:val="24"/>
              </w:rPr>
              <w:t>13.</w:t>
            </w:r>
            <w:r w:rsidR="002E5141" w:rsidRPr="00805CB5">
              <w:rPr>
                <w:b w:val="0"/>
                <w:sz w:val="24"/>
              </w:rPr>
              <w:t>1</w:t>
            </w:r>
            <w:r w:rsidR="007F5120">
              <w:rPr>
                <w:b w:val="0"/>
                <w:sz w:val="24"/>
              </w:rPr>
              <w:t>1</w:t>
            </w:r>
            <w:r w:rsidRPr="00805CB5">
              <w:rPr>
                <w:sz w:val="24"/>
              </w:rPr>
              <w:tab/>
            </w:r>
            <w:r w:rsidR="00041CCC" w:rsidRPr="00805CB5">
              <w:rPr>
                <w:sz w:val="18"/>
                <w:szCs w:val="18"/>
              </w:rPr>
              <w:t>(</w:t>
            </w:r>
            <w:r w:rsidR="00805CB5">
              <w:rPr>
                <w:sz w:val="18"/>
                <w:szCs w:val="18"/>
              </w:rPr>
              <w:t>c</w:t>
            </w:r>
            <w:r w:rsidR="00041CCC" w:rsidRPr="00805CB5">
              <w:rPr>
                <w:sz w:val="18"/>
                <w:szCs w:val="18"/>
              </w:rPr>
              <w:t>ontinued)</w:t>
            </w:r>
          </w:p>
        </w:tc>
      </w:tr>
      <w:tr w:rsidR="00A12C8F" w:rsidTr="00A12C8F">
        <w:trPr>
          <w:cantSplit/>
        </w:trPr>
        <w:tc>
          <w:tcPr>
            <w:tcW w:w="8771" w:type="dxa"/>
            <w:tcBorders>
              <w:top w:val="nil"/>
              <w:left w:val="single" w:sz="6" w:space="0" w:color="auto"/>
              <w:bottom w:val="nil"/>
              <w:right w:val="single" w:sz="6" w:space="0" w:color="auto"/>
            </w:tcBorders>
          </w:tcPr>
          <w:p w:rsidR="00412E4A" w:rsidRDefault="00FD6D68" w:rsidP="00AA13FB">
            <w:pPr>
              <w:pStyle w:val="Box"/>
              <w:shd w:val="clear" w:color="auto" w:fill="FFFFFF" w:themeFill="background1"/>
            </w:pPr>
            <w:r w:rsidRPr="0001283A">
              <w:t>A home must be certified to be able to receive accommodation payments and extra service charges. Residents expect high quality and safe accommodation in return for their direct and indirect contributions. Certification provides a mechanism to encourage provision of safe and high quality accommodation within the regulatory frameworks for buildings legislated by St</w:t>
            </w:r>
            <w:r w:rsidR="0001283A">
              <w:t xml:space="preserve">ate and Territory </w:t>
            </w:r>
            <w:r w:rsidR="00E604F1">
              <w:t>g</w:t>
            </w:r>
            <w:r w:rsidR="0001283A">
              <w:t xml:space="preserve">overnments. </w:t>
            </w:r>
            <w:r w:rsidRPr="0001283A">
              <w:t xml:space="preserve">Aged care homes are required to meet </w:t>
            </w:r>
            <w:r w:rsidR="002C1268">
              <w:t xml:space="preserve">building </w:t>
            </w:r>
            <w:r w:rsidRPr="0001283A">
              <w:t>certification</w:t>
            </w:r>
            <w:r w:rsidR="002C1268">
              <w:t xml:space="preserve">, </w:t>
            </w:r>
            <w:r w:rsidRPr="0001283A">
              <w:t>fire safety</w:t>
            </w:r>
            <w:r w:rsidR="002C1268">
              <w:t>,</w:t>
            </w:r>
            <w:r w:rsidRPr="0001283A">
              <w:t xml:space="preserve"> privacy and space requirements to be eligible to receive the maximum level of</w:t>
            </w:r>
            <w:r w:rsidR="00937538">
              <w:t xml:space="preserve"> the accommodation supplement. </w:t>
            </w:r>
          </w:p>
          <w:p w:rsidR="00A12C8F" w:rsidRDefault="009C1060" w:rsidP="00412E4A">
            <w:pPr>
              <w:pStyle w:val="Box"/>
            </w:pPr>
            <w:r w:rsidRPr="009C1060">
              <w:t xml:space="preserve">Under the privacy and space requirements, all new buildings constructed since </w:t>
            </w:r>
            <w:r w:rsidR="00817F3D">
              <w:br/>
            </w:r>
            <w:r w:rsidRPr="009C1060">
              <w:t>July 1999, are required to have an average, for the whole aged care home, of no more than 1.5 residents per room. No room may accommodate more than two residents. There is also a mandatory standard of no more than three residents per toilet, including those off common areas, and no more than four residents per shower or bath.</w:t>
            </w:r>
          </w:p>
          <w:p w:rsidR="00930170" w:rsidRDefault="00930170" w:rsidP="00930170">
            <w:pPr>
              <w:pStyle w:val="Box"/>
            </w:pPr>
            <w:r>
              <w:t>Data reported for this indicator are:</w:t>
            </w:r>
          </w:p>
          <w:p w:rsidR="00930170" w:rsidRDefault="00930170" w:rsidP="00930170">
            <w:pPr>
              <w:pStyle w:val="BoxListBullet"/>
            </w:pPr>
            <w:r w:rsidRPr="003D148D">
              <w:t>comparable (subject to caveats) across jurisdictions and over time</w:t>
            </w:r>
            <w:r>
              <w:t xml:space="preserve"> </w:t>
            </w:r>
          </w:p>
          <w:p w:rsidR="00930170" w:rsidRDefault="00930170" w:rsidP="00930170">
            <w:pPr>
              <w:pStyle w:val="BoxListBullet"/>
            </w:pPr>
            <w:r>
              <w:t xml:space="preserve">complete for the current reporting period (subject to caveats). All required </w:t>
            </w:r>
            <w:r>
              <w:br/>
              <w:t>June 2013 data are available for all jurisdictions.</w:t>
            </w:r>
          </w:p>
          <w:p w:rsidR="000A26F9" w:rsidRPr="00442466" w:rsidRDefault="007B127C" w:rsidP="007B127C">
            <w:pPr>
              <w:pStyle w:val="Box"/>
              <w:rPr>
                <w:sz w:val="18"/>
                <w:szCs w:val="18"/>
              </w:rPr>
            </w:pPr>
            <w:r>
              <w:t>D</w:t>
            </w:r>
            <w:r w:rsidR="009C1060">
              <w:t xml:space="preserve">ata quality </w:t>
            </w:r>
            <w:r>
              <w:t xml:space="preserve">information </w:t>
            </w:r>
            <w:r w:rsidR="009C1060">
              <w:t>for this indicator</w:t>
            </w:r>
            <w:r w:rsidR="009C1060" w:rsidRPr="00102DF2">
              <w:t xml:space="preserve"> is at </w:t>
            </w:r>
            <w:proofErr w:type="spellStart"/>
            <w:r w:rsidR="009C1060" w:rsidRPr="00102DF2">
              <w:t>www.pc.gov.au</w:t>
            </w:r>
            <w:proofErr w:type="spellEnd"/>
            <w:r w:rsidR="009C1060" w:rsidRPr="00102DF2">
              <w:t>/</w:t>
            </w:r>
            <w:proofErr w:type="spellStart"/>
            <w:r w:rsidR="009C1060" w:rsidRPr="00102DF2">
              <w:t>gsp</w:t>
            </w:r>
            <w:proofErr w:type="spellEnd"/>
            <w:r w:rsidR="009C1060">
              <w:t>/reports/</w:t>
            </w:r>
            <w:proofErr w:type="spellStart"/>
            <w:r w:rsidR="009C1060">
              <w:t>rogs</w:t>
            </w:r>
            <w:proofErr w:type="spellEnd"/>
            <w:r w:rsidR="009C1060">
              <w:t>/201</w:t>
            </w:r>
            <w:r w:rsidR="008F1070">
              <w:t>4</w:t>
            </w:r>
            <w:r w:rsidR="009C1060" w:rsidRPr="009612B9">
              <w:t>.</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bl>
    <w:p w:rsidR="00A12C8F" w:rsidRDefault="00A12C8F" w:rsidP="0085088E">
      <w:pPr>
        <w:pStyle w:val="BodyText"/>
      </w:pPr>
      <w:r>
        <w:t xml:space="preserve">Accreditation decisions and further information relating to the accreditation standards and </w:t>
      </w:r>
      <w:r w:rsidR="00F32B80" w:rsidRPr="00F32B80">
        <w:t>Aged Care Standards and Accreditation Agency Ltd (</w:t>
      </w:r>
      <w:proofErr w:type="spellStart"/>
      <w:r w:rsidR="00F32B80" w:rsidRPr="00F32B80">
        <w:t>ACSAA</w:t>
      </w:r>
      <w:proofErr w:type="spellEnd"/>
      <w:r w:rsidR="00F32B80" w:rsidRPr="00F32B80">
        <w:t>)</w:t>
      </w:r>
      <w:r>
        <w:t xml:space="preserve"> are publicly available (</w:t>
      </w:r>
      <w:proofErr w:type="spellStart"/>
      <w:r>
        <w:t>ACSAA</w:t>
      </w:r>
      <w:proofErr w:type="spellEnd"/>
      <w:r>
        <w:t xml:space="preserve"> 2009). </w:t>
      </w:r>
      <w:r w:rsidR="00E319C9" w:rsidRPr="00F2055D">
        <w:rPr>
          <w:shd w:val="clear" w:color="auto" w:fill="FFFFFF" w:themeFill="background1"/>
        </w:rPr>
        <w:t xml:space="preserve">Further information on the number of residential aged care facilities that had an audit in </w:t>
      </w:r>
      <w:r w:rsidR="000B25C0" w:rsidRPr="00F2055D">
        <w:rPr>
          <w:shd w:val="clear" w:color="auto" w:fill="FFFFFF" w:themeFill="background1"/>
        </w:rPr>
        <w:t>2012</w:t>
      </w:r>
      <w:r w:rsidR="00AA68A5">
        <w:rPr>
          <w:shd w:val="clear" w:color="auto" w:fill="FFFFFF" w:themeFill="background1"/>
        </w:rPr>
        <w:noBreakHyphen/>
      </w:r>
      <w:r w:rsidR="000B25C0" w:rsidRPr="00F2055D">
        <w:rPr>
          <w:shd w:val="clear" w:color="auto" w:fill="FFFFFF" w:themeFill="background1"/>
        </w:rPr>
        <w:t xml:space="preserve">13 </w:t>
      </w:r>
      <w:r w:rsidR="00E319C9" w:rsidRPr="00F2055D">
        <w:rPr>
          <w:shd w:val="clear" w:color="auto" w:fill="FFFFFF" w:themeFill="background1"/>
        </w:rPr>
        <w:t xml:space="preserve">and the outcomes of these audits is available in the latest </w:t>
      </w:r>
      <w:r w:rsidR="00E319C9" w:rsidRPr="00F2055D">
        <w:rPr>
          <w:i/>
          <w:shd w:val="clear" w:color="auto" w:fill="FFFFFF" w:themeFill="background1"/>
        </w:rPr>
        <w:t>Report on the Ope</w:t>
      </w:r>
      <w:r w:rsidR="00B25B6C" w:rsidRPr="00F2055D">
        <w:rPr>
          <w:i/>
          <w:shd w:val="clear" w:color="auto" w:fill="FFFFFF" w:themeFill="background1"/>
        </w:rPr>
        <w:t xml:space="preserve">ration of the Aged Care Act 1997 </w:t>
      </w:r>
      <w:r w:rsidR="00B25B6C" w:rsidRPr="00F2055D">
        <w:rPr>
          <w:i/>
          <w:shd w:val="clear" w:color="auto" w:fill="FFFFFF" w:themeFill="background1"/>
        </w:rPr>
        <w:br/>
      </w:r>
      <w:r w:rsidR="00B25B6C" w:rsidRPr="00F2055D">
        <w:rPr>
          <w:shd w:val="clear" w:color="auto" w:fill="FFFFFF" w:themeFill="background1"/>
        </w:rPr>
        <w:t>(DSS 2013)</w:t>
      </w:r>
      <w:r w:rsidR="00E319C9" w:rsidRPr="00F2055D">
        <w:rPr>
          <w:shd w:val="clear" w:color="auto" w:fill="FFFFFF" w:themeFill="background1"/>
        </w:rPr>
        <w:t xml:space="preserve">. </w:t>
      </w:r>
      <w:r>
        <w:t>The accreditation process is summarised in box</w:t>
      </w:r>
      <w:r w:rsidR="00AA68A5">
        <w:t> </w:t>
      </w:r>
      <w:r>
        <w:t>13.</w:t>
      </w:r>
      <w:r w:rsidR="006B1DC1">
        <w:t>1</w:t>
      </w:r>
      <w:r w:rsidR="0033113F">
        <w:t>1</w:t>
      </w:r>
      <w:r>
        <w:t>.</w:t>
      </w:r>
    </w:p>
    <w:p w:rsidR="00A12C8F" w:rsidRDefault="0085088E" w:rsidP="0085088E">
      <w:pPr>
        <w:pStyle w:val="BodyText"/>
      </w:pPr>
      <w:r w:rsidRPr="0085088E">
        <w:t>As at 30</w:t>
      </w:r>
      <w:r w:rsidR="00AA68A5">
        <w:t> </w:t>
      </w:r>
      <w:r w:rsidRPr="0085088E">
        <w:t>June 2013, 1139 residential aged care services had a re</w:t>
      </w:r>
      <w:r w:rsidR="00AA68A5">
        <w:noBreakHyphen/>
      </w:r>
      <w:r w:rsidRPr="0085088E">
        <w:t>accreditation decision in 2012</w:t>
      </w:r>
      <w:r w:rsidR="00AA68A5">
        <w:noBreakHyphen/>
      </w:r>
      <w:r w:rsidRPr="0085088E">
        <w:t>13. Of these, 93.2 per cent were granted three years accreditation</w:t>
      </w:r>
      <w:r w:rsidR="00AA68A5">
        <w:t xml:space="preserve"> </w:t>
      </w:r>
      <w:r w:rsidR="00A12C8F">
        <w:t>(table</w:t>
      </w:r>
      <w:r w:rsidR="00AA68A5">
        <w:t> </w:t>
      </w:r>
      <w:r w:rsidR="00A12C8F">
        <w:t>13.</w:t>
      </w:r>
      <w:r w:rsidR="00D715DF">
        <w:t>7</w:t>
      </w:r>
      <w:r w:rsidR="00A12C8F">
        <w:t xml:space="preserve">). </w:t>
      </w:r>
      <w:r w:rsidR="00216056">
        <w:t xml:space="preserve">Of all </w:t>
      </w:r>
      <w:r w:rsidR="00A04211" w:rsidRPr="00A04211">
        <w:t>re</w:t>
      </w:r>
      <w:r w:rsidR="00AA68A5">
        <w:noBreakHyphen/>
      </w:r>
      <w:r w:rsidR="00A04211" w:rsidRPr="00A04211">
        <w:t xml:space="preserve">accredited </w:t>
      </w:r>
      <w:r w:rsidR="00216056">
        <w:t>residential aged care services</w:t>
      </w:r>
      <w:r w:rsidR="00A04211">
        <w:t>,</w:t>
      </w:r>
      <w:r w:rsidR="00216056">
        <w:t xml:space="preserve"> </w:t>
      </w:r>
      <w:r w:rsidR="00417108">
        <w:t>95.7</w:t>
      </w:r>
      <w:r w:rsidR="00216056" w:rsidRPr="00216056">
        <w:t xml:space="preserve"> per cent </w:t>
      </w:r>
      <w:r w:rsidR="00417108">
        <w:t>had</w:t>
      </w:r>
      <w:r w:rsidR="00216056" w:rsidRPr="00216056">
        <w:t xml:space="preserve"> </w:t>
      </w:r>
      <w:r w:rsidR="00A04211">
        <w:t>an accreditation status</w:t>
      </w:r>
      <w:r w:rsidR="00216056" w:rsidRPr="00216056">
        <w:t xml:space="preserve"> </w:t>
      </w:r>
      <w:r w:rsidR="00A04211">
        <w:t xml:space="preserve">of </w:t>
      </w:r>
      <w:r w:rsidR="00216056" w:rsidRPr="00216056">
        <w:t>a period of three years</w:t>
      </w:r>
      <w:r w:rsidR="00A04211">
        <w:t>,</w:t>
      </w:r>
      <w:r w:rsidR="00216056">
        <w:t xml:space="preserve"> </w:t>
      </w:r>
      <w:r w:rsidR="00A04211">
        <w:t>as at 30</w:t>
      </w:r>
      <w:r w:rsidR="00AA68A5">
        <w:t> </w:t>
      </w:r>
      <w:r w:rsidR="00A04211">
        <w:t xml:space="preserve">June 2013 </w:t>
      </w:r>
      <w:r w:rsidR="00C54B58">
        <w:br/>
      </w:r>
      <w:r w:rsidR="00216056" w:rsidRPr="00216056">
        <w:t>(table</w:t>
      </w:r>
      <w:r w:rsidR="00AA68A5">
        <w:t> </w:t>
      </w:r>
      <w:r w:rsidR="00216056" w:rsidRPr="00216056">
        <w:t>13.7).</w:t>
      </w:r>
    </w:p>
    <w:p w:rsidR="00A12C8F" w:rsidRDefault="00A12C8F" w:rsidP="002501A2">
      <w:pPr>
        <w:pStyle w:val="TableTitle"/>
      </w:pPr>
      <w:r w:rsidRPr="00805CB5">
        <w:rPr>
          <w:b w:val="0"/>
          <w:sz w:val="24"/>
        </w:rPr>
        <w:lastRenderedPageBreak/>
        <w:t xml:space="preserve">Table </w:t>
      </w:r>
      <w:r w:rsidR="00D715DF">
        <w:rPr>
          <w:b w:val="0"/>
          <w:sz w:val="24"/>
        </w:rPr>
        <w:t>13.</w:t>
      </w:r>
      <w:r w:rsidR="00E4728C">
        <w:rPr>
          <w:b w:val="0"/>
          <w:noProof/>
          <w:sz w:val="24"/>
        </w:rPr>
        <w:t>7</w:t>
      </w:r>
      <w:r w:rsidRPr="00805CB5">
        <w:rPr>
          <w:sz w:val="24"/>
        </w:rPr>
        <w:tab/>
      </w:r>
      <w:r w:rsidR="00216056">
        <w:rPr>
          <w:sz w:val="24"/>
        </w:rPr>
        <w:t>R</w:t>
      </w:r>
      <w:r w:rsidRPr="00805CB5">
        <w:rPr>
          <w:sz w:val="24"/>
        </w:rPr>
        <w:t>esidential aged care services</w:t>
      </w:r>
      <w:r w:rsidR="00216056" w:rsidRPr="00216056">
        <w:rPr>
          <w:sz w:val="24"/>
        </w:rPr>
        <w:t xml:space="preserve"> </w:t>
      </w:r>
      <w:r w:rsidR="00216056">
        <w:rPr>
          <w:sz w:val="24"/>
        </w:rPr>
        <w:t>r</w:t>
      </w:r>
      <w:r w:rsidR="00216056" w:rsidRPr="00805CB5">
        <w:rPr>
          <w:sz w:val="24"/>
        </w:rPr>
        <w:t>e</w:t>
      </w:r>
      <w:r w:rsidR="00AA68A5">
        <w:rPr>
          <w:sz w:val="24"/>
        </w:rPr>
        <w:noBreakHyphen/>
      </w:r>
      <w:r w:rsidR="00216056" w:rsidRPr="00805CB5">
        <w:rPr>
          <w:sz w:val="24"/>
        </w:rPr>
        <w:t>accredit</w:t>
      </w:r>
      <w:r w:rsidR="00216056">
        <w:rPr>
          <w:sz w:val="24"/>
        </w:rPr>
        <w:t>ed for three years</w:t>
      </w:r>
      <w:r w:rsidRPr="00805CB5">
        <w:rPr>
          <w:sz w:val="24"/>
        </w:rPr>
        <w:t>, 30 </w:t>
      </w:r>
      <w:r w:rsidR="00714EDC" w:rsidRPr="00805CB5">
        <w:rPr>
          <w:sz w:val="24"/>
        </w:rPr>
        <w:t>June 201</w:t>
      </w:r>
      <w:r w:rsidR="00216056">
        <w:rPr>
          <w:sz w:val="24"/>
        </w:rPr>
        <w:t>3</w:t>
      </w:r>
      <w:r w:rsidRPr="00F05CB2">
        <w:rPr>
          <w:rStyle w:val="NoteLabel"/>
          <w:b/>
        </w:rPr>
        <w:t>a</w:t>
      </w:r>
      <w:r>
        <w:rPr>
          <w:rStyle w:val="NoteLabel"/>
          <w:b/>
        </w:rPr>
        <w:t>, b</w:t>
      </w:r>
    </w:p>
    <w:tbl>
      <w:tblPr>
        <w:tblW w:w="0" w:type="auto"/>
        <w:tblLayout w:type="fixed"/>
        <w:tblCellMar>
          <w:left w:w="0" w:type="dxa"/>
          <w:right w:w="0" w:type="dxa"/>
        </w:tblCellMar>
        <w:tblLook w:val="0000" w:firstRow="0" w:lastRow="0" w:firstColumn="0" w:lastColumn="0" w:noHBand="0" w:noVBand="0"/>
      </w:tblPr>
      <w:tblGrid>
        <w:gridCol w:w="2127"/>
        <w:gridCol w:w="740"/>
        <w:gridCol w:w="740"/>
        <w:gridCol w:w="740"/>
        <w:gridCol w:w="740"/>
        <w:gridCol w:w="741"/>
        <w:gridCol w:w="740"/>
        <w:gridCol w:w="740"/>
        <w:gridCol w:w="740"/>
        <w:gridCol w:w="741"/>
      </w:tblGrid>
      <w:tr w:rsidR="00417108" w:rsidTr="00417108">
        <w:tc>
          <w:tcPr>
            <w:tcW w:w="2127" w:type="dxa"/>
            <w:tcBorders>
              <w:top w:val="single" w:sz="6" w:space="0" w:color="auto"/>
              <w:bottom w:val="single" w:sz="6" w:space="0" w:color="auto"/>
            </w:tcBorders>
            <w:shd w:val="clear" w:color="auto" w:fill="auto"/>
          </w:tcPr>
          <w:p w:rsidR="00417108" w:rsidRDefault="00417108" w:rsidP="002501A2">
            <w:pPr>
              <w:pStyle w:val="TableColumnHeading"/>
              <w:jc w:val="left"/>
            </w:pPr>
          </w:p>
        </w:tc>
        <w:tc>
          <w:tcPr>
            <w:tcW w:w="740" w:type="dxa"/>
            <w:tcBorders>
              <w:top w:val="single" w:sz="6" w:space="0" w:color="auto"/>
              <w:bottom w:val="single" w:sz="6" w:space="0" w:color="auto"/>
            </w:tcBorders>
            <w:shd w:val="clear" w:color="auto" w:fill="auto"/>
          </w:tcPr>
          <w:p w:rsidR="00417108" w:rsidRPr="00794159" w:rsidRDefault="00417108" w:rsidP="00AA68A5">
            <w:pPr>
              <w:pStyle w:val="TableColumnHeading"/>
            </w:pPr>
            <w:r w:rsidRPr="00794159">
              <w:t>NSW</w:t>
            </w:r>
          </w:p>
        </w:tc>
        <w:tc>
          <w:tcPr>
            <w:tcW w:w="740" w:type="dxa"/>
            <w:tcBorders>
              <w:top w:val="single" w:sz="6" w:space="0" w:color="auto"/>
              <w:bottom w:val="single" w:sz="6" w:space="0" w:color="auto"/>
            </w:tcBorders>
            <w:shd w:val="clear" w:color="auto" w:fill="auto"/>
          </w:tcPr>
          <w:p w:rsidR="00417108" w:rsidRPr="00794159" w:rsidRDefault="00417108" w:rsidP="00AA68A5">
            <w:pPr>
              <w:pStyle w:val="TableColumnHeading"/>
            </w:pPr>
            <w:r w:rsidRPr="00794159">
              <w:t>Vic</w:t>
            </w:r>
          </w:p>
        </w:tc>
        <w:tc>
          <w:tcPr>
            <w:tcW w:w="740" w:type="dxa"/>
            <w:tcBorders>
              <w:top w:val="single" w:sz="6" w:space="0" w:color="auto"/>
              <w:bottom w:val="single" w:sz="6" w:space="0" w:color="auto"/>
            </w:tcBorders>
            <w:shd w:val="clear" w:color="auto" w:fill="auto"/>
          </w:tcPr>
          <w:p w:rsidR="00417108" w:rsidRPr="00794159" w:rsidRDefault="00417108" w:rsidP="00AA68A5">
            <w:pPr>
              <w:pStyle w:val="TableColumnHeading"/>
            </w:pPr>
            <w:r w:rsidRPr="00794159">
              <w:t>Qld</w:t>
            </w:r>
          </w:p>
        </w:tc>
        <w:tc>
          <w:tcPr>
            <w:tcW w:w="740" w:type="dxa"/>
            <w:tcBorders>
              <w:top w:val="single" w:sz="6" w:space="0" w:color="auto"/>
              <w:bottom w:val="single" w:sz="6" w:space="0" w:color="auto"/>
            </w:tcBorders>
            <w:shd w:val="clear" w:color="auto" w:fill="auto"/>
          </w:tcPr>
          <w:p w:rsidR="00417108" w:rsidRPr="00794159" w:rsidRDefault="00417108" w:rsidP="00AA68A5">
            <w:pPr>
              <w:pStyle w:val="TableColumnHeading"/>
            </w:pPr>
            <w:r w:rsidRPr="00794159">
              <w:t>WA</w:t>
            </w:r>
          </w:p>
        </w:tc>
        <w:tc>
          <w:tcPr>
            <w:tcW w:w="741" w:type="dxa"/>
            <w:tcBorders>
              <w:top w:val="single" w:sz="6" w:space="0" w:color="auto"/>
              <w:bottom w:val="single" w:sz="6" w:space="0" w:color="auto"/>
            </w:tcBorders>
            <w:shd w:val="clear" w:color="auto" w:fill="auto"/>
          </w:tcPr>
          <w:p w:rsidR="00417108" w:rsidRPr="00794159" w:rsidRDefault="00417108" w:rsidP="00AA68A5">
            <w:pPr>
              <w:pStyle w:val="TableColumnHeading"/>
            </w:pPr>
            <w:r w:rsidRPr="00794159">
              <w:t>SA</w:t>
            </w:r>
          </w:p>
        </w:tc>
        <w:tc>
          <w:tcPr>
            <w:tcW w:w="740" w:type="dxa"/>
            <w:tcBorders>
              <w:top w:val="single" w:sz="6" w:space="0" w:color="auto"/>
              <w:bottom w:val="single" w:sz="6" w:space="0" w:color="auto"/>
            </w:tcBorders>
            <w:shd w:val="clear" w:color="auto" w:fill="auto"/>
          </w:tcPr>
          <w:p w:rsidR="00417108" w:rsidRPr="00794159" w:rsidRDefault="00417108" w:rsidP="00AA68A5">
            <w:pPr>
              <w:pStyle w:val="TableColumnHeading"/>
            </w:pPr>
            <w:r w:rsidRPr="00794159">
              <w:t>Tas</w:t>
            </w:r>
          </w:p>
        </w:tc>
        <w:tc>
          <w:tcPr>
            <w:tcW w:w="740" w:type="dxa"/>
            <w:tcBorders>
              <w:top w:val="single" w:sz="6" w:space="0" w:color="auto"/>
              <w:bottom w:val="single" w:sz="6" w:space="0" w:color="auto"/>
            </w:tcBorders>
            <w:shd w:val="clear" w:color="auto" w:fill="auto"/>
          </w:tcPr>
          <w:p w:rsidR="00417108" w:rsidRPr="00794159" w:rsidRDefault="00417108" w:rsidP="00AA68A5">
            <w:pPr>
              <w:pStyle w:val="TableColumnHeading"/>
            </w:pPr>
            <w:r w:rsidRPr="00794159">
              <w:t>ACT</w:t>
            </w:r>
          </w:p>
        </w:tc>
        <w:tc>
          <w:tcPr>
            <w:tcW w:w="740" w:type="dxa"/>
            <w:tcBorders>
              <w:top w:val="single" w:sz="6" w:space="0" w:color="auto"/>
              <w:bottom w:val="single" w:sz="6" w:space="0" w:color="auto"/>
            </w:tcBorders>
            <w:shd w:val="clear" w:color="auto" w:fill="auto"/>
          </w:tcPr>
          <w:p w:rsidR="00417108" w:rsidRPr="00794159" w:rsidRDefault="00417108" w:rsidP="00AA68A5">
            <w:pPr>
              <w:pStyle w:val="TableColumnHeading"/>
            </w:pPr>
            <w:r w:rsidRPr="00794159">
              <w:t>NT</w:t>
            </w:r>
          </w:p>
        </w:tc>
        <w:tc>
          <w:tcPr>
            <w:tcW w:w="741" w:type="dxa"/>
            <w:tcBorders>
              <w:top w:val="single" w:sz="6" w:space="0" w:color="auto"/>
              <w:bottom w:val="single" w:sz="6" w:space="0" w:color="auto"/>
            </w:tcBorders>
            <w:shd w:val="clear" w:color="auto" w:fill="auto"/>
          </w:tcPr>
          <w:p w:rsidR="00417108" w:rsidRDefault="00417108" w:rsidP="00AA68A5">
            <w:pPr>
              <w:pStyle w:val="TableColumnHeading"/>
              <w:ind w:right="28"/>
            </w:pPr>
            <w:r>
              <w:t>Aust</w:t>
            </w:r>
          </w:p>
        </w:tc>
      </w:tr>
      <w:tr w:rsidR="00417108" w:rsidTr="00417108">
        <w:tc>
          <w:tcPr>
            <w:tcW w:w="8789" w:type="dxa"/>
            <w:gridSpan w:val="10"/>
            <w:vAlign w:val="bottom"/>
          </w:tcPr>
          <w:p w:rsidR="00417108" w:rsidRDefault="00417108" w:rsidP="00417108">
            <w:pPr>
              <w:pStyle w:val="TableBodyText"/>
              <w:ind w:right="0"/>
              <w:jc w:val="left"/>
            </w:pPr>
            <w:r w:rsidRPr="00930170">
              <w:rPr>
                <w:i/>
              </w:rPr>
              <w:t>Services re</w:t>
            </w:r>
            <w:r w:rsidR="00AA68A5">
              <w:rPr>
                <w:i/>
              </w:rPr>
              <w:noBreakHyphen/>
            </w:r>
            <w:r w:rsidRPr="00930170">
              <w:rPr>
                <w:i/>
              </w:rPr>
              <w:t xml:space="preserve">accredited </w:t>
            </w:r>
            <w:r>
              <w:rPr>
                <w:i/>
              </w:rPr>
              <w:t>during</w:t>
            </w:r>
            <w:r w:rsidRPr="00930170">
              <w:rPr>
                <w:i/>
              </w:rPr>
              <w:t xml:space="preserve"> </w:t>
            </w:r>
            <w:r>
              <w:rPr>
                <w:i/>
              </w:rPr>
              <w:t>2012</w:t>
            </w:r>
            <w:r w:rsidR="00AA68A5">
              <w:rPr>
                <w:i/>
              </w:rPr>
              <w:noBreakHyphen/>
            </w:r>
            <w:r>
              <w:rPr>
                <w:i/>
              </w:rPr>
              <w:t>13</w:t>
            </w:r>
          </w:p>
        </w:tc>
      </w:tr>
      <w:tr w:rsidR="00A21C69" w:rsidTr="00F2055D">
        <w:tc>
          <w:tcPr>
            <w:tcW w:w="2127" w:type="dxa"/>
            <w:vAlign w:val="bottom"/>
          </w:tcPr>
          <w:p w:rsidR="00A21C69" w:rsidRPr="006B2192" w:rsidRDefault="00A21C69" w:rsidP="00930170">
            <w:pPr>
              <w:pStyle w:val="TableBodyText"/>
              <w:ind w:left="142"/>
              <w:jc w:val="left"/>
            </w:pPr>
            <w:r>
              <w:t>Total no.</w:t>
            </w:r>
          </w:p>
        </w:tc>
        <w:tc>
          <w:tcPr>
            <w:tcW w:w="740" w:type="dxa"/>
            <w:vAlign w:val="bottom"/>
          </w:tcPr>
          <w:p w:rsidR="00A21C69" w:rsidRPr="00417108" w:rsidRDefault="00926F6B" w:rsidP="00AA68A5">
            <w:pPr>
              <w:pStyle w:val="TableBodyText"/>
            </w:pPr>
            <w:r>
              <w:t xml:space="preserve"> </w:t>
            </w:r>
            <w:r w:rsidR="00A21C69" w:rsidRPr="00417108">
              <w:t>351</w:t>
            </w:r>
          </w:p>
        </w:tc>
        <w:tc>
          <w:tcPr>
            <w:tcW w:w="740" w:type="dxa"/>
            <w:vAlign w:val="bottom"/>
          </w:tcPr>
          <w:p w:rsidR="00A21C69" w:rsidRPr="00417108" w:rsidRDefault="00926F6B" w:rsidP="00AA68A5">
            <w:pPr>
              <w:pStyle w:val="TableBodyText"/>
            </w:pPr>
            <w:r>
              <w:t xml:space="preserve"> </w:t>
            </w:r>
            <w:r w:rsidR="00A21C69" w:rsidRPr="00417108">
              <w:t>339</w:t>
            </w:r>
          </w:p>
        </w:tc>
        <w:tc>
          <w:tcPr>
            <w:tcW w:w="740" w:type="dxa"/>
            <w:vAlign w:val="bottom"/>
          </w:tcPr>
          <w:p w:rsidR="00A21C69" w:rsidRPr="00417108" w:rsidRDefault="00926F6B" w:rsidP="00AA68A5">
            <w:pPr>
              <w:pStyle w:val="TableBodyText"/>
            </w:pPr>
            <w:r>
              <w:t xml:space="preserve"> </w:t>
            </w:r>
            <w:r w:rsidR="00A21C69" w:rsidRPr="00417108">
              <w:t>239</w:t>
            </w:r>
          </w:p>
        </w:tc>
        <w:tc>
          <w:tcPr>
            <w:tcW w:w="740" w:type="dxa"/>
            <w:vAlign w:val="bottom"/>
          </w:tcPr>
          <w:p w:rsidR="00A21C69" w:rsidRPr="00417108" w:rsidRDefault="00926F6B" w:rsidP="00AA68A5">
            <w:pPr>
              <w:pStyle w:val="TableBodyText"/>
            </w:pPr>
            <w:r>
              <w:t xml:space="preserve"> </w:t>
            </w:r>
            <w:r w:rsidR="00A21C69" w:rsidRPr="00417108">
              <w:t>84</w:t>
            </w:r>
          </w:p>
        </w:tc>
        <w:tc>
          <w:tcPr>
            <w:tcW w:w="741" w:type="dxa"/>
            <w:vAlign w:val="bottom"/>
          </w:tcPr>
          <w:p w:rsidR="00A21C69" w:rsidRPr="00417108" w:rsidRDefault="00926F6B" w:rsidP="00AA68A5">
            <w:pPr>
              <w:pStyle w:val="TableBodyText"/>
            </w:pPr>
            <w:r>
              <w:t xml:space="preserve"> </w:t>
            </w:r>
            <w:r w:rsidR="00A21C69" w:rsidRPr="00417108">
              <w:t>80</w:t>
            </w:r>
          </w:p>
        </w:tc>
        <w:tc>
          <w:tcPr>
            <w:tcW w:w="740" w:type="dxa"/>
            <w:shd w:val="clear" w:color="auto" w:fill="FFFFFF" w:themeFill="background1"/>
            <w:vAlign w:val="bottom"/>
          </w:tcPr>
          <w:p w:rsidR="00A21C69" w:rsidRPr="00417108" w:rsidRDefault="00926F6B" w:rsidP="00AA68A5">
            <w:pPr>
              <w:pStyle w:val="TableBodyText"/>
            </w:pPr>
            <w:r>
              <w:t xml:space="preserve"> </w:t>
            </w:r>
            <w:r w:rsidR="00A21C69">
              <w:t>24</w:t>
            </w:r>
          </w:p>
        </w:tc>
        <w:tc>
          <w:tcPr>
            <w:tcW w:w="740" w:type="dxa"/>
            <w:shd w:val="clear" w:color="auto" w:fill="FFFFFF" w:themeFill="background1"/>
            <w:vAlign w:val="bottom"/>
          </w:tcPr>
          <w:p w:rsidR="00A21C69" w:rsidRPr="00417108" w:rsidRDefault="00926F6B" w:rsidP="00AA68A5">
            <w:pPr>
              <w:pStyle w:val="TableBodyText"/>
            </w:pPr>
            <w:r>
              <w:t xml:space="preserve"> </w:t>
            </w:r>
            <w:r w:rsidR="00A21C69" w:rsidRPr="00417108">
              <w:t>12</w:t>
            </w:r>
          </w:p>
        </w:tc>
        <w:tc>
          <w:tcPr>
            <w:tcW w:w="740" w:type="dxa"/>
            <w:vAlign w:val="bottom"/>
          </w:tcPr>
          <w:p w:rsidR="00A21C69" w:rsidRPr="00417108" w:rsidRDefault="00926F6B" w:rsidP="00AA68A5">
            <w:pPr>
              <w:pStyle w:val="TableBodyText"/>
            </w:pPr>
            <w:r>
              <w:t xml:space="preserve"> </w:t>
            </w:r>
            <w:r w:rsidR="00A21C69" w:rsidRPr="00417108">
              <w:t>10</w:t>
            </w:r>
          </w:p>
        </w:tc>
        <w:tc>
          <w:tcPr>
            <w:tcW w:w="741" w:type="dxa"/>
            <w:vAlign w:val="bottom"/>
          </w:tcPr>
          <w:p w:rsidR="00A21C69" w:rsidRPr="00417108" w:rsidRDefault="00A21C69" w:rsidP="00AA68A5">
            <w:pPr>
              <w:pStyle w:val="TableBodyText"/>
              <w:ind w:right="28"/>
            </w:pPr>
            <w:r w:rsidRPr="00417108">
              <w:t xml:space="preserve"> 1 139</w:t>
            </w:r>
          </w:p>
        </w:tc>
      </w:tr>
      <w:tr w:rsidR="00A21C69" w:rsidTr="00F2055D">
        <w:tc>
          <w:tcPr>
            <w:tcW w:w="2127" w:type="dxa"/>
            <w:vAlign w:val="bottom"/>
          </w:tcPr>
          <w:p w:rsidR="00A21C69" w:rsidRPr="006B2192" w:rsidRDefault="00A21C69" w:rsidP="00930170">
            <w:pPr>
              <w:pStyle w:val="TableBodyText"/>
              <w:ind w:left="142"/>
              <w:jc w:val="left"/>
            </w:pPr>
            <w:r>
              <w:t>% 3 year accredited</w:t>
            </w:r>
          </w:p>
        </w:tc>
        <w:tc>
          <w:tcPr>
            <w:tcW w:w="740" w:type="dxa"/>
            <w:vAlign w:val="bottom"/>
          </w:tcPr>
          <w:p w:rsidR="00A21C69" w:rsidRPr="00417108" w:rsidRDefault="00926F6B" w:rsidP="00AA68A5">
            <w:pPr>
              <w:pStyle w:val="TableBodyText"/>
            </w:pPr>
            <w:r>
              <w:t xml:space="preserve"> </w:t>
            </w:r>
            <w:r w:rsidR="00A21C69" w:rsidRPr="00417108">
              <w:t>95.7</w:t>
            </w:r>
          </w:p>
        </w:tc>
        <w:tc>
          <w:tcPr>
            <w:tcW w:w="740" w:type="dxa"/>
            <w:vAlign w:val="bottom"/>
          </w:tcPr>
          <w:p w:rsidR="00A21C69" w:rsidRPr="00417108" w:rsidRDefault="00926F6B" w:rsidP="00AA68A5">
            <w:pPr>
              <w:pStyle w:val="TableBodyText"/>
            </w:pPr>
            <w:r>
              <w:t xml:space="preserve"> </w:t>
            </w:r>
            <w:r w:rsidR="00A21C69" w:rsidRPr="00417108">
              <w:t>95.9</w:t>
            </w:r>
          </w:p>
        </w:tc>
        <w:tc>
          <w:tcPr>
            <w:tcW w:w="740" w:type="dxa"/>
            <w:vAlign w:val="bottom"/>
          </w:tcPr>
          <w:p w:rsidR="00A21C69" w:rsidRPr="00417108" w:rsidRDefault="00926F6B" w:rsidP="00AA68A5">
            <w:pPr>
              <w:pStyle w:val="TableBodyText"/>
            </w:pPr>
            <w:r>
              <w:t xml:space="preserve"> </w:t>
            </w:r>
            <w:r w:rsidR="00A21C69" w:rsidRPr="00417108">
              <w:t>90.8</w:t>
            </w:r>
          </w:p>
        </w:tc>
        <w:tc>
          <w:tcPr>
            <w:tcW w:w="740" w:type="dxa"/>
            <w:vAlign w:val="bottom"/>
          </w:tcPr>
          <w:p w:rsidR="00A21C69" w:rsidRPr="00417108" w:rsidRDefault="00926F6B" w:rsidP="00AA68A5">
            <w:pPr>
              <w:pStyle w:val="TableBodyText"/>
            </w:pPr>
            <w:r>
              <w:t xml:space="preserve"> </w:t>
            </w:r>
            <w:r w:rsidR="00A21C69" w:rsidRPr="00417108">
              <w:t>89.3</w:t>
            </w:r>
          </w:p>
        </w:tc>
        <w:tc>
          <w:tcPr>
            <w:tcW w:w="741" w:type="dxa"/>
            <w:vAlign w:val="bottom"/>
          </w:tcPr>
          <w:p w:rsidR="00A21C69" w:rsidRPr="00417108" w:rsidRDefault="00926F6B" w:rsidP="00AA68A5">
            <w:pPr>
              <w:pStyle w:val="TableBodyText"/>
            </w:pPr>
            <w:r>
              <w:t xml:space="preserve"> </w:t>
            </w:r>
            <w:r w:rsidR="00A21C69" w:rsidRPr="00417108">
              <w:t>93.8</w:t>
            </w:r>
          </w:p>
        </w:tc>
        <w:tc>
          <w:tcPr>
            <w:tcW w:w="740" w:type="dxa"/>
            <w:shd w:val="clear" w:color="auto" w:fill="FFFFFF" w:themeFill="background1"/>
            <w:vAlign w:val="bottom"/>
          </w:tcPr>
          <w:p w:rsidR="00A21C69" w:rsidRPr="00417108" w:rsidRDefault="00926F6B" w:rsidP="00AA68A5">
            <w:pPr>
              <w:pStyle w:val="TableBodyText"/>
            </w:pPr>
            <w:r>
              <w:t xml:space="preserve"> </w:t>
            </w:r>
            <w:r w:rsidR="00A21C69">
              <w:t>100.0</w:t>
            </w:r>
          </w:p>
        </w:tc>
        <w:tc>
          <w:tcPr>
            <w:tcW w:w="740" w:type="dxa"/>
            <w:shd w:val="clear" w:color="auto" w:fill="FFFFFF" w:themeFill="background1"/>
            <w:vAlign w:val="bottom"/>
          </w:tcPr>
          <w:p w:rsidR="00A21C69" w:rsidRPr="00417108" w:rsidRDefault="00926F6B" w:rsidP="00AA68A5">
            <w:pPr>
              <w:pStyle w:val="TableBodyText"/>
            </w:pPr>
            <w:r>
              <w:t xml:space="preserve"> </w:t>
            </w:r>
            <w:r w:rsidR="00A21C69" w:rsidRPr="00417108">
              <w:t>66.7</w:t>
            </w:r>
          </w:p>
        </w:tc>
        <w:tc>
          <w:tcPr>
            <w:tcW w:w="740" w:type="dxa"/>
            <w:vAlign w:val="bottom"/>
          </w:tcPr>
          <w:p w:rsidR="00A21C69" w:rsidRPr="00417108" w:rsidRDefault="00926F6B" w:rsidP="00AA68A5">
            <w:pPr>
              <w:pStyle w:val="TableBodyText"/>
            </w:pPr>
            <w:r>
              <w:t xml:space="preserve"> </w:t>
            </w:r>
            <w:r w:rsidR="00A21C69" w:rsidRPr="00417108">
              <w:t>20.0</w:t>
            </w:r>
          </w:p>
        </w:tc>
        <w:tc>
          <w:tcPr>
            <w:tcW w:w="741" w:type="dxa"/>
            <w:vAlign w:val="bottom"/>
          </w:tcPr>
          <w:p w:rsidR="00A21C69" w:rsidRPr="00417108" w:rsidRDefault="00926F6B" w:rsidP="00AA68A5">
            <w:pPr>
              <w:pStyle w:val="TableBodyText"/>
              <w:ind w:right="28"/>
            </w:pPr>
            <w:r>
              <w:t xml:space="preserve"> </w:t>
            </w:r>
            <w:r w:rsidR="00A21C69" w:rsidRPr="00417108">
              <w:t>93.2</w:t>
            </w:r>
          </w:p>
        </w:tc>
      </w:tr>
      <w:tr w:rsidR="00417108" w:rsidTr="00417108">
        <w:tc>
          <w:tcPr>
            <w:tcW w:w="8048" w:type="dxa"/>
            <w:gridSpan w:val="9"/>
            <w:shd w:val="clear" w:color="auto" w:fill="auto"/>
            <w:vAlign w:val="bottom"/>
          </w:tcPr>
          <w:p w:rsidR="00417108" w:rsidRPr="0012432C" w:rsidRDefault="00417108" w:rsidP="00417108">
            <w:pPr>
              <w:pStyle w:val="TableBodyText"/>
              <w:jc w:val="left"/>
              <w:rPr>
                <w:b/>
                <w:bCs/>
              </w:rPr>
            </w:pPr>
            <w:r w:rsidRPr="00930170">
              <w:rPr>
                <w:i/>
              </w:rPr>
              <w:t>All re</w:t>
            </w:r>
            <w:r w:rsidR="00AA68A5">
              <w:rPr>
                <w:i/>
              </w:rPr>
              <w:noBreakHyphen/>
            </w:r>
            <w:r w:rsidRPr="00930170">
              <w:rPr>
                <w:i/>
              </w:rPr>
              <w:t>accredited services</w:t>
            </w:r>
          </w:p>
        </w:tc>
        <w:tc>
          <w:tcPr>
            <w:tcW w:w="741" w:type="dxa"/>
            <w:shd w:val="clear" w:color="auto" w:fill="auto"/>
            <w:vAlign w:val="bottom"/>
          </w:tcPr>
          <w:p w:rsidR="00417108" w:rsidRPr="0012432C" w:rsidRDefault="00417108" w:rsidP="00AA68A5">
            <w:pPr>
              <w:pStyle w:val="TableBodyText"/>
              <w:ind w:right="28"/>
              <w:rPr>
                <w:b/>
                <w:bCs/>
              </w:rPr>
            </w:pPr>
          </w:p>
        </w:tc>
      </w:tr>
      <w:tr w:rsidR="00417108" w:rsidTr="00417108">
        <w:tc>
          <w:tcPr>
            <w:tcW w:w="2127" w:type="dxa"/>
            <w:shd w:val="clear" w:color="auto" w:fill="auto"/>
            <w:vAlign w:val="bottom"/>
          </w:tcPr>
          <w:p w:rsidR="00417108" w:rsidRPr="006B2192" w:rsidRDefault="00417108" w:rsidP="00417108">
            <w:pPr>
              <w:pStyle w:val="TableBodyText"/>
              <w:ind w:left="142"/>
              <w:jc w:val="left"/>
            </w:pPr>
            <w:r>
              <w:t>Total no.</w:t>
            </w:r>
          </w:p>
        </w:tc>
        <w:tc>
          <w:tcPr>
            <w:tcW w:w="740" w:type="dxa"/>
            <w:shd w:val="clear" w:color="auto" w:fill="auto"/>
            <w:vAlign w:val="bottom"/>
          </w:tcPr>
          <w:p w:rsidR="00417108" w:rsidRPr="00417108" w:rsidRDefault="00926F6B" w:rsidP="00AA68A5">
            <w:pPr>
              <w:pStyle w:val="TableBodyText"/>
            </w:pPr>
            <w:r>
              <w:t xml:space="preserve"> </w:t>
            </w:r>
            <w:r w:rsidR="00417108" w:rsidRPr="00417108">
              <w:t>876</w:t>
            </w:r>
          </w:p>
        </w:tc>
        <w:tc>
          <w:tcPr>
            <w:tcW w:w="740" w:type="dxa"/>
            <w:shd w:val="clear" w:color="auto" w:fill="auto"/>
            <w:vAlign w:val="bottom"/>
          </w:tcPr>
          <w:p w:rsidR="00417108" w:rsidRPr="00417108" w:rsidRDefault="00926F6B" w:rsidP="00AA68A5">
            <w:pPr>
              <w:pStyle w:val="TableBodyText"/>
            </w:pPr>
            <w:r>
              <w:t xml:space="preserve"> </w:t>
            </w:r>
            <w:r w:rsidR="00417108" w:rsidRPr="00417108">
              <w:t>751</w:t>
            </w:r>
          </w:p>
        </w:tc>
        <w:tc>
          <w:tcPr>
            <w:tcW w:w="740" w:type="dxa"/>
            <w:shd w:val="clear" w:color="auto" w:fill="auto"/>
            <w:vAlign w:val="bottom"/>
          </w:tcPr>
          <w:p w:rsidR="00417108" w:rsidRPr="00417108" w:rsidRDefault="00926F6B" w:rsidP="00AA68A5">
            <w:pPr>
              <w:pStyle w:val="TableBodyText"/>
            </w:pPr>
            <w:r>
              <w:t xml:space="preserve"> </w:t>
            </w:r>
            <w:r w:rsidR="00417108" w:rsidRPr="00417108">
              <w:t>445</w:t>
            </w:r>
          </w:p>
        </w:tc>
        <w:tc>
          <w:tcPr>
            <w:tcW w:w="740" w:type="dxa"/>
            <w:shd w:val="clear" w:color="auto" w:fill="auto"/>
            <w:vAlign w:val="bottom"/>
          </w:tcPr>
          <w:p w:rsidR="00417108" w:rsidRPr="00417108" w:rsidRDefault="00926F6B" w:rsidP="00AA68A5">
            <w:pPr>
              <w:pStyle w:val="TableBodyText"/>
            </w:pPr>
            <w:r>
              <w:t xml:space="preserve"> </w:t>
            </w:r>
            <w:r w:rsidR="00417108" w:rsidRPr="00417108">
              <w:t>241</w:t>
            </w:r>
          </w:p>
        </w:tc>
        <w:tc>
          <w:tcPr>
            <w:tcW w:w="741" w:type="dxa"/>
            <w:shd w:val="clear" w:color="auto" w:fill="auto"/>
            <w:vAlign w:val="bottom"/>
          </w:tcPr>
          <w:p w:rsidR="00417108" w:rsidRPr="00417108" w:rsidRDefault="00926F6B" w:rsidP="00AA68A5">
            <w:pPr>
              <w:pStyle w:val="TableBodyText"/>
            </w:pPr>
            <w:r>
              <w:t xml:space="preserve"> </w:t>
            </w:r>
            <w:r w:rsidR="00417108" w:rsidRPr="00417108">
              <w:t>264</w:t>
            </w:r>
          </w:p>
        </w:tc>
        <w:tc>
          <w:tcPr>
            <w:tcW w:w="740" w:type="dxa"/>
            <w:shd w:val="clear" w:color="auto" w:fill="auto"/>
            <w:vAlign w:val="bottom"/>
          </w:tcPr>
          <w:p w:rsidR="00417108" w:rsidRPr="00417108" w:rsidRDefault="00926F6B" w:rsidP="00AA68A5">
            <w:pPr>
              <w:pStyle w:val="TableBodyText"/>
            </w:pPr>
            <w:r>
              <w:t xml:space="preserve"> </w:t>
            </w:r>
            <w:r w:rsidR="00417108" w:rsidRPr="00417108">
              <w:t>78</w:t>
            </w:r>
          </w:p>
        </w:tc>
        <w:tc>
          <w:tcPr>
            <w:tcW w:w="740" w:type="dxa"/>
            <w:shd w:val="clear" w:color="auto" w:fill="auto"/>
            <w:vAlign w:val="bottom"/>
          </w:tcPr>
          <w:p w:rsidR="00417108" w:rsidRPr="00417108" w:rsidRDefault="00926F6B" w:rsidP="00AA68A5">
            <w:pPr>
              <w:pStyle w:val="TableBodyText"/>
            </w:pPr>
            <w:r>
              <w:t xml:space="preserve"> </w:t>
            </w:r>
            <w:r w:rsidR="00417108" w:rsidRPr="00417108">
              <w:t>26</w:t>
            </w:r>
          </w:p>
        </w:tc>
        <w:tc>
          <w:tcPr>
            <w:tcW w:w="740" w:type="dxa"/>
            <w:shd w:val="clear" w:color="auto" w:fill="auto"/>
            <w:vAlign w:val="bottom"/>
          </w:tcPr>
          <w:p w:rsidR="00417108" w:rsidRPr="00417108" w:rsidRDefault="00926F6B" w:rsidP="00AA68A5">
            <w:pPr>
              <w:pStyle w:val="TableBodyText"/>
            </w:pPr>
            <w:r>
              <w:t xml:space="preserve"> </w:t>
            </w:r>
            <w:r w:rsidR="00417108" w:rsidRPr="00417108">
              <w:t>15</w:t>
            </w:r>
          </w:p>
        </w:tc>
        <w:tc>
          <w:tcPr>
            <w:tcW w:w="741" w:type="dxa"/>
            <w:shd w:val="clear" w:color="auto" w:fill="auto"/>
            <w:vAlign w:val="bottom"/>
          </w:tcPr>
          <w:p w:rsidR="00417108" w:rsidRPr="00417108" w:rsidRDefault="00417108" w:rsidP="00AA68A5">
            <w:pPr>
              <w:pStyle w:val="TableBodyText"/>
              <w:ind w:right="28"/>
            </w:pPr>
            <w:r w:rsidRPr="00417108">
              <w:t xml:space="preserve"> 2 696</w:t>
            </w:r>
          </w:p>
        </w:tc>
      </w:tr>
      <w:tr w:rsidR="00417108" w:rsidTr="00417108">
        <w:tc>
          <w:tcPr>
            <w:tcW w:w="2127" w:type="dxa"/>
            <w:tcBorders>
              <w:bottom w:val="single" w:sz="6" w:space="0" w:color="auto"/>
            </w:tcBorders>
            <w:shd w:val="clear" w:color="auto" w:fill="auto"/>
            <w:vAlign w:val="bottom"/>
          </w:tcPr>
          <w:p w:rsidR="00417108" w:rsidRPr="006B2192" w:rsidRDefault="00417108" w:rsidP="00417108">
            <w:pPr>
              <w:pStyle w:val="TableBodyText"/>
              <w:ind w:left="142"/>
              <w:jc w:val="left"/>
            </w:pPr>
            <w:r>
              <w:t>% 3 year accredited</w:t>
            </w:r>
          </w:p>
        </w:tc>
        <w:tc>
          <w:tcPr>
            <w:tcW w:w="740" w:type="dxa"/>
            <w:tcBorders>
              <w:bottom w:val="single" w:sz="6" w:space="0" w:color="auto"/>
            </w:tcBorders>
            <w:shd w:val="clear" w:color="auto" w:fill="auto"/>
            <w:vAlign w:val="bottom"/>
          </w:tcPr>
          <w:p w:rsidR="00417108" w:rsidRPr="00417108" w:rsidRDefault="00926F6B" w:rsidP="00AA68A5">
            <w:pPr>
              <w:pStyle w:val="TableBodyText"/>
            </w:pPr>
            <w:r>
              <w:t xml:space="preserve"> </w:t>
            </w:r>
            <w:r w:rsidR="00417108" w:rsidRPr="00417108">
              <w:t>97.1</w:t>
            </w:r>
          </w:p>
        </w:tc>
        <w:tc>
          <w:tcPr>
            <w:tcW w:w="740" w:type="dxa"/>
            <w:tcBorders>
              <w:bottom w:val="single" w:sz="6" w:space="0" w:color="auto"/>
            </w:tcBorders>
            <w:shd w:val="clear" w:color="auto" w:fill="auto"/>
            <w:vAlign w:val="bottom"/>
          </w:tcPr>
          <w:p w:rsidR="00417108" w:rsidRPr="00417108" w:rsidRDefault="00926F6B" w:rsidP="00AA68A5">
            <w:pPr>
              <w:pStyle w:val="TableBodyText"/>
            </w:pPr>
            <w:r>
              <w:t xml:space="preserve"> </w:t>
            </w:r>
            <w:r w:rsidR="00417108" w:rsidRPr="00417108">
              <w:t>97.6</w:t>
            </w:r>
          </w:p>
        </w:tc>
        <w:tc>
          <w:tcPr>
            <w:tcW w:w="740" w:type="dxa"/>
            <w:tcBorders>
              <w:bottom w:val="single" w:sz="6" w:space="0" w:color="auto"/>
            </w:tcBorders>
            <w:shd w:val="clear" w:color="auto" w:fill="auto"/>
            <w:vAlign w:val="bottom"/>
          </w:tcPr>
          <w:p w:rsidR="00417108" w:rsidRPr="00417108" w:rsidRDefault="00926F6B" w:rsidP="00AA68A5">
            <w:pPr>
              <w:pStyle w:val="TableBodyText"/>
            </w:pPr>
            <w:r>
              <w:t xml:space="preserve"> </w:t>
            </w:r>
            <w:r w:rsidR="00417108" w:rsidRPr="00417108">
              <w:t>92.1</w:t>
            </w:r>
          </w:p>
        </w:tc>
        <w:tc>
          <w:tcPr>
            <w:tcW w:w="740" w:type="dxa"/>
            <w:tcBorders>
              <w:bottom w:val="single" w:sz="6" w:space="0" w:color="auto"/>
            </w:tcBorders>
            <w:shd w:val="clear" w:color="auto" w:fill="auto"/>
            <w:vAlign w:val="bottom"/>
          </w:tcPr>
          <w:p w:rsidR="00417108" w:rsidRPr="00417108" w:rsidRDefault="00926F6B" w:rsidP="00AA68A5">
            <w:pPr>
              <w:pStyle w:val="TableBodyText"/>
            </w:pPr>
            <w:r>
              <w:t xml:space="preserve"> </w:t>
            </w:r>
            <w:r w:rsidR="00417108" w:rsidRPr="00417108">
              <w:t>94.2</w:t>
            </w:r>
          </w:p>
        </w:tc>
        <w:tc>
          <w:tcPr>
            <w:tcW w:w="741" w:type="dxa"/>
            <w:tcBorders>
              <w:bottom w:val="single" w:sz="6" w:space="0" w:color="auto"/>
            </w:tcBorders>
            <w:shd w:val="clear" w:color="auto" w:fill="auto"/>
            <w:vAlign w:val="bottom"/>
          </w:tcPr>
          <w:p w:rsidR="00417108" w:rsidRPr="00417108" w:rsidRDefault="00926F6B" w:rsidP="00AA68A5">
            <w:pPr>
              <w:pStyle w:val="TableBodyText"/>
            </w:pPr>
            <w:r>
              <w:t xml:space="preserve"> </w:t>
            </w:r>
            <w:r w:rsidR="00417108" w:rsidRPr="00417108">
              <w:t>95.8</w:t>
            </w:r>
          </w:p>
        </w:tc>
        <w:tc>
          <w:tcPr>
            <w:tcW w:w="740" w:type="dxa"/>
            <w:tcBorders>
              <w:bottom w:val="single" w:sz="6" w:space="0" w:color="auto"/>
            </w:tcBorders>
            <w:shd w:val="clear" w:color="auto" w:fill="auto"/>
            <w:vAlign w:val="bottom"/>
          </w:tcPr>
          <w:p w:rsidR="00417108" w:rsidRPr="00417108" w:rsidRDefault="00926F6B" w:rsidP="00AA68A5">
            <w:pPr>
              <w:pStyle w:val="TableBodyText"/>
            </w:pPr>
            <w:r>
              <w:t xml:space="preserve"> </w:t>
            </w:r>
            <w:r w:rsidR="00417108" w:rsidRPr="00417108">
              <w:t>100.0</w:t>
            </w:r>
          </w:p>
        </w:tc>
        <w:tc>
          <w:tcPr>
            <w:tcW w:w="740" w:type="dxa"/>
            <w:tcBorders>
              <w:bottom w:val="single" w:sz="6" w:space="0" w:color="auto"/>
            </w:tcBorders>
            <w:shd w:val="clear" w:color="auto" w:fill="auto"/>
            <w:vAlign w:val="bottom"/>
          </w:tcPr>
          <w:p w:rsidR="00417108" w:rsidRPr="00417108" w:rsidRDefault="00926F6B" w:rsidP="00AA68A5">
            <w:pPr>
              <w:pStyle w:val="TableBodyText"/>
            </w:pPr>
            <w:r>
              <w:t xml:space="preserve"> </w:t>
            </w:r>
            <w:r w:rsidR="00417108" w:rsidRPr="00417108">
              <w:t>84.6</w:t>
            </w:r>
          </w:p>
        </w:tc>
        <w:tc>
          <w:tcPr>
            <w:tcW w:w="740" w:type="dxa"/>
            <w:tcBorders>
              <w:bottom w:val="single" w:sz="6" w:space="0" w:color="auto"/>
            </w:tcBorders>
            <w:shd w:val="clear" w:color="auto" w:fill="auto"/>
            <w:vAlign w:val="bottom"/>
          </w:tcPr>
          <w:p w:rsidR="00417108" w:rsidRPr="00417108" w:rsidRDefault="00926F6B" w:rsidP="00AA68A5">
            <w:pPr>
              <w:pStyle w:val="TableBodyText"/>
            </w:pPr>
            <w:r>
              <w:t xml:space="preserve"> </w:t>
            </w:r>
            <w:r w:rsidR="00417108" w:rsidRPr="00417108">
              <w:t>46.7</w:t>
            </w:r>
          </w:p>
        </w:tc>
        <w:tc>
          <w:tcPr>
            <w:tcW w:w="741" w:type="dxa"/>
            <w:tcBorders>
              <w:bottom w:val="single" w:sz="6" w:space="0" w:color="auto"/>
            </w:tcBorders>
            <w:shd w:val="clear" w:color="auto" w:fill="auto"/>
            <w:vAlign w:val="bottom"/>
          </w:tcPr>
          <w:p w:rsidR="00417108" w:rsidRPr="00417108" w:rsidRDefault="00926F6B" w:rsidP="00AA68A5">
            <w:pPr>
              <w:pStyle w:val="TableBodyText"/>
              <w:ind w:right="28"/>
            </w:pPr>
            <w:r>
              <w:t xml:space="preserve"> </w:t>
            </w:r>
            <w:r w:rsidR="00417108" w:rsidRPr="00417108">
              <w:t>95.7</w:t>
            </w:r>
          </w:p>
        </w:tc>
      </w:tr>
    </w:tbl>
    <w:p w:rsidR="00A12C8F" w:rsidRPr="00817F3D" w:rsidRDefault="00A12C8F" w:rsidP="00817F3D">
      <w:pPr>
        <w:pStyle w:val="Note"/>
      </w:pPr>
      <w:r w:rsidRPr="00817F3D">
        <w:rPr>
          <w:rStyle w:val="NoteLabel"/>
        </w:rPr>
        <w:t>a</w:t>
      </w:r>
      <w:r w:rsidRPr="00817F3D">
        <w:t> </w:t>
      </w:r>
      <w:r w:rsidR="00A7168A" w:rsidRPr="00817F3D">
        <w:t xml:space="preserve">Data </w:t>
      </w:r>
      <w:r w:rsidR="009E7EB1" w:rsidRPr="00817F3D">
        <w:t xml:space="preserve">as </w:t>
      </w:r>
      <w:r w:rsidR="00A7168A" w:rsidRPr="00817F3D">
        <w:t>at 30</w:t>
      </w:r>
      <w:r w:rsidR="00AA68A5">
        <w:t> </w:t>
      </w:r>
      <w:r w:rsidR="00714EDC" w:rsidRPr="00817F3D">
        <w:t>June 201</w:t>
      </w:r>
      <w:r w:rsidR="00216056" w:rsidRPr="00817F3D">
        <w:t>3</w:t>
      </w:r>
      <w:r w:rsidR="00A7168A" w:rsidRPr="00817F3D">
        <w:t xml:space="preserve"> relate only to re</w:t>
      </w:r>
      <w:r w:rsidR="00AA68A5">
        <w:noBreakHyphen/>
      </w:r>
      <w:r w:rsidR="00A7168A" w:rsidRPr="00817F3D">
        <w:t>accredit</w:t>
      </w:r>
      <w:r w:rsidR="00D33A88" w:rsidRPr="00817F3D">
        <w:t>ed services</w:t>
      </w:r>
      <w:r w:rsidR="00A7168A" w:rsidRPr="00817F3D">
        <w:t xml:space="preserve"> and do not include accreditation periods for </w:t>
      </w:r>
      <w:r w:rsidR="00E604F1" w:rsidRPr="00817F3D">
        <w:br/>
      </w:r>
      <w:r w:rsidR="007E020E" w:rsidRPr="00817F3D">
        <w:t>2</w:t>
      </w:r>
      <w:r w:rsidR="00C54B58" w:rsidRPr="00817F3D">
        <w:t>7</w:t>
      </w:r>
      <w:r w:rsidR="00D47705" w:rsidRPr="00817F3D">
        <w:t xml:space="preserve"> </w:t>
      </w:r>
      <w:r w:rsidR="00A7168A" w:rsidRPr="00817F3D">
        <w:t>commencing services</w:t>
      </w:r>
      <w:r w:rsidR="00070DEE" w:rsidRPr="00817F3D">
        <w:t>.</w:t>
      </w:r>
      <w:r w:rsidR="00A7168A" w:rsidRPr="00817F3D">
        <w:t xml:space="preserve"> </w:t>
      </w:r>
      <w:r w:rsidRPr="00817F3D">
        <w:rPr>
          <w:rStyle w:val="NoteLabel"/>
        </w:rPr>
        <w:t>b</w:t>
      </w:r>
      <w:r w:rsidRPr="00817F3D">
        <w:t> </w:t>
      </w:r>
      <w:r w:rsidR="00B40F28" w:rsidRPr="00817F3D">
        <w:t xml:space="preserve">Note that </w:t>
      </w:r>
      <w:r w:rsidR="00AA68A5">
        <w:t>‘</w:t>
      </w:r>
      <w:r w:rsidR="00B40F28" w:rsidRPr="00817F3D">
        <w:t>accreditation period</w:t>
      </w:r>
      <w:r w:rsidR="00AA68A5">
        <w:t>’</w:t>
      </w:r>
      <w:r w:rsidR="00B40F28" w:rsidRPr="00817F3D">
        <w:t xml:space="preserve"> shows the decision in effect </w:t>
      </w:r>
      <w:r w:rsidR="009B3797" w:rsidRPr="00817F3D">
        <w:t xml:space="preserve">as </w:t>
      </w:r>
      <w:r w:rsidR="00B40F28" w:rsidRPr="00817F3D">
        <w:t>at 30</w:t>
      </w:r>
      <w:r w:rsidR="007E21EC" w:rsidRPr="00817F3D">
        <w:t> </w:t>
      </w:r>
      <w:r w:rsidR="00714EDC" w:rsidRPr="00817F3D">
        <w:t>June 201</w:t>
      </w:r>
      <w:r w:rsidR="00417108" w:rsidRPr="00817F3D">
        <w:t>3</w:t>
      </w:r>
      <w:r w:rsidR="0033113F" w:rsidRPr="00817F3D">
        <w:t>.</w:t>
      </w:r>
    </w:p>
    <w:p w:rsidR="00A12C8F" w:rsidRPr="00BA39D7" w:rsidRDefault="00A12C8F" w:rsidP="000447A6">
      <w:pPr>
        <w:pStyle w:val="Source"/>
      </w:pPr>
      <w:r>
        <w:rPr>
          <w:i/>
        </w:rPr>
        <w:t>Source</w:t>
      </w:r>
      <w:r>
        <w:t xml:space="preserve">: </w:t>
      </w:r>
      <w:proofErr w:type="spellStart"/>
      <w:r>
        <w:t>ACSAA</w:t>
      </w:r>
      <w:proofErr w:type="spellEnd"/>
      <w:r>
        <w:t xml:space="preserve"> (unpublished); </w:t>
      </w:r>
      <w:r w:rsidRPr="000447A6">
        <w:t>table</w:t>
      </w:r>
      <w:r w:rsidR="00E41F05" w:rsidRPr="000447A6">
        <w:t>s</w:t>
      </w:r>
      <w:r w:rsidR="00AA68A5">
        <w:t> </w:t>
      </w:r>
      <w:proofErr w:type="spellStart"/>
      <w:r w:rsidR="00E41F05" w:rsidRPr="000447A6">
        <w:t>13A.</w:t>
      </w:r>
      <w:r w:rsidR="00417108">
        <w:t>74</w:t>
      </w:r>
      <w:proofErr w:type="spellEnd"/>
      <w:r w:rsidR="00E41F05" w:rsidRPr="000447A6">
        <w:t xml:space="preserve"> and</w:t>
      </w:r>
      <w:r w:rsidRPr="000447A6">
        <w:t xml:space="preserve"> </w:t>
      </w:r>
      <w:proofErr w:type="spellStart"/>
      <w:r w:rsidRPr="000447A6">
        <w:t>13</w:t>
      </w:r>
      <w:r w:rsidR="006B1DC1">
        <w:t>A.</w:t>
      </w:r>
      <w:r w:rsidR="00417108">
        <w:t>78</w:t>
      </w:r>
      <w:proofErr w:type="spellEnd"/>
      <w:r>
        <w:t>.</w:t>
      </w:r>
    </w:p>
    <w:p w:rsidR="00A12C8F" w:rsidRDefault="00A12C8F" w:rsidP="00E02123">
      <w:pPr>
        <w:pStyle w:val="BodyText"/>
      </w:pPr>
      <w:r>
        <w:t>Nationally, as at 30</w:t>
      </w:r>
      <w:r w:rsidR="00AA68A5">
        <w:t> </w:t>
      </w:r>
      <w:r w:rsidR="00714EDC">
        <w:t>June 201</w:t>
      </w:r>
      <w:r w:rsidR="00C119BB">
        <w:t>3</w:t>
      </w:r>
      <w:r>
        <w:t xml:space="preserve">, </w:t>
      </w:r>
      <w:r w:rsidR="00C119BB">
        <w:t>100.0</w:t>
      </w:r>
      <w:r w:rsidR="0081675E">
        <w:t xml:space="preserve"> </w:t>
      </w:r>
      <w:r>
        <w:t xml:space="preserve">per cent of </w:t>
      </w:r>
      <w:r w:rsidR="00386417">
        <w:t xml:space="preserve">residential </w:t>
      </w:r>
      <w:r>
        <w:t xml:space="preserve">aged care services were compliant </w:t>
      </w:r>
      <w:r w:rsidR="00386417">
        <w:t>with building certification, fire safety, and privacy and space requirements (</w:t>
      </w:r>
      <w:r>
        <w:t>table 13.</w:t>
      </w:r>
      <w:r w:rsidR="00D715DF">
        <w:t>8</w:t>
      </w:r>
      <w:r w:rsidR="00386417">
        <w:t>)</w:t>
      </w:r>
      <w:r>
        <w:t xml:space="preserve">. </w:t>
      </w:r>
    </w:p>
    <w:p w:rsidR="00A12C8F" w:rsidRPr="00805CB5" w:rsidRDefault="00A12C8F" w:rsidP="002501A2">
      <w:pPr>
        <w:pStyle w:val="TableTitle"/>
        <w:rPr>
          <w:sz w:val="24"/>
        </w:rPr>
      </w:pPr>
      <w:r w:rsidRPr="00805CB5">
        <w:rPr>
          <w:b w:val="0"/>
          <w:sz w:val="24"/>
        </w:rPr>
        <w:t xml:space="preserve">Table </w:t>
      </w:r>
      <w:r w:rsidR="001E2D3E">
        <w:rPr>
          <w:b w:val="0"/>
          <w:sz w:val="24"/>
        </w:rPr>
        <w:t>13.</w:t>
      </w:r>
      <w:r w:rsidR="00E4728C">
        <w:rPr>
          <w:b w:val="0"/>
          <w:noProof/>
          <w:sz w:val="24"/>
        </w:rPr>
        <w:t>8</w:t>
      </w:r>
      <w:r w:rsidRPr="00805CB5">
        <w:rPr>
          <w:sz w:val="24"/>
        </w:rPr>
        <w:tab/>
        <w:t xml:space="preserve">Residential aged care services compliant </w:t>
      </w:r>
      <w:bookmarkStart w:id="108" w:name="OLE_LINK94"/>
      <w:bookmarkStart w:id="109" w:name="OLE_LINK95"/>
      <w:r w:rsidRPr="00805CB5">
        <w:rPr>
          <w:sz w:val="24"/>
        </w:rPr>
        <w:t>with building certification, fire safety and privacy and space requirements</w:t>
      </w:r>
      <w:bookmarkEnd w:id="108"/>
      <w:bookmarkEnd w:id="109"/>
      <w:r w:rsidR="00C561FD" w:rsidRPr="00805CB5">
        <w:rPr>
          <w:sz w:val="24"/>
        </w:rPr>
        <w:t>,</w:t>
      </w:r>
      <w:r w:rsidRPr="00805CB5">
        <w:rPr>
          <w:sz w:val="24"/>
        </w:rPr>
        <w:t xml:space="preserve"> at 30</w:t>
      </w:r>
      <w:r w:rsidR="00AA68A5">
        <w:rPr>
          <w:sz w:val="24"/>
        </w:rPr>
        <w:t> </w:t>
      </w:r>
      <w:r w:rsidR="00714EDC" w:rsidRPr="00805CB5">
        <w:rPr>
          <w:sz w:val="24"/>
        </w:rPr>
        <w:t>June 201</w:t>
      </w:r>
      <w:r w:rsidR="00C119BB">
        <w:rPr>
          <w:sz w:val="24"/>
        </w:rPr>
        <w:t>3</w:t>
      </w:r>
      <w:r w:rsidR="00C119BB" w:rsidRPr="00F13450">
        <w:rPr>
          <w:rStyle w:val="NoteLabel"/>
          <w:b/>
        </w:rPr>
        <w:t>a</w:t>
      </w:r>
    </w:p>
    <w:tbl>
      <w:tblPr>
        <w:tblW w:w="0" w:type="auto"/>
        <w:jc w:val="center"/>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1701"/>
        <w:gridCol w:w="567"/>
        <w:gridCol w:w="695"/>
        <w:gridCol w:w="709"/>
        <w:gridCol w:w="709"/>
        <w:gridCol w:w="14"/>
        <w:gridCol w:w="694"/>
        <w:gridCol w:w="709"/>
        <w:gridCol w:w="709"/>
        <w:gridCol w:w="14"/>
        <w:gridCol w:w="695"/>
        <w:gridCol w:w="14"/>
        <w:gridCol w:w="836"/>
        <w:gridCol w:w="723"/>
      </w:tblGrid>
      <w:tr w:rsidR="00A12C8F" w:rsidTr="0012432C">
        <w:trPr>
          <w:jc w:val="center"/>
        </w:trPr>
        <w:tc>
          <w:tcPr>
            <w:tcW w:w="1701" w:type="dxa"/>
            <w:tcBorders>
              <w:top w:val="single" w:sz="4" w:space="0" w:color="auto"/>
              <w:bottom w:val="single" w:sz="4" w:space="0" w:color="auto"/>
            </w:tcBorders>
            <w:shd w:val="clear" w:color="auto" w:fill="auto"/>
          </w:tcPr>
          <w:p w:rsidR="00A12C8F" w:rsidRDefault="00A12C8F" w:rsidP="002501A2">
            <w:pPr>
              <w:pStyle w:val="TableColumnHeading"/>
              <w:jc w:val="left"/>
            </w:pPr>
          </w:p>
        </w:tc>
        <w:tc>
          <w:tcPr>
            <w:tcW w:w="567" w:type="dxa"/>
            <w:tcBorders>
              <w:top w:val="single" w:sz="4" w:space="0" w:color="auto"/>
              <w:bottom w:val="single" w:sz="4" w:space="0" w:color="auto"/>
            </w:tcBorders>
            <w:shd w:val="clear" w:color="auto" w:fill="auto"/>
          </w:tcPr>
          <w:p w:rsidR="00A12C8F" w:rsidRDefault="00A12C8F" w:rsidP="00AA68A5">
            <w:pPr>
              <w:pStyle w:val="TableColumnHeading"/>
            </w:pPr>
            <w:r>
              <w:t>Unit</w:t>
            </w:r>
          </w:p>
        </w:tc>
        <w:tc>
          <w:tcPr>
            <w:tcW w:w="695" w:type="dxa"/>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NSW</w:t>
            </w:r>
          </w:p>
        </w:tc>
        <w:tc>
          <w:tcPr>
            <w:tcW w:w="709" w:type="dxa"/>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Vic</w:t>
            </w:r>
          </w:p>
        </w:tc>
        <w:tc>
          <w:tcPr>
            <w:tcW w:w="723" w:type="dxa"/>
            <w:gridSpan w:val="2"/>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Qld</w:t>
            </w:r>
          </w:p>
        </w:tc>
        <w:tc>
          <w:tcPr>
            <w:tcW w:w="694" w:type="dxa"/>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WA</w:t>
            </w:r>
          </w:p>
        </w:tc>
        <w:tc>
          <w:tcPr>
            <w:tcW w:w="709" w:type="dxa"/>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SA</w:t>
            </w:r>
          </w:p>
        </w:tc>
        <w:tc>
          <w:tcPr>
            <w:tcW w:w="723" w:type="dxa"/>
            <w:gridSpan w:val="2"/>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Tas</w:t>
            </w:r>
          </w:p>
        </w:tc>
        <w:tc>
          <w:tcPr>
            <w:tcW w:w="709" w:type="dxa"/>
            <w:gridSpan w:val="2"/>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ACT</w:t>
            </w:r>
          </w:p>
        </w:tc>
        <w:tc>
          <w:tcPr>
            <w:tcW w:w="836" w:type="dxa"/>
            <w:tcBorders>
              <w:top w:val="single" w:sz="4" w:space="0" w:color="auto"/>
              <w:bottom w:val="single" w:sz="4" w:space="0" w:color="auto"/>
            </w:tcBorders>
            <w:shd w:val="clear" w:color="auto" w:fill="auto"/>
          </w:tcPr>
          <w:p w:rsidR="00A12C8F" w:rsidRPr="00794159" w:rsidRDefault="00A12C8F" w:rsidP="00AA68A5">
            <w:pPr>
              <w:pStyle w:val="TableColumnHeading"/>
            </w:pPr>
            <w:r w:rsidRPr="00794159">
              <w:t>NT</w:t>
            </w:r>
          </w:p>
        </w:tc>
        <w:tc>
          <w:tcPr>
            <w:tcW w:w="723" w:type="dxa"/>
            <w:tcBorders>
              <w:top w:val="single" w:sz="4" w:space="0" w:color="auto"/>
              <w:bottom w:val="single" w:sz="4" w:space="0" w:color="auto"/>
            </w:tcBorders>
            <w:shd w:val="clear" w:color="auto" w:fill="auto"/>
          </w:tcPr>
          <w:p w:rsidR="00A12C8F" w:rsidRDefault="00A12C8F" w:rsidP="00AA68A5">
            <w:pPr>
              <w:pStyle w:val="TableColumnHeading"/>
              <w:ind w:right="28"/>
            </w:pPr>
            <w:r>
              <w:t>Aust</w:t>
            </w:r>
          </w:p>
        </w:tc>
      </w:tr>
      <w:tr w:rsidR="00012CA1" w:rsidTr="0012432C">
        <w:trPr>
          <w:jc w:val="center"/>
        </w:trPr>
        <w:tc>
          <w:tcPr>
            <w:tcW w:w="1701" w:type="dxa"/>
            <w:tcBorders>
              <w:top w:val="single" w:sz="4" w:space="0" w:color="auto"/>
            </w:tcBorders>
            <w:vAlign w:val="center"/>
          </w:tcPr>
          <w:p w:rsidR="00012CA1" w:rsidRDefault="00012CA1" w:rsidP="002501A2">
            <w:pPr>
              <w:pStyle w:val="TableBodyText"/>
              <w:jc w:val="left"/>
            </w:pPr>
            <w:r>
              <w:t>Total residential services</w:t>
            </w:r>
          </w:p>
        </w:tc>
        <w:tc>
          <w:tcPr>
            <w:tcW w:w="567" w:type="dxa"/>
            <w:tcBorders>
              <w:top w:val="single" w:sz="4" w:space="0" w:color="auto"/>
            </w:tcBorders>
            <w:vAlign w:val="center"/>
          </w:tcPr>
          <w:p w:rsidR="00012CA1" w:rsidRPr="00F5241B" w:rsidRDefault="00012CA1" w:rsidP="00AA68A5">
            <w:pPr>
              <w:pStyle w:val="TableBodyText"/>
            </w:pPr>
            <w:r w:rsidRPr="00F5241B">
              <w:t>no</w:t>
            </w:r>
          </w:p>
        </w:tc>
        <w:tc>
          <w:tcPr>
            <w:tcW w:w="695" w:type="dxa"/>
            <w:tcBorders>
              <w:top w:val="single" w:sz="4" w:space="0" w:color="auto"/>
            </w:tcBorders>
            <w:vAlign w:val="center"/>
          </w:tcPr>
          <w:p w:rsidR="00012CA1" w:rsidRPr="00012CA1" w:rsidRDefault="00926F6B" w:rsidP="00AA68A5">
            <w:pPr>
              <w:pStyle w:val="TableBodyText"/>
            </w:pPr>
            <w:bookmarkStart w:id="110" w:name="RANGE!G10"/>
            <w:r>
              <w:t xml:space="preserve"> </w:t>
            </w:r>
            <w:r w:rsidR="00012CA1" w:rsidRPr="00012CA1">
              <w:t>884</w:t>
            </w:r>
            <w:bookmarkEnd w:id="110"/>
          </w:p>
        </w:tc>
        <w:tc>
          <w:tcPr>
            <w:tcW w:w="709" w:type="dxa"/>
            <w:tcBorders>
              <w:top w:val="single" w:sz="4" w:space="0" w:color="auto"/>
            </w:tcBorders>
            <w:vAlign w:val="center"/>
          </w:tcPr>
          <w:p w:rsidR="00012CA1" w:rsidRPr="00012CA1" w:rsidRDefault="00926F6B" w:rsidP="00AA68A5">
            <w:pPr>
              <w:pStyle w:val="TableBodyText"/>
            </w:pPr>
            <w:bookmarkStart w:id="111" w:name="RANGE!H10"/>
            <w:r>
              <w:t xml:space="preserve"> </w:t>
            </w:r>
            <w:r w:rsidR="00012CA1" w:rsidRPr="00012CA1">
              <w:t>756</w:t>
            </w:r>
            <w:bookmarkEnd w:id="111"/>
          </w:p>
        </w:tc>
        <w:tc>
          <w:tcPr>
            <w:tcW w:w="709" w:type="dxa"/>
            <w:tcBorders>
              <w:top w:val="single" w:sz="4" w:space="0" w:color="auto"/>
            </w:tcBorders>
            <w:vAlign w:val="center"/>
          </w:tcPr>
          <w:p w:rsidR="00012CA1" w:rsidRPr="00012CA1" w:rsidRDefault="00926F6B" w:rsidP="00AA68A5">
            <w:pPr>
              <w:pStyle w:val="TableBodyText"/>
            </w:pPr>
            <w:bookmarkStart w:id="112" w:name="RANGE!I10"/>
            <w:r>
              <w:t xml:space="preserve"> </w:t>
            </w:r>
            <w:r w:rsidR="00012CA1" w:rsidRPr="00012CA1">
              <w:t>454</w:t>
            </w:r>
            <w:bookmarkEnd w:id="112"/>
          </w:p>
        </w:tc>
        <w:tc>
          <w:tcPr>
            <w:tcW w:w="708" w:type="dxa"/>
            <w:gridSpan w:val="2"/>
            <w:tcBorders>
              <w:top w:val="single" w:sz="4" w:space="0" w:color="auto"/>
            </w:tcBorders>
            <w:vAlign w:val="center"/>
          </w:tcPr>
          <w:p w:rsidR="00012CA1" w:rsidRPr="00012CA1" w:rsidRDefault="00926F6B" w:rsidP="00AA68A5">
            <w:pPr>
              <w:pStyle w:val="TableBodyText"/>
            </w:pPr>
            <w:bookmarkStart w:id="113" w:name="RANGE!J10"/>
            <w:r>
              <w:t xml:space="preserve"> </w:t>
            </w:r>
            <w:r w:rsidR="00012CA1" w:rsidRPr="00012CA1">
              <w:t>242</w:t>
            </w:r>
            <w:bookmarkEnd w:id="113"/>
          </w:p>
        </w:tc>
        <w:tc>
          <w:tcPr>
            <w:tcW w:w="709" w:type="dxa"/>
            <w:tcBorders>
              <w:top w:val="single" w:sz="4" w:space="0" w:color="auto"/>
            </w:tcBorders>
            <w:vAlign w:val="center"/>
          </w:tcPr>
          <w:p w:rsidR="00012CA1" w:rsidRPr="00012CA1" w:rsidRDefault="00926F6B" w:rsidP="00AA68A5">
            <w:pPr>
              <w:pStyle w:val="TableBodyText"/>
            </w:pPr>
            <w:bookmarkStart w:id="114" w:name="RANGE!K10"/>
            <w:r>
              <w:t xml:space="preserve"> </w:t>
            </w:r>
            <w:r w:rsidR="00012CA1" w:rsidRPr="00012CA1">
              <w:t>264</w:t>
            </w:r>
            <w:bookmarkEnd w:id="114"/>
          </w:p>
        </w:tc>
        <w:tc>
          <w:tcPr>
            <w:tcW w:w="709" w:type="dxa"/>
            <w:tcBorders>
              <w:top w:val="single" w:sz="4" w:space="0" w:color="auto"/>
            </w:tcBorders>
            <w:vAlign w:val="center"/>
          </w:tcPr>
          <w:p w:rsidR="00012CA1" w:rsidRPr="00012CA1" w:rsidRDefault="00926F6B" w:rsidP="00AA68A5">
            <w:pPr>
              <w:pStyle w:val="TableBodyText"/>
            </w:pPr>
            <w:bookmarkStart w:id="115" w:name="RANGE!L10"/>
            <w:r>
              <w:t xml:space="preserve"> </w:t>
            </w:r>
            <w:r w:rsidR="00012CA1" w:rsidRPr="00012CA1">
              <w:t>78</w:t>
            </w:r>
            <w:bookmarkEnd w:id="115"/>
          </w:p>
        </w:tc>
        <w:tc>
          <w:tcPr>
            <w:tcW w:w="709" w:type="dxa"/>
            <w:gridSpan w:val="2"/>
            <w:tcBorders>
              <w:top w:val="single" w:sz="4" w:space="0" w:color="auto"/>
            </w:tcBorders>
            <w:vAlign w:val="center"/>
          </w:tcPr>
          <w:p w:rsidR="00012CA1" w:rsidRPr="00012CA1" w:rsidRDefault="00926F6B" w:rsidP="00AA68A5">
            <w:pPr>
              <w:pStyle w:val="TableBodyText"/>
            </w:pPr>
            <w:bookmarkStart w:id="116" w:name="RANGE!M10"/>
            <w:r>
              <w:t xml:space="preserve"> </w:t>
            </w:r>
            <w:r w:rsidR="00012CA1" w:rsidRPr="00012CA1">
              <w:t>25</w:t>
            </w:r>
            <w:bookmarkEnd w:id="116"/>
          </w:p>
        </w:tc>
        <w:tc>
          <w:tcPr>
            <w:tcW w:w="850" w:type="dxa"/>
            <w:gridSpan w:val="2"/>
            <w:tcBorders>
              <w:top w:val="single" w:sz="4" w:space="0" w:color="auto"/>
            </w:tcBorders>
            <w:vAlign w:val="center"/>
          </w:tcPr>
          <w:p w:rsidR="00012CA1" w:rsidRPr="00012CA1" w:rsidRDefault="00926F6B" w:rsidP="00AA68A5">
            <w:pPr>
              <w:pStyle w:val="TableBodyText"/>
            </w:pPr>
            <w:bookmarkStart w:id="117" w:name="RANGE!N10"/>
            <w:r>
              <w:t xml:space="preserve"> </w:t>
            </w:r>
            <w:r w:rsidR="00012CA1" w:rsidRPr="00012CA1">
              <w:t>15</w:t>
            </w:r>
            <w:bookmarkEnd w:id="117"/>
          </w:p>
        </w:tc>
        <w:tc>
          <w:tcPr>
            <w:tcW w:w="723" w:type="dxa"/>
            <w:tcBorders>
              <w:top w:val="single" w:sz="4" w:space="0" w:color="auto"/>
            </w:tcBorders>
            <w:vAlign w:val="center"/>
          </w:tcPr>
          <w:p w:rsidR="00012CA1" w:rsidRPr="00012CA1" w:rsidRDefault="00012CA1" w:rsidP="00AA68A5">
            <w:pPr>
              <w:pStyle w:val="TableBodyText"/>
              <w:ind w:right="28"/>
            </w:pPr>
            <w:bookmarkStart w:id="118" w:name="RANGE!O10"/>
            <w:r w:rsidRPr="00012CA1">
              <w:t xml:space="preserve"> 2 718</w:t>
            </w:r>
            <w:bookmarkEnd w:id="118"/>
          </w:p>
        </w:tc>
      </w:tr>
      <w:tr w:rsidR="00012CA1" w:rsidTr="0012432C">
        <w:trPr>
          <w:jc w:val="center"/>
        </w:trPr>
        <w:tc>
          <w:tcPr>
            <w:tcW w:w="1701" w:type="dxa"/>
            <w:vAlign w:val="center"/>
          </w:tcPr>
          <w:p w:rsidR="00012CA1" w:rsidRPr="006B2192" w:rsidRDefault="00012CA1" w:rsidP="002501A2">
            <w:pPr>
              <w:pStyle w:val="TableBodyText"/>
              <w:jc w:val="left"/>
            </w:pPr>
            <w:r>
              <w:t>Total compliant services</w:t>
            </w:r>
          </w:p>
        </w:tc>
        <w:tc>
          <w:tcPr>
            <w:tcW w:w="567" w:type="dxa"/>
            <w:vAlign w:val="center"/>
          </w:tcPr>
          <w:p w:rsidR="00012CA1" w:rsidRPr="00F5241B" w:rsidRDefault="00012CA1" w:rsidP="00AA68A5">
            <w:pPr>
              <w:pStyle w:val="TableBodyText"/>
            </w:pPr>
            <w:r w:rsidRPr="00F5241B">
              <w:t>no</w:t>
            </w:r>
          </w:p>
        </w:tc>
        <w:tc>
          <w:tcPr>
            <w:tcW w:w="695" w:type="dxa"/>
            <w:vAlign w:val="center"/>
          </w:tcPr>
          <w:p w:rsidR="00012CA1" w:rsidRPr="00012CA1" w:rsidRDefault="00926F6B" w:rsidP="00AA68A5">
            <w:pPr>
              <w:pStyle w:val="TableBodyText"/>
            </w:pPr>
            <w:bookmarkStart w:id="119" w:name="RANGE!G11"/>
            <w:r>
              <w:t xml:space="preserve"> </w:t>
            </w:r>
            <w:r w:rsidR="00012CA1" w:rsidRPr="00012CA1">
              <w:t>884</w:t>
            </w:r>
            <w:bookmarkEnd w:id="119"/>
          </w:p>
        </w:tc>
        <w:tc>
          <w:tcPr>
            <w:tcW w:w="709" w:type="dxa"/>
            <w:tcBorders>
              <w:bottom w:val="nil"/>
            </w:tcBorders>
            <w:vAlign w:val="center"/>
          </w:tcPr>
          <w:p w:rsidR="00012CA1" w:rsidRPr="00012CA1" w:rsidRDefault="00926F6B" w:rsidP="00AA68A5">
            <w:pPr>
              <w:pStyle w:val="TableBodyText"/>
            </w:pPr>
            <w:bookmarkStart w:id="120" w:name="RANGE!H11"/>
            <w:r>
              <w:t xml:space="preserve"> </w:t>
            </w:r>
            <w:r w:rsidR="00012CA1" w:rsidRPr="00012CA1">
              <w:t>756</w:t>
            </w:r>
            <w:bookmarkEnd w:id="120"/>
          </w:p>
        </w:tc>
        <w:tc>
          <w:tcPr>
            <w:tcW w:w="723" w:type="dxa"/>
            <w:gridSpan w:val="2"/>
            <w:vAlign w:val="center"/>
          </w:tcPr>
          <w:p w:rsidR="00012CA1" w:rsidRPr="00012CA1" w:rsidRDefault="00926F6B" w:rsidP="00AA68A5">
            <w:pPr>
              <w:pStyle w:val="TableBodyText"/>
            </w:pPr>
            <w:bookmarkStart w:id="121" w:name="RANGE!I11"/>
            <w:r>
              <w:t xml:space="preserve"> </w:t>
            </w:r>
            <w:r w:rsidR="00012CA1" w:rsidRPr="00012CA1">
              <w:t>453</w:t>
            </w:r>
            <w:bookmarkEnd w:id="121"/>
          </w:p>
        </w:tc>
        <w:tc>
          <w:tcPr>
            <w:tcW w:w="694" w:type="dxa"/>
            <w:tcBorders>
              <w:bottom w:val="nil"/>
            </w:tcBorders>
            <w:vAlign w:val="center"/>
          </w:tcPr>
          <w:p w:rsidR="00012CA1" w:rsidRPr="00012CA1" w:rsidRDefault="00926F6B" w:rsidP="00AA68A5">
            <w:pPr>
              <w:pStyle w:val="TableBodyText"/>
            </w:pPr>
            <w:bookmarkStart w:id="122" w:name="RANGE!J11"/>
            <w:r>
              <w:t xml:space="preserve"> </w:t>
            </w:r>
            <w:r w:rsidR="00012CA1" w:rsidRPr="00012CA1">
              <w:t>242</w:t>
            </w:r>
            <w:bookmarkEnd w:id="122"/>
          </w:p>
        </w:tc>
        <w:tc>
          <w:tcPr>
            <w:tcW w:w="709" w:type="dxa"/>
            <w:tcBorders>
              <w:bottom w:val="nil"/>
            </w:tcBorders>
            <w:vAlign w:val="center"/>
          </w:tcPr>
          <w:p w:rsidR="00012CA1" w:rsidRPr="00012CA1" w:rsidRDefault="00926F6B" w:rsidP="00AA68A5">
            <w:pPr>
              <w:pStyle w:val="TableBodyText"/>
            </w:pPr>
            <w:bookmarkStart w:id="123" w:name="RANGE!K11"/>
            <w:r>
              <w:t xml:space="preserve"> </w:t>
            </w:r>
            <w:r w:rsidR="00012CA1" w:rsidRPr="00012CA1">
              <w:t>264</w:t>
            </w:r>
            <w:bookmarkEnd w:id="123"/>
          </w:p>
        </w:tc>
        <w:tc>
          <w:tcPr>
            <w:tcW w:w="723" w:type="dxa"/>
            <w:gridSpan w:val="2"/>
            <w:tcBorders>
              <w:bottom w:val="nil"/>
            </w:tcBorders>
            <w:vAlign w:val="center"/>
          </w:tcPr>
          <w:p w:rsidR="00012CA1" w:rsidRPr="00012CA1" w:rsidRDefault="00926F6B" w:rsidP="00AA68A5">
            <w:pPr>
              <w:pStyle w:val="TableBodyText"/>
            </w:pPr>
            <w:bookmarkStart w:id="124" w:name="RANGE!L11"/>
            <w:r>
              <w:t xml:space="preserve"> </w:t>
            </w:r>
            <w:r w:rsidR="00012CA1" w:rsidRPr="00012CA1">
              <w:t>78</w:t>
            </w:r>
            <w:bookmarkEnd w:id="124"/>
          </w:p>
        </w:tc>
        <w:tc>
          <w:tcPr>
            <w:tcW w:w="709" w:type="dxa"/>
            <w:gridSpan w:val="2"/>
            <w:vAlign w:val="center"/>
          </w:tcPr>
          <w:p w:rsidR="00012CA1" w:rsidRPr="00012CA1" w:rsidRDefault="00926F6B" w:rsidP="00AA68A5">
            <w:pPr>
              <w:pStyle w:val="TableBodyText"/>
            </w:pPr>
            <w:bookmarkStart w:id="125" w:name="RANGE!M11"/>
            <w:r>
              <w:t xml:space="preserve"> </w:t>
            </w:r>
            <w:r w:rsidR="00012CA1" w:rsidRPr="00012CA1">
              <w:t>25</w:t>
            </w:r>
            <w:bookmarkEnd w:id="125"/>
          </w:p>
        </w:tc>
        <w:tc>
          <w:tcPr>
            <w:tcW w:w="836" w:type="dxa"/>
            <w:vAlign w:val="center"/>
          </w:tcPr>
          <w:p w:rsidR="00012CA1" w:rsidRPr="00012CA1" w:rsidRDefault="00926F6B" w:rsidP="00AA68A5">
            <w:pPr>
              <w:pStyle w:val="TableBodyText"/>
            </w:pPr>
            <w:bookmarkStart w:id="126" w:name="RANGE!N11"/>
            <w:r>
              <w:t xml:space="preserve"> </w:t>
            </w:r>
            <w:r w:rsidR="00012CA1" w:rsidRPr="00012CA1">
              <w:t>15</w:t>
            </w:r>
            <w:bookmarkEnd w:id="126"/>
          </w:p>
        </w:tc>
        <w:tc>
          <w:tcPr>
            <w:tcW w:w="723" w:type="dxa"/>
            <w:tcBorders>
              <w:bottom w:val="nil"/>
            </w:tcBorders>
            <w:vAlign w:val="center"/>
          </w:tcPr>
          <w:p w:rsidR="00012CA1" w:rsidRPr="00012CA1" w:rsidRDefault="00012CA1" w:rsidP="00AA68A5">
            <w:pPr>
              <w:pStyle w:val="TableBodyText"/>
              <w:ind w:right="28"/>
            </w:pPr>
            <w:bookmarkStart w:id="127" w:name="RANGE!O11"/>
            <w:r w:rsidRPr="00012CA1">
              <w:t xml:space="preserve"> 2 717</w:t>
            </w:r>
            <w:bookmarkEnd w:id="127"/>
          </w:p>
        </w:tc>
      </w:tr>
      <w:tr w:rsidR="00012CA1" w:rsidTr="0012432C">
        <w:trPr>
          <w:jc w:val="center"/>
        </w:trPr>
        <w:tc>
          <w:tcPr>
            <w:tcW w:w="1701" w:type="dxa"/>
            <w:vAlign w:val="center"/>
          </w:tcPr>
          <w:p w:rsidR="00012CA1" w:rsidRPr="005278AE" w:rsidRDefault="00012CA1" w:rsidP="002501A2">
            <w:pPr>
              <w:pStyle w:val="TableBodyText"/>
              <w:jc w:val="left"/>
            </w:pPr>
            <w:r w:rsidRPr="005278AE">
              <w:t>Proportion of compliant services</w:t>
            </w:r>
          </w:p>
        </w:tc>
        <w:tc>
          <w:tcPr>
            <w:tcW w:w="567" w:type="dxa"/>
            <w:vAlign w:val="center"/>
          </w:tcPr>
          <w:p w:rsidR="00012CA1" w:rsidRPr="00F5241B" w:rsidRDefault="00012CA1" w:rsidP="00AA68A5">
            <w:pPr>
              <w:pStyle w:val="TableBodyText"/>
            </w:pPr>
            <w:r w:rsidRPr="00F5241B">
              <w:t>%</w:t>
            </w:r>
          </w:p>
        </w:tc>
        <w:tc>
          <w:tcPr>
            <w:tcW w:w="695" w:type="dxa"/>
            <w:vAlign w:val="center"/>
          </w:tcPr>
          <w:p w:rsidR="00012CA1" w:rsidRPr="00012CA1" w:rsidRDefault="00012CA1" w:rsidP="00AA68A5">
            <w:pPr>
              <w:pStyle w:val="TableBodyText"/>
            </w:pPr>
            <w:bookmarkStart w:id="128" w:name="RANGE!G12"/>
            <w:r w:rsidRPr="00012CA1">
              <w:t>100.0</w:t>
            </w:r>
            <w:bookmarkEnd w:id="128"/>
          </w:p>
        </w:tc>
        <w:tc>
          <w:tcPr>
            <w:tcW w:w="709" w:type="dxa"/>
            <w:tcBorders>
              <w:top w:val="nil"/>
              <w:bottom w:val="single" w:sz="4" w:space="0" w:color="auto"/>
              <w:right w:val="nil"/>
            </w:tcBorders>
            <w:vAlign w:val="center"/>
          </w:tcPr>
          <w:p w:rsidR="00012CA1" w:rsidRPr="00012CA1" w:rsidRDefault="00012CA1" w:rsidP="00AA68A5">
            <w:pPr>
              <w:pStyle w:val="TableBodyText"/>
            </w:pPr>
            <w:bookmarkStart w:id="129" w:name="RANGE!H12"/>
            <w:r w:rsidRPr="00012CA1">
              <w:t>100.0</w:t>
            </w:r>
            <w:bookmarkEnd w:id="129"/>
          </w:p>
        </w:tc>
        <w:tc>
          <w:tcPr>
            <w:tcW w:w="723" w:type="dxa"/>
            <w:gridSpan w:val="2"/>
            <w:tcBorders>
              <w:left w:val="nil"/>
            </w:tcBorders>
            <w:vAlign w:val="center"/>
          </w:tcPr>
          <w:p w:rsidR="00012CA1" w:rsidRPr="00012CA1" w:rsidRDefault="00012CA1" w:rsidP="00AA68A5">
            <w:pPr>
              <w:pStyle w:val="TableBodyText"/>
            </w:pPr>
            <w:bookmarkStart w:id="130" w:name="RANGE!I12"/>
            <w:r w:rsidRPr="00012CA1">
              <w:t xml:space="preserve">99.8 </w:t>
            </w:r>
            <w:bookmarkEnd w:id="130"/>
          </w:p>
        </w:tc>
        <w:tc>
          <w:tcPr>
            <w:tcW w:w="694" w:type="dxa"/>
            <w:tcBorders>
              <w:top w:val="nil"/>
              <w:bottom w:val="single" w:sz="4" w:space="0" w:color="auto"/>
              <w:right w:val="nil"/>
            </w:tcBorders>
            <w:vAlign w:val="center"/>
          </w:tcPr>
          <w:p w:rsidR="00012CA1" w:rsidRPr="00012CA1" w:rsidRDefault="00012CA1" w:rsidP="00AA68A5">
            <w:pPr>
              <w:pStyle w:val="TableBodyText"/>
            </w:pPr>
            <w:bookmarkStart w:id="131" w:name="RANGE!J12"/>
            <w:r w:rsidRPr="00012CA1">
              <w:t>100.0</w:t>
            </w:r>
            <w:bookmarkEnd w:id="131"/>
          </w:p>
        </w:tc>
        <w:tc>
          <w:tcPr>
            <w:tcW w:w="709" w:type="dxa"/>
            <w:tcBorders>
              <w:top w:val="nil"/>
              <w:left w:val="nil"/>
              <w:bottom w:val="single" w:sz="4" w:space="0" w:color="auto"/>
              <w:right w:val="nil"/>
            </w:tcBorders>
            <w:vAlign w:val="center"/>
          </w:tcPr>
          <w:p w:rsidR="00012CA1" w:rsidRPr="00012CA1" w:rsidRDefault="00012CA1" w:rsidP="00AA68A5">
            <w:pPr>
              <w:pStyle w:val="TableBodyText"/>
            </w:pPr>
            <w:bookmarkStart w:id="132" w:name="RANGE!K12"/>
            <w:r w:rsidRPr="00012CA1">
              <w:t>100.0</w:t>
            </w:r>
            <w:bookmarkEnd w:id="132"/>
          </w:p>
        </w:tc>
        <w:tc>
          <w:tcPr>
            <w:tcW w:w="723" w:type="dxa"/>
            <w:gridSpan w:val="2"/>
            <w:tcBorders>
              <w:top w:val="nil"/>
              <w:left w:val="nil"/>
              <w:bottom w:val="single" w:sz="4" w:space="0" w:color="auto"/>
              <w:right w:val="nil"/>
            </w:tcBorders>
            <w:vAlign w:val="center"/>
          </w:tcPr>
          <w:p w:rsidR="00012CA1" w:rsidRPr="00012CA1" w:rsidRDefault="00012CA1" w:rsidP="00AA68A5">
            <w:pPr>
              <w:pStyle w:val="TableBodyText"/>
            </w:pPr>
            <w:bookmarkStart w:id="133" w:name="RANGE!L12"/>
            <w:r w:rsidRPr="00012CA1">
              <w:t xml:space="preserve">100.0 </w:t>
            </w:r>
            <w:bookmarkEnd w:id="133"/>
          </w:p>
        </w:tc>
        <w:tc>
          <w:tcPr>
            <w:tcW w:w="709" w:type="dxa"/>
            <w:gridSpan w:val="2"/>
            <w:tcBorders>
              <w:left w:val="nil"/>
            </w:tcBorders>
            <w:vAlign w:val="center"/>
          </w:tcPr>
          <w:p w:rsidR="00012CA1" w:rsidRPr="00012CA1" w:rsidRDefault="00012CA1" w:rsidP="00AA68A5">
            <w:pPr>
              <w:pStyle w:val="TableBodyText"/>
            </w:pPr>
            <w:bookmarkStart w:id="134" w:name="RANGE!M12"/>
            <w:r w:rsidRPr="00012CA1">
              <w:t>100.0</w:t>
            </w:r>
            <w:bookmarkEnd w:id="134"/>
          </w:p>
        </w:tc>
        <w:tc>
          <w:tcPr>
            <w:tcW w:w="836" w:type="dxa"/>
            <w:vAlign w:val="center"/>
          </w:tcPr>
          <w:p w:rsidR="00012CA1" w:rsidRPr="00012CA1" w:rsidRDefault="00012CA1" w:rsidP="00AA68A5">
            <w:pPr>
              <w:pStyle w:val="TableBodyText"/>
            </w:pPr>
            <w:bookmarkStart w:id="135" w:name="RANGE!N12"/>
            <w:r w:rsidRPr="00012CA1">
              <w:t>100.0</w:t>
            </w:r>
            <w:bookmarkEnd w:id="135"/>
          </w:p>
        </w:tc>
        <w:tc>
          <w:tcPr>
            <w:tcW w:w="723" w:type="dxa"/>
            <w:tcBorders>
              <w:top w:val="nil"/>
              <w:bottom w:val="single" w:sz="4" w:space="0" w:color="auto"/>
              <w:right w:val="nil"/>
            </w:tcBorders>
            <w:vAlign w:val="center"/>
          </w:tcPr>
          <w:p w:rsidR="00012CA1" w:rsidRPr="00012CA1" w:rsidRDefault="00012CA1" w:rsidP="00AA68A5">
            <w:pPr>
              <w:pStyle w:val="TableBodyText"/>
              <w:ind w:right="28"/>
            </w:pPr>
            <w:bookmarkStart w:id="136" w:name="RANGE!O12"/>
            <w:r w:rsidRPr="00012CA1">
              <w:t>100.0</w:t>
            </w:r>
            <w:bookmarkEnd w:id="136"/>
          </w:p>
        </w:tc>
      </w:tr>
    </w:tbl>
    <w:p w:rsidR="00F13450" w:rsidRPr="00F13450" w:rsidRDefault="00F13450" w:rsidP="00F13450">
      <w:pPr>
        <w:pStyle w:val="Source"/>
        <w:rPr>
          <w:rStyle w:val="NoteChar"/>
        </w:rPr>
      </w:pPr>
      <w:proofErr w:type="spellStart"/>
      <w:r w:rsidRPr="00F13450">
        <w:rPr>
          <w:rStyle w:val="NoteLabel"/>
        </w:rPr>
        <w:t>a</w:t>
      </w:r>
      <w:proofErr w:type="spellEnd"/>
      <w:r w:rsidRPr="00F13450">
        <w:rPr>
          <w:rStyle w:val="NoteLabel"/>
          <w:b w:val="0"/>
        </w:rPr>
        <w:t xml:space="preserve"> </w:t>
      </w:r>
      <w:r w:rsidRPr="00F13450">
        <w:rPr>
          <w:rStyle w:val="NoteChar"/>
        </w:rPr>
        <w:t>All operational residential care services are certified with the exception of one service located in Queensland. This service made application for certification on 3</w:t>
      </w:r>
      <w:r w:rsidR="00AA68A5">
        <w:rPr>
          <w:rStyle w:val="NoteChar"/>
        </w:rPr>
        <w:t> </w:t>
      </w:r>
      <w:r w:rsidRPr="00F13450">
        <w:rPr>
          <w:rStyle w:val="NoteChar"/>
        </w:rPr>
        <w:t>September 2013 an</w:t>
      </w:r>
      <w:r>
        <w:rPr>
          <w:rStyle w:val="NoteChar"/>
        </w:rPr>
        <w:t>d is awaiting a site inspection.</w:t>
      </w:r>
    </w:p>
    <w:p w:rsidR="00A12C8F" w:rsidRDefault="00A12C8F" w:rsidP="00EC458B">
      <w:pPr>
        <w:pStyle w:val="Source"/>
        <w:jc w:val="left"/>
      </w:pPr>
      <w:r>
        <w:rPr>
          <w:i/>
        </w:rPr>
        <w:t>Source</w:t>
      </w:r>
      <w:r>
        <w:t xml:space="preserve">: </w:t>
      </w:r>
      <w:r w:rsidR="009F34AB">
        <w:t>D</w:t>
      </w:r>
      <w:r w:rsidR="00012CA1">
        <w:t>SS</w:t>
      </w:r>
      <w:r w:rsidR="009F34AB">
        <w:t xml:space="preserve"> (</w:t>
      </w:r>
      <w:r w:rsidR="009F34AB" w:rsidRPr="007F4AE8">
        <w:t>201</w:t>
      </w:r>
      <w:r w:rsidR="00012CA1">
        <w:t>3</w:t>
      </w:r>
      <w:r w:rsidR="009F34AB">
        <w:t>)</w:t>
      </w:r>
      <w:r w:rsidR="009F34AB" w:rsidRPr="008C221C">
        <w:rPr>
          <w:i/>
        </w:rPr>
        <w:t xml:space="preserve"> </w:t>
      </w:r>
      <w:r w:rsidR="009F34AB" w:rsidRPr="0004512E">
        <w:rPr>
          <w:i/>
        </w:rPr>
        <w:t xml:space="preserve">Report on the Operation of the Aged Care Act </w:t>
      </w:r>
      <w:r w:rsidR="009F34AB">
        <w:rPr>
          <w:i/>
        </w:rPr>
        <w:t>1997</w:t>
      </w:r>
      <w:r w:rsidR="009F34AB" w:rsidRPr="0004512E">
        <w:rPr>
          <w:i/>
        </w:rPr>
        <w:t xml:space="preserve">, </w:t>
      </w:r>
      <w:r w:rsidR="009F34AB" w:rsidRPr="00E05EC8">
        <w:rPr>
          <w:i/>
        </w:rPr>
        <w:t>1</w:t>
      </w:r>
      <w:r w:rsidR="00AA68A5">
        <w:rPr>
          <w:i/>
        </w:rPr>
        <w:t> </w:t>
      </w:r>
      <w:r w:rsidR="009F34AB" w:rsidRPr="00E05EC8">
        <w:rPr>
          <w:i/>
        </w:rPr>
        <w:t>July 20</w:t>
      </w:r>
      <w:r w:rsidR="009F34AB">
        <w:rPr>
          <w:i/>
        </w:rPr>
        <w:t>1</w:t>
      </w:r>
      <w:r w:rsidR="00F13450">
        <w:rPr>
          <w:i/>
        </w:rPr>
        <w:t>2</w:t>
      </w:r>
      <w:r w:rsidR="009F34AB" w:rsidRPr="00E05EC8">
        <w:rPr>
          <w:i/>
        </w:rPr>
        <w:t xml:space="preserve"> </w:t>
      </w:r>
      <w:r w:rsidR="009F34AB">
        <w:rPr>
          <w:i/>
        </w:rPr>
        <w:t>—</w:t>
      </w:r>
      <w:r w:rsidR="009F34AB" w:rsidRPr="00E05EC8">
        <w:rPr>
          <w:i/>
        </w:rPr>
        <w:t xml:space="preserve"> 30</w:t>
      </w:r>
      <w:r w:rsidR="00AA68A5">
        <w:rPr>
          <w:i/>
        </w:rPr>
        <w:t> </w:t>
      </w:r>
      <w:r w:rsidR="009F34AB" w:rsidRPr="00E05EC8">
        <w:rPr>
          <w:i/>
        </w:rPr>
        <w:t>June 201</w:t>
      </w:r>
      <w:r w:rsidR="00F13450">
        <w:rPr>
          <w:i/>
        </w:rPr>
        <w:t>3</w:t>
      </w:r>
      <w:r w:rsidR="009F34AB" w:rsidRPr="008C221C">
        <w:rPr>
          <w:i/>
        </w:rPr>
        <w:t xml:space="preserve">, </w:t>
      </w:r>
      <w:r w:rsidR="009F34AB" w:rsidRPr="009F34AB">
        <w:t>Canberra,</w:t>
      </w:r>
      <w:r w:rsidR="002C1268">
        <w:rPr>
          <w:i/>
        </w:rPr>
        <w:t xml:space="preserve"> </w:t>
      </w:r>
      <w:r w:rsidR="0079479E" w:rsidRPr="0079479E">
        <w:t>www.health.gov.au/internet/main/publishing.nsf/Content/ageing</w:t>
      </w:r>
      <w:r w:rsidR="00AA68A5">
        <w:noBreakHyphen/>
      </w:r>
      <w:r w:rsidR="0079479E" w:rsidRPr="0079479E">
        <w:t>reports</w:t>
      </w:r>
      <w:r w:rsidR="00AA68A5">
        <w:noBreakHyphen/>
      </w:r>
      <w:r w:rsidR="0079479E" w:rsidRPr="0079479E">
        <w:t>acarep</w:t>
      </w:r>
      <w:r w:rsidR="00AA68A5">
        <w:noBreakHyphen/>
      </w:r>
      <w:r w:rsidR="0079479E" w:rsidRPr="0079479E">
        <w:t>2013.htm</w:t>
      </w:r>
      <w:r w:rsidR="00E604F1" w:rsidRPr="0079479E">
        <w:t xml:space="preserve"> </w:t>
      </w:r>
      <w:r w:rsidR="00924BD7" w:rsidRPr="0079479E">
        <w:t xml:space="preserve">(accessed </w:t>
      </w:r>
      <w:r w:rsidR="0079479E" w:rsidRPr="0079479E">
        <w:t>18</w:t>
      </w:r>
      <w:r w:rsidR="00AA68A5">
        <w:rPr>
          <w:b/>
        </w:rPr>
        <w:t> </w:t>
      </w:r>
      <w:r w:rsidR="00C204EA" w:rsidRPr="0079479E">
        <w:t>December 201</w:t>
      </w:r>
      <w:r w:rsidR="00012CA1" w:rsidRPr="0079479E">
        <w:t>3</w:t>
      </w:r>
      <w:r w:rsidR="009F34AB" w:rsidRPr="0079479E">
        <w:t xml:space="preserve">) </w:t>
      </w:r>
      <w:r w:rsidR="009F34AB">
        <w:t>and table</w:t>
      </w:r>
      <w:r w:rsidR="00AA68A5">
        <w:t> </w:t>
      </w:r>
      <w:r w:rsidR="009F34AB">
        <w:t>13A.18</w:t>
      </w:r>
      <w:r>
        <w:t>.</w:t>
      </w:r>
    </w:p>
    <w:p w:rsidR="00A12C8F" w:rsidRDefault="00A12C8F" w:rsidP="002501A2">
      <w:pPr>
        <w:pStyle w:val="Heading5"/>
      </w:pPr>
      <w:r>
        <w:t>Complaints</w:t>
      </w:r>
      <w:r w:rsidR="00100AC4">
        <w:t xml:space="preserve"> resolution</w:t>
      </w:r>
    </w:p>
    <w:p w:rsidR="00D11E45" w:rsidRDefault="00A12C8F" w:rsidP="002E12EB">
      <w:pPr>
        <w:pStyle w:val="BodyText"/>
      </w:pPr>
      <w:r>
        <w:t>‘Complaints</w:t>
      </w:r>
      <w:r w:rsidR="00100AC4">
        <w:t xml:space="preserve"> resolution</w:t>
      </w:r>
      <w:r>
        <w:t>’ is an indicator of governments’ objective to ensure aged care services provide a high quality of care (box</w:t>
      </w:r>
      <w:r w:rsidR="00AA68A5">
        <w:t> </w:t>
      </w:r>
      <w:r>
        <w:t>13.</w:t>
      </w:r>
      <w:r w:rsidR="00937343">
        <w:t>1</w:t>
      </w:r>
      <w:r w:rsidR="007F5120">
        <w:t>2</w:t>
      </w:r>
      <w:r>
        <w:t xml:space="preserve">). </w:t>
      </w:r>
    </w:p>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815721">
        <w:tc>
          <w:tcPr>
            <w:tcW w:w="8771" w:type="dxa"/>
            <w:tcBorders>
              <w:top w:val="single" w:sz="6" w:space="0" w:color="auto"/>
              <w:bottom w:val="nil"/>
            </w:tcBorders>
          </w:tcPr>
          <w:p w:rsidR="00A12C8F" w:rsidRPr="00805CB5" w:rsidRDefault="00A12C8F" w:rsidP="002501A2">
            <w:pPr>
              <w:pStyle w:val="BoxTitle"/>
              <w:rPr>
                <w:sz w:val="24"/>
              </w:rPr>
            </w:pPr>
            <w:r w:rsidRPr="00805CB5">
              <w:rPr>
                <w:b w:val="0"/>
                <w:sz w:val="24"/>
              </w:rPr>
              <w:t xml:space="preserve">Box </w:t>
            </w:r>
            <w:r w:rsidR="007F5120">
              <w:rPr>
                <w:b w:val="0"/>
                <w:sz w:val="24"/>
              </w:rPr>
              <w:t>13.</w:t>
            </w:r>
            <w:r w:rsidR="00E4728C">
              <w:rPr>
                <w:b w:val="0"/>
                <w:noProof/>
                <w:sz w:val="24"/>
              </w:rPr>
              <w:t>12</w:t>
            </w:r>
            <w:r w:rsidRPr="00805CB5">
              <w:rPr>
                <w:sz w:val="24"/>
              </w:rPr>
              <w:tab/>
              <w:t>Complaints</w:t>
            </w:r>
            <w:r w:rsidR="002E12EB" w:rsidRPr="00805CB5">
              <w:rPr>
                <w:sz w:val="24"/>
              </w:rPr>
              <w:t xml:space="preserve"> resolution</w:t>
            </w:r>
          </w:p>
        </w:tc>
      </w:tr>
      <w:tr w:rsidR="00A12C8F" w:rsidRPr="003744F2" w:rsidTr="00815721">
        <w:trPr>
          <w:cantSplit/>
        </w:trPr>
        <w:tc>
          <w:tcPr>
            <w:tcW w:w="8771" w:type="dxa"/>
            <w:tcBorders>
              <w:top w:val="nil"/>
              <w:left w:val="single" w:sz="6" w:space="0" w:color="auto"/>
              <w:bottom w:val="nil"/>
              <w:right w:val="single" w:sz="4" w:space="0" w:color="auto"/>
            </w:tcBorders>
          </w:tcPr>
          <w:p w:rsidR="00F51098" w:rsidRDefault="00D11E45" w:rsidP="002E12EB">
            <w:pPr>
              <w:pStyle w:val="Box"/>
            </w:pPr>
            <w:r>
              <w:t>‘Complaints</w:t>
            </w:r>
            <w:r w:rsidR="002E12EB">
              <w:t xml:space="preserve"> resolution</w:t>
            </w:r>
            <w:r>
              <w:t xml:space="preserve">’ </w:t>
            </w:r>
            <w:r w:rsidR="00F51098">
              <w:t>has two measures:</w:t>
            </w:r>
          </w:p>
          <w:p w:rsidR="00F51098" w:rsidRDefault="00F51098" w:rsidP="002E12EB">
            <w:pPr>
              <w:pStyle w:val="BoxListBullet"/>
            </w:pPr>
            <w:r>
              <w:t>t</w:t>
            </w:r>
            <w:r w:rsidR="00D11E45">
              <w:t xml:space="preserve">he number of complaints received by the Scheme </w:t>
            </w:r>
            <w:r w:rsidR="00A53541">
              <w:t>that</w:t>
            </w:r>
            <w:r w:rsidR="00D11E45">
              <w:t xml:space="preserve"> are within the scope of the Scheme to handle (</w:t>
            </w:r>
            <w:r w:rsidR="002E5141">
              <w:t>that is,</w:t>
            </w:r>
            <w:r w:rsidR="00D11E45">
              <w:t xml:space="preserve"> relate to the responsibilities of an approved provider of residential or community care under the </w:t>
            </w:r>
            <w:r w:rsidR="00D11E45" w:rsidRPr="0035408F">
              <w:rPr>
                <w:i/>
              </w:rPr>
              <w:t>Aged Care Act 1997</w:t>
            </w:r>
            <w:r w:rsidR="001A411C" w:rsidRPr="001A411C">
              <w:t xml:space="preserve"> or HACC funding agreements with the Australian</w:t>
            </w:r>
            <w:r w:rsidR="001A411C">
              <w:t xml:space="preserve"> Government</w:t>
            </w:r>
            <w:r w:rsidR="00D11E45">
              <w:t>) per </w:t>
            </w:r>
            <w:r w:rsidR="00D11E45" w:rsidRPr="000D3EE1">
              <w:t>1000</w:t>
            </w:r>
            <w:r w:rsidR="00D11E45">
              <w:t xml:space="preserve"> permanent </w:t>
            </w:r>
            <w:r w:rsidR="00100AC4">
              <w:t xml:space="preserve">care </w:t>
            </w:r>
            <w:r w:rsidR="00EF56FF">
              <w:t>recipients</w:t>
            </w:r>
          </w:p>
          <w:p w:rsidR="00D11E45" w:rsidRPr="002E12EB" w:rsidRDefault="00806D3D" w:rsidP="002E12EB">
            <w:pPr>
              <w:pStyle w:val="BoxListBullet"/>
            </w:pPr>
            <w:r>
              <w:t xml:space="preserve">the proportion of complaints that were resolved without the need for a </w:t>
            </w:r>
            <w:r w:rsidR="008354D0">
              <w:t>d</w:t>
            </w:r>
            <w:r>
              <w:t>irection</w:t>
            </w:r>
            <w:r w:rsidR="00D11E45">
              <w:t>.</w:t>
            </w:r>
            <w:r>
              <w:t xml:space="preserve"> </w:t>
            </w:r>
          </w:p>
          <w:p w:rsidR="00087F15" w:rsidRDefault="00F51098" w:rsidP="002E12EB">
            <w:pPr>
              <w:pStyle w:val="Box"/>
            </w:pPr>
            <w:r w:rsidRPr="000D3EE1">
              <w:t>This indicator is a proxy of the quality of care</w:t>
            </w:r>
            <w:r w:rsidR="00806D3D">
              <w:t xml:space="preserve"> and </w:t>
            </w:r>
            <w:r w:rsidR="00D11E45">
              <w:t xml:space="preserve">of the responsiveness of approved providers where issues about the quality of care or services </w:t>
            </w:r>
            <w:r w:rsidR="00806D3D">
              <w:t xml:space="preserve">are raised through complaints. </w:t>
            </w:r>
            <w:r w:rsidR="00087F15" w:rsidRPr="000D3EE1">
              <w:t xml:space="preserve">A low </w:t>
            </w:r>
            <w:r w:rsidR="00087F15">
              <w:t>or decreasing rate</w:t>
            </w:r>
            <w:r w:rsidR="00087F15" w:rsidRPr="000D3EE1">
              <w:t xml:space="preserve"> of </w:t>
            </w:r>
            <w:r w:rsidR="00087F15" w:rsidRPr="00D11E45">
              <w:t>complaints received</w:t>
            </w:r>
            <w:r w:rsidR="00087F15">
              <w:t xml:space="preserve"> and high proportion of </w:t>
            </w:r>
            <w:r w:rsidR="00CA3ABE">
              <w:t xml:space="preserve">complaints that </w:t>
            </w:r>
            <w:r w:rsidR="00087F15" w:rsidRPr="00806D3D">
              <w:t xml:space="preserve">were resolved without the need for a </w:t>
            </w:r>
            <w:r w:rsidR="008354D0">
              <w:t>d</w:t>
            </w:r>
            <w:r w:rsidR="00087F15" w:rsidRPr="00806D3D">
              <w:t>irection</w:t>
            </w:r>
            <w:r w:rsidR="00087F15">
              <w:t xml:space="preserve"> are desirable</w:t>
            </w:r>
            <w:r w:rsidR="00087F15" w:rsidRPr="000D3EE1">
              <w:t>.</w:t>
            </w:r>
            <w:r w:rsidR="00087F15">
              <w:t xml:space="preserve"> </w:t>
            </w:r>
          </w:p>
          <w:p w:rsidR="00D11E45" w:rsidRDefault="001A411C" w:rsidP="00A14F9C">
            <w:pPr>
              <w:pStyle w:val="Box"/>
            </w:pPr>
            <w:r>
              <w:t>T</w:t>
            </w:r>
            <w:r w:rsidRPr="001A411C">
              <w:t xml:space="preserve">he Scheme encourages people to raise their concerns with the aged care provider in the first instance where possible. This can achieve a faster and sustainable result through building relationships between all parties. If concerns are unable to be resolved directly with a service provider, then people can contact the Scheme. </w:t>
            </w:r>
            <w:r>
              <w:t xml:space="preserve">The Scheme </w:t>
            </w:r>
            <w:r w:rsidR="00D11E45">
              <w:t>assesses the risk associated with a complaint and the most appropriate metho</w:t>
            </w:r>
            <w:r w:rsidR="00F51098">
              <w:t xml:space="preserve">d for resolving the complaint. </w:t>
            </w:r>
            <w:r w:rsidR="00D11E45">
              <w:t>This may mean encouraging resolution at a local provider level, conciliating an outcome between the complainant and the provider, or the Schem</w:t>
            </w:r>
            <w:r w:rsidR="00F51098">
              <w:t xml:space="preserve">e investigating the complaint. </w:t>
            </w:r>
            <w:r w:rsidR="00D11E45">
              <w:t xml:space="preserve">Where the Scheme decides that an approved provider is not meeting its responsibilities, it has the power to issue the provider with </w:t>
            </w:r>
            <w:r w:rsidR="008354D0">
              <w:t>d</w:t>
            </w:r>
            <w:r w:rsidR="00D11E45" w:rsidRPr="00F51098">
              <w:t>irections.</w:t>
            </w:r>
            <w:r w:rsidR="00D11E45">
              <w:t xml:space="preserve"> Prior to issuing a </w:t>
            </w:r>
            <w:r w:rsidR="008354D0">
              <w:t>d</w:t>
            </w:r>
            <w:r w:rsidR="00D11E45">
              <w:t xml:space="preserve">irection, the Scheme will typically give the provider other opportunities to remedy the issues, including giving the provider the opportunity to respond to a </w:t>
            </w:r>
            <w:r>
              <w:t xml:space="preserve">notice </w:t>
            </w:r>
            <w:r w:rsidR="00D11E45">
              <w:t xml:space="preserve">of </w:t>
            </w:r>
            <w:r>
              <w:t xml:space="preserve">intention </w:t>
            </w:r>
            <w:r w:rsidR="00D11E45">
              <w:t xml:space="preserve">to </w:t>
            </w:r>
            <w:r>
              <w:t>i</w:t>
            </w:r>
            <w:r w:rsidRPr="00513297">
              <w:t xml:space="preserve">ssue </w:t>
            </w:r>
            <w:r>
              <w:t>d</w:t>
            </w:r>
            <w:r w:rsidRPr="00513297">
              <w:t>irections</w:t>
            </w:r>
            <w:r w:rsidR="00D11E45">
              <w:t xml:space="preserve">. Where issues are addressed, </w:t>
            </w:r>
            <w:r w:rsidR="008354D0">
              <w:t>d</w:t>
            </w:r>
            <w:r w:rsidR="00D11E45">
              <w:t>irections may not be issued.</w:t>
            </w:r>
          </w:p>
          <w:p w:rsidR="00C304FF" w:rsidRDefault="00C304FF" w:rsidP="00C304FF">
            <w:pPr>
              <w:pStyle w:val="Box"/>
            </w:pPr>
            <w:r>
              <w:t>Data reported for this indicator are:</w:t>
            </w:r>
          </w:p>
          <w:p w:rsidR="00C304FF" w:rsidRDefault="00C304FF" w:rsidP="002E12EB">
            <w:pPr>
              <w:pStyle w:val="BoxListBullet"/>
            </w:pPr>
            <w:r w:rsidRPr="00C304FF">
              <w:t>comparable (subject to caveats) across jurisdictions but a break</w:t>
            </w:r>
            <w:r>
              <w:t xml:space="preserve"> in series means that data for 2012</w:t>
            </w:r>
            <w:r w:rsidR="00AA68A5">
              <w:noBreakHyphen/>
            </w:r>
            <w:r>
              <w:t xml:space="preserve">13 </w:t>
            </w:r>
            <w:r w:rsidRPr="00C304FF">
              <w:t xml:space="preserve">are not comparable to data for </w:t>
            </w:r>
            <w:r>
              <w:t>2011</w:t>
            </w:r>
            <w:r w:rsidR="00AA68A5">
              <w:noBreakHyphen/>
            </w:r>
            <w:r>
              <w:t xml:space="preserve">12 </w:t>
            </w:r>
          </w:p>
          <w:p w:rsidR="00D11E45" w:rsidRDefault="00C304FF" w:rsidP="002E12EB">
            <w:pPr>
              <w:pStyle w:val="BoxListBullet"/>
            </w:pPr>
            <w:r>
              <w:t xml:space="preserve">complete for the current reporting period (subject to caveats). All required </w:t>
            </w:r>
            <w:r>
              <w:br/>
              <w:t>2012</w:t>
            </w:r>
            <w:r w:rsidR="00AA68A5">
              <w:noBreakHyphen/>
            </w:r>
            <w:r>
              <w:t>13 data are available for all jurisdictions.</w:t>
            </w:r>
          </w:p>
          <w:p w:rsidR="000A26F9" w:rsidRPr="000D3EE1" w:rsidRDefault="000A26F9" w:rsidP="002E12EB">
            <w:pPr>
              <w:pStyle w:val="Box"/>
            </w:pPr>
            <w:r w:rsidRPr="000A26F9">
              <w:t>Data quality information for this indicator is under development.</w:t>
            </w:r>
          </w:p>
        </w:tc>
      </w:tr>
      <w:tr w:rsidR="00A12C8F" w:rsidRPr="001E7B81" w:rsidTr="00A12C8F">
        <w:trPr>
          <w:cantSplit/>
        </w:trPr>
        <w:tc>
          <w:tcPr>
            <w:tcW w:w="8771" w:type="dxa"/>
            <w:tcBorders>
              <w:top w:val="nil"/>
              <w:left w:val="single" w:sz="6" w:space="0" w:color="auto"/>
              <w:bottom w:val="single" w:sz="6" w:space="0" w:color="auto"/>
              <w:right w:val="single" w:sz="6" w:space="0" w:color="auto"/>
            </w:tcBorders>
          </w:tcPr>
          <w:p w:rsidR="00A12C8F" w:rsidRPr="000D3EE1" w:rsidRDefault="00A12C8F" w:rsidP="002501A2">
            <w:pPr>
              <w:pStyle w:val="Box"/>
              <w:spacing w:before="0" w:line="120" w:lineRule="exact"/>
            </w:pPr>
          </w:p>
        </w:tc>
      </w:tr>
      <w:tr w:rsidR="00A12C8F" w:rsidRPr="001E7B81" w:rsidTr="00A12C8F">
        <w:tc>
          <w:tcPr>
            <w:tcW w:w="8771" w:type="dxa"/>
            <w:tcBorders>
              <w:top w:val="nil"/>
              <w:left w:val="nil"/>
              <w:bottom w:val="nil"/>
              <w:right w:val="nil"/>
            </w:tcBorders>
          </w:tcPr>
          <w:p w:rsidR="00A12C8F" w:rsidRPr="000D3EE1" w:rsidRDefault="00A12C8F" w:rsidP="002501A2">
            <w:pPr>
              <w:pStyle w:val="Box"/>
              <w:keepNext w:val="0"/>
              <w:spacing w:before="60" w:after="60" w:line="80" w:lineRule="exact"/>
              <w:rPr>
                <w:b/>
                <w:sz w:val="14"/>
              </w:rPr>
            </w:pPr>
          </w:p>
        </w:tc>
      </w:tr>
    </w:tbl>
    <w:p w:rsidR="00806D3D" w:rsidRDefault="00D715DF" w:rsidP="00970F12">
      <w:pPr>
        <w:pStyle w:val="BodyText"/>
      </w:pPr>
      <w:r>
        <w:t>During 2012</w:t>
      </w:r>
      <w:r w:rsidR="00AA68A5">
        <w:noBreakHyphen/>
      </w:r>
      <w:r>
        <w:t>13</w:t>
      </w:r>
      <w:r w:rsidR="00806D3D">
        <w:t xml:space="preserve">, the Scheme received </w:t>
      </w:r>
      <w:r w:rsidR="001C67E9">
        <w:t>3811</w:t>
      </w:r>
      <w:r w:rsidR="00806D3D">
        <w:t xml:space="preserve"> complaints that were within the scope of the Scheme to handle. The number of complaints per 1000 </w:t>
      </w:r>
      <w:r w:rsidR="00C62752" w:rsidRPr="00C62752">
        <w:t>care recipients</w:t>
      </w:r>
      <w:r w:rsidR="00782AD6">
        <w:t xml:space="preserve"> </w:t>
      </w:r>
      <w:r w:rsidR="00806D3D">
        <w:t xml:space="preserve">was </w:t>
      </w:r>
      <w:r w:rsidR="001C67E9">
        <w:t>22.7</w:t>
      </w:r>
      <w:r w:rsidR="00806D3D">
        <w:t xml:space="preserve"> nationally </w:t>
      </w:r>
      <w:r>
        <w:t>in 2012</w:t>
      </w:r>
      <w:r w:rsidR="00AA68A5">
        <w:noBreakHyphen/>
      </w:r>
      <w:r>
        <w:t xml:space="preserve">13 </w:t>
      </w:r>
      <w:r w:rsidR="00806D3D">
        <w:t>(figure</w:t>
      </w:r>
      <w:r w:rsidR="00AA68A5">
        <w:t> </w:t>
      </w:r>
      <w:r w:rsidR="00106C52">
        <w:t>13.2</w:t>
      </w:r>
      <w:r>
        <w:t>6</w:t>
      </w:r>
      <w:r w:rsidR="00806D3D">
        <w:t xml:space="preserve">). </w:t>
      </w:r>
    </w:p>
    <w:p w:rsidR="00806D3D" w:rsidRPr="000D24A5" w:rsidRDefault="00806D3D" w:rsidP="002E12EB">
      <w:pPr>
        <w:pStyle w:val="FigureTitle"/>
        <w:ind w:left="1560" w:hanging="1560"/>
      </w:pPr>
      <w:r w:rsidRPr="009601ED">
        <w:rPr>
          <w:b w:val="0"/>
          <w:sz w:val="24"/>
        </w:rPr>
        <w:lastRenderedPageBreak/>
        <w:t xml:space="preserve">Figure </w:t>
      </w:r>
      <w:r w:rsidR="00D715DF">
        <w:rPr>
          <w:b w:val="0"/>
          <w:sz w:val="24"/>
        </w:rPr>
        <w:t>13.</w:t>
      </w:r>
      <w:r w:rsidR="00E4728C">
        <w:rPr>
          <w:b w:val="0"/>
          <w:noProof/>
          <w:sz w:val="24"/>
        </w:rPr>
        <w:t>26</w:t>
      </w:r>
      <w:r w:rsidRPr="009601ED">
        <w:rPr>
          <w:sz w:val="24"/>
        </w:rPr>
        <w:tab/>
        <w:t xml:space="preserve">Complaints received by the Aged Care Complaints Scheme which are within </w:t>
      </w:r>
      <w:r w:rsidR="008354D0">
        <w:rPr>
          <w:sz w:val="24"/>
        </w:rPr>
        <w:t>its</w:t>
      </w:r>
      <w:r w:rsidRPr="009601ED">
        <w:rPr>
          <w:sz w:val="24"/>
        </w:rPr>
        <w:t xml:space="preserve"> scope to handle</w:t>
      </w:r>
      <w:r w:rsidR="00782AD6" w:rsidRPr="001C67E9">
        <w:rPr>
          <w:rStyle w:val="NoteLabel"/>
          <w:b/>
        </w:rPr>
        <w:t>a</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06D3D" w:rsidRPr="00640545" w:rsidTr="00B66D79">
        <w:tc>
          <w:tcPr>
            <w:tcW w:w="8777" w:type="dxa"/>
            <w:tcBorders>
              <w:top w:val="single" w:sz="6" w:space="0" w:color="auto"/>
              <w:bottom w:val="single" w:sz="6" w:space="0" w:color="auto"/>
              <w:right w:val="nil"/>
            </w:tcBorders>
            <w:shd w:val="clear" w:color="auto" w:fill="FFFFFF" w:themeFill="background1"/>
          </w:tcPr>
          <w:p w:rsidR="00806D3D" w:rsidRPr="002E12EB" w:rsidRDefault="00B07AA7" w:rsidP="002E12EB">
            <w:pPr>
              <w:pStyle w:val="Figure"/>
            </w:pPr>
            <w:r>
              <w:rPr>
                <w:noProof/>
              </w:rPr>
              <w:drawing>
                <wp:inline distT="0" distB="0" distL="0" distR="0">
                  <wp:extent cx="5391150" cy="2638425"/>
                  <wp:effectExtent l="0" t="0" r="0" b="9525"/>
                  <wp:docPr id="30" name="Picture 30" descr="Figure 13.26 Complaints received by the Aged Care Complaints Scheme which are within its scope to handle&#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782AD6" w:rsidRPr="00782AD6" w:rsidRDefault="00782AD6" w:rsidP="002E12EB">
      <w:pPr>
        <w:pStyle w:val="Source"/>
      </w:pPr>
      <w:r>
        <w:rPr>
          <w:rStyle w:val="NoteLabel"/>
        </w:rPr>
        <w:t>a</w:t>
      </w:r>
      <w:r>
        <w:t xml:space="preserve"> Data for 2011</w:t>
      </w:r>
      <w:r w:rsidR="00AA68A5">
        <w:noBreakHyphen/>
      </w:r>
      <w:r>
        <w:t xml:space="preserve">12 are for the period </w:t>
      </w:r>
      <w:r w:rsidRPr="00782AD6">
        <w:t>1</w:t>
      </w:r>
      <w:r w:rsidR="00AA68A5">
        <w:t> </w:t>
      </w:r>
      <w:r w:rsidRPr="00782AD6">
        <w:t>September 2011</w:t>
      </w:r>
      <w:r>
        <w:t xml:space="preserve"> to 30</w:t>
      </w:r>
      <w:r w:rsidR="00AA68A5">
        <w:t> </w:t>
      </w:r>
      <w:r>
        <w:t>June 2012.</w:t>
      </w:r>
    </w:p>
    <w:p w:rsidR="00806D3D" w:rsidRPr="00B0070E" w:rsidRDefault="00806D3D" w:rsidP="00F2055D">
      <w:pPr>
        <w:pStyle w:val="Source"/>
        <w:shd w:val="clear" w:color="auto" w:fill="FFFFFF" w:themeFill="background1"/>
      </w:pPr>
      <w:r w:rsidRPr="00B0070E">
        <w:rPr>
          <w:i/>
        </w:rPr>
        <w:t>Source</w:t>
      </w:r>
      <w:r w:rsidRPr="00B0070E">
        <w:t xml:space="preserve">: </w:t>
      </w:r>
      <w:proofErr w:type="spellStart"/>
      <w:r w:rsidRPr="00B0070E">
        <w:t>DoHA</w:t>
      </w:r>
      <w:proofErr w:type="spellEnd"/>
      <w:r w:rsidR="001C67E9" w:rsidRPr="00A53541">
        <w:rPr>
          <w:shd w:val="clear" w:color="auto" w:fill="FFFFFF" w:themeFill="background1"/>
        </w:rPr>
        <w:t>/</w:t>
      </w:r>
      <w:proofErr w:type="spellStart"/>
      <w:r w:rsidR="001C67E9" w:rsidRPr="00F2055D">
        <w:rPr>
          <w:shd w:val="clear" w:color="auto" w:fill="FFFFFF" w:themeFill="background1"/>
        </w:rPr>
        <w:t>DSS</w:t>
      </w:r>
      <w:proofErr w:type="spellEnd"/>
      <w:r w:rsidRPr="00B0070E">
        <w:t xml:space="preserve"> (unpublished); table</w:t>
      </w:r>
      <w:r w:rsidR="00AA68A5">
        <w:t> </w:t>
      </w:r>
      <w:proofErr w:type="spellStart"/>
      <w:r w:rsidRPr="00B0070E">
        <w:t>13</w:t>
      </w:r>
      <w:r>
        <w:t>A.</w:t>
      </w:r>
      <w:r w:rsidR="001C67E9">
        <w:t>79</w:t>
      </w:r>
      <w:proofErr w:type="spellEnd"/>
      <w:r w:rsidRPr="00B0070E">
        <w:t>.</w:t>
      </w:r>
    </w:p>
    <w:p w:rsidR="006B1DC1" w:rsidRPr="002D79CB" w:rsidRDefault="006B1DC1" w:rsidP="00F2055D">
      <w:pPr>
        <w:pStyle w:val="BodyText"/>
        <w:shd w:val="clear" w:color="auto" w:fill="FFFFFF" w:themeFill="background1"/>
      </w:pPr>
      <w:r>
        <w:t>Of the complaints dealt with by the Scheme</w:t>
      </w:r>
      <w:r w:rsidR="00E3798B">
        <w:t xml:space="preserve"> in 2012</w:t>
      </w:r>
      <w:r w:rsidR="00AA68A5">
        <w:noBreakHyphen/>
      </w:r>
      <w:r w:rsidR="00E3798B">
        <w:t>13</w:t>
      </w:r>
      <w:r w:rsidRPr="00F2055D">
        <w:rPr>
          <w:shd w:val="clear" w:color="auto" w:fill="FFFFFF" w:themeFill="background1"/>
        </w:rPr>
        <w:t xml:space="preserve">, </w:t>
      </w:r>
      <w:r w:rsidR="002D79CB" w:rsidRPr="00F2055D">
        <w:rPr>
          <w:shd w:val="clear" w:color="auto" w:fill="FFFFFF" w:themeFill="background1"/>
        </w:rPr>
        <w:t>89.2</w:t>
      </w:r>
      <w:r w:rsidR="002D79CB" w:rsidRPr="002D79CB">
        <w:rPr>
          <w:b/>
        </w:rPr>
        <w:t xml:space="preserve"> </w:t>
      </w:r>
      <w:r>
        <w:t>per cent relate</w:t>
      </w:r>
      <w:r w:rsidR="00A71F46">
        <w:t>d to residential care services,</w:t>
      </w:r>
      <w:r>
        <w:t xml:space="preserve"> </w:t>
      </w:r>
      <w:r w:rsidR="002D79CB" w:rsidRPr="00F2055D">
        <w:rPr>
          <w:shd w:val="clear" w:color="auto" w:fill="FFFFFF" w:themeFill="background1"/>
        </w:rPr>
        <w:t>7.4</w:t>
      </w:r>
      <w:r>
        <w:t xml:space="preserve"> </w:t>
      </w:r>
      <w:r w:rsidR="00A71F46">
        <w:t xml:space="preserve">per cent </w:t>
      </w:r>
      <w:r>
        <w:t>related to community/flexible care services (CACP, EACH and EACH</w:t>
      </w:r>
      <w:r w:rsidR="00C77FCC">
        <w:t>-</w:t>
      </w:r>
      <w:r>
        <w:t xml:space="preserve">D) </w:t>
      </w:r>
      <w:r w:rsidR="004D6EA7" w:rsidRPr="00F2055D">
        <w:rPr>
          <w:shd w:val="clear" w:color="auto" w:fill="FFFFFF" w:themeFill="background1"/>
        </w:rPr>
        <w:t>and 2.5 per cent relate</w:t>
      </w:r>
      <w:r w:rsidR="00926F6B" w:rsidRPr="00F2055D">
        <w:rPr>
          <w:shd w:val="clear" w:color="auto" w:fill="FFFFFF" w:themeFill="background1"/>
        </w:rPr>
        <w:t>d</w:t>
      </w:r>
      <w:r w:rsidR="004D6EA7" w:rsidRPr="00F2055D">
        <w:rPr>
          <w:shd w:val="clear" w:color="auto" w:fill="FFFFFF" w:themeFill="background1"/>
        </w:rPr>
        <w:t xml:space="preserve"> to HACC services</w:t>
      </w:r>
      <w:r w:rsidR="004D6EA7">
        <w:t xml:space="preserve"> </w:t>
      </w:r>
      <w:r w:rsidR="00926F6B">
        <w:br/>
      </w:r>
      <w:r>
        <w:t>(D</w:t>
      </w:r>
      <w:r w:rsidR="00E3798B">
        <w:t>SS</w:t>
      </w:r>
      <w:r>
        <w:t xml:space="preserve"> unpublished). </w:t>
      </w:r>
    </w:p>
    <w:p w:rsidR="00A12C8F" w:rsidRDefault="004D6EA7" w:rsidP="00F2055D">
      <w:pPr>
        <w:pStyle w:val="BodyText"/>
        <w:shd w:val="clear" w:color="auto" w:fill="FFFFFF" w:themeFill="background1"/>
      </w:pPr>
      <w:r w:rsidRPr="004D6EA7">
        <w:t>In 2012</w:t>
      </w:r>
      <w:r w:rsidR="00AA68A5">
        <w:noBreakHyphen/>
      </w:r>
      <w:r w:rsidRPr="004D6EA7">
        <w:t>13</w:t>
      </w:r>
      <w:r w:rsidRPr="00EF47F5">
        <w:rPr>
          <w:shd w:val="clear" w:color="auto" w:fill="FFFFFF" w:themeFill="background1"/>
        </w:rPr>
        <w:t xml:space="preserve">, </w:t>
      </w:r>
      <w:r w:rsidRPr="002145B3">
        <w:rPr>
          <w:shd w:val="clear" w:color="auto" w:fill="FFFFFF" w:themeFill="background1"/>
        </w:rPr>
        <w:t>72.5</w:t>
      </w:r>
      <w:r w:rsidRPr="00EF47F5">
        <w:rPr>
          <w:shd w:val="clear" w:color="auto" w:fill="FFFFFF" w:themeFill="background1"/>
        </w:rPr>
        <w:t xml:space="preserve"> per cent of complaints were resolved through early resolution and </w:t>
      </w:r>
      <w:r w:rsidRPr="002145B3">
        <w:rPr>
          <w:shd w:val="clear" w:color="auto" w:fill="FFFFFF" w:themeFill="background1"/>
        </w:rPr>
        <w:t>27.5</w:t>
      </w:r>
      <w:r w:rsidRPr="00EF47F5">
        <w:rPr>
          <w:shd w:val="clear" w:color="auto" w:fill="FFFFFF" w:themeFill="background1"/>
        </w:rPr>
        <w:t xml:space="preserve"> per cent progressed to resolution, utilising the range of techniques available to Scheme officers including</w:t>
      </w:r>
      <w:r w:rsidRPr="004D6EA7">
        <w:t xml:space="preserve"> approved provider resolution, conciliation, and investigation (DSS unpublished</w:t>
      </w:r>
      <w:r>
        <w:t xml:space="preserve">). </w:t>
      </w:r>
      <w:r w:rsidR="00806D3D">
        <w:t xml:space="preserve">Of those complaints that progressed to resolution, </w:t>
      </w:r>
      <w:r w:rsidR="00E3798B" w:rsidRPr="00A53541">
        <w:rPr>
          <w:shd w:val="clear" w:color="auto" w:fill="FFFFFF" w:themeFill="background1"/>
        </w:rPr>
        <w:t>99.</w:t>
      </w:r>
      <w:r w:rsidR="00CA3ABE" w:rsidRPr="00A53541">
        <w:rPr>
          <w:shd w:val="clear" w:color="auto" w:fill="FFFFFF" w:themeFill="background1"/>
        </w:rPr>
        <w:t>1</w:t>
      </w:r>
      <w:r w:rsidR="00806D3D">
        <w:t xml:space="preserve"> per</w:t>
      </w:r>
      <w:r w:rsidR="006B1DC1">
        <w:t xml:space="preserve"> </w:t>
      </w:r>
      <w:r w:rsidR="00806D3D">
        <w:t xml:space="preserve">cent </w:t>
      </w:r>
      <w:r w:rsidR="006B1DC1">
        <w:t xml:space="preserve">were resolved without the need for a </w:t>
      </w:r>
      <w:r w:rsidR="008354D0">
        <w:t>d</w:t>
      </w:r>
      <w:r w:rsidR="006B1DC1">
        <w:t>irection to</w:t>
      </w:r>
      <w:r w:rsidR="00806D3D">
        <w:t xml:space="preserve"> the approved provider </w:t>
      </w:r>
      <w:r w:rsidR="00EF56FF">
        <w:t>(figure</w:t>
      </w:r>
      <w:r w:rsidR="00AA68A5">
        <w:t> </w:t>
      </w:r>
      <w:r w:rsidR="00EF56FF">
        <w:t>13.</w:t>
      </w:r>
      <w:r w:rsidR="00EE11E0">
        <w:t>27</w:t>
      </w:r>
      <w:r w:rsidR="00EF56FF">
        <w:t>)</w:t>
      </w:r>
      <w:r w:rsidR="00806D3D">
        <w:t>.</w:t>
      </w:r>
    </w:p>
    <w:p w:rsidR="00806D3D" w:rsidRPr="000D24A5" w:rsidRDefault="00C62752" w:rsidP="00C62752">
      <w:pPr>
        <w:pStyle w:val="FigureTitle"/>
        <w:ind w:left="1560" w:hanging="1560"/>
      </w:pPr>
      <w:r w:rsidRPr="009601ED">
        <w:rPr>
          <w:b w:val="0"/>
          <w:sz w:val="24"/>
        </w:rPr>
        <w:lastRenderedPageBreak/>
        <w:t xml:space="preserve">Figure </w:t>
      </w:r>
      <w:r w:rsidR="00D715DF">
        <w:rPr>
          <w:b w:val="0"/>
          <w:sz w:val="24"/>
        </w:rPr>
        <w:t>13.</w:t>
      </w:r>
      <w:r w:rsidR="00E4728C">
        <w:rPr>
          <w:b w:val="0"/>
          <w:noProof/>
          <w:sz w:val="24"/>
        </w:rPr>
        <w:t>27</w:t>
      </w:r>
      <w:r w:rsidR="00806D3D" w:rsidRPr="009601ED">
        <w:rPr>
          <w:sz w:val="24"/>
        </w:rPr>
        <w:tab/>
        <w:t>Proportion of in</w:t>
      </w:r>
      <w:r w:rsidR="00AA68A5">
        <w:rPr>
          <w:sz w:val="24"/>
        </w:rPr>
        <w:noBreakHyphen/>
      </w:r>
      <w:r w:rsidR="00806D3D" w:rsidRPr="009601ED">
        <w:rPr>
          <w:sz w:val="24"/>
        </w:rPr>
        <w:t xml:space="preserve">scope complaints that were resolved without the need for a </w:t>
      </w:r>
      <w:r w:rsidR="008354D0">
        <w:rPr>
          <w:sz w:val="24"/>
        </w:rPr>
        <w:t>d</w:t>
      </w:r>
      <w:r w:rsidR="00806D3D" w:rsidRPr="009601ED">
        <w:rPr>
          <w:sz w:val="24"/>
        </w:rPr>
        <w:t>irection</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06D3D" w:rsidRPr="00640545" w:rsidTr="00BD5728">
        <w:tc>
          <w:tcPr>
            <w:tcW w:w="8777" w:type="dxa"/>
            <w:tcBorders>
              <w:top w:val="single" w:sz="4" w:space="0" w:color="auto"/>
              <w:bottom w:val="single" w:sz="4" w:space="0" w:color="auto"/>
              <w:right w:val="nil"/>
            </w:tcBorders>
            <w:shd w:val="clear" w:color="auto" w:fill="FFFFFF" w:themeFill="background1"/>
          </w:tcPr>
          <w:p w:rsidR="00806D3D" w:rsidRPr="00C62752" w:rsidRDefault="00B07AA7" w:rsidP="00806D3D">
            <w:pPr>
              <w:pStyle w:val="Figure"/>
            </w:pPr>
            <w:r>
              <w:rPr>
                <w:noProof/>
              </w:rPr>
              <w:drawing>
                <wp:inline distT="0" distB="0" distL="0" distR="0">
                  <wp:extent cx="5391150" cy="2638425"/>
                  <wp:effectExtent l="0" t="0" r="0" b="9525"/>
                  <wp:docPr id="31" name="Picture 31" descr="Figure 13.27 Proportion of in scope complaints that were resolved without the need for a direction&#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806D3D" w:rsidRPr="00B0070E" w:rsidRDefault="00806D3D" w:rsidP="00F2055D">
      <w:pPr>
        <w:pStyle w:val="Source"/>
      </w:pPr>
      <w:r w:rsidRPr="00B0070E">
        <w:rPr>
          <w:i/>
        </w:rPr>
        <w:t>Source</w:t>
      </w:r>
      <w:r w:rsidRPr="00B0070E">
        <w:t xml:space="preserve">: </w:t>
      </w:r>
      <w:proofErr w:type="spellStart"/>
      <w:r w:rsidRPr="00B0070E">
        <w:t>DoHA</w:t>
      </w:r>
      <w:proofErr w:type="spellEnd"/>
      <w:r w:rsidR="00E3798B">
        <w:t>/</w:t>
      </w:r>
      <w:proofErr w:type="spellStart"/>
      <w:r w:rsidR="00E3798B" w:rsidRPr="00F2055D">
        <w:rPr>
          <w:shd w:val="clear" w:color="auto" w:fill="FFFFFF" w:themeFill="background1"/>
        </w:rPr>
        <w:t>DSS</w:t>
      </w:r>
      <w:proofErr w:type="spellEnd"/>
      <w:r w:rsidRPr="00B0070E">
        <w:t xml:space="preserve"> (unpublished); table</w:t>
      </w:r>
      <w:r w:rsidR="00AA68A5">
        <w:t> </w:t>
      </w:r>
      <w:proofErr w:type="spellStart"/>
      <w:r w:rsidRPr="00B0070E">
        <w:t>13</w:t>
      </w:r>
      <w:r>
        <w:t>A.</w:t>
      </w:r>
      <w:r w:rsidR="00E3798B">
        <w:t>79</w:t>
      </w:r>
      <w:proofErr w:type="spellEnd"/>
      <w:r w:rsidRPr="00B0070E">
        <w:t>.</w:t>
      </w:r>
    </w:p>
    <w:p w:rsidR="00A12C8F" w:rsidRDefault="00A12C8F" w:rsidP="002501A2">
      <w:pPr>
        <w:pStyle w:val="Heading5"/>
      </w:pPr>
      <w:r>
        <w:t>Compliance with service standards for community care</w:t>
      </w:r>
    </w:p>
    <w:p w:rsidR="00A12C8F" w:rsidRDefault="00A12C8F" w:rsidP="00DE2F14">
      <w:pPr>
        <w:pStyle w:val="BodyText"/>
      </w:pPr>
      <w:r>
        <w:t>‘Compliance with service standards for community care’ is an indicator of governments’ objective to ensure that community aged care programs provide a high quality of service (box</w:t>
      </w:r>
      <w:r w:rsidR="00AA68A5">
        <w:t> </w:t>
      </w:r>
      <w:r>
        <w:t>13.</w:t>
      </w:r>
      <w:r w:rsidR="00EE11E0">
        <w:t>1</w:t>
      </w:r>
      <w:r w:rsidR="000B4837">
        <w:t>3</w:t>
      </w:r>
      <w:r>
        <w:t xml:space="preserve">). </w:t>
      </w:r>
    </w:p>
    <w:p w:rsidR="00636AB5" w:rsidRDefault="00636AB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36AB5">
        <w:tc>
          <w:tcPr>
            <w:tcW w:w="8771" w:type="dxa"/>
            <w:tcBorders>
              <w:top w:val="single" w:sz="6" w:space="0" w:color="auto"/>
              <w:bottom w:val="nil"/>
            </w:tcBorders>
          </w:tcPr>
          <w:p w:rsidR="00636AB5" w:rsidRDefault="00636AB5">
            <w:pPr>
              <w:pStyle w:val="BoxTitle"/>
            </w:pPr>
            <w:r>
              <w:rPr>
                <w:b w:val="0"/>
              </w:rPr>
              <w:t xml:space="preserve">Box </w:t>
            </w:r>
            <w:bookmarkStart w:id="137" w:name="OLE_LINK4"/>
            <w:r>
              <w:rPr>
                <w:b w:val="0"/>
              </w:rPr>
              <w:t>13.</w:t>
            </w:r>
            <w:r w:rsidR="00E4728C">
              <w:rPr>
                <w:b w:val="0"/>
                <w:noProof/>
              </w:rPr>
              <w:t>13</w:t>
            </w:r>
            <w:bookmarkEnd w:id="137"/>
            <w:r>
              <w:tab/>
            </w:r>
            <w:r w:rsidRPr="009601ED">
              <w:rPr>
                <w:sz w:val="24"/>
              </w:rPr>
              <w:t>Compliance with service standards for community care</w:t>
            </w:r>
          </w:p>
        </w:tc>
      </w:tr>
      <w:tr w:rsidR="00636AB5">
        <w:trPr>
          <w:cantSplit/>
        </w:trPr>
        <w:tc>
          <w:tcPr>
            <w:tcW w:w="8771" w:type="dxa"/>
            <w:tcBorders>
              <w:top w:val="nil"/>
              <w:left w:val="single" w:sz="6" w:space="0" w:color="auto"/>
              <w:bottom w:val="nil"/>
              <w:right w:val="single" w:sz="6" w:space="0" w:color="auto"/>
            </w:tcBorders>
          </w:tcPr>
          <w:p w:rsidR="00636AB5" w:rsidRPr="0081675E" w:rsidRDefault="00636AB5" w:rsidP="00636AB5">
            <w:pPr>
              <w:pStyle w:val="Box"/>
              <w:rPr>
                <w:lang w:val="en-US"/>
              </w:rPr>
            </w:pPr>
            <w:r w:rsidRPr="00EE3C01">
              <w:rPr>
                <w:lang w:val="en-US"/>
              </w:rPr>
              <w:t xml:space="preserve">‘Compliance with service standards for community care’ </w:t>
            </w:r>
            <w:r>
              <w:rPr>
                <w:lang w:val="en-US"/>
              </w:rPr>
              <w:t>is</w:t>
            </w:r>
            <w:r w:rsidRPr="00EE3C01">
              <w:rPr>
                <w:lang w:val="en-US"/>
              </w:rPr>
              <w:t xml:space="preserve"> defined as </w:t>
            </w:r>
            <w:r w:rsidRPr="0081675E">
              <w:rPr>
                <w:lang w:val="en-US"/>
              </w:rPr>
              <w:t xml:space="preserve">the proportion of community aged care services which received ratings for: </w:t>
            </w:r>
          </w:p>
          <w:p w:rsidR="00636AB5" w:rsidRPr="0081675E" w:rsidRDefault="00636AB5" w:rsidP="00636AB5">
            <w:pPr>
              <w:pStyle w:val="BoxListBullet"/>
              <w:rPr>
                <w:lang w:val="en-US"/>
              </w:rPr>
            </w:pPr>
            <w:r w:rsidRPr="0081675E">
              <w:rPr>
                <w:lang w:val="en-US"/>
              </w:rPr>
              <w:t>Outcome 1</w:t>
            </w:r>
            <w:r>
              <w:rPr>
                <w:lang w:val="en-US"/>
              </w:rPr>
              <w:t xml:space="preserve"> </w:t>
            </w:r>
            <w:bookmarkStart w:id="138" w:name="OLE_LINK52"/>
            <w:bookmarkStart w:id="139" w:name="OLE_LINK53"/>
            <w:r>
              <w:rPr>
                <w:rFonts w:cs="Arial"/>
                <w:lang w:val="en-US"/>
              </w:rPr>
              <w:t>—</w:t>
            </w:r>
            <w:bookmarkEnd w:id="138"/>
            <w:bookmarkEnd w:id="139"/>
            <w:r w:rsidRPr="0081675E">
              <w:rPr>
                <w:lang w:val="en-US"/>
              </w:rPr>
              <w:t xml:space="preserve"> effecti</w:t>
            </w:r>
            <w:r>
              <w:rPr>
                <w:lang w:val="en-US"/>
              </w:rPr>
              <w:t>ve process and systems in place</w:t>
            </w:r>
            <w:r w:rsidRPr="0081675E">
              <w:rPr>
                <w:lang w:val="en-US"/>
              </w:rPr>
              <w:t xml:space="preserve"> </w:t>
            </w:r>
          </w:p>
          <w:p w:rsidR="00636AB5" w:rsidRPr="0081675E" w:rsidRDefault="00636AB5" w:rsidP="00636AB5">
            <w:pPr>
              <w:pStyle w:val="BoxListBullet"/>
              <w:rPr>
                <w:lang w:val="en-US"/>
              </w:rPr>
            </w:pPr>
            <w:r w:rsidRPr="0081675E">
              <w:rPr>
                <w:lang w:val="en-US"/>
              </w:rPr>
              <w:t xml:space="preserve">Outcome 2 </w:t>
            </w:r>
            <w:r>
              <w:rPr>
                <w:rFonts w:cs="Arial"/>
                <w:lang w:val="en-US"/>
              </w:rPr>
              <w:t xml:space="preserve">— </w:t>
            </w:r>
            <w:r w:rsidRPr="0081675E">
              <w:rPr>
                <w:lang w:val="en-US"/>
              </w:rPr>
              <w:t xml:space="preserve">some concerns about effectiveness of processes and systems in place </w:t>
            </w:r>
          </w:p>
          <w:p w:rsidR="00636AB5" w:rsidRPr="000E1620" w:rsidRDefault="00636AB5" w:rsidP="00636AB5">
            <w:pPr>
              <w:pStyle w:val="BoxListBullet"/>
            </w:pPr>
            <w:r w:rsidRPr="0081675E">
              <w:rPr>
                <w:lang w:val="en-US"/>
              </w:rPr>
              <w:t xml:space="preserve">Outcome 3 </w:t>
            </w:r>
            <w:r>
              <w:rPr>
                <w:rFonts w:cs="Arial"/>
                <w:lang w:val="en-US"/>
              </w:rPr>
              <w:t>—</w:t>
            </w:r>
            <w:r w:rsidRPr="0081675E">
              <w:rPr>
                <w:lang w:val="en-US"/>
              </w:rPr>
              <w:t xml:space="preserve"> significant concerns about effectiveness of </w:t>
            </w:r>
            <w:r>
              <w:rPr>
                <w:lang w:val="en-US"/>
              </w:rPr>
              <w:t>processes and systems in place</w:t>
            </w:r>
            <w:r w:rsidRPr="0081675E">
              <w:rPr>
                <w:lang w:val="en-US"/>
              </w:rPr>
              <w:t>.</w:t>
            </w:r>
            <w:r>
              <w:rPr>
                <w:lang w:val="en-US"/>
              </w:rPr>
              <w:t xml:space="preserve"> </w:t>
            </w:r>
          </w:p>
          <w:p w:rsidR="00636AB5" w:rsidRDefault="00636AB5">
            <w:pPr>
              <w:pStyle w:val="Box"/>
            </w:pPr>
            <w:r>
              <w:t xml:space="preserve">The number of reviews against program standards for </w:t>
            </w:r>
            <w:r w:rsidRPr="00B7234C">
              <w:t>community aged care services</w:t>
            </w:r>
            <w:r w:rsidRPr="009E7DB0">
              <w:t xml:space="preserve"> </w:t>
            </w:r>
            <w:r>
              <w:t xml:space="preserve">that were completed is also provided for information. </w:t>
            </w:r>
            <w:r>
              <w:rPr>
                <w:lang w:val="en-US"/>
              </w:rPr>
              <w:t xml:space="preserve">Data are reported for the </w:t>
            </w:r>
            <w:r w:rsidRPr="0081675E">
              <w:rPr>
                <w:lang w:val="en-US"/>
              </w:rPr>
              <w:t>CACP, EACH, EACH</w:t>
            </w:r>
            <w:r w:rsidR="00AA68A5">
              <w:rPr>
                <w:lang w:val="en-US"/>
              </w:rPr>
              <w:noBreakHyphen/>
            </w:r>
            <w:r>
              <w:rPr>
                <w:lang w:val="en-US"/>
              </w:rPr>
              <w:t xml:space="preserve">D and NRCP programs combined and separately for the HACC program. </w:t>
            </w:r>
            <w:r w:rsidRPr="00707143">
              <w:rPr>
                <w:lang w:val="en-US"/>
              </w:rPr>
              <w:t xml:space="preserve">HACC review numbers and outcomes are </w:t>
            </w:r>
            <w:r>
              <w:rPr>
                <w:lang w:val="en-US"/>
              </w:rPr>
              <w:t xml:space="preserve">reported separately as they may be </w:t>
            </w:r>
            <w:r w:rsidRPr="00707143">
              <w:rPr>
                <w:lang w:val="en-US"/>
              </w:rPr>
              <w:t xml:space="preserve">undertaken at a different </w:t>
            </w:r>
            <w:proofErr w:type="spellStart"/>
            <w:r w:rsidRPr="00707143">
              <w:rPr>
                <w:lang w:val="en-US"/>
              </w:rPr>
              <w:t>organisational</w:t>
            </w:r>
            <w:proofErr w:type="spellEnd"/>
            <w:r w:rsidRPr="00707143">
              <w:rPr>
                <w:lang w:val="en-US"/>
              </w:rPr>
              <w:t xml:space="preserve"> level t</w:t>
            </w:r>
            <w:r>
              <w:rPr>
                <w:lang w:val="en-US"/>
              </w:rPr>
              <w:t>o the other programs.</w:t>
            </w:r>
          </w:p>
        </w:tc>
      </w:tr>
      <w:tr w:rsidR="00636AB5">
        <w:trPr>
          <w:cantSplit/>
        </w:trPr>
        <w:tc>
          <w:tcPr>
            <w:tcW w:w="8771" w:type="dxa"/>
            <w:tcBorders>
              <w:top w:val="nil"/>
              <w:left w:val="single" w:sz="6" w:space="0" w:color="auto"/>
              <w:bottom w:val="nil"/>
              <w:right w:val="single" w:sz="6" w:space="0" w:color="auto"/>
            </w:tcBorders>
          </w:tcPr>
          <w:p w:rsidR="00636AB5" w:rsidRDefault="00636AB5" w:rsidP="00636AB5">
            <w:pPr>
              <w:pStyle w:val="Continued"/>
            </w:pPr>
            <w:r>
              <w:t>(Continued next page)</w:t>
            </w:r>
          </w:p>
        </w:tc>
      </w:tr>
      <w:tr w:rsidR="00636AB5">
        <w:trPr>
          <w:cantSplit/>
        </w:trPr>
        <w:tc>
          <w:tcPr>
            <w:tcW w:w="8771" w:type="dxa"/>
            <w:tcBorders>
              <w:top w:val="nil"/>
              <w:left w:val="single" w:sz="6" w:space="0" w:color="auto"/>
              <w:bottom w:val="single" w:sz="6" w:space="0" w:color="auto"/>
              <w:right w:val="single" w:sz="6" w:space="0" w:color="auto"/>
            </w:tcBorders>
          </w:tcPr>
          <w:p w:rsidR="00636AB5" w:rsidRDefault="00636AB5">
            <w:pPr>
              <w:pStyle w:val="Box"/>
              <w:spacing w:before="0" w:line="120" w:lineRule="exact"/>
            </w:pPr>
          </w:p>
        </w:tc>
      </w:tr>
      <w:tr w:rsidR="00636AB5" w:rsidRPr="000863A5">
        <w:tc>
          <w:tcPr>
            <w:tcW w:w="8771" w:type="dxa"/>
            <w:tcBorders>
              <w:top w:val="nil"/>
              <w:left w:val="nil"/>
              <w:bottom w:val="nil"/>
              <w:right w:val="nil"/>
            </w:tcBorders>
          </w:tcPr>
          <w:p w:rsidR="00636AB5" w:rsidRPr="00626D32" w:rsidRDefault="00636AB5" w:rsidP="00E319C9">
            <w:pPr>
              <w:pStyle w:val="BoxSpaceBelow"/>
            </w:pPr>
          </w:p>
        </w:tc>
      </w:tr>
    </w:tbl>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1F52A0">
        <w:tc>
          <w:tcPr>
            <w:tcW w:w="8771" w:type="dxa"/>
            <w:tcBorders>
              <w:top w:val="single" w:sz="6" w:space="0" w:color="auto"/>
              <w:bottom w:val="nil"/>
            </w:tcBorders>
          </w:tcPr>
          <w:p w:rsidR="00A12C8F" w:rsidRPr="009601ED" w:rsidRDefault="00A12C8F" w:rsidP="00636AB5">
            <w:pPr>
              <w:pStyle w:val="BoxTitle"/>
              <w:rPr>
                <w:sz w:val="24"/>
              </w:rPr>
            </w:pPr>
            <w:r w:rsidRPr="009601ED">
              <w:rPr>
                <w:b w:val="0"/>
                <w:sz w:val="24"/>
              </w:rPr>
              <w:t xml:space="preserve">Box </w:t>
            </w:r>
            <w:r w:rsidR="00636AB5" w:rsidRPr="00636AB5">
              <w:rPr>
                <w:b w:val="0"/>
              </w:rPr>
              <w:t>13.13</w:t>
            </w:r>
            <w:r w:rsidRPr="009601ED">
              <w:rPr>
                <w:sz w:val="24"/>
              </w:rPr>
              <w:tab/>
            </w:r>
            <w:r w:rsidR="00636AB5" w:rsidRPr="00636AB5">
              <w:rPr>
                <w:sz w:val="18"/>
                <w:szCs w:val="18"/>
              </w:rPr>
              <w:t>(</w:t>
            </w:r>
            <w:r w:rsidR="00636AB5">
              <w:rPr>
                <w:sz w:val="18"/>
                <w:szCs w:val="18"/>
              </w:rPr>
              <w:t>c</w:t>
            </w:r>
            <w:r w:rsidR="00636AB5" w:rsidRPr="00636AB5">
              <w:rPr>
                <w:sz w:val="18"/>
                <w:szCs w:val="18"/>
              </w:rPr>
              <w:t>ontinued)</w:t>
            </w:r>
            <w:r w:rsidRPr="009601ED">
              <w:rPr>
                <w:sz w:val="24"/>
              </w:rPr>
              <w:t xml:space="preserve"> </w:t>
            </w:r>
          </w:p>
        </w:tc>
      </w:tr>
      <w:tr w:rsidR="00A12C8F" w:rsidTr="001F52A0">
        <w:trPr>
          <w:cantSplit/>
        </w:trPr>
        <w:tc>
          <w:tcPr>
            <w:tcW w:w="8771" w:type="dxa"/>
            <w:tcBorders>
              <w:top w:val="nil"/>
              <w:left w:val="single" w:sz="4" w:space="0" w:color="auto"/>
              <w:bottom w:val="nil"/>
              <w:right w:val="single" w:sz="6" w:space="0" w:color="auto"/>
            </w:tcBorders>
          </w:tcPr>
          <w:p w:rsidR="00A12C8F" w:rsidRDefault="006B554D" w:rsidP="006F1A7C">
            <w:pPr>
              <w:pStyle w:val="Box"/>
            </w:pPr>
            <w:r>
              <w:t xml:space="preserve">A high </w:t>
            </w:r>
            <w:r w:rsidR="008104F3">
              <w:t xml:space="preserve">or increasing </w:t>
            </w:r>
            <w:r>
              <w:t xml:space="preserve">proportion of </w:t>
            </w:r>
            <w:r w:rsidRPr="00B7234C">
              <w:t>community aged care services</w:t>
            </w:r>
            <w:r>
              <w:t xml:space="preserve"> reviewed </w:t>
            </w:r>
            <w:r w:rsidR="00E2510D">
              <w:t xml:space="preserve">and a high </w:t>
            </w:r>
            <w:r w:rsidR="008104F3">
              <w:t xml:space="preserve">or increasing </w:t>
            </w:r>
            <w:r w:rsidR="00E2510D">
              <w:t>proportion reviewed who achieved a</w:t>
            </w:r>
            <w:r w:rsidR="00DC2ED0">
              <w:t>n</w:t>
            </w:r>
            <w:r w:rsidR="00E2510D">
              <w:t xml:space="preserve"> outcome 1 (</w:t>
            </w:r>
            <w:r w:rsidR="00E2510D" w:rsidRPr="003A33A1">
              <w:t xml:space="preserve">effective processes and systems in place) </w:t>
            </w:r>
            <w:r w:rsidR="00692DE2" w:rsidRPr="003A33A1">
              <w:t>are</w:t>
            </w:r>
            <w:r w:rsidR="00E2510D" w:rsidRPr="003A33A1">
              <w:t xml:space="preserve"> desirable.</w:t>
            </w:r>
            <w:r>
              <w:t xml:space="preserve"> </w:t>
            </w:r>
          </w:p>
          <w:p w:rsidR="00A12C8F" w:rsidRDefault="00A12C8F" w:rsidP="006F1A7C">
            <w:pPr>
              <w:pStyle w:val="Box"/>
            </w:pPr>
            <w:r>
              <w:t xml:space="preserve">The indicator </w:t>
            </w:r>
            <w:r w:rsidR="00FF1A03">
              <w:t>monitors</w:t>
            </w:r>
            <w:r>
              <w:t xml:space="preserve"> the extent to </w:t>
            </w:r>
            <w:r w:rsidR="00A672D7">
              <w:t xml:space="preserve">which </w:t>
            </w:r>
            <w:r>
              <w:t xml:space="preserve">agencies are </w:t>
            </w:r>
            <w:r w:rsidR="00FF1A03">
              <w:t xml:space="preserve">being </w:t>
            </w:r>
            <w:r w:rsidR="00FF1A03" w:rsidRPr="00FF1A03">
              <w:t xml:space="preserve">reviewed </w:t>
            </w:r>
            <w:r w:rsidR="00FF1A03">
              <w:t xml:space="preserve">over </w:t>
            </w:r>
            <w:r w:rsidR="00A27BD6">
              <w:t xml:space="preserve">a </w:t>
            </w:r>
            <w:r w:rsidR="00FF1A03">
              <w:t xml:space="preserve">three year </w:t>
            </w:r>
            <w:r w:rsidR="00A27BD6">
              <w:t>cycle</w:t>
            </w:r>
            <w:r w:rsidR="00FF1A03">
              <w:t xml:space="preserve"> by </w:t>
            </w:r>
            <w:r w:rsidR="00A27BD6">
              <w:t xml:space="preserve">identifying </w:t>
            </w:r>
            <w:r w:rsidR="00FF1A03">
              <w:t xml:space="preserve">what proportion of </w:t>
            </w:r>
            <w:r w:rsidR="00A27BD6">
              <w:t xml:space="preserve">services </w:t>
            </w:r>
            <w:r w:rsidR="00206329">
              <w:t>targeted for</w:t>
            </w:r>
            <w:r w:rsidR="00FF1A03">
              <w:t xml:space="preserve"> review </w:t>
            </w:r>
            <w:r w:rsidR="00A27BD6">
              <w:t xml:space="preserve">have been </w:t>
            </w:r>
            <w:r w:rsidR="00616DA3">
              <w:t>reviewed in</w:t>
            </w:r>
            <w:r w:rsidR="00FF1A03">
              <w:t xml:space="preserve"> a particular year</w:t>
            </w:r>
            <w:r>
              <w:t>. This indicator also measures the p</w:t>
            </w:r>
            <w:r w:rsidR="00BA5096">
              <w:t>roportion</w:t>
            </w:r>
            <w:r>
              <w:t xml:space="preserve"> of individual agencies that comply with the service standards, through the outcomes of service standard appraisals. It should be noted that </w:t>
            </w:r>
            <w:r w:rsidR="00616DA3">
              <w:t xml:space="preserve">a review against </w:t>
            </w:r>
            <w:r>
              <w:t xml:space="preserve">the standards </w:t>
            </w:r>
            <w:r w:rsidR="00616DA3">
              <w:t>is</w:t>
            </w:r>
            <w:r>
              <w:t xml:space="preserve"> not an accreditation </w:t>
            </w:r>
            <w:r w:rsidR="00616DA3">
              <w:t>process</w:t>
            </w:r>
            <w:r>
              <w:t>.</w:t>
            </w:r>
          </w:p>
          <w:p w:rsidR="00E3798B" w:rsidRDefault="00E3798B" w:rsidP="00E3798B">
            <w:pPr>
              <w:pStyle w:val="Box"/>
            </w:pPr>
            <w:r>
              <w:t>Data reported for this indicator are:</w:t>
            </w:r>
          </w:p>
          <w:p w:rsidR="00E3798B" w:rsidRDefault="00E3798B" w:rsidP="00E3798B">
            <w:pPr>
              <w:pStyle w:val="BoxListBullet"/>
            </w:pPr>
            <w:r w:rsidRPr="00C304FF">
              <w:t xml:space="preserve">comparable (subject to caveats) across jurisdictions </w:t>
            </w:r>
            <w:r>
              <w:t xml:space="preserve">and overtime </w:t>
            </w:r>
          </w:p>
          <w:p w:rsidR="00A12C8F" w:rsidRDefault="00E3798B" w:rsidP="00E3798B">
            <w:pPr>
              <w:pStyle w:val="BoxListBullet"/>
            </w:pPr>
            <w:r>
              <w:t xml:space="preserve">complete for the current reporting period (subject to caveats). All required </w:t>
            </w:r>
            <w:r>
              <w:br/>
              <w:t>2012</w:t>
            </w:r>
            <w:r w:rsidR="00AA68A5">
              <w:noBreakHyphen/>
            </w:r>
            <w:r>
              <w:t>13 data are available for all jurisdictions.</w:t>
            </w:r>
            <w:r w:rsidR="00162868">
              <w:t xml:space="preserve"> </w:t>
            </w:r>
          </w:p>
          <w:p w:rsidR="000A26F9" w:rsidRDefault="000A26F9" w:rsidP="006F1A7C">
            <w:pPr>
              <w:pStyle w:val="Box"/>
            </w:pPr>
            <w:r w:rsidRPr="000A26F9">
              <w:t>Data quality information for this indicator is under development.</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A12C8F" w:rsidRDefault="00A27BD6" w:rsidP="00F2055D">
      <w:pPr>
        <w:pStyle w:val="BodyText"/>
        <w:shd w:val="clear" w:color="auto" w:fill="FFFFFF" w:themeFill="background1"/>
      </w:pPr>
      <w:r>
        <w:t xml:space="preserve">Nationally, a total of </w:t>
      </w:r>
      <w:r w:rsidR="00C54B58" w:rsidRPr="00F2055D">
        <w:rPr>
          <w:shd w:val="clear" w:color="auto" w:fill="FFFFFF" w:themeFill="background1"/>
        </w:rPr>
        <w:t>424</w:t>
      </w:r>
      <w:r w:rsidRPr="00F052C2">
        <w:t xml:space="preserve"> review</w:t>
      </w:r>
      <w:r w:rsidR="00340A82" w:rsidRPr="00F052C2">
        <w:t>s</w:t>
      </w:r>
      <w:r>
        <w:t xml:space="preserve"> </w:t>
      </w:r>
      <w:r w:rsidR="00340A82">
        <w:t xml:space="preserve">of HACC services </w:t>
      </w:r>
      <w:r w:rsidR="00340A82" w:rsidRPr="00F052C2">
        <w:t xml:space="preserve">were </w:t>
      </w:r>
      <w:r w:rsidR="00934822" w:rsidRPr="00F052C2">
        <w:t>completed</w:t>
      </w:r>
      <w:r w:rsidR="00340A82" w:rsidRPr="00F052C2">
        <w:t xml:space="preserve"> </w:t>
      </w:r>
      <w:r>
        <w:t>in 201</w:t>
      </w:r>
      <w:r w:rsidR="00EE11E0">
        <w:t>2</w:t>
      </w:r>
      <w:r w:rsidR="00AA68A5">
        <w:noBreakHyphen/>
      </w:r>
      <w:r>
        <w:t>1</w:t>
      </w:r>
      <w:r w:rsidR="00EE11E0">
        <w:t>3</w:t>
      </w:r>
      <w:r>
        <w:t xml:space="preserve"> (</w:t>
      </w:r>
      <w:r w:rsidRPr="00F052C2">
        <w:t>table</w:t>
      </w:r>
      <w:r w:rsidR="00AA68A5">
        <w:t> </w:t>
      </w:r>
      <w:r w:rsidRPr="00F052C2">
        <w:t>13</w:t>
      </w:r>
      <w:r w:rsidR="006201A3" w:rsidRPr="00F052C2">
        <w:t>.</w:t>
      </w:r>
      <w:r w:rsidR="00EE11E0">
        <w:t>9</w:t>
      </w:r>
      <w:r>
        <w:t xml:space="preserve">). </w:t>
      </w:r>
      <w:r w:rsidR="00292D4A">
        <w:t>O</w:t>
      </w:r>
      <w:r>
        <w:t xml:space="preserve">utcome 1 — effective processes and systems in place — was achieved </w:t>
      </w:r>
      <w:r w:rsidR="005774AF">
        <w:t xml:space="preserve">in </w:t>
      </w:r>
      <w:r w:rsidR="000E09BC" w:rsidRPr="00F2055D">
        <w:rPr>
          <w:shd w:val="clear" w:color="auto" w:fill="FFFFFF" w:themeFill="background1"/>
        </w:rPr>
        <w:t>7</w:t>
      </w:r>
      <w:r w:rsidR="00C54B58" w:rsidRPr="00F2055D">
        <w:rPr>
          <w:shd w:val="clear" w:color="auto" w:fill="FFFFFF" w:themeFill="background1"/>
        </w:rPr>
        <w:t>1</w:t>
      </w:r>
      <w:r w:rsidR="000E09BC" w:rsidRPr="00F2055D">
        <w:rPr>
          <w:shd w:val="clear" w:color="auto" w:fill="FFFFFF" w:themeFill="background1"/>
        </w:rPr>
        <w:t>.</w:t>
      </w:r>
      <w:r w:rsidR="00C54B58" w:rsidRPr="00F2055D">
        <w:rPr>
          <w:shd w:val="clear" w:color="auto" w:fill="FFFFFF" w:themeFill="background1"/>
        </w:rPr>
        <w:t>2</w:t>
      </w:r>
      <w:r>
        <w:t xml:space="preserve"> per cent </w:t>
      </w:r>
      <w:r w:rsidR="005774AF">
        <w:t xml:space="preserve">of </w:t>
      </w:r>
      <w:r w:rsidR="00340A82">
        <w:t xml:space="preserve">these </w:t>
      </w:r>
      <w:r w:rsidR="005774AF">
        <w:t xml:space="preserve">reviews </w:t>
      </w:r>
      <w:r>
        <w:t>(table</w:t>
      </w:r>
      <w:r w:rsidR="00AA68A5">
        <w:t> </w:t>
      </w:r>
      <w:r>
        <w:t>13.</w:t>
      </w:r>
      <w:r w:rsidR="00EE11E0">
        <w:t>9</w:t>
      </w:r>
      <w:r>
        <w:t>).</w:t>
      </w:r>
      <w:r w:rsidR="00A12C8F" w:rsidRPr="00776C79">
        <w:t xml:space="preserve"> </w:t>
      </w:r>
    </w:p>
    <w:p w:rsidR="00A27BD6" w:rsidRPr="009601ED" w:rsidRDefault="00A27BD6" w:rsidP="00CD71B6">
      <w:pPr>
        <w:pStyle w:val="TableTitle"/>
        <w:rPr>
          <w:sz w:val="24"/>
        </w:rPr>
      </w:pPr>
      <w:r w:rsidRPr="009601ED">
        <w:rPr>
          <w:b w:val="0"/>
          <w:sz w:val="24"/>
        </w:rPr>
        <w:t xml:space="preserve">Table </w:t>
      </w:r>
      <w:r w:rsidR="00EE11E0">
        <w:rPr>
          <w:b w:val="0"/>
          <w:sz w:val="24"/>
        </w:rPr>
        <w:t>13.</w:t>
      </w:r>
      <w:r w:rsidR="00E4728C">
        <w:rPr>
          <w:b w:val="0"/>
          <w:noProof/>
          <w:sz w:val="24"/>
        </w:rPr>
        <w:t>9</w:t>
      </w:r>
      <w:r w:rsidRPr="009601ED">
        <w:rPr>
          <w:b w:val="0"/>
          <w:sz w:val="24"/>
        </w:rPr>
        <w:tab/>
      </w:r>
      <w:r w:rsidRPr="009601ED">
        <w:rPr>
          <w:sz w:val="24"/>
        </w:rPr>
        <w:t>Compliance with service standards for HACC, 201</w:t>
      </w:r>
      <w:r w:rsidR="00EE11E0">
        <w:rPr>
          <w:sz w:val="24"/>
        </w:rPr>
        <w:t>2</w:t>
      </w:r>
      <w:r w:rsidR="00AA68A5">
        <w:rPr>
          <w:sz w:val="24"/>
        </w:rPr>
        <w:noBreakHyphen/>
      </w:r>
      <w:r w:rsidRPr="009601ED">
        <w:rPr>
          <w:sz w:val="24"/>
        </w:rPr>
        <w:t>1</w:t>
      </w:r>
      <w:r w:rsidR="00EE11E0">
        <w:rPr>
          <w:sz w:val="24"/>
        </w:rPr>
        <w:t>3</w:t>
      </w:r>
      <w:r w:rsidR="00C54B58" w:rsidRPr="00C54B58">
        <w:rPr>
          <w:rStyle w:val="NoteLabel"/>
          <w:b/>
        </w:rPr>
        <w:t>a</w:t>
      </w:r>
    </w:p>
    <w:tbl>
      <w:tblPr>
        <w:tblW w:w="5000" w:type="pct"/>
        <w:tblCellMar>
          <w:left w:w="0" w:type="dxa"/>
          <w:right w:w="0" w:type="dxa"/>
        </w:tblCellMar>
        <w:tblLook w:val="0000" w:firstRow="0" w:lastRow="0" w:firstColumn="0" w:lastColumn="0" w:noHBand="0" w:noVBand="0"/>
      </w:tblPr>
      <w:tblGrid>
        <w:gridCol w:w="1276"/>
        <w:gridCol w:w="854"/>
        <w:gridCol w:w="711"/>
        <w:gridCol w:w="683"/>
        <w:gridCol w:w="882"/>
        <w:gridCol w:w="882"/>
        <w:gridCol w:w="809"/>
        <w:gridCol w:w="72"/>
        <w:gridCol w:w="884"/>
        <w:gridCol w:w="885"/>
        <w:gridCol w:w="880"/>
      </w:tblGrid>
      <w:tr w:rsidR="00A27BD6" w:rsidTr="00CD71B6">
        <w:tc>
          <w:tcPr>
            <w:tcW w:w="724" w:type="pct"/>
            <w:tcBorders>
              <w:top w:val="single" w:sz="6" w:space="0" w:color="auto"/>
              <w:bottom w:val="single" w:sz="6" w:space="0" w:color="auto"/>
            </w:tcBorders>
            <w:shd w:val="clear" w:color="auto" w:fill="auto"/>
          </w:tcPr>
          <w:p w:rsidR="00A27BD6" w:rsidRDefault="00A27BD6" w:rsidP="00707143">
            <w:pPr>
              <w:pStyle w:val="TableColumnHeading"/>
              <w:pBdr>
                <w:left w:val="single" w:sz="4" w:space="1" w:color="auto"/>
              </w:pBdr>
              <w:jc w:val="left"/>
            </w:pPr>
          </w:p>
        </w:tc>
        <w:tc>
          <w:tcPr>
            <w:tcW w:w="484" w:type="pct"/>
            <w:tcBorders>
              <w:top w:val="single" w:sz="6" w:space="0" w:color="auto"/>
              <w:bottom w:val="single" w:sz="6" w:space="0" w:color="auto"/>
            </w:tcBorders>
            <w:shd w:val="clear" w:color="auto" w:fill="auto"/>
          </w:tcPr>
          <w:p w:rsidR="00A27BD6" w:rsidRPr="00794159" w:rsidRDefault="00A27BD6" w:rsidP="00AA68A5">
            <w:pPr>
              <w:pStyle w:val="TableColumnHeading"/>
              <w:ind w:right="0"/>
            </w:pPr>
            <w:r w:rsidRPr="00C54B58">
              <w:t>NSW</w:t>
            </w:r>
            <w:r w:rsidR="00C54B58">
              <w:rPr>
                <w:rStyle w:val="NoteLabel"/>
                <w:i w:val="0"/>
              </w:rPr>
              <w:t>b</w:t>
            </w:r>
          </w:p>
        </w:tc>
        <w:tc>
          <w:tcPr>
            <w:tcW w:w="403" w:type="pct"/>
            <w:tcBorders>
              <w:top w:val="single" w:sz="6" w:space="0" w:color="auto"/>
              <w:bottom w:val="single" w:sz="6" w:space="0" w:color="auto"/>
            </w:tcBorders>
            <w:shd w:val="clear" w:color="auto" w:fill="auto"/>
          </w:tcPr>
          <w:p w:rsidR="00A27BD6" w:rsidRPr="00794159" w:rsidRDefault="00A27BD6" w:rsidP="00AA68A5">
            <w:pPr>
              <w:pStyle w:val="TableColumnHeading"/>
              <w:pBdr>
                <w:left w:val="single" w:sz="4" w:space="1" w:color="auto"/>
              </w:pBdr>
              <w:ind w:right="0"/>
            </w:pPr>
            <w:r w:rsidRPr="00794159">
              <w:t>Vic</w:t>
            </w:r>
            <w:r w:rsidR="00C54B58">
              <w:rPr>
                <w:rStyle w:val="NoteLabel"/>
                <w:i w:val="0"/>
              </w:rPr>
              <w:t>c</w:t>
            </w:r>
          </w:p>
        </w:tc>
        <w:tc>
          <w:tcPr>
            <w:tcW w:w="387" w:type="pct"/>
            <w:tcBorders>
              <w:top w:val="single" w:sz="6" w:space="0" w:color="auto"/>
              <w:bottom w:val="single" w:sz="6" w:space="0" w:color="auto"/>
            </w:tcBorders>
            <w:shd w:val="clear" w:color="auto" w:fill="auto"/>
          </w:tcPr>
          <w:p w:rsidR="00A27BD6" w:rsidRPr="00794159" w:rsidRDefault="00A27BD6" w:rsidP="00AA68A5">
            <w:pPr>
              <w:pStyle w:val="TableColumnHeading"/>
              <w:pBdr>
                <w:left w:val="single" w:sz="4" w:space="1" w:color="auto"/>
              </w:pBdr>
            </w:pPr>
            <w:r w:rsidRPr="00794159">
              <w:t>Qld</w:t>
            </w:r>
          </w:p>
        </w:tc>
        <w:tc>
          <w:tcPr>
            <w:tcW w:w="500" w:type="pct"/>
            <w:tcBorders>
              <w:top w:val="single" w:sz="6" w:space="0" w:color="auto"/>
              <w:bottom w:val="single" w:sz="6" w:space="0" w:color="auto"/>
            </w:tcBorders>
            <w:shd w:val="clear" w:color="auto" w:fill="auto"/>
          </w:tcPr>
          <w:p w:rsidR="00A27BD6" w:rsidRPr="00794159" w:rsidRDefault="00A27BD6" w:rsidP="00AA68A5">
            <w:pPr>
              <w:pStyle w:val="TableColumnHeading"/>
              <w:pBdr>
                <w:left w:val="single" w:sz="4" w:space="1" w:color="auto"/>
              </w:pBdr>
            </w:pPr>
            <w:r w:rsidRPr="00794159">
              <w:t>WA</w:t>
            </w:r>
          </w:p>
        </w:tc>
        <w:tc>
          <w:tcPr>
            <w:tcW w:w="500" w:type="pct"/>
            <w:tcBorders>
              <w:top w:val="single" w:sz="6" w:space="0" w:color="auto"/>
              <w:bottom w:val="single" w:sz="6" w:space="0" w:color="auto"/>
            </w:tcBorders>
            <w:shd w:val="clear" w:color="auto" w:fill="auto"/>
          </w:tcPr>
          <w:p w:rsidR="00A27BD6" w:rsidRPr="00794159" w:rsidRDefault="00A27BD6" w:rsidP="00AA68A5">
            <w:pPr>
              <w:pStyle w:val="TableColumnHeading"/>
              <w:pBdr>
                <w:left w:val="single" w:sz="4" w:space="1" w:color="auto"/>
              </w:pBdr>
            </w:pPr>
            <w:r w:rsidRPr="00794159">
              <w:t>SA</w:t>
            </w:r>
          </w:p>
        </w:tc>
        <w:tc>
          <w:tcPr>
            <w:tcW w:w="500" w:type="pct"/>
            <w:gridSpan w:val="2"/>
            <w:tcBorders>
              <w:top w:val="single" w:sz="6" w:space="0" w:color="auto"/>
              <w:bottom w:val="single" w:sz="6" w:space="0" w:color="auto"/>
            </w:tcBorders>
            <w:shd w:val="clear" w:color="auto" w:fill="auto"/>
          </w:tcPr>
          <w:p w:rsidR="00A27BD6" w:rsidRPr="00794159" w:rsidRDefault="00A27BD6" w:rsidP="00AA68A5">
            <w:pPr>
              <w:pStyle w:val="TableColumnHeading"/>
              <w:pBdr>
                <w:left w:val="single" w:sz="4" w:space="1" w:color="auto"/>
              </w:pBdr>
            </w:pPr>
            <w:r w:rsidRPr="00794159">
              <w:t>Tas</w:t>
            </w:r>
          </w:p>
        </w:tc>
        <w:tc>
          <w:tcPr>
            <w:tcW w:w="501" w:type="pct"/>
            <w:tcBorders>
              <w:top w:val="single" w:sz="6" w:space="0" w:color="auto"/>
              <w:bottom w:val="single" w:sz="6" w:space="0" w:color="auto"/>
            </w:tcBorders>
            <w:shd w:val="clear" w:color="auto" w:fill="auto"/>
          </w:tcPr>
          <w:p w:rsidR="00A27BD6" w:rsidRPr="00794159" w:rsidRDefault="00A27BD6" w:rsidP="00AA68A5">
            <w:pPr>
              <w:pStyle w:val="TableColumnHeading"/>
              <w:pBdr>
                <w:left w:val="single" w:sz="4" w:space="1" w:color="auto"/>
              </w:pBdr>
            </w:pPr>
            <w:r w:rsidRPr="00794159">
              <w:t>ACT</w:t>
            </w:r>
          </w:p>
        </w:tc>
        <w:tc>
          <w:tcPr>
            <w:tcW w:w="502" w:type="pct"/>
            <w:tcBorders>
              <w:top w:val="single" w:sz="6" w:space="0" w:color="auto"/>
              <w:bottom w:val="single" w:sz="6" w:space="0" w:color="auto"/>
            </w:tcBorders>
            <w:shd w:val="clear" w:color="auto" w:fill="auto"/>
          </w:tcPr>
          <w:p w:rsidR="00A27BD6" w:rsidRPr="00794159" w:rsidRDefault="00A27BD6" w:rsidP="00AA68A5">
            <w:pPr>
              <w:pStyle w:val="TableColumnHeading"/>
              <w:pBdr>
                <w:left w:val="single" w:sz="4" w:space="1" w:color="auto"/>
              </w:pBdr>
            </w:pPr>
            <w:r w:rsidRPr="00794159">
              <w:t>NT</w:t>
            </w:r>
          </w:p>
        </w:tc>
        <w:tc>
          <w:tcPr>
            <w:tcW w:w="499" w:type="pct"/>
            <w:tcBorders>
              <w:top w:val="single" w:sz="6" w:space="0" w:color="auto"/>
              <w:bottom w:val="single" w:sz="6" w:space="0" w:color="auto"/>
            </w:tcBorders>
            <w:shd w:val="clear" w:color="auto" w:fill="auto"/>
          </w:tcPr>
          <w:p w:rsidR="00A27BD6" w:rsidRDefault="00A27BD6" w:rsidP="00AA68A5">
            <w:pPr>
              <w:pStyle w:val="TableColumnHeading"/>
              <w:pBdr>
                <w:left w:val="single" w:sz="4" w:space="1" w:color="auto"/>
              </w:pBdr>
              <w:ind w:right="28"/>
            </w:pPr>
            <w:r>
              <w:t>Aus</w:t>
            </w:r>
            <w:r w:rsidR="0097786E">
              <w:t>t</w:t>
            </w:r>
          </w:p>
        </w:tc>
      </w:tr>
      <w:tr w:rsidR="00A27BD6" w:rsidTr="00F2055D">
        <w:tc>
          <w:tcPr>
            <w:tcW w:w="4501" w:type="pct"/>
            <w:gridSpan w:val="10"/>
            <w:shd w:val="clear" w:color="auto" w:fill="FFFFFF" w:themeFill="background1"/>
          </w:tcPr>
          <w:p w:rsidR="00A27BD6" w:rsidRPr="003D07A5" w:rsidRDefault="00221627" w:rsidP="004A3EB7">
            <w:pPr>
              <w:pStyle w:val="TableBodyText"/>
              <w:pBdr>
                <w:left w:val="single" w:sz="4" w:space="1" w:color="auto"/>
              </w:pBdr>
              <w:jc w:val="left"/>
              <w:rPr>
                <w:i/>
              </w:rPr>
            </w:pPr>
            <w:r>
              <w:rPr>
                <w:i/>
              </w:rPr>
              <w:t>Number of reviews completed</w:t>
            </w:r>
            <w:r w:rsidR="006363B8">
              <w:rPr>
                <w:i/>
              </w:rPr>
              <w:t xml:space="preserve"> </w:t>
            </w:r>
            <w:r w:rsidR="00A4204D" w:rsidRPr="00A4204D">
              <w:t>(no.</w:t>
            </w:r>
            <w:r w:rsidR="00A4204D">
              <w:t>)</w:t>
            </w:r>
            <w:r w:rsidR="006363B8">
              <w:rPr>
                <w:i/>
              </w:rPr>
              <w:t xml:space="preserve"> </w:t>
            </w:r>
          </w:p>
        </w:tc>
        <w:tc>
          <w:tcPr>
            <w:tcW w:w="499" w:type="pct"/>
            <w:shd w:val="clear" w:color="auto" w:fill="FFFFFF" w:themeFill="background1"/>
          </w:tcPr>
          <w:p w:rsidR="00A27BD6" w:rsidRDefault="00A27BD6" w:rsidP="00AA68A5">
            <w:pPr>
              <w:pStyle w:val="TableBodyText"/>
              <w:pBdr>
                <w:left w:val="single" w:sz="4" w:space="1" w:color="auto"/>
              </w:pBdr>
              <w:ind w:right="28"/>
            </w:pPr>
          </w:p>
        </w:tc>
      </w:tr>
      <w:tr w:rsidR="00E3798B" w:rsidTr="00F2055D">
        <w:tc>
          <w:tcPr>
            <w:tcW w:w="724" w:type="pct"/>
          </w:tcPr>
          <w:p w:rsidR="00E3798B" w:rsidRPr="003A33A1" w:rsidRDefault="00E3798B" w:rsidP="002E5141">
            <w:pPr>
              <w:pStyle w:val="TableBodyText"/>
              <w:pBdr>
                <w:left w:val="single" w:sz="4" w:space="1" w:color="auto"/>
              </w:pBdr>
              <w:ind w:right="0"/>
              <w:jc w:val="left"/>
            </w:pPr>
          </w:p>
        </w:tc>
        <w:tc>
          <w:tcPr>
            <w:tcW w:w="484" w:type="pct"/>
            <w:shd w:val="clear" w:color="auto" w:fill="FFFFFF" w:themeFill="background1"/>
            <w:vAlign w:val="center"/>
          </w:tcPr>
          <w:p w:rsidR="00E3798B" w:rsidRPr="00E3798B" w:rsidRDefault="00926F6B" w:rsidP="00AA68A5">
            <w:pPr>
              <w:pStyle w:val="TableBodyText"/>
            </w:pPr>
            <w:r>
              <w:t xml:space="preserve"> </w:t>
            </w:r>
            <w:r w:rsidR="00E3798B" w:rsidRPr="00E3798B">
              <w:t>78</w:t>
            </w:r>
          </w:p>
        </w:tc>
        <w:tc>
          <w:tcPr>
            <w:tcW w:w="403" w:type="pct"/>
            <w:shd w:val="clear" w:color="auto" w:fill="FFFFFF" w:themeFill="background1"/>
            <w:vAlign w:val="center"/>
          </w:tcPr>
          <w:p w:rsidR="00E3798B" w:rsidRPr="00E3798B" w:rsidRDefault="00926F6B" w:rsidP="00AA68A5">
            <w:pPr>
              <w:pStyle w:val="TableBodyText"/>
            </w:pPr>
            <w:r>
              <w:t xml:space="preserve"> </w:t>
            </w:r>
            <w:r w:rsidR="00E3798B" w:rsidRPr="00E3798B">
              <w:t>157</w:t>
            </w:r>
          </w:p>
        </w:tc>
        <w:tc>
          <w:tcPr>
            <w:tcW w:w="387" w:type="pct"/>
            <w:shd w:val="clear" w:color="auto" w:fill="FFFFFF" w:themeFill="background1"/>
            <w:vAlign w:val="center"/>
          </w:tcPr>
          <w:p w:rsidR="00E3798B" w:rsidRPr="00E3798B" w:rsidRDefault="00926F6B" w:rsidP="00AA68A5">
            <w:pPr>
              <w:pStyle w:val="TableBodyText"/>
            </w:pPr>
            <w:r>
              <w:t xml:space="preserve"> </w:t>
            </w:r>
            <w:r w:rsidR="00A21C69" w:rsidRPr="00A21C69">
              <w:t>76</w:t>
            </w:r>
          </w:p>
        </w:tc>
        <w:tc>
          <w:tcPr>
            <w:tcW w:w="500" w:type="pct"/>
            <w:shd w:val="clear" w:color="auto" w:fill="FFFFFF" w:themeFill="background1"/>
            <w:vAlign w:val="center"/>
          </w:tcPr>
          <w:p w:rsidR="00E3798B" w:rsidRPr="00E3798B" w:rsidRDefault="00926F6B" w:rsidP="00AA68A5">
            <w:pPr>
              <w:pStyle w:val="TableBodyText"/>
            </w:pPr>
            <w:r>
              <w:t xml:space="preserve"> </w:t>
            </w:r>
            <w:r w:rsidR="00E3798B" w:rsidRPr="00E3798B">
              <w:t>64</w:t>
            </w:r>
          </w:p>
        </w:tc>
        <w:tc>
          <w:tcPr>
            <w:tcW w:w="500" w:type="pct"/>
            <w:shd w:val="clear" w:color="auto" w:fill="FFFFFF" w:themeFill="background1"/>
            <w:vAlign w:val="center"/>
          </w:tcPr>
          <w:p w:rsidR="00E3798B" w:rsidRPr="00E3798B" w:rsidRDefault="00926F6B" w:rsidP="00AA68A5">
            <w:pPr>
              <w:pStyle w:val="TableBodyText"/>
            </w:pPr>
            <w:r>
              <w:t xml:space="preserve"> </w:t>
            </w:r>
            <w:r w:rsidR="00E3798B" w:rsidRPr="00E3798B">
              <w:t>43</w:t>
            </w:r>
          </w:p>
        </w:tc>
        <w:tc>
          <w:tcPr>
            <w:tcW w:w="459" w:type="pct"/>
            <w:shd w:val="clear" w:color="auto" w:fill="FFFFFF" w:themeFill="background1"/>
            <w:vAlign w:val="center"/>
          </w:tcPr>
          <w:p w:rsidR="00E3798B" w:rsidRPr="00E3798B" w:rsidRDefault="00926F6B" w:rsidP="00AA68A5">
            <w:pPr>
              <w:pStyle w:val="TableBodyText"/>
            </w:pPr>
            <w:r>
              <w:t xml:space="preserve"> </w:t>
            </w:r>
            <w:r w:rsidR="00E3798B" w:rsidRPr="00E3798B">
              <w:t>5</w:t>
            </w:r>
          </w:p>
        </w:tc>
        <w:tc>
          <w:tcPr>
            <w:tcW w:w="542" w:type="pct"/>
            <w:gridSpan w:val="2"/>
            <w:shd w:val="clear" w:color="auto" w:fill="FFFFFF" w:themeFill="background1"/>
            <w:vAlign w:val="center"/>
          </w:tcPr>
          <w:p w:rsidR="00E3798B" w:rsidRPr="00E3798B" w:rsidRDefault="00E3798B" w:rsidP="00AA68A5">
            <w:pPr>
              <w:pStyle w:val="TableBodyText"/>
            </w:pPr>
            <w:r w:rsidRPr="00E3798B">
              <w:t>–</w:t>
            </w:r>
          </w:p>
        </w:tc>
        <w:tc>
          <w:tcPr>
            <w:tcW w:w="502" w:type="pct"/>
            <w:shd w:val="clear" w:color="auto" w:fill="FFFFFF" w:themeFill="background1"/>
            <w:vAlign w:val="center"/>
          </w:tcPr>
          <w:p w:rsidR="00E3798B" w:rsidRPr="00E3798B" w:rsidRDefault="00926F6B" w:rsidP="00AA68A5">
            <w:pPr>
              <w:pStyle w:val="TableBodyText"/>
            </w:pPr>
            <w:r>
              <w:t xml:space="preserve"> </w:t>
            </w:r>
            <w:r w:rsidR="00E3798B" w:rsidRPr="00E3798B">
              <w:t>1</w:t>
            </w:r>
          </w:p>
        </w:tc>
        <w:tc>
          <w:tcPr>
            <w:tcW w:w="499" w:type="pct"/>
            <w:shd w:val="clear" w:color="auto" w:fill="FFFFFF" w:themeFill="background1"/>
            <w:vAlign w:val="center"/>
          </w:tcPr>
          <w:p w:rsidR="00E3798B" w:rsidRPr="00E3798B" w:rsidRDefault="00926F6B" w:rsidP="00AA68A5">
            <w:pPr>
              <w:pStyle w:val="TableBodyText"/>
              <w:ind w:right="28"/>
            </w:pPr>
            <w:r>
              <w:t xml:space="preserve"> </w:t>
            </w:r>
            <w:r w:rsidR="00A21C69">
              <w:t>424</w:t>
            </w:r>
          </w:p>
        </w:tc>
      </w:tr>
      <w:tr w:rsidR="00E3798B" w:rsidTr="00F2055D">
        <w:tc>
          <w:tcPr>
            <w:tcW w:w="5000" w:type="pct"/>
            <w:gridSpan w:val="11"/>
            <w:shd w:val="clear" w:color="auto" w:fill="FFFFFF" w:themeFill="background1"/>
          </w:tcPr>
          <w:p w:rsidR="00E3798B" w:rsidRPr="003D07A5" w:rsidRDefault="00E3798B" w:rsidP="00707143">
            <w:pPr>
              <w:pStyle w:val="TableBodyText"/>
              <w:pBdr>
                <w:left w:val="single" w:sz="4" w:space="1" w:color="auto"/>
              </w:pBdr>
              <w:jc w:val="left"/>
              <w:rPr>
                <w:i/>
              </w:rPr>
            </w:pPr>
            <w:r w:rsidRPr="003D07A5">
              <w:rPr>
                <w:i/>
              </w:rPr>
              <w:t xml:space="preserve">Proportion of reviews achieving relevant outcomes </w:t>
            </w:r>
            <w:r w:rsidRPr="00A4204D">
              <w:t>(%)</w:t>
            </w:r>
          </w:p>
        </w:tc>
      </w:tr>
      <w:tr w:rsidR="00E3798B" w:rsidTr="00F2055D">
        <w:tc>
          <w:tcPr>
            <w:tcW w:w="724" w:type="pct"/>
          </w:tcPr>
          <w:p w:rsidR="00E3798B" w:rsidRDefault="00E3798B" w:rsidP="00C54B58">
            <w:pPr>
              <w:pStyle w:val="TableBodyText"/>
              <w:pBdr>
                <w:left w:val="single" w:sz="4" w:space="1" w:color="auto"/>
              </w:pBdr>
              <w:jc w:val="left"/>
            </w:pPr>
            <w:r>
              <w:t>Outcome 1</w:t>
            </w:r>
            <w:r w:rsidR="00C54B58">
              <w:rPr>
                <w:rStyle w:val="NoteLabel"/>
              </w:rPr>
              <w:t>d</w:t>
            </w:r>
          </w:p>
        </w:tc>
        <w:tc>
          <w:tcPr>
            <w:tcW w:w="484" w:type="pct"/>
            <w:vAlign w:val="center"/>
          </w:tcPr>
          <w:p w:rsidR="00E3798B" w:rsidRPr="00E3798B" w:rsidRDefault="00926F6B" w:rsidP="00AA68A5">
            <w:pPr>
              <w:pStyle w:val="TableBodyText"/>
            </w:pPr>
            <w:r>
              <w:t xml:space="preserve"> </w:t>
            </w:r>
            <w:r w:rsidR="00E3798B" w:rsidRPr="00E3798B">
              <w:t>64.1</w:t>
            </w:r>
          </w:p>
        </w:tc>
        <w:tc>
          <w:tcPr>
            <w:tcW w:w="403" w:type="pct"/>
            <w:vAlign w:val="center"/>
          </w:tcPr>
          <w:p w:rsidR="00E3798B" w:rsidRPr="00E3798B" w:rsidRDefault="00E3798B" w:rsidP="00AA68A5">
            <w:pPr>
              <w:pStyle w:val="TableBodyText"/>
            </w:pPr>
            <w:r w:rsidRPr="00E3798B">
              <w:t>..</w:t>
            </w:r>
          </w:p>
        </w:tc>
        <w:tc>
          <w:tcPr>
            <w:tcW w:w="387" w:type="pct"/>
            <w:shd w:val="clear" w:color="auto" w:fill="FFFFFF" w:themeFill="background1"/>
            <w:vAlign w:val="center"/>
          </w:tcPr>
          <w:p w:rsidR="00E3798B" w:rsidRPr="00E3798B" w:rsidRDefault="00A21C69" w:rsidP="00AA68A5">
            <w:pPr>
              <w:pStyle w:val="TableBodyText"/>
            </w:pPr>
            <w:r>
              <w:t>63</w:t>
            </w:r>
            <w:r w:rsidR="00E3798B" w:rsidRPr="00E3798B">
              <w:t>.</w:t>
            </w:r>
            <w:r>
              <w:t>2</w:t>
            </w:r>
          </w:p>
        </w:tc>
        <w:tc>
          <w:tcPr>
            <w:tcW w:w="500" w:type="pct"/>
            <w:shd w:val="clear" w:color="auto" w:fill="FFFFFF" w:themeFill="background1"/>
            <w:vAlign w:val="center"/>
          </w:tcPr>
          <w:p w:rsidR="00E3798B" w:rsidRPr="00E3798B" w:rsidRDefault="00926F6B" w:rsidP="00AA68A5">
            <w:pPr>
              <w:pStyle w:val="TableBodyText"/>
            </w:pPr>
            <w:r>
              <w:t xml:space="preserve"> </w:t>
            </w:r>
            <w:r w:rsidR="00E3798B" w:rsidRPr="00E3798B">
              <w:t>82.8</w:t>
            </w:r>
          </w:p>
        </w:tc>
        <w:tc>
          <w:tcPr>
            <w:tcW w:w="500" w:type="pct"/>
            <w:shd w:val="clear" w:color="auto" w:fill="FFFFFF" w:themeFill="background1"/>
            <w:vAlign w:val="center"/>
          </w:tcPr>
          <w:p w:rsidR="00E3798B" w:rsidRPr="00E3798B" w:rsidRDefault="00926F6B" w:rsidP="00AA68A5">
            <w:pPr>
              <w:pStyle w:val="TableBodyText"/>
            </w:pPr>
            <w:r>
              <w:t xml:space="preserve"> </w:t>
            </w:r>
            <w:r w:rsidR="00E3798B" w:rsidRPr="00E3798B">
              <w:t>81.</w:t>
            </w:r>
            <w:r w:rsidR="00A21C69">
              <w:t>4</w:t>
            </w:r>
          </w:p>
        </w:tc>
        <w:tc>
          <w:tcPr>
            <w:tcW w:w="500" w:type="pct"/>
            <w:gridSpan w:val="2"/>
            <w:shd w:val="clear" w:color="auto" w:fill="FFFFFF" w:themeFill="background1"/>
            <w:vAlign w:val="center"/>
          </w:tcPr>
          <w:p w:rsidR="00E3798B" w:rsidRPr="00E3798B" w:rsidRDefault="00926F6B" w:rsidP="00AA68A5">
            <w:pPr>
              <w:pStyle w:val="TableBodyText"/>
            </w:pPr>
            <w:r>
              <w:t xml:space="preserve"> </w:t>
            </w:r>
            <w:r w:rsidR="00E3798B" w:rsidRPr="00E3798B">
              <w:t>60.0</w:t>
            </w:r>
          </w:p>
        </w:tc>
        <w:tc>
          <w:tcPr>
            <w:tcW w:w="501" w:type="pct"/>
            <w:shd w:val="clear" w:color="auto" w:fill="FFFFFF" w:themeFill="background1"/>
            <w:vAlign w:val="center"/>
          </w:tcPr>
          <w:p w:rsidR="00E3798B" w:rsidRPr="00E3798B" w:rsidRDefault="00E3798B" w:rsidP="00AA68A5">
            <w:pPr>
              <w:pStyle w:val="TableBodyText"/>
            </w:pPr>
            <w:r w:rsidRPr="00E3798B">
              <w:t>..</w:t>
            </w:r>
          </w:p>
        </w:tc>
        <w:tc>
          <w:tcPr>
            <w:tcW w:w="502" w:type="pct"/>
            <w:shd w:val="clear" w:color="auto" w:fill="FFFFFF" w:themeFill="background1"/>
            <w:vAlign w:val="center"/>
          </w:tcPr>
          <w:p w:rsidR="00E3798B" w:rsidRPr="00E3798B" w:rsidRDefault="00926F6B" w:rsidP="00AA68A5">
            <w:pPr>
              <w:pStyle w:val="TableBodyText"/>
            </w:pPr>
            <w:r>
              <w:t xml:space="preserve"> </w:t>
            </w:r>
            <w:r w:rsidR="00E3798B" w:rsidRPr="00E3798B">
              <w:t>100.0</w:t>
            </w:r>
          </w:p>
        </w:tc>
        <w:tc>
          <w:tcPr>
            <w:tcW w:w="499" w:type="pct"/>
            <w:shd w:val="clear" w:color="auto" w:fill="FFFFFF" w:themeFill="background1"/>
            <w:vAlign w:val="center"/>
          </w:tcPr>
          <w:p w:rsidR="00E3798B" w:rsidRPr="00E3798B" w:rsidRDefault="00926F6B" w:rsidP="00AA68A5">
            <w:pPr>
              <w:pStyle w:val="TableBodyText"/>
              <w:ind w:right="28"/>
            </w:pPr>
            <w:r>
              <w:t xml:space="preserve"> </w:t>
            </w:r>
            <w:r w:rsidR="00E3798B" w:rsidRPr="00E3798B">
              <w:t>7</w:t>
            </w:r>
            <w:r w:rsidR="005A1840">
              <w:t>1</w:t>
            </w:r>
            <w:r w:rsidR="00E3798B" w:rsidRPr="00E3798B">
              <w:t>.</w:t>
            </w:r>
            <w:r w:rsidR="005A1840">
              <w:t>2</w:t>
            </w:r>
          </w:p>
        </w:tc>
      </w:tr>
      <w:tr w:rsidR="00176D53" w:rsidTr="00F2055D">
        <w:tc>
          <w:tcPr>
            <w:tcW w:w="724" w:type="pct"/>
          </w:tcPr>
          <w:p w:rsidR="00176D53" w:rsidRDefault="00176D53" w:rsidP="00C54B58">
            <w:pPr>
              <w:pStyle w:val="TableBodyText"/>
              <w:pBdr>
                <w:left w:val="single" w:sz="4" w:space="1" w:color="auto"/>
              </w:pBdr>
              <w:jc w:val="left"/>
            </w:pPr>
            <w:r>
              <w:t>Outcome 2</w:t>
            </w:r>
            <w:r w:rsidR="00C54B58">
              <w:rPr>
                <w:rStyle w:val="NoteLabel"/>
              </w:rPr>
              <w:t>e</w:t>
            </w:r>
          </w:p>
        </w:tc>
        <w:tc>
          <w:tcPr>
            <w:tcW w:w="484" w:type="pct"/>
            <w:vAlign w:val="center"/>
          </w:tcPr>
          <w:p w:rsidR="00176D53" w:rsidRPr="00E3798B" w:rsidRDefault="00926F6B" w:rsidP="00AA68A5">
            <w:pPr>
              <w:pStyle w:val="TableBodyText"/>
            </w:pPr>
            <w:r>
              <w:t xml:space="preserve"> </w:t>
            </w:r>
            <w:r w:rsidR="00176D53" w:rsidRPr="00E3798B">
              <w:t>26.9</w:t>
            </w:r>
          </w:p>
        </w:tc>
        <w:tc>
          <w:tcPr>
            <w:tcW w:w="403" w:type="pct"/>
            <w:vAlign w:val="center"/>
          </w:tcPr>
          <w:p w:rsidR="00176D53" w:rsidRPr="00E3798B" w:rsidRDefault="00176D53" w:rsidP="00AA68A5">
            <w:pPr>
              <w:pStyle w:val="TableBodyText"/>
            </w:pPr>
            <w:r w:rsidRPr="00E3798B">
              <w:t>..</w:t>
            </w:r>
          </w:p>
        </w:tc>
        <w:tc>
          <w:tcPr>
            <w:tcW w:w="387" w:type="pct"/>
            <w:shd w:val="clear" w:color="auto" w:fill="FFFFFF" w:themeFill="background1"/>
            <w:vAlign w:val="center"/>
          </w:tcPr>
          <w:p w:rsidR="00176D53" w:rsidRPr="00E3798B" w:rsidRDefault="00926F6B" w:rsidP="00AA68A5">
            <w:pPr>
              <w:pStyle w:val="TableBodyText"/>
            </w:pPr>
            <w:r>
              <w:t xml:space="preserve"> </w:t>
            </w:r>
            <w:r w:rsidR="00A21C69">
              <w:t>26.3</w:t>
            </w:r>
          </w:p>
        </w:tc>
        <w:tc>
          <w:tcPr>
            <w:tcW w:w="500" w:type="pct"/>
            <w:shd w:val="clear" w:color="auto" w:fill="FFFFFF" w:themeFill="background1"/>
            <w:vAlign w:val="center"/>
          </w:tcPr>
          <w:p w:rsidR="00176D53" w:rsidRPr="00E3798B" w:rsidRDefault="00926F6B" w:rsidP="00AA68A5">
            <w:pPr>
              <w:pStyle w:val="TableBodyText"/>
            </w:pPr>
            <w:r>
              <w:t xml:space="preserve"> </w:t>
            </w:r>
            <w:r w:rsidR="00176D53" w:rsidRPr="00E3798B">
              <w:t>12.5</w:t>
            </w:r>
          </w:p>
        </w:tc>
        <w:tc>
          <w:tcPr>
            <w:tcW w:w="500" w:type="pct"/>
            <w:shd w:val="clear" w:color="auto" w:fill="FFFFFF" w:themeFill="background1"/>
            <w:vAlign w:val="center"/>
          </w:tcPr>
          <w:p w:rsidR="00176D53" w:rsidRPr="00E3798B" w:rsidRDefault="00A21C69" w:rsidP="00AA68A5">
            <w:pPr>
              <w:pStyle w:val="TableBodyText"/>
            </w:pPr>
            <w:r>
              <w:t>7.0</w:t>
            </w:r>
          </w:p>
        </w:tc>
        <w:tc>
          <w:tcPr>
            <w:tcW w:w="500" w:type="pct"/>
            <w:gridSpan w:val="2"/>
            <w:shd w:val="clear" w:color="auto" w:fill="FFFFFF" w:themeFill="background1"/>
            <w:vAlign w:val="center"/>
          </w:tcPr>
          <w:p w:rsidR="00176D53" w:rsidRPr="00E3798B" w:rsidRDefault="00926F6B" w:rsidP="00AA68A5">
            <w:pPr>
              <w:pStyle w:val="TableBodyText"/>
            </w:pPr>
            <w:r>
              <w:t xml:space="preserve"> </w:t>
            </w:r>
            <w:r w:rsidR="00176D53" w:rsidRPr="00E3798B">
              <w:t>40.0</w:t>
            </w:r>
          </w:p>
        </w:tc>
        <w:tc>
          <w:tcPr>
            <w:tcW w:w="501" w:type="pct"/>
            <w:shd w:val="clear" w:color="auto" w:fill="FFFFFF" w:themeFill="background1"/>
          </w:tcPr>
          <w:p w:rsidR="00176D53" w:rsidRDefault="00176D53" w:rsidP="00AA68A5">
            <w:pPr>
              <w:pStyle w:val="TableBodyText"/>
            </w:pPr>
            <w:r w:rsidRPr="00242C37">
              <w:t>..</w:t>
            </w:r>
          </w:p>
        </w:tc>
        <w:tc>
          <w:tcPr>
            <w:tcW w:w="502" w:type="pct"/>
            <w:shd w:val="clear" w:color="auto" w:fill="FFFFFF" w:themeFill="background1"/>
            <w:vAlign w:val="center"/>
          </w:tcPr>
          <w:p w:rsidR="00176D53" w:rsidRPr="00E3798B" w:rsidRDefault="00176D53" w:rsidP="00AA68A5">
            <w:pPr>
              <w:pStyle w:val="TableBodyText"/>
            </w:pPr>
            <w:r w:rsidRPr="00E3798B">
              <w:t>–</w:t>
            </w:r>
          </w:p>
        </w:tc>
        <w:tc>
          <w:tcPr>
            <w:tcW w:w="499" w:type="pct"/>
            <w:shd w:val="clear" w:color="auto" w:fill="FFFFFF" w:themeFill="background1"/>
            <w:vAlign w:val="center"/>
          </w:tcPr>
          <w:p w:rsidR="00176D53" w:rsidRPr="00E3798B" w:rsidRDefault="00926F6B" w:rsidP="00AA68A5">
            <w:pPr>
              <w:pStyle w:val="TableBodyText"/>
              <w:ind w:right="28"/>
            </w:pPr>
            <w:r>
              <w:t xml:space="preserve"> </w:t>
            </w:r>
            <w:r w:rsidR="00176D53" w:rsidRPr="00E3798B">
              <w:t>20.</w:t>
            </w:r>
            <w:r w:rsidR="005A1840">
              <w:t>2</w:t>
            </w:r>
          </w:p>
        </w:tc>
      </w:tr>
      <w:tr w:rsidR="00176D53" w:rsidTr="00F2055D">
        <w:tc>
          <w:tcPr>
            <w:tcW w:w="724" w:type="pct"/>
            <w:tcBorders>
              <w:bottom w:val="single" w:sz="6" w:space="0" w:color="auto"/>
            </w:tcBorders>
            <w:shd w:val="clear" w:color="auto" w:fill="auto"/>
          </w:tcPr>
          <w:p w:rsidR="00176D53" w:rsidRDefault="00176D53" w:rsidP="00C54B58">
            <w:pPr>
              <w:pStyle w:val="TableBodyText"/>
              <w:pBdr>
                <w:left w:val="single" w:sz="4" w:space="1" w:color="auto"/>
              </w:pBdr>
              <w:jc w:val="left"/>
            </w:pPr>
            <w:r>
              <w:t>Outcome 3</w:t>
            </w:r>
            <w:r w:rsidR="00C54B58">
              <w:rPr>
                <w:rStyle w:val="NoteLabel"/>
              </w:rPr>
              <w:t>f</w:t>
            </w:r>
          </w:p>
        </w:tc>
        <w:tc>
          <w:tcPr>
            <w:tcW w:w="484" w:type="pct"/>
            <w:tcBorders>
              <w:bottom w:val="single" w:sz="6" w:space="0" w:color="auto"/>
            </w:tcBorders>
            <w:shd w:val="clear" w:color="auto" w:fill="auto"/>
            <w:vAlign w:val="center"/>
          </w:tcPr>
          <w:p w:rsidR="00176D53" w:rsidRPr="00176D53" w:rsidRDefault="00926F6B" w:rsidP="00AA68A5">
            <w:pPr>
              <w:pStyle w:val="TableBodyText"/>
            </w:pPr>
            <w:r>
              <w:t xml:space="preserve"> </w:t>
            </w:r>
            <w:r w:rsidR="00176D53" w:rsidRPr="00176D53">
              <w:t>9.0</w:t>
            </w:r>
          </w:p>
        </w:tc>
        <w:tc>
          <w:tcPr>
            <w:tcW w:w="403" w:type="pct"/>
            <w:tcBorders>
              <w:bottom w:val="single" w:sz="6" w:space="0" w:color="auto"/>
            </w:tcBorders>
            <w:shd w:val="clear" w:color="auto" w:fill="auto"/>
            <w:vAlign w:val="center"/>
          </w:tcPr>
          <w:p w:rsidR="00176D53" w:rsidRPr="00176D53" w:rsidRDefault="00176D53" w:rsidP="00AA68A5">
            <w:pPr>
              <w:pStyle w:val="TableBodyText"/>
            </w:pPr>
            <w:r w:rsidRPr="00176D53">
              <w:t>..</w:t>
            </w:r>
          </w:p>
        </w:tc>
        <w:tc>
          <w:tcPr>
            <w:tcW w:w="387" w:type="pct"/>
            <w:tcBorders>
              <w:bottom w:val="single" w:sz="6" w:space="0" w:color="auto"/>
            </w:tcBorders>
            <w:shd w:val="clear" w:color="auto" w:fill="FFFFFF" w:themeFill="background1"/>
            <w:vAlign w:val="center"/>
          </w:tcPr>
          <w:p w:rsidR="00176D53" w:rsidRPr="00176D53" w:rsidRDefault="00926F6B" w:rsidP="00AA68A5">
            <w:pPr>
              <w:pStyle w:val="TableBodyText"/>
            </w:pPr>
            <w:r>
              <w:t xml:space="preserve"> </w:t>
            </w:r>
            <w:r w:rsidR="00176D53" w:rsidRPr="00176D53">
              <w:t>1</w:t>
            </w:r>
            <w:r w:rsidR="00A21C69">
              <w:t>0</w:t>
            </w:r>
            <w:r w:rsidR="00176D53" w:rsidRPr="00176D53">
              <w:t>.</w:t>
            </w:r>
            <w:r w:rsidR="00A21C69">
              <w:t>5</w:t>
            </w:r>
          </w:p>
        </w:tc>
        <w:tc>
          <w:tcPr>
            <w:tcW w:w="500" w:type="pct"/>
            <w:tcBorders>
              <w:bottom w:val="single" w:sz="6" w:space="0" w:color="auto"/>
            </w:tcBorders>
            <w:shd w:val="clear" w:color="auto" w:fill="FFFFFF" w:themeFill="background1"/>
            <w:vAlign w:val="center"/>
          </w:tcPr>
          <w:p w:rsidR="00176D53" w:rsidRPr="00176D53" w:rsidRDefault="00926F6B" w:rsidP="00AA68A5">
            <w:pPr>
              <w:pStyle w:val="TableBodyText"/>
            </w:pPr>
            <w:r>
              <w:t xml:space="preserve"> </w:t>
            </w:r>
            <w:r w:rsidR="00176D53" w:rsidRPr="00176D53">
              <w:t>4.7</w:t>
            </w:r>
          </w:p>
        </w:tc>
        <w:tc>
          <w:tcPr>
            <w:tcW w:w="500" w:type="pct"/>
            <w:tcBorders>
              <w:bottom w:val="single" w:sz="6" w:space="0" w:color="auto"/>
            </w:tcBorders>
            <w:shd w:val="clear" w:color="auto" w:fill="FFFFFF" w:themeFill="background1"/>
            <w:vAlign w:val="center"/>
          </w:tcPr>
          <w:p w:rsidR="00176D53" w:rsidRPr="00176D53" w:rsidRDefault="00926F6B" w:rsidP="00AA68A5">
            <w:pPr>
              <w:pStyle w:val="TableBodyText"/>
            </w:pPr>
            <w:r>
              <w:t xml:space="preserve"> </w:t>
            </w:r>
            <w:r w:rsidR="00A21C69">
              <w:t>11.6</w:t>
            </w:r>
          </w:p>
        </w:tc>
        <w:tc>
          <w:tcPr>
            <w:tcW w:w="500" w:type="pct"/>
            <w:gridSpan w:val="2"/>
            <w:tcBorders>
              <w:bottom w:val="single" w:sz="6" w:space="0" w:color="auto"/>
            </w:tcBorders>
            <w:shd w:val="clear" w:color="auto" w:fill="FFFFFF" w:themeFill="background1"/>
            <w:vAlign w:val="center"/>
          </w:tcPr>
          <w:p w:rsidR="00176D53" w:rsidRPr="00176D53" w:rsidRDefault="00176D53" w:rsidP="00AA68A5">
            <w:pPr>
              <w:pStyle w:val="TableBodyText"/>
            </w:pPr>
            <w:r w:rsidRPr="00176D53">
              <w:t>–</w:t>
            </w:r>
          </w:p>
        </w:tc>
        <w:tc>
          <w:tcPr>
            <w:tcW w:w="501" w:type="pct"/>
            <w:tcBorders>
              <w:bottom w:val="single" w:sz="6" w:space="0" w:color="auto"/>
            </w:tcBorders>
            <w:shd w:val="clear" w:color="auto" w:fill="FFFFFF" w:themeFill="background1"/>
          </w:tcPr>
          <w:p w:rsidR="00176D53" w:rsidRDefault="00176D53" w:rsidP="00AA68A5">
            <w:pPr>
              <w:pStyle w:val="TableBodyText"/>
            </w:pPr>
            <w:r w:rsidRPr="00242C37">
              <w:t>..</w:t>
            </w:r>
          </w:p>
        </w:tc>
        <w:tc>
          <w:tcPr>
            <w:tcW w:w="502" w:type="pct"/>
            <w:tcBorders>
              <w:bottom w:val="single" w:sz="6" w:space="0" w:color="auto"/>
            </w:tcBorders>
            <w:shd w:val="clear" w:color="auto" w:fill="FFFFFF" w:themeFill="background1"/>
            <w:vAlign w:val="center"/>
          </w:tcPr>
          <w:p w:rsidR="00176D53" w:rsidRPr="00176D53" w:rsidRDefault="00176D53" w:rsidP="00AA68A5">
            <w:pPr>
              <w:pStyle w:val="TableBodyText"/>
            </w:pPr>
            <w:r w:rsidRPr="00176D53">
              <w:t>–</w:t>
            </w:r>
          </w:p>
        </w:tc>
        <w:tc>
          <w:tcPr>
            <w:tcW w:w="499" w:type="pct"/>
            <w:tcBorders>
              <w:bottom w:val="single" w:sz="6" w:space="0" w:color="auto"/>
            </w:tcBorders>
            <w:shd w:val="clear" w:color="auto" w:fill="FFFFFF" w:themeFill="background1"/>
            <w:vAlign w:val="center"/>
          </w:tcPr>
          <w:p w:rsidR="00176D53" w:rsidRPr="00176D53" w:rsidRDefault="00926F6B" w:rsidP="00AA68A5">
            <w:pPr>
              <w:pStyle w:val="TableBodyText"/>
              <w:ind w:right="28"/>
            </w:pPr>
            <w:r>
              <w:t xml:space="preserve"> </w:t>
            </w:r>
            <w:r w:rsidR="005A1840">
              <w:t>8</w:t>
            </w:r>
            <w:r w:rsidR="00176D53" w:rsidRPr="00176D53">
              <w:t>.</w:t>
            </w:r>
            <w:r w:rsidR="005A1840">
              <w:t>6</w:t>
            </w:r>
          </w:p>
        </w:tc>
      </w:tr>
    </w:tbl>
    <w:p w:rsidR="00A27BD6" w:rsidRPr="009B3797" w:rsidRDefault="00C54B58" w:rsidP="009B3797">
      <w:pPr>
        <w:pStyle w:val="Note"/>
      </w:pPr>
      <w:proofErr w:type="spellStart"/>
      <w:r w:rsidRPr="009B3797">
        <w:rPr>
          <w:rStyle w:val="NoteLabel"/>
        </w:rPr>
        <w:t>a</w:t>
      </w:r>
      <w:proofErr w:type="spellEnd"/>
      <w:r w:rsidRPr="009B3797">
        <w:t xml:space="preserve"> The </w:t>
      </w:r>
      <w:proofErr w:type="spellStart"/>
      <w:r w:rsidRPr="009B3797">
        <w:t>HACC</w:t>
      </w:r>
      <w:proofErr w:type="spellEnd"/>
      <w:r w:rsidRPr="009B3797">
        <w:t xml:space="preserve"> program for older people transitioned to the Commonwealth on 1</w:t>
      </w:r>
      <w:r w:rsidR="00AA68A5">
        <w:t> </w:t>
      </w:r>
      <w:r w:rsidRPr="009B3797">
        <w:t xml:space="preserve">July 2012 for all states and territories (except Victoria and WA). </w:t>
      </w:r>
      <w:r w:rsidRPr="009B3797">
        <w:rPr>
          <w:rStyle w:val="NoteLabel"/>
        </w:rPr>
        <w:t>b</w:t>
      </w:r>
      <w:r w:rsidRPr="009B3797">
        <w:t xml:space="preserve"> NSW data includes ACT quality reviews as these reviews are undertaken by the NSW office. </w:t>
      </w:r>
      <w:r w:rsidRPr="009B3797">
        <w:rPr>
          <w:rStyle w:val="NoteLabel"/>
        </w:rPr>
        <w:t>c</w:t>
      </w:r>
      <w:r w:rsidRPr="009B3797">
        <w:t xml:space="preserve"> </w:t>
      </w:r>
      <w:r w:rsidR="00E3798B" w:rsidRPr="009B3797">
        <w:t>Victorian data are not available for the review Outcomes 1, 2 or 3 as this approach is not referred to, or specified in the National Community Care Common Standards (</w:t>
      </w:r>
      <w:proofErr w:type="spellStart"/>
      <w:r w:rsidR="00E3798B" w:rsidRPr="009B3797">
        <w:t>CCCS</w:t>
      </w:r>
      <w:proofErr w:type="spellEnd"/>
      <w:r w:rsidR="00E3798B" w:rsidRPr="009B3797">
        <w:t xml:space="preserve">) Guide or supplementary material, and therefore has not been used by Victoria in undertaking </w:t>
      </w:r>
      <w:proofErr w:type="spellStart"/>
      <w:r w:rsidR="00E3798B" w:rsidRPr="009B3797">
        <w:t>CCCS</w:t>
      </w:r>
      <w:proofErr w:type="spellEnd"/>
      <w:r w:rsidR="00E3798B" w:rsidRPr="009B3797">
        <w:t xml:space="preserve"> reviews of </w:t>
      </w:r>
      <w:proofErr w:type="spellStart"/>
      <w:r w:rsidR="00E3798B" w:rsidRPr="009B3797">
        <w:t>HACC</w:t>
      </w:r>
      <w:proofErr w:type="spellEnd"/>
      <w:r w:rsidR="00E3798B" w:rsidRPr="009B3797">
        <w:t xml:space="preserve"> funded providers. </w:t>
      </w:r>
      <w:r w:rsidRPr="009B3797">
        <w:rPr>
          <w:rStyle w:val="NoteLabel"/>
        </w:rPr>
        <w:t>d</w:t>
      </w:r>
      <w:r w:rsidR="00A27BD6" w:rsidRPr="009B3797">
        <w:t xml:space="preserve"> Outcome 1 </w:t>
      </w:r>
      <w:r w:rsidR="00052606" w:rsidRPr="009B3797">
        <w:t>―</w:t>
      </w:r>
      <w:r w:rsidR="00A27BD6" w:rsidRPr="009B3797">
        <w:t xml:space="preserve"> effective processes and systems in place. </w:t>
      </w:r>
      <w:r w:rsidRPr="009B3797">
        <w:rPr>
          <w:rStyle w:val="NoteLabel"/>
        </w:rPr>
        <w:t>e</w:t>
      </w:r>
      <w:r w:rsidR="00A27BD6" w:rsidRPr="009B3797">
        <w:t xml:space="preserve"> Outcome 2 </w:t>
      </w:r>
      <w:r w:rsidR="00052606" w:rsidRPr="009B3797">
        <w:t>―</w:t>
      </w:r>
      <w:r w:rsidR="00A27BD6" w:rsidRPr="009B3797">
        <w:t xml:space="preserve"> some concerns about effectiveness of processes and systems in place. </w:t>
      </w:r>
      <w:r w:rsidRPr="009B3797">
        <w:rPr>
          <w:rStyle w:val="NoteLabel"/>
        </w:rPr>
        <w:t>f</w:t>
      </w:r>
      <w:r w:rsidR="00616DA3" w:rsidRPr="009B3797">
        <w:t xml:space="preserve"> </w:t>
      </w:r>
      <w:r w:rsidR="00A27BD6" w:rsidRPr="009B3797">
        <w:t xml:space="preserve">Outcome 3 </w:t>
      </w:r>
      <w:r w:rsidR="00052606" w:rsidRPr="009B3797">
        <w:t>―</w:t>
      </w:r>
      <w:r w:rsidR="00A27BD6" w:rsidRPr="009B3797">
        <w:t xml:space="preserve"> significant concerns about effectiveness of processes and systems in place. </w:t>
      </w:r>
      <w:r w:rsidR="00CF08DB" w:rsidRPr="009B3797">
        <w:t>.. Not applicable. – Nil or rounded to zero.</w:t>
      </w:r>
      <w:r w:rsidR="00A27BD6" w:rsidRPr="009B3797">
        <w:t xml:space="preserve"> </w:t>
      </w:r>
    </w:p>
    <w:p w:rsidR="00A27BD6" w:rsidRPr="003D07A5" w:rsidRDefault="00A27BD6" w:rsidP="00CD71B6">
      <w:pPr>
        <w:pStyle w:val="Source"/>
      </w:pPr>
      <w:r>
        <w:rPr>
          <w:i/>
        </w:rPr>
        <w:t>Source</w:t>
      </w:r>
      <w:r>
        <w:t xml:space="preserve">: </w:t>
      </w:r>
      <w:proofErr w:type="spellStart"/>
      <w:r w:rsidRPr="00F2055D">
        <w:rPr>
          <w:shd w:val="clear" w:color="auto" w:fill="FFFFFF" w:themeFill="background1"/>
        </w:rPr>
        <w:t>D</w:t>
      </w:r>
      <w:r w:rsidR="00503C78" w:rsidRPr="00F2055D">
        <w:rPr>
          <w:shd w:val="clear" w:color="auto" w:fill="FFFFFF" w:themeFill="background1"/>
        </w:rPr>
        <w:t>SS</w:t>
      </w:r>
      <w:proofErr w:type="spellEnd"/>
      <w:r>
        <w:t xml:space="preserve"> (unpublished); tables</w:t>
      </w:r>
      <w:r w:rsidR="00AA68A5">
        <w:t> </w:t>
      </w:r>
      <w:proofErr w:type="spellStart"/>
      <w:r>
        <w:t>13A.</w:t>
      </w:r>
      <w:r w:rsidR="00E3798B">
        <w:t>82</w:t>
      </w:r>
      <w:proofErr w:type="spellEnd"/>
      <w:r w:rsidR="00AA68A5">
        <w:noBreakHyphen/>
      </w:r>
      <w:r w:rsidR="00E3798B">
        <w:t>83</w:t>
      </w:r>
      <w:r>
        <w:t>.</w:t>
      </w:r>
    </w:p>
    <w:p w:rsidR="003D07A5" w:rsidRPr="00776C79" w:rsidRDefault="002811E1" w:rsidP="000001D1">
      <w:pPr>
        <w:pStyle w:val="BodyText"/>
      </w:pPr>
      <w:r w:rsidRPr="000001D1">
        <w:t>Nationally</w:t>
      </w:r>
      <w:r w:rsidR="006D7698" w:rsidRPr="000001D1">
        <w:t>,</w:t>
      </w:r>
      <w:r w:rsidRPr="000001D1">
        <w:t xml:space="preserve"> a</w:t>
      </w:r>
      <w:r w:rsidR="003D07A5" w:rsidRPr="000001D1">
        <w:t xml:space="preserve"> total of </w:t>
      </w:r>
      <w:r w:rsidR="000E09BC">
        <w:t>560</w:t>
      </w:r>
      <w:r w:rsidR="003D07A5" w:rsidRPr="000001D1">
        <w:t xml:space="preserve"> </w:t>
      </w:r>
      <w:r w:rsidR="00610AFE" w:rsidRPr="000001D1">
        <w:t xml:space="preserve">reviews of </w:t>
      </w:r>
      <w:r w:rsidR="003D07A5" w:rsidRPr="000001D1">
        <w:t xml:space="preserve">community aged care </w:t>
      </w:r>
      <w:r w:rsidR="009834F4" w:rsidRPr="000001D1">
        <w:t>organisations</w:t>
      </w:r>
      <w:r w:rsidR="003D07A5" w:rsidRPr="000001D1">
        <w:t xml:space="preserve"> providing CACP, EACH, EACH</w:t>
      </w:r>
      <w:r w:rsidR="00AA68A5">
        <w:noBreakHyphen/>
      </w:r>
      <w:r w:rsidR="003D07A5" w:rsidRPr="000001D1">
        <w:t xml:space="preserve">D and </w:t>
      </w:r>
      <w:r w:rsidR="005547EE" w:rsidRPr="000001D1">
        <w:t>NRCP</w:t>
      </w:r>
      <w:r w:rsidR="003D07A5" w:rsidRPr="000001D1">
        <w:t xml:space="preserve"> </w:t>
      </w:r>
      <w:r w:rsidRPr="000001D1">
        <w:t xml:space="preserve">services </w:t>
      </w:r>
      <w:r w:rsidR="003D07A5" w:rsidRPr="000001D1">
        <w:t xml:space="preserve">were </w:t>
      </w:r>
      <w:r w:rsidR="00610AFE" w:rsidRPr="000001D1">
        <w:t>completed</w:t>
      </w:r>
      <w:r w:rsidR="003D07A5" w:rsidRPr="000001D1">
        <w:t xml:space="preserve"> in </w:t>
      </w:r>
      <w:r w:rsidR="00714EDC" w:rsidRPr="000001D1">
        <w:t>201</w:t>
      </w:r>
      <w:r w:rsidR="00EE11E0">
        <w:t>2</w:t>
      </w:r>
      <w:r w:rsidR="00AA68A5">
        <w:noBreakHyphen/>
      </w:r>
      <w:r w:rsidR="00714EDC" w:rsidRPr="000001D1">
        <w:t>1</w:t>
      </w:r>
      <w:r w:rsidR="00EE11E0">
        <w:t>3</w:t>
      </w:r>
      <w:r w:rsidR="00AC337A" w:rsidRPr="000001D1">
        <w:t xml:space="preserve"> </w:t>
      </w:r>
      <w:r w:rsidR="00DC2ED0" w:rsidRPr="000001D1">
        <w:br/>
      </w:r>
      <w:r w:rsidR="00AC337A" w:rsidRPr="000001D1">
        <w:t>(table</w:t>
      </w:r>
      <w:r w:rsidR="00AA68A5">
        <w:t> </w:t>
      </w:r>
      <w:r w:rsidR="00AC337A" w:rsidRPr="000001D1">
        <w:t>13</w:t>
      </w:r>
      <w:r w:rsidR="00610AFE" w:rsidRPr="000001D1">
        <w:t>.1</w:t>
      </w:r>
      <w:r w:rsidR="00EE11E0">
        <w:t>0</w:t>
      </w:r>
      <w:r w:rsidR="00AC337A">
        <w:t>)</w:t>
      </w:r>
      <w:r w:rsidR="003D07A5" w:rsidRPr="00E950AB">
        <w:t xml:space="preserve">. </w:t>
      </w:r>
      <w:r w:rsidR="00610AFE">
        <w:t>O</w:t>
      </w:r>
      <w:r w:rsidR="00750877">
        <w:t xml:space="preserve">utcome 1 — </w:t>
      </w:r>
      <w:r w:rsidR="00750877" w:rsidRPr="000001D1">
        <w:t>effective processes and systems in place</w:t>
      </w:r>
      <w:r w:rsidR="00750877">
        <w:t xml:space="preserve"> — was achieved </w:t>
      </w:r>
      <w:r w:rsidR="005774AF">
        <w:t xml:space="preserve">in </w:t>
      </w:r>
      <w:r w:rsidR="001617D7">
        <w:t>70.0</w:t>
      </w:r>
      <w:r>
        <w:t xml:space="preserve"> per cent </w:t>
      </w:r>
      <w:r w:rsidR="005774AF">
        <w:t xml:space="preserve">of </w:t>
      </w:r>
      <w:r w:rsidR="00610AFE">
        <w:t xml:space="preserve">these </w:t>
      </w:r>
      <w:r w:rsidR="005774AF">
        <w:t xml:space="preserve">reviews </w:t>
      </w:r>
      <w:r w:rsidR="003D07A5">
        <w:t>(table </w:t>
      </w:r>
      <w:r w:rsidR="003D07A5" w:rsidRPr="00776C79">
        <w:t>13.</w:t>
      </w:r>
      <w:r w:rsidR="00EE11E0">
        <w:t>10</w:t>
      </w:r>
      <w:r w:rsidR="003D07A5" w:rsidRPr="00776C79">
        <w:t xml:space="preserve">). </w:t>
      </w:r>
    </w:p>
    <w:p w:rsidR="003D07A5" w:rsidRPr="009601ED" w:rsidRDefault="003D07A5" w:rsidP="003D07A5">
      <w:pPr>
        <w:pStyle w:val="TableTitle"/>
        <w:rPr>
          <w:sz w:val="24"/>
        </w:rPr>
      </w:pPr>
      <w:r w:rsidRPr="009601ED">
        <w:rPr>
          <w:b w:val="0"/>
          <w:sz w:val="24"/>
        </w:rPr>
        <w:lastRenderedPageBreak/>
        <w:t xml:space="preserve">Table </w:t>
      </w:r>
      <w:r w:rsidR="00EE11E0">
        <w:rPr>
          <w:b w:val="0"/>
          <w:sz w:val="24"/>
        </w:rPr>
        <w:t>13.</w:t>
      </w:r>
      <w:r w:rsidR="00E4728C">
        <w:rPr>
          <w:b w:val="0"/>
          <w:noProof/>
          <w:sz w:val="24"/>
        </w:rPr>
        <w:t>10</w:t>
      </w:r>
      <w:r w:rsidRPr="009601ED">
        <w:rPr>
          <w:b w:val="0"/>
          <w:sz w:val="24"/>
        </w:rPr>
        <w:tab/>
      </w:r>
      <w:r w:rsidRPr="009601ED">
        <w:rPr>
          <w:sz w:val="24"/>
        </w:rPr>
        <w:t>Compliance with service standards for community aged care services — CACP, EACH, EACH</w:t>
      </w:r>
      <w:r w:rsidR="00AA68A5">
        <w:rPr>
          <w:sz w:val="24"/>
        </w:rPr>
        <w:noBreakHyphen/>
      </w:r>
      <w:r w:rsidRPr="009601ED">
        <w:rPr>
          <w:sz w:val="24"/>
        </w:rPr>
        <w:t xml:space="preserve">D and </w:t>
      </w:r>
      <w:r w:rsidR="005547EE" w:rsidRPr="009601ED">
        <w:rPr>
          <w:sz w:val="24"/>
        </w:rPr>
        <w:t>NRCP</w:t>
      </w:r>
      <w:r w:rsidRPr="009601ED">
        <w:rPr>
          <w:sz w:val="24"/>
        </w:rPr>
        <w:t xml:space="preserve">, </w:t>
      </w:r>
      <w:r w:rsidR="00714EDC" w:rsidRPr="009601ED">
        <w:rPr>
          <w:sz w:val="24"/>
        </w:rPr>
        <w:t>201</w:t>
      </w:r>
      <w:r w:rsidR="00EE11E0">
        <w:rPr>
          <w:sz w:val="24"/>
        </w:rPr>
        <w:t>2</w:t>
      </w:r>
      <w:r w:rsidR="00AA68A5">
        <w:rPr>
          <w:sz w:val="24"/>
        </w:rPr>
        <w:noBreakHyphen/>
      </w:r>
      <w:r w:rsidR="00714EDC" w:rsidRPr="009601ED">
        <w:rPr>
          <w:sz w:val="24"/>
        </w:rPr>
        <w:t>1</w:t>
      </w:r>
      <w:r w:rsidR="00EE11E0">
        <w:rPr>
          <w:sz w:val="24"/>
        </w:rPr>
        <w:t>3</w:t>
      </w:r>
      <w:r w:rsidR="00924BD7">
        <w:rPr>
          <w:sz w:val="24"/>
        </w:rPr>
        <w:t xml:space="preserve"> </w:t>
      </w:r>
    </w:p>
    <w:tbl>
      <w:tblPr>
        <w:tblW w:w="5000" w:type="pct"/>
        <w:tblCellMar>
          <w:left w:w="0" w:type="dxa"/>
          <w:right w:w="0" w:type="dxa"/>
        </w:tblCellMar>
        <w:tblLook w:val="0000" w:firstRow="0" w:lastRow="0" w:firstColumn="0" w:lastColumn="0" w:noHBand="0" w:noVBand="0"/>
      </w:tblPr>
      <w:tblGrid>
        <w:gridCol w:w="1278"/>
        <w:gridCol w:w="853"/>
        <w:gridCol w:w="710"/>
        <w:gridCol w:w="683"/>
        <w:gridCol w:w="882"/>
        <w:gridCol w:w="882"/>
        <w:gridCol w:w="882"/>
        <w:gridCol w:w="882"/>
        <w:gridCol w:w="884"/>
        <w:gridCol w:w="882"/>
      </w:tblGrid>
      <w:tr w:rsidR="00C32F8A" w:rsidTr="007A0C5E">
        <w:tc>
          <w:tcPr>
            <w:tcW w:w="725" w:type="pct"/>
            <w:tcBorders>
              <w:top w:val="single" w:sz="6" w:space="0" w:color="auto"/>
              <w:bottom w:val="single" w:sz="6" w:space="0" w:color="auto"/>
            </w:tcBorders>
            <w:shd w:val="clear" w:color="auto" w:fill="auto"/>
          </w:tcPr>
          <w:p w:rsidR="003D07A5" w:rsidRDefault="003D07A5" w:rsidP="003D07A5">
            <w:pPr>
              <w:pStyle w:val="TableColumnHeading"/>
              <w:jc w:val="left"/>
            </w:pPr>
          </w:p>
        </w:tc>
        <w:tc>
          <w:tcPr>
            <w:tcW w:w="484" w:type="pct"/>
            <w:tcBorders>
              <w:top w:val="single" w:sz="6" w:space="0" w:color="auto"/>
              <w:bottom w:val="single" w:sz="6" w:space="0" w:color="auto"/>
            </w:tcBorders>
            <w:shd w:val="clear" w:color="auto" w:fill="auto"/>
          </w:tcPr>
          <w:p w:rsidR="003D07A5" w:rsidRPr="00794159" w:rsidRDefault="003D07A5" w:rsidP="00AA68A5">
            <w:pPr>
              <w:pStyle w:val="TableColumnHeading"/>
            </w:pPr>
            <w:r w:rsidRPr="00794159">
              <w:t>NSW</w:t>
            </w:r>
          </w:p>
        </w:tc>
        <w:tc>
          <w:tcPr>
            <w:tcW w:w="403" w:type="pct"/>
            <w:tcBorders>
              <w:top w:val="single" w:sz="6" w:space="0" w:color="auto"/>
              <w:bottom w:val="single" w:sz="6" w:space="0" w:color="auto"/>
            </w:tcBorders>
            <w:shd w:val="clear" w:color="auto" w:fill="auto"/>
          </w:tcPr>
          <w:p w:rsidR="003D07A5" w:rsidRPr="00794159" w:rsidRDefault="003D07A5" w:rsidP="00AA68A5">
            <w:pPr>
              <w:pStyle w:val="TableColumnHeading"/>
            </w:pPr>
            <w:r w:rsidRPr="00794159">
              <w:t>Vic</w:t>
            </w:r>
          </w:p>
        </w:tc>
        <w:tc>
          <w:tcPr>
            <w:tcW w:w="387" w:type="pct"/>
            <w:tcBorders>
              <w:top w:val="single" w:sz="6" w:space="0" w:color="auto"/>
              <w:bottom w:val="single" w:sz="6" w:space="0" w:color="auto"/>
            </w:tcBorders>
            <w:shd w:val="clear" w:color="auto" w:fill="auto"/>
          </w:tcPr>
          <w:p w:rsidR="003D07A5" w:rsidRPr="00794159" w:rsidRDefault="003D07A5" w:rsidP="00AA68A5">
            <w:pPr>
              <w:pStyle w:val="TableColumnHeading"/>
            </w:pPr>
            <w:r w:rsidRPr="00794159">
              <w:t>Qld</w:t>
            </w:r>
          </w:p>
        </w:tc>
        <w:tc>
          <w:tcPr>
            <w:tcW w:w="500" w:type="pct"/>
            <w:tcBorders>
              <w:top w:val="single" w:sz="6" w:space="0" w:color="auto"/>
              <w:bottom w:val="single" w:sz="6" w:space="0" w:color="auto"/>
            </w:tcBorders>
            <w:shd w:val="clear" w:color="auto" w:fill="auto"/>
          </w:tcPr>
          <w:p w:rsidR="003D07A5" w:rsidRPr="00794159" w:rsidRDefault="003D07A5" w:rsidP="00AA68A5">
            <w:pPr>
              <w:pStyle w:val="TableColumnHeading"/>
            </w:pPr>
            <w:r w:rsidRPr="00794159">
              <w:t>WA</w:t>
            </w:r>
          </w:p>
        </w:tc>
        <w:tc>
          <w:tcPr>
            <w:tcW w:w="500" w:type="pct"/>
            <w:tcBorders>
              <w:top w:val="single" w:sz="6" w:space="0" w:color="auto"/>
              <w:bottom w:val="single" w:sz="6" w:space="0" w:color="auto"/>
            </w:tcBorders>
            <w:shd w:val="clear" w:color="auto" w:fill="auto"/>
          </w:tcPr>
          <w:p w:rsidR="003D07A5" w:rsidRPr="00794159" w:rsidRDefault="003D07A5" w:rsidP="00AA68A5">
            <w:pPr>
              <w:pStyle w:val="TableColumnHeading"/>
            </w:pPr>
            <w:r w:rsidRPr="00794159">
              <w:t>SA</w:t>
            </w:r>
          </w:p>
        </w:tc>
        <w:tc>
          <w:tcPr>
            <w:tcW w:w="500" w:type="pct"/>
            <w:tcBorders>
              <w:top w:val="single" w:sz="6" w:space="0" w:color="auto"/>
              <w:bottom w:val="single" w:sz="6" w:space="0" w:color="auto"/>
            </w:tcBorders>
            <w:shd w:val="clear" w:color="auto" w:fill="auto"/>
          </w:tcPr>
          <w:p w:rsidR="003D07A5" w:rsidRPr="00794159" w:rsidRDefault="003D07A5" w:rsidP="00AA68A5">
            <w:pPr>
              <w:pStyle w:val="TableColumnHeading"/>
            </w:pPr>
            <w:r w:rsidRPr="00794159">
              <w:t>Tas</w:t>
            </w:r>
          </w:p>
        </w:tc>
        <w:tc>
          <w:tcPr>
            <w:tcW w:w="500" w:type="pct"/>
            <w:tcBorders>
              <w:top w:val="single" w:sz="6" w:space="0" w:color="auto"/>
              <w:bottom w:val="single" w:sz="6" w:space="0" w:color="auto"/>
            </w:tcBorders>
            <w:shd w:val="clear" w:color="auto" w:fill="auto"/>
          </w:tcPr>
          <w:p w:rsidR="003D07A5" w:rsidRPr="00794159" w:rsidRDefault="003D07A5" w:rsidP="00AA68A5">
            <w:pPr>
              <w:pStyle w:val="TableColumnHeading"/>
            </w:pPr>
            <w:r w:rsidRPr="00794159">
              <w:t>ACT</w:t>
            </w:r>
          </w:p>
        </w:tc>
        <w:tc>
          <w:tcPr>
            <w:tcW w:w="501" w:type="pct"/>
            <w:tcBorders>
              <w:top w:val="single" w:sz="6" w:space="0" w:color="auto"/>
              <w:bottom w:val="single" w:sz="6" w:space="0" w:color="auto"/>
            </w:tcBorders>
            <w:shd w:val="clear" w:color="auto" w:fill="auto"/>
          </w:tcPr>
          <w:p w:rsidR="003D07A5" w:rsidRPr="00794159" w:rsidRDefault="003D07A5" w:rsidP="00AA68A5">
            <w:pPr>
              <w:pStyle w:val="TableColumnHeading"/>
            </w:pPr>
            <w:r w:rsidRPr="00794159">
              <w:t>NT</w:t>
            </w:r>
          </w:p>
        </w:tc>
        <w:tc>
          <w:tcPr>
            <w:tcW w:w="500" w:type="pct"/>
            <w:tcBorders>
              <w:top w:val="single" w:sz="6" w:space="0" w:color="auto"/>
              <w:bottom w:val="single" w:sz="6" w:space="0" w:color="auto"/>
            </w:tcBorders>
            <w:shd w:val="clear" w:color="auto" w:fill="auto"/>
          </w:tcPr>
          <w:p w:rsidR="003D07A5" w:rsidRDefault="003D07A5" w:rsidP="00AA68A5">
            <w:pPr>
              <w:pStyle w:val="TableColumnHeading"/>
              <w:ind w:right="28"/>
            </w:pPr>
            <w:r>
              <w:t>Aust</w:t>
            </w:r>
          </w:p>
        </w:tc>
      </w:tr>
      <w:tr w:rsidR="003D07A5" w:rsidTr="000001D1">
        <w:tc>
          <w:tcPr>
            <w:tcW w:w="4500" w:type="pct"/>
            <w:gridSpan w:val="9"/>
            <w:shd w:val="clear" w:color="auto" w:fill="FFFFFF" w:themeFill="background1"/>
          </w:tcPr>
          <w:p w:rsidR="003D07A5" w:rsidRPr="003D07A5" w:rsidRDefault="0085088B" w:rsidP="003D07A5">
            <w:pPr>
              <w:pStyle w:val="TableBodyText"/>
              <w:jc w:val="left"/>
              <w:rPr>
                <w:i/>
              </w:rPr>
            </w:pPr>
            <w:r>
              <w:rPr>
                <w:i/>
              </w:rPr>
              <w:t xml:space="preserve">Number of reviews completed </w:t>
            </w:r>
            <w:r w:rsidR="00A4204D" w:rsidRPr="00A4204D">
              <w:t>(no.)</w:t>
            </w:r>
            <w:r w:rsidRPr="00A4204D">
              <w:t xml:space="preserve"> </w:t>
            </w:r>
          </w:p>
        </w:tc>
        <w:tc>
          <w:tcPr>
            <w:tcW w:w="500" w:type="pct"/>
            <w:shd w:val="clear" w:color="auto" w:fill="FFFFFF" w:themeFill="background1"/>
          </w:tcPr>
          <w:p w:rsidR="003D07A5" w:rsidRDefault="003D07A5" w:rsidP="00AA68A5">
            <w:pPr>
              <w:pStyle w:val="TableBodyText"/>
              <w:ind w:right="28"/>
            </w:pPr>
          </w:p>
        </w:tc>
      </w:tr>
      <w:tr w:rsidR="000E09BC" w:rsidTr="000001D1">
        <w:tc>
          <w:tcPr>
            <w:tcW w:w="725" w:type="pct"/>
          </w:tcPr>
          <w:p w:rsidR="000E09BC" w:rsidRPr="003D07A5" w:rsidRDefault="000E09BC" w:rsidP="003D07A5">
            <w:pPr>
              <w:pStyle w:val="TableBodyText"/>
              <w:jc w:val="left"/>
            </w:pPr>
          </w:p>
        </w:tc>
        <w:tc>
          <w:tcPr>
            <w:tcW w:w="484" w:type="pct"/>
            <w:shd w:val="clear" w:color="auto" w:fill="FFFFFF" w:themeFill="background1"/>
            <w:vAlign w:val="center"/>
          </w:tcPr>
          <w:p w:rsidR="000E09BC" w:rsidRPr="000E09BC" w:rsidRDefault="00926F6B" w:rsidP="00AA68A5">
            <w:pPr>
              <w:pStyle w:val="TableBodyText"/>
            </w:pPr>
            <w:r>
              <w:t xml:space="preserve"> </w:t>
            </w:r>
            <w:r w:rsidR="000E09BC" w:rsidRPr="000E09BC">
              <w:t>169</w:t>
            </w:r>
          </w:p>
        </w:tc>
        <w:tc>
          <w:tcPr>
            <w:tcW w:w="403" w:type="pct"/>
            <w:shd w:val="clear" w:color="auto" w:fill="FFFFFF" w:themeFill="background1"/>
            <w:vAlign w:val="center"/>
          </w:tcPr>
          <w:p w:rsidR="000E09BC" w:rsidRPr="000E09BC" w:rsidRDefault="00926F6B" w:rsidP="00AA68A5">
            <w:pPr>
              <w:pStyle w:val="TableBodyText"/>
            </w:pPr>
            <w:r>
              <w:t xml:space="preserve"> </w:t>
            </w:r>
            <w:r w:rsidR="000E09BC" w:rsidRPr="000E09BC">
              <w:t>154</w:t>
            </w:r>
          </w:p>
        </w:tc>
        <w:tc>
          <w:tcPr>
            <w:tcW w:w="387" w:type="pct"/>
            <w:shd w:val="clear" w:color="auto" w:fill="FFFFFF" w:themeFill="background1"/>
            <w:vAlign w:val="center"/>
          </w:tcPr>
          <w:p w:rsidR="000E09BC" w:rsidRPr="000E09BC" w:rsidRDefault="00926F6B" w:rsidP="00AA68A5">
            <w:pPr>
              <w:pStyle w:val="TableBodyText"/>
            </w:pPr>
            <w:r>
              <w:t xml:space="preserve"> </w:t>
            </w:r>
            <w:r w:rsidR="000E09BC" w:rsidRPr="000E09BC">
              <w:t>127</w:t>
            </w:r>
          </w:p>
        </w:tc>
        <w:tc>
          <w:tcPr>
            <w:tcW w:w="500" w:type="pct"/>
            <w:shd w:val="clear" w:color="auto" w:fill="FFFFFF" w:themeFill="background1"/>
            <w:vAlign w:val="center"/>
          </w:tcPr>
          <w:p w:rsidR="000E09BC" w:rsidRPr="000E09BC" w:rsidRDefault="00926F6B" w:rsidP="00AA68A5">
            <w:pPr>
              <w:pStyle w:val="TableBodyText"/>
            </w:pPr>
            <w:r>
              <w:t xml:space="preserve"> </w:t>
            </w:r>
            <w:r w:rsidR="000E09BC" w:rsidRPr="000E09BC">
              <w:t>27</w:t>
            </w:r>
          </w:p>
        </w:tc>
        <w:tc>
          <w:tcPr>
            <w:tcW w:w="500" w:type="pct"/>
            <w:shd w:val="clear" w:color="auto" w:fill="FFFFFF" w:themeFill="background1"/>
            <w:vAlign w:val="center"/>
          </w:tcPr>
          <w:p w:rsidR="000E09BC" w:rsidRPr="000E09BC" w:rsidRDefault="00926F6B" w:rsidP="00AA68A5">
            <w:pPr>
              <w:pStyle w:val="TableBodyText"/>
            </w:pPr>
            <w:r>
              <w:t xml:space="preserve"> </w:t>
            </w:r>
            <w:r w:rsidR="000E09BC" w:rsidRPr="000E09BC">
              <w:t>42</w:t>
            </w:r>
          </w:p>
        </w:tc>
        <w:tc>
          <w:tcPr>
            <w:tcW w:w="500" w:type="pct"/>
            <w:shd w:val="clear" w:color="auto" w:fill="FFFFFF" w:themeFill="background1"/>
            <w:vAlign w:val="center"/>
          </w:tcPr>
          <w:p w:rsidR="000E09BC" w:rsidRPr="000E09BC" w:rsidRDefault="00926F6B" w:rsidP="00AA68A5">
            <w:pPr>
              <w:pStyle w:val="TableBodyText"/>
            </w:pPr>
            <w:r>
              <w:t xml:space="preserve"> </w:t>
            </w:r>
            <w:r w:rsidR="000E09BC" w:rsidRPr="000E09BC">
              <w:t>26</w:t>
            </w:r>
          </w:p>
        </w:tc>
        <w:tc>
          <w:tcPr>
            <w:tcW w:w="500" w:type="pct"/>
            <w:shd w:val="clear" w:color="auto" w:fill="FFFFFF" w:themeFill="background1"/>
            <w:vAlign w:val="center"/>
          </w:tcPr>
          <w:p w:rsidR="000E09BC" w:rsidRPr="000E09BC" w:rsidRDefault="00926F6B" w:rsidP="00AA68A5">
            <w:pPr>
              <w:pStyle w:val="TableBodyText"/>
            </w:pPr>
            <w:r>
              <w:t xml:space="preserve"> </w:t>
            </w:r>
            <w:r w:rsidR="000E09BC" w:rsidRPr="000E09BC">
              <w:t>6</w:t>
            </w:r>
          </w:p>
        </w:tc>
        <w:tc>
          <w:tcPr>
            <w:tcW w:w="501" w:type="pct"/>
            <w:shd w:val="clear" w:color="auto" w:fill="FFFFFF" w:themeFill="background1"/>
            <w:vAlign w:val="center"/>
          </w:tcPr>
          <w:p w:rsidR="000E09BC" w:rsidRPr="000E09BC" w:rsidRDefault="00926F6B" w:rsidP="00AA68A5">
            <w:pPr>
              <w:pStyle w:val="TableBodyText"/>
            </w:pPr>
            <w:r>
              <w:t xml:space="preserve"> </w:t>
            </w:r>
            <w:r w:rsidR="000E09BC" w:rsidRPr="000E09BC">
              <w:t>9</w:t>
            </w:r>
          </w:p>
        </w:tc>
        <w:tc>
          <w:tcPr>
            <w:tcW w:w="500" w:type="pct"/>
            <w:shd w:val="clear" w:color="auto" w:fill="FFFFFF" w:themeFill="background1"/>
            <w:vAlign w:val="center"/>
          </w:tcPr>
          <w:p w:rsidR="000E09BC" w:rsidRPr="000E09BC" w:rsidRDefault="00926F6B" w:rsidP="00AA68A5">
            <w:pPr>
              <w:pStyle w:val="TableBodyText"/>
              <w:tabs>
                <w:tab w:val="left" w:pos="569"/>
              </w:tabs>
              <w:ind w:right="28"/>
            </w:pPr>
            <w:r>
              <w:t xml:space="preserve"> </w:t>
            </w:r>
            <w:r w:rsidR="000E09BC" w:rsidRPr="000E09BC">
              <w:t>560</w:t>
            </w:r>
          </w:p>
        </w:tc>
      </w:tr>
      <w:tr w:rsidR="007A0C5E" w:rsidTr="003D07A5">
        <w:tc>
          <w:tcPr>
            <w:tcW w:w="5000" w:type="pct"/>
            <w:gridSpan w:val="10"/>
          </w:tcPr>
          <w:p w:rsidR="007A0C5E" w:rsidRPr="003D07A5" w:rsidRDefault="007A0C5E" w:rsidP="003A33A1">
            <w:pPr>
              <w:pStyle w:val="TableBodyText"/>
              <w:jc w:val="left"/>
              <w:rPr>
                <w:i/>
              </w:rPr>
            </w:pPr>
            <w:r w:rsidRPr="003D07A5">
              <w:rPr>
                <w:i/>
              </w:rPr>
              <w:t xml:space="preserve">Proportion of reviews achieving relevant outcomes </w:t>
            </w:r>
            <w:r w:rsidR="00A4204D" w:rsidRPr="00A4204D">
              <w:t>(%)</w:t>
            </w:r>
          </w:p>
        </w:tc>
      </w:tr>
      <w:tr w:rsidR="000E09BC" w:rsidTr="007A0C5E">
        <w:tc>
          <w:tcPr>
            <w:tcW w:w="725" w:type="pct"/>
          </w:tcPr>
          <w:p w:rsidR="000E09BC" w:rsidRDefault="000E09BC" w:rsidP="0085088B">
            <w:pPr>
              <w:pStyle w:val="TableBodyText"/>
              <w:jc w:val="left"/>
            </w:pPr>
            <w:r>
              <w:t>Outcome 1</w:t>
            </w:r>
            <w:r>
              <w:rPr>
                <w:rStyle w:val="NoteLabel"/>
              </w:rPr>
              <w:t>a</w:t>
            </w:r>
          </w:p>
        </w:tc>
        <w:tc>
          <w:tcPr>
            <w:tcW w:w="484" w:type="pct"/>
            <w:vAlign w:val="center"/>
          </w:tcPr>
          <w:p w:rsidR="000E09BC" w:rsidRPr="001617D7" w:rsidRDefault="00926F6B" w:rsidP="00AA68A5">
            <w:pPr>
              <w:pStyle w:val="TableBodyText"/>
            </w:pPr>
            <w:r>
              <w:t xml:space="preserve"> </w:t>
            </w:r>
            <w:r w:rsidR="000E09BC" w:rsidRPr="001617D7">
              <w:t>67.5</w:t>
            </w:r>
          </w:p>
        </w:tc>
        <w:tc>
          <w:tcPr>
            <w:tcW w:w="403" w:type="pct"/>
            <w:vAlign w:val="center"/>
          </w:tcPr>
          <w:p w:rsidR="000E09BC" w:rsidRPr="001617D7" w:rsidRDefault="00926F6B" w:rsidP="00AA68A5">
            <w:pPr>
              <w:pStyle w:val="TableBodyText"/>
            </w:pPr>
            <w:r>
              <w:t xml:space="preserve"> </w:t>
            </w:r>
            <w:r w:rsidR="000E09BC" w:rsidRPr="001617D7">
              <w:t>83.8</w:t>
            </w:r>
          </w:p>
        </w:tc>
        <w:tc>
          <w:tcPr>
            <w:tcW w:w="387" w:type="pct"/>
            <w:vAlign w:val="center"/>
          </w:tcPr>
          <w:p w:rsidR="000E09BC" w:rsidRPr="001617D7" w:rsidRDefault="00926F6B" w:rsidP="00AA68A5">
            <w:pPr>
              <w:pStyle w:val="TableBodyText"/>
            </w:pPr>
            <w:r>
              <w:t xml:space="preserve"> </w:t>
            </w:r>
            <w:r w:rsidR="000E09BC" w:rsidRPr="001617D7">
              <w:t>47.2</w:t>
            </w:r>
          </w:p>
        </w:tc>
        <w:tc>
          <w:tcPr>
            <w:tcW w:w="500" w:type="pct"/>
            <w:vAlign w:val="center"/>
          </w:tcPr>
          <w:p w:rsidR="000E09BC" w:rsidRPr="001617D7" w:rsidRDefault="00926F6B" w:rsidP="00AA68A5">
            <w:pPr>
              <w:pStyle w:val="TableBodyText"/>
            </w:pPr>
            <w:r>
              <w:t xml:space="preserve"> </w:t>
            </w:r>
            <w:r w:rsidR="000E09BC" w:rsidRPr="001617D7">
              <w:t>80.8</w:t>
            </w:r>
          </w:p>
        </w:tc>
        <w:tc>
          <w:tcPr>
            <w:tcW w:w="500" w:type="pct"/>
            <w:vAlign w:val="center"/>
          </w:tcPr>
          <w:p w:rsidR="000E09BC" w:rsidRPr="001617D7" w:rsidRDefault="00926F6B" w:rsidP="00AA68A5">
            <w:pPr>
              <w:pStyle w:val="TableBodyText"/>
            </w:pPr>
            <w:r>
              <w:t xml:space="preserve"> </w:t>
            </w:r>
            <w:r w:rsidR="000E09BC" w:rsidRPr="001617D7">
              <w:t>92.9</w:t>
            </w:r>
          </w:p>
        </w:tc>
        <w:tc>
          <w:tcPr>
            <w:tcW w:w="500" w:type="pct"/>
            <w:vAlign w:val="center"/>
          </w:tcPr>
          <w:p w:rsidR="000E09BC" w:rsidRPr="001617D7" w:rsidRDefault="00926F6B" w:rsidP="00AA68A5">
            <w:pPr>
              <w:pStyle w:val="TableBodyText"/>
            </w:pPr>
            <w:r>
              <w:t xml:space="preserve"> </w:t>
            </w:r>
            <w:r w:rsidR="000E09BC" w:rsidRPr="001617D7">
              <w:t>76.9</w:t>
            </w:r>
          </w:p>
        </w:tc>
        <w:tc>
          <w:tcPr>
            <w:tcW w:w="500" w:type="pct"/>
            <w:vAlign w:val="center"/>
          </w:tcPr>
          <w:p w:rsidR="000E09BC" w:rsidRPr="001617D7" w:rsidRDefault="00926F6B" w:rsidP="00AA68A5">
            <w:pPr>
              <w:pStyle w:val="TableBodyText"/>
            </w:pPr>
            <w:r>
              <w:t xml:space="preserve"> </w:t>
            </w:r>
            <w:r w:rsidR="000E09BC" w:rsidRPr="001617D7">
              <w:t>66.7</w:t>
            </w:r>
          </w:p>
        </w:tc>
        <w:tc>
          <w:tcPr>
            <w:tcW w:w="501" w:type="pct"/>
            <w:vAlign w:val="center"/>
          </w:tcPr>
          <w:p w:rsidR="000E09BC" w:rsidRPr="001617D7" w:rsidRDefault="00926F6B" w:rsidP="00AA68A5">
            <w:pPr>
              <w:pStyle w:val="TableBodyText"/>
            </w:pPr>
            <w:r>
              <w:t xml:space="preserve"> </w:t>
            </w:r>
            <w:r w:rsidR="000E09BC" w:rsidRPr="001617D7">
              <w:t>50.0</w:t>
            </w:r>
          </w:p>
        </w:tc>
        <w:tc>
          <w:tcPr>
            <w:tcW w:w="500" w:type="pct"/>
            <w:vAlign w:val="center"/>
          </w:tcPr>
          <w:p w:rsidR="000E09BC" w:rsidRPr="001617D7" w:rsidRDefault="00926F6B" w:rsidP="00AA68A5">
            <w:pPr>
              <w:pStyle w:val="TableBodyText"/>
              <w:tabs>
                <w:tab w:val="left" w:pos="569"/>
              </w:tabs>
              <w:ind w:right="28"/>
            </w:pPr>
            <w:r>
              <w:t xml:space="preserve"> </w:t>
            </w:r>
            <w:r w:rsidR="000E09BC" w:rsidRPr="001617D7">
              <w:t>70.0</w:t>
            </w:r>
          </w:p>
        </w:tc>
      </w:tr>
      <w:tr w:rsidR="000E09BC" w:rsidTr="007A0C5E">
        <w:tc>
          <w:tcPr>
            <w:tcW w:w="725" w:type="pct"/>
          </w:tcPr>
          <w:p w:rsidR="000E09BC" w:rsidRDefault="000E09BC" w:rsidP="0085088B">
            <w:pPr>
              <w:pStyle w:val="TableBodyText"/>
              <w:jc w:val="left"/>
            </w:pPr>
            <w:r>
              <w:t>Outcome 2</w:t>
            </w:r>
            <w:r>
              <w:rPr>
                <w:rStyle w:val="NoteLabel"/>
              </w:rPr>
              <w:t>b</w:t>
            </w:r>
          </w:p>
        </w:tc>
        <w:tc>
          <w:tcPr>
            <w:tcW w:w="484" w:type="pct"/>
            <w:vAlign w:val="center"/>
          </w:tcPr>
          <w:p w:rsidR="000E09BC" w:rsidRPr="001617D7" w:rsidRDefault="00926F6B" w:rsidP="00AA68A5">
            <w:pPr>
              <w:pStyle w:val="TableBodyText"/>
            </w:pPr>
            <w:r>
              <w:t xml:space="preserve"> </w:t>
            </w:r>
            <w:r w:rsidR="000E09BC" w:rsidRPr="001617D7">
              <w:t>25.4</w:t>
            </w:r>
          </w:p>
        </w:tc>
        <w:tc>
          <w:tcPr>
            <w:tcW w:w="403" w:type="pct"/>
            <w:vAlign w:val="center"/>
          </w:tcPr>
          <w:p w:rsidR="000E09BC" w:rsidRPr="001617D7" w:rsidRDefault="00926F6B" w:rsidP="00AA68A5">
            <w:pPr>
              <w:pStyle w:val="TableBodyText"/>
            </w:pPr>
            <w:r>
              <w:t xml:space="preserve"> </w:t>
            </w:r>
            <w:r w:rsidR="000E09BC" w:rsidRPr="001617D7">
              <w:t>11.0</w:t>
            </w:r>
          </w:p>
        </w:tc>
        <w:tc>
          <w:tcPr>
            <w:tcW w:w="387" w:type="pct"/>
            <w:vAlign w:val="center"/>
          </w:tcPr>
          <w:p w:rsidR="000E09BC" w:rsidRPr="001617D7" w:rsidRDefault="00926F6B" w:rsidP="00AA68A5">
            <w:pPr>
              <w:pStyle w:val="TableBodyText"/>
            </w:pPr>
            <w:r>
              <w:t xml:space="preserve"> </w:t>
            </w:r>
            <w:r w:rsidR="000E09BC" w:rsidRPr="001617D7">
              <w:t>36.2</w:t>
            </w:r>
          </w:p>
        </w:tc>
        <w:tc>
          <w:tcPr>
            <w:tcW w:w="500" w:type="pct"/>
            <w:vAlign w:val="center"/>
          </w:tcPr>
          <w:p w:rsidR="000E09BC" w:rsidRPr="001617D7" w:rsidRDefault="00926F6B" w:rsidP="00AA68A5">
            <w:pPr>
              <w:pStyle w:val="TableBodyText"/>
            </w:pPr>
            <w:r>
              <w:t xml:space="preserve"> </w:t>
            </w:r>
            <w:r w:rsidR="000E09BC" w:rsidRPr="001617D7">
              <w:t>19.2</w:t>
            </w:r>
          </w:p>
        </w:tc>
        <w:tc>
          <w:tcPr>
            <w:tcW w:w="500" w:type="pct"/>
            <w:vAlign w:val="center"/>
          </w:tcPr>
          <w:p w:rsidR="000E09BC" w:rsidRPr="001617D7" w:rsidRDefault="000E09BC" w:rsidP="00AA68A5">
            <w:pPr>
              <w:pStyle w:val="TableBodyText"/>
            </w:pPr>
            <w:r w:rsidRPr="001617D7">
              <w:t>–</w:t>
            </w:r>
          </w:p>
        </w:tc>
        <w:tc>
          <w:tcPr>
            <w:tcW w:w="500" w:type="pct"/>
            <w:vAlign w:val="center"/>
          </w:tcPr>
          <w:p w:rsidR="000E09BC" w:rsidRPr="001617D7" w:rsidRDefault="00926F6B" w:rsidP="00AA68A5">
            <w:pPr>
              <w:pStyle w:val="TableBodyText"/>
            </w:pPr>
            <w:r>
              <w:t xml:space="preserve"> </w:t>
            </w:r>
            <w:r w:rsidR="000E09BC" w:rsidRPr="001617D7">
              <w:t>19.2</w:t>
            </w:r>
          </w:p>
        </w:tc>
        <w:tc>
          <w:tcPr>
            <w:tcW w:w="500" w:type="pct"/>
            <w:shd w:val="clear" w:color="auto" w:fill="auto"/>
            <w:vAlign w:val="center"/>
          </w:tcPr>
          <w:p w:rsidR="000E09BC" w:rsidRPr="001617D7" w:rsidRDefault="00926F6B" w:rsidP="00AA68A5">
            <w:pPr>
              <w:pStyle w:val="TableBodyText"/>
            </w:pPr>
            <w:r>
              <w:t xml:space="preserve"> </w:t>
            </w:r>
            <w:r w:rsidR="000E09BC" w:rsidRPr="001617D7">
              <w:t>33.3</w:t>
            </w:r>
          </w:p>
        </w:tc>
        <w:tc>
          <w:tcPr>
            <w:tcW w:w="501" w:type="pct"/>
            <w:vAlign w:val="center"/>
          </w:tcPr>
          <w:p w:rsidR="000E09BC" w:rsidRPr="001617D7" w:rsidRDefault="00926F6B" w:rsidP="00AA68A5">
            <w:pPr>
              <w:pStyle w:val="TableBodyText"/>
            </w:pPr>
            <w:r>
              <w:t xml:space="preserve"> </w:t>
            </w:r>
            <w:r w:rsidR="000E09BC" w:rsidRPr="001617D7">
              <w:t>30.0</w:t>
            </w:r>
          </w:p>
        </w:tc>
        <w:tc>
          <w:tcPr>
            <w:tcW w:w="500" w:type="pct"/>
            <w:vAlign w:val="center"/>
          </w:tcPr>
          <w:p w:rsidR="000E09BC" w:rsidRPr="001617D7" w:rsidRDefault="00926F6B" w:rsidP="00AA68A5">
            <w:pPr>
              <w:pStyle w:val="TableBodyText"/>
              <w:tabs>
                <w:tab w:val="left" w:pos="569"/>
              </w:tabs>
              <w:ind w:right="28"/>
            </w:pPr>
            <w:r>
              <w:t xml:space="preserve"> </w:t>
            </w:r>
            <w:r w:rsidR="000E09BC" w:rsidRPr="001617D7">
              <w:t>21.6</w:t>
            </w:r>
          </w:p>
        </w:tc>
      </w:tr>
      <w:tr w:rsidR="00322BF6" w:rsidTr="007A0C5E">
        <w:tc>
          <w:tcPr>
            <w:tcW w:w="725" w:type="pct"/>
            <w:tcBorders>
              <w:bottom w:val="single" w:sz="6" w:space="0" w:color="auto"/>
            </w:tcBorders>
            <w:shd w:val="clear" w:color="auto" w:fill="auto"/>
          </w:tcPr>
          <w:p w:rsidR="00322BF6" w:rsidRDefault="00322BF6" w:rsidP="0085088B">
            <w:pPr>
              <w:pStyle w:val="TableBodyText"/>
              <w:jc w:val="left"/>
            </w:pPr>
            <w:r>
              <w:t>Outcome 3</w:t>
            </w:r>
            <w:r>
              <w:rPr>
                <w:rStyle w:val="NoteLabel"/>
              </w:rPr>
              <w:t>c</w:t>
            </w:r>
          </w:p>
        </w:tc>
        <w:tc>
          <w:tcPr>
            <w:tcW w:w="484" w:type="pct"/>
            <w:tcBorders>
              <w:bottom w:val="single" w:sz="6" w:space="0" w:color="auto"/>
            </w:tcBorders>
            <w:shd w:val="clear" w:color="auto" w:fill="auto"/>
            <w:vAlign w:val="center"/>
          </w:tcPr>
          <w:p w:rsidR="00322BF6" w:rsidRPr="00322BF6" w:rsidRDefault="00926F6B" w:rsidP="00AA68A5">
            <w:pPr>
              <w:pStyle w:val="TableBodyText"/>
            </w:pPr>
            <w:r>
              <w:t xml:space="preserve"> </w:t>
            </w:r>
            <w:r w:rsidR="00322BF6" w:rsidRPr="00322BF6">
              <w:t>7.1</w:t>
            </w:r>
          </w:p>
        </w:tc>
        <w:tc>
          <w:tcPr>
            <w:tcW w:w="403" w:type="pct"/>
            <w:tcBorders>
              <w:bottom w:val="single" w:sz="6" w:space="0" w:color="auto"/>
            </w:tcBorders>
            <w:shd w:val="clear" w:color="auto" w:fill="auto"/>
            <w:vAlign w:val="center"/>
          </w:tcPr>
          <w:p w:rsidR="00322BF6" w:rsidRPr="00322BF6" w:rsidRDefault="00926F6B" w:rsidP="00AA68A5">
            <w:pPr>
              <w:pStyle w:val="TableBodyText"/>
            </w:pPr>
            <w:r>
              <w:t xml:space="preserve"> </w:t>
            </w:r>
            <w:r w:rsidR="00322BF6" w:rsidRPr="00322BF6">
              <w:t>5.2</w:t>
            </w:r>
          </w:p>
        </w:tc>
        <w:tc>
          <w:tcPr>
            <w:tcW w:w="387" w:type="pct"/>
            <w:tcBorders>
              <w:bottom w:val="single" w:sz="6" w:space="0" w:color="auto"/>
            </w:tcBorders>
            <w:shd w:val="clear" w:color="auto" w:fill="auto"/>
            <w:vAlign w:val="center"/>
          </w:tcPr>
          <w:p w:rsidR="00322BF6" w:rsidRPr="00322BF6" w:rsidRDefault="00926F6B" w:rsidP="00AA68A5">
            <w:pPr>
              <w:pStyle w:val="TableBodyText"/>
            </w:pPr>
            <w:r>
              <w:t xml:space="preserve"> </w:t>
            </w:r>
            <w:r w:rsidR="00322BF6" w:rsidRPr="00322BF6">
              <w:t>16.5</w:t>
            </w:r>
          </w:p>
        </w:tc>
        <w:tc>
          <w:tcPr>
            <w:tcW w:w="500" w:type="pct"/>
            <w:tcBorders>
              <w:bottom w:val="single" w:sz="6" w:space="0" w:color="auto"/>
            </w:tcBorders>
            <w:shd w:val="clear" w:color="auto" w:fill="auto"/>
            <w:vAlign w:val="center"/>
          </w:tcPr>
          <w:p w:rsidR="00322BF6" w:rsidRPr="00322BF6" w:rsidRDefault="00322BF6" w:rsidP="00AA68A5">
            <w:pPr>
              <w:pStyle w:val="TableBodyText"/>
            </w:pPr>
            <w:r w:rsidRPr="00322BF6">
              <w:t>–</w:t>
            </w:r>
          </w:p>
        </w:tc>
        <w:tc>
          <w:tcPr>
            <w:tcW w:w="500" w:type="pct"/>
            <w:tcBorders>
              <w:bottom w:val="single" w:sz="6" w:space="0" w:color="auto"/>
            </w:tcBorders>
            <w:shd w:val="clear" w:color="auto" w:fill="auto"/>
            <w:vAlign w:val="center"/>
          </w:tcPr>
          <w:p w:rsidR="00322BF6" w:rsidRPr="00322BF6" w:rsidRDefault="00926F6B" w:rsidP="00AA68A5">
            <w:pPr>
              <w:pStyle w:val="TableBodyText"/>
            </w:pPr>
            <w:r>
              <w:t xml:space="preserve"> </w:t>
            </w:r>
            <w:r w:rsidR="00322BF6" w:rsidRPr="00322BF6">
              <w:t>7.1</w:t>
            </w:r>
          </w:p>
        </w:tc>
        <w:tc>
          <w:tcPr>
            <w:tcW w:w="500" w:type="pct"/>
            <w:tcBorders>
              <w:bottom w:val="single" w:sz="6" w:space="0" w:color="auto"/>
            </w:tcBorders>
            <w:shd w:val="clear" w:color="auto" w:fill="auto"/>
            <w:vAlign w:val="center"/>
          </w:tcPr>
          <w:p w:rsidR="00322BF6" w:rsidRPr="00322BF6" w:rsidRDefault="00926F6B" w:rsidP="00AA68A5">
            <w:pPr>
              <w:pStyle w:val="TableBodyText"/>
            </w:pPr>
            <w:r>
              <w:t xml:space="preserve"> </w:t>
            </w:r>
            <w:r w:rsidR="00322BF6" w:rsidRPr="00322BF6">
              <w:t>3.8</w:t>
            </w:r>
          </w:p>
        </w:tc>
        <w:tc>
          <w:tcPr>
            <w:tcW w:w="500" w:type="pct"/>
            <w:tcBorders>
              <w:bottom w:val="single" w:sz="6" w:space="0" w:color="auto"/>
            </w:tcBorders>
            <w:shd w:val="clear" w:color="auto" w:fill="auto"/>
            <w:vAlign w:val="center"/>
          </w:tcPr>
          <w:p w:rsidR="00322BF6" w:rsidRPr="00322BF6" w:rsidRDefault="00322BF6" w:rsidP="00AA68A5">
            <w:pPr>
              <w:pStyle w:val="TableBodyText"/>
            </w:pPr>
            <w:r w:rsidRPr="00322BF6">
              <w:t>–</w:t>
            </w:r>
          </w:p>
        </w:tc>
        <w:tc>
          <w:tcPr>
            <w:tcW w:w="501" w:type="pct"/>
            <w:tcBorders>
              <w:bottom w:val="single" w:sz="6" w:space="0" w:color="auto"/>
            </w:tcBorders>
            <w:shd w:val="clear" w:color="auto" w:fill="auto"/>
            <w:vAlign w:val="center"/>
          </w:tcPr>
          <w:p w:rsidR="00322BF6" w:rsidRPr="00322BF6" w:rsidRDefault="00926F6B" w:rsidP="00AA68A5">
            <w:pPr>
              <w:pStyle w:val="TableBodyText"/>
            </w:pPr>
            <w:r>
              <w:t xml:space="preserve"> </w:t>
            </w:r>
            <w:r w:rsidR="00322BF6" w:rsidRPr="00322BF6">
              <w:t>20.0</w:t>
            </w:r>
          </w:p>
        </w:tc>
        <w:tc>
          <w:tcPr>
            <w:tcW w:w="500" w:type="pct"/>
            <w:tcBorders>
              <w:bottom w:val="single" w:sz="6" w:space="0" w:color="auto"/>
            </w:tcBorders>
            <w:shd w:val="clear" w:color="auto" w:fill="auto"/>
            <w:vAlign w:val="center"/>
          </w:tcPr>
          <w:p w:rsidR="00322BF6" w:rsidRDefault="00926F6B" w:rsidP="00AA68A5">
            <w:pPr>
              <w:pStyle w:val="TableBodyText"/>
              <w:tabs>
                <w:tab w:val="left" w:pos="569"/>
              </w:tabs>
              <w:ind w:right="28"/>
              <w:rPr>
                <w:rFonts w:cs="Arial"/>
              </w:rPr>
            </w:pPr>
            <w:r>
              <w:rPr>
                <w:rFonts w:cs="Arial"/>
              </w:rPr>
              <w:t xml:space="preserve"> </w:t>
            </w:r>
            <w:r w:rsidR="00322BF6">
              <w:rPr>
                <w:rFonts w:cs="Arial"/>
              </w:rPr>
              <w:t>8.4</w:t>
            </w:r>
          </w:p>
        </w:tc>
      </w:tr>
    </w:tbl>
    <w:p w:rsidR="003D07A5" w:rsidRPr="00BD0A17" w:rsidRDefault="00BA5096" w:rsidP="000E1620">
      <w:pPr>
        <w:pStyle w:val="Note"/>
        <w:rPr>
          <w:rFonts w:cs="Arial"/>
        </w:rPr>
      </w:pPr>
      <w:proofErr w:type="spellStart"/>
      <w:r>
        <w:rPr>
          <w:rStyle w:val="NoteLabel"/>
        </w:rPr>
        <w:t>a</w:t>
      </w:r>
      <w:proofErr w:type="spellEnd"/>
      <w:r w:rsidRPr="00B41254">
        <w:t xml:space="preserve"> </w:t>
      </w:r>
      <w:r w:rsidR="0085088B" w:rsidRPr="003D07A5">
        <w:rPr>
          <w:rFonts w:cs="Arial"/>
        </w:rPr>
        <w:t xml:space="preserve">Outcome </w:t>
      </w:r>
      <w:r w:rsidR="0085088B" w:rsidRPr="00BD0A17">
        <w:rPr>
          <w:rFonts w:cs="Arial"/>
        </w:rPr>
        <w:t>1 ― effective</w:t>
      </w:r>
      <w:r w:rsidR="0085088B" w:rsidRPr="003D07A5">
        <w:rPr>
          <w:rFonts w:cs="Arial"/>
        </w:rPr>
        <w:t xml:space="preserve"> processes and systems in place.</w:t>
      </w:r>
      <w:r w:rsidR="0085088B">
        <w:rPr>
          <w:rStyle w:val="NoteLabel"/>
        </w:rPr>
        <w:t xml:space="preserve">b </w:t>
      </w:r>
      <w:r w:rsidR="001973B0" w:rsidRPr="003D07A5">
        <w:t xml:space="preserve">Outcome </w:t>
      </w:r>
      <w:r w:rsidR="001973B0" w:rsidRPr="00BD0A17">
        <w:rPr>
          <w:rFonts w:cs="Arial"/>
        </w:rPr>
        <w:t>2 ― some concerns</w:t>
      </w:r>
      <w:r w:rsidR="001973B0" w:rsidRPr="003D07A5">
        <w:t xml:space="preserve"> about effectiveness of processes and systems in place</w:t>
      </w:r>
      <w:r w:rsidR="001973B0">
        <w:t xml:space="preserve">. </w:t>
      </w:r>
      <w:r w:rsidR="0085088B">
        <w:rPr>
          <w:rStyle w:val="NoteLabel"/>
        </w:rPr>
        <w:t xml:space="preserve">c </w:t>
      </w:r>
      <w:r w:rsidR="00610AFE" w:rsidRPr="00BD0A17">
        <w:rPr>
          <w:rFonts w:cs="Arial"/>
        </w:rPr>
        <w:t>Outcome 3 ― significant concerns about effectiveness of processes and systems in place.</w:t>
      </w:r>
      <w:r w:rsidR="00C32F8A" w:rsidRPr="00BD0A17">
        <w:rPr>
          <w:rFonts w:cs="Arial"/>
        </w:rPr>
        <w:t xml:space="preserve"> – Nil or rounded to zero. </w:t>
      </w:r>
    </w:p>
    <w:p w:rsidR="003D07A5" w:rsidRPr="003D07A5" w:rsidRDefault="003D07A5" w:rsidP="00F2055D">
      <w:pPr>
        <w:pStyle w:val="Source"/>
      </w:pPr>
      <w:r>
        <w:rPr>
          <w:i/>
        </w:rPr>
        <w:t>Source</w:t>
      </w:r>
      <w:r>
        <w:t xml:space="preserve">: </w:t>
      </w:r>
      <w:proofErr w:type="spellStart"/>
      <w:r w:rsidRPr="00F2055D">
        <w:rPr>
          <w:shd w:val="clear" w:color="auto" w:fill="FFFFFF" w:themeFill="background1"/>
        </w:rPr>
        <w:t>D</w:t>
      </w:r>
      <w:r w:rsidR="00503C78" w:rsidRPr="00F2055D">
        <w:rPr>
          <w:shd w:val="clear" w:color="auto" w:fill="FFFFFF" w:themeFill="background1"/>
        </w:rPr>
        <w:t>SS</w:t>
      </w:r>
      <w:proofErr w:type="spellEnd"/>
      <w:r>
        <w:t xml:space="preserve"> (unpublished); tables</w:t>
      </w:r>
      <w:r w:rsidR="00AA68A5">
        <w:t> </w:t>
      </w:r>
      <w:proofErr w:type="spellStart"/>
      <w:r>
        <w:t>13A.</w:t>
      </w:r>
      <w:r w:rsidR="000E09BC">
        <w:t>80</w:t>
      </w:r>
      <w:proofErr w:type="spellEnd"/>
      <w:r w:rsidR="00AA68A5">
        <w:noBreakHyphen/>
      </w:r>
      <w:r w:rsidR="000E09BC">
        <w:t>81</w:t>
      </w:r>
      <w:r>
        <w:t>.</w:t>
      </w:r>
    </w:p>
    <w:p w:rsidR="00A12C8F" w:rsidRDefault="00A12C8F" w:rsidP="002501A2">
      <w:pPr>
        <w:pStyle w:val="Heading5"/>
      </w:pPr>
      <w:r>
        <w:t>Client appraisal of service standards</w:t>
      </w:r>
    </w:p>
    <w:p w:rsidR="00A12C8F" w:rsidRDefault="00A12C8F" w:rsidP="002501A2">
      <w:pPr>
        <w:pStyle w:val="BodyText"/>
      </w:pPr>
      <w:r>
        <w:t>‘Client appraisal of service standards’ is an indicator of governments’ objective to ensure high levels of client satisfaction with aged care services (box</w:t>
      </w:r>
      <w:r w:rsidR="00AA68A5">
        <w:t> </w:t>
      </w:r>
      <w:r>
        <w:t>13.</w:t>
      </w:r>
      <w:r w:rsidR="00AA512C">
        <w:t>1</w:t>
      </w:r>
      <w:r w:rsidR="000B4837">
        <w:t>4</w:t>
      </w:r>
      <w:r>
        <w:t>).</w:t>
      </w:r>
    </w:p>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A12C8F">
        <w:tc>
          <w:tcPr>
            <w:tcW w:w="8771" w:type="dxa"/>
            <w:tcBorders>
              <w:top w:val="single" w:sz="6" w:space="0" w:color="auto"/>
              <w:bottom w:val="nil"/>
            </w:tcBorders>
          </w:tcPr>
          <w:p w:rsidR="00A12C8F" w:rsidRPr="009601ED" w:rsidRDefault="00A12C8F" w:rsidP="002501A2">
            <w:pPr>
              <w:pStyle w:val="BoxTitle"/>
              <w:rPr>
                <w:sz w:val="24"/>
              </w:rPr>
            </w:pPr>
            <w:r w:rsidRPr="009601ED">
              <w:rPr>
                <w:b w:val="0"/>
                <w:sz w:val="24"/>
              </w:rPr>
              <w:t xml:space="preserve">Box </w:t>
            </w:r>
            <w:r w:rsidR="001617D7">
              <w:rPr>
                <w:b w:val="0"/>
                <w:sz w:val="24"/>
              </w:rPr>
              <w:t>13.</w:t>
            </w:r>
            <w:r w:rsidR="00E4728C">
              <w:rPr>
                <w:b w:val="0"/>
                <w:noProof/>
                <w:sz w:val="24"/>
              </w:rPr>
              <w:t>14</w:t>
            </w:r>
            <w:r w:rsidRPr="009601ED">
              <w:rPr>
                <w:sz w:val="24"/>
              </w:rPr>
              <w:tab/>
              <w:t>Client appraisal of service standards</w:t>
            </w:r>
          </w:p>
        </w:tc>
      </w:tr>
      <w:tr w:rsidR="00A12C8F" w:rsidTr="00A12C8F">
        <w:trPr>
          <w:cantSplit/>
        </w:trPr>
        <w:tc>
          <w:tcPr>
            <w:tcW w:w="8771" w:type="dxa"/>
            <w:tcBorders>
              <w:top w:val="nil"/>
              <w:left w:val="single" w:sz="6" w:space="0" w:color="auto"/>
              <w:bottom w:val="nil"/>
              <w:right w:val="single" w:sz="6" w:space="0" w:color="auto"/>
            </w:tcBorders>
          </w:tcPr>
          <w:p w:rsidR="00A12C8F" w:rsidRDefault="00A12C8F" w:rsidP="002501A2">
            <w:pPr>
              <w:pStyle w:val="Box"/>
            </w:pPr>
            <w:r w:rsidRPr="00B02C39">
              <w:t xml:space="preserve">‘Client appraisal of service standards’ is </w:t>
            </w:r>
            <w:r>
              <w:t>yet to be defined.</w:t>
            </w:r>
          </w:p>
          <w:p w:rsidR="00A12C8F" w:rsidRPr="00B02C39" w:rsidRDefault="00A12C8F" w:rsidP="001617D7">
            <w:pPr>
              <w:pStyle w:val="Box"/>
            </w:pPr>
            <w:r>
              <w:t>Data for this indicator were not available for the 201</w:t>
            </w:r>
            <w:r w:rsidR="001617D7">
              <w:t>4</w:t>
            </w:r>
            <w:r>
              <w:t xml:space="preserve"> Report. </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A12C8F" w:rsidRDefault="00A12C8F" w:rsidP="002501A2">
      <w:pPr>
        <w:pStyle w:val="Heading4"/>
      </w:pPr>
      <w:r>
        <w:t>Efficiency — inputs per output unit</w:t>
      </w:r>
    </w:p>
    <w:p w:rsidR="00A12C8F" w:rsidRDefault="00A12C8F" w:rsidP="002501A2">
      <w:pPr>
        <w:pStyle w:val="Heading5"/>
      </w:pPr>
      <w:r>
        <w:t xml:space="preserve">Cost per </w:t>
      </w:r>
      <w:r w:rsidR="00EA51EB">
        <w:t>output</w:t>
      </w:r>
      <w:r w:rsidR="008104F3">
        <w:t xml:space="preserve"> unit</w:t>
      </w:r>
    </w:p>
    <w:p w:rsidR="00A12C8F" w:rsidRDefault="00A12C8F" w:rsidP="002501A2">
      <w:pPr>
        <w:pStyle w:val="BodyText"/>
      </w:pPr>
      <w:r>
        <w:t xml:space="preserve">‘Cost per </w:t>
      </w:r>
      <w:r w:rsidR="00EA51EB">
        <w:t>output</w:t>
      </w:r>
      <w:r w:rsidR="008104F3">
        <w:t xml:space="preserve"> unit</w:t>
      </w:r>
      <w:r>
        <w:t xml:space="preserve">’ is an indicator of governments’ objective to deliver efficient </w:t>
      </w:r>
      <w:r w:rsidR="00EA51EB">
        <w:t>aged care</w:t>
      </w:r>
      <w:r>
        <w:t xml:space="preserve"> services (box</w:t>
      </w:r>
      <w:r w:rsidR="00AA68A5">
        <w:t> </w:t>
      </w:r>
      <w:r>
        <w:t>13.</w:t>
      </w:r>
      <w:r w:rsidR="00EE11E0">
        <w:t>1</w:t>
      </w:r>
      <w:r w:rsidR="000B4837">
        <w:t>5</w:t>
      </w:r>
      <w:r>
        <w:t xml:space="preserve">). </w:t>
      </w:r>
    </w:p>
    <w:p w:rsidR="002A5236" w:rsidRDefault="002A523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A5236" w:rsidTr="001C6BC5">
        <w:tc>
          <w:tcPr>
            <w:tcW w:w="8771" w:type="dxa"/>
            <w:tcBorders>
              <w:top w:val="single" w:sz="6" w:space="0" w:color="auto"/>
              <w:bottom w:val="nil"/>
            </w:tcBorders>
          </w:tcPr>
          <w:p w:rsidR="002A5236" w:rsidRDefault="002A5236">
            <w:pPr>
              <w:pStyle w:val="BoxTitle"/>
            </w:pPr>
            <w:r w:rsidRPr="009601ED">
              <w:rPr>
                <w:b w:val="0"/>
                <w:sz w:val="24"/>
              </w:rPr>
              <w:t xml:space="preserve">Box </w:t>
            </w:r>
            <w:bookmarkStart w:id="140" w:name="OLE_LINK3"/>
            <w:r>
              <w:rPr>
                <w:b w:val="0"/>
                <w:sz w:val="24"/>
              </w:rPr>
              <w:t>13.</w:t>
            </w:r>
            <w:r w:rsidR="00E4728C">
              <w:rPr>
                <w:b w:val="0"/>
                <w:noProof/>
                <w:sz w:val="24"/>
              </w:rPr>
              <w:t>15</w:t>
            </w:r>
            <w:bookmarkEnd w:id="140"/>
            <w:r w:rsidRPr="009601ED">
              <w:rPr>
                <w:sz w:val="24"/>
              </w:rPr>
              <w:tab/>
              <w:t>Cost per output unit</w:t>
            </w:r>
            <w:r>
              <w:rPr>
                <w:sz w:val="24"/>
              </w:rPr>
              <w:tab/>
            </w:r>
          </w:p>
        </w:tc>
      </w:tr>
      <w:tr w:rsidR="002A5236" w:rsidTr="001C6BC5">
        <w:trPr>
          <w:cantSplit/>
        </w:trPr>
        <w:tc>
          <w:tcPr>
            <w:tcW w:w="8771" w:type="dxa"/>
            <w:tcBorders>
              <w:top w:val="nil"/>
              <w:left w:val="single" w:sz="6" w:space="0" w:color="auto"/>
              <w:bottom w:val="nil"/>
              <w:right w:val="single" w:sz="4" w:space="0" w:color="auto"/>
            </w:tcBorders>
          </w:tcPr>
          <w:p w:rsidR="002A5236" w:rsidRPr="00EA51EB" w:rsidRDefault="002A5236" w:rsidP="00615D83">
            <w:pPr>
              <w:pStyle w:val="Box"/>
            </w:pPr>
            <w:r>
              <w:t>‘</w:t>
            </w:r>
            <w:r w:rsidRPr="00EA51EB">
              <w:t>Cost per output</w:t>
            </w:r>
            <w:r>
              <w:t xml:space="preserve"> unit’</w:t>
            </w:r>
            <w:r w:rsidRPr="00EA51EB">
              <w:t xml:space="preserve"> </w:t>
            </w:r>
            <w:r>
              <w:t xml:space="preserve">is defined by two measures: </w:t>
            </w:r>
          </w:p>
          <w:p w:rsidR="002A5236" w:rsidRDefault="002A5236" w:rsidP="00BC2827">
            <w:pPr>
              <w:pStyle w:val="BoxListBullet"/>
              <w:rPr>
                <w:rStyle w:val="BoxListBulletChar"/>
              </w:rPr>
            </w:pPr>
            <w:r w:rsidRPr="001617D7">
              <w:rPr>
                <w:rStyle w:val="BoxListBulletChar"/>
              </w:rPr>
              <w:t xml:space="preserve">Australian Government </w:t>
            </w:r>
            <w:r>
              <w:rPr>
                <w:rStyle w:val="BoxListBulletChar"/>
              </w:rPr>
              <w:t xml:space="preserve">expenditure </w:t>
            </w:r>
            <w:r w:rsidRPr="00EA51EB">
              <w:rPr>
                <w:rStyle w:val="BoxListBulletChar"/>
              </w:rPr>
              <w:t xml:space="preserve">per </w:t>
            </w:r>
            <w:r w:rsidRPr="00BC2827">
              <w:rPr>
                <w:rStyle w:val="BoxListBulletChar"/>
                <w:shd w:val="clear" w:color="auto" w:fill="FFFFFF" w:themeFill="background1"/>
              </w:rPr>
              <w:t>ACA</w:t>
            </w:r>
            <w:r w:rsidR="00EF46F0" w:rsidRPr="00BC2827">
              <w:rPr>
                <w:rStyle w:val="BoxListBulletChar"/>
                <w:shd w:val="clear" w:color="auto" w:fill="FFFFFF" w:themeFill="background1"/>
              </w:rPr>
              <w:t>T</w:t>
            </w:r>
            <w:r w:rsidRPr="00EA51EB">
              <w:rPr>
                <w:rStyle w:val="BoxListBulletChar"/>
              </w:rPr>
              <w:t xml:space="preserve"> assessment — Australian Government expenditure on </w:t>
            </w:r>
            <w:r w:rsidR="00A46C8F">
              <w:rPr>
                <w:rStyle w:val="BoxListBulletChar"/>
              </w:rPr>
              <w:t xml:space="preserve">the </w:t>
            </w:r>
            <w:r w:rsidRPr="00EA51EB">
              <w:rPr>
                <w:rStyle w:val="BoxListBulletChar"/>
              </w:rPr>
              <w:t>ACA</w:t>
            </w:r>
            <w:r w:rsidR="00A46C8F">
              <w:rPr>
                <w:rStyle w:val="BoxListBulletChar"/>
              </w:rPr>
              <w:t>P</w:t>
            </w:r>
            <w:r w:rsidRPr="00EA51EB">
              <w:rPr>
                <w:rStyle w:val="BoxListBulletChar"/>
              </w:rPr>
              <w:t xml:space="preserve"> divided by the number of assessments comple</w:t>
            </w:r>
            <w:r>
              <w:rPr>
                <w:rStyle w:val="BoxListBulletChar"/>
              </w:rPr>
              <w:t>ted</w:t>
            </w:r>
          </w:p>
          <w:p w:rsidR="002A5236" w:rsidRPr="00EA51EB" w:rsidRDefault="002A5236" w:rsidP="00615D83">
            <w:pPr>
              <w:pStyle w:val="BoxListBullet"/>
              <w:rPr>
                <w:rStyle w:val="BoxListBulletChar"/>
              </w:rPr>
            </w:pPr>
            <w:r>
              <w:rPr>
                <w:rStyle w:val="BoxListBulletChar"/>
              </w:rPr>
              <w:t xml:space="preserve">expenditure per hour of service for HACC </w:t>
            </w:r>
            <w:r w:rsidRPr="00EA51EB">
              <w:rPr>
                <w:rStyle w:val="BoxListBulletChar"/>
              </w:rPr>
              <w:t>—</w:t>
            </w:r>
            <w:r>
              <w:rPr>
                <w:rStyle w:val="BoxListBulletChar"/>
              </w:rPr>
              <w:t xml:space="preserve"> State and Territory governments expenditure on services (some of this expenditure is funded by the Australian Government), divided by the n</w:t>
            </w:r>
            <w:r>
              <w:rPr>
                <w:rFonts w:cs="Arial"/>
                <w:szCs w:val="22"/>
              </w:rPr>
              <w:t>umber of hours of service provided</w:t>
            </w:r>
            <w:r w:rsidRPr="00F67B8F">
              <w:rPr>
                <w:rFonts w:cs="Arial"/>
                <w:szCs w:val="22"/>
              </w:rPr>
              <w:t xml:space="preserve"> </w:t>
            </w:r>
            <w:r>
              <w:rPr>
                <w:rFonts w:cs="Arial"/>
                <w:szCs w:val="22"/>
              </w:rPr>
              <w:t>(by service type domestic assistance, personal care, nursing and allied health service).</w:t>
            </w:r>
          </w:p>
          <w:p w:rsidR="002A5236" w:rsidRDefault="002A5236" w:rsidP="00615D83">
            <w:pPr>
              <w:pStyle w:val="Box"/>
            </w:pPr>
            <w:r>
              <w:t xml:space="preserve">This is a proxy indicator of efficiency and needs to be interpreted with care. While high or increasing expenditure per assessment or hour of service may reflect deteriorating efficiency, it may also reflect changes in aspects of the service (such as greater time spent with clients) or changes in the characteristics of clients (such as their geographic location). Similarly, low or declining expenditure per assessment or hour of service may reflect improving efficiency or less time spent with clients, for example. </w:t>
            </w:r>
          </w:p>
          <w:p w:rsidR="00371575" w:rsidRDefault="00371575" w:rsidP="00BC2827">
            <w:pPr>
              <w:pStyle w:val="Box"/>
              <w:shd w:val="clear" w:color="auto" w:fill="FFFFFF" w:themeFill="background1"/>
            </w:pPr>
            <w:r w:rsidRPr="00371575">
              <w:t xml:space="preserve">Australian Government expenditure per </w:t>
            </w:r>
            <w:r w:rsidRPr="00BC2827">
              <w:rPr>
                <w:shd w:val="clear" w:color="auto" w:fill="FFFFFF" w:themeFill="background1"/>
              </w:rPr>
              <w:t>ACA</w:t>
            </w:r>
            <w:r w:rsidR="00AC0B4A" w:rsidRPr="00BC2827">
              <w:rPr>
                <w:shd w:val="clear" w:color="auto" w:fill="FFFFFF" w:themeFill="background1"/>
              </w:rPr>
              <w:t>T</w:t>
            </w:r>
            <w:r w:rsidRPr="00BC2827">
              <w:rPr>
                <w:shd w:val="clear" w:color="auto" w:fill="FFFFFF" w:themeFill="background1"/>
              </w:rPr>
              <w:t xml:space="preserve"> </w:t>
            </w:r>
            <w:r w:rsidRPr="00371575">
              <w:t xml:space="preserve">assessment </w:t>
            </w:r>
            <w:r w:rsidRPr="00BD35E9">
              <w:t xml:space="preserve">and </w:t>
            </w:r>
            <w:r>
              <w:t>expenditure</w:t>
            </w:r>
            <w:r w:rsidRPr="00BD35E9">
              <w:t xml:space="preserve"> per hour of HACC service have been developed as proxies. For </w:t>
            </w:r>
            <w:r w:rsidRPr="00371575">
              <w:t xml:space="preserve">Australian Government expenditure per </w:t>
            </w:r>
            <w:r w:rsidRPr="00BC2827">
              <w:rPr>
                <w:shd w:val="clear" w:color="auto" w:fill="FFFFFF" w:themeFill="background1"/>
              </w:rPr>
              <w:t>ACA</w:t>
            </w:r>
            <w:r w:rsidR="00AC0B4A" w:rsidRPr="00BC2827">
              <w:rPr>
                <w:shd w:val="clear" w:color="auto" w:fill="FFFFFF" w:themeFill="background1"/>
              </w:rPr>
              <w:t>T</w:t>
            </w:r>
            <w:r w:rsidRPr="00371575">
              <w:t xml:space="preserve"> assessment</w:t>
            </w:r>
            <w:r>
              <w:t>,</w:t>
            </w:r>
            <w:r w:rsidRPr="00BD35E9">
              <w:t xml:space="preserve"> only </w:t>
            </w:r>
            <w:r w:rsidRPr="00BD35E9">
              <w:rPr>
                <w:rStyle w:val="BoxListBulletChar"/>
              </w:rPr>
              <w:t xml:space="preserve">Australian Government expenditure </w:t>
            </w:r>
            <w:r w:rsidRPr="00BD35E9">
              <w:t xml:space="preserve">is included, although State and Territory governments also contribute to the cost of </w:t>
            </w:r>
            <w:r w:rsidRPr="00BC2827">
              <w:rPr>
                <w:shd w:val="clear" w:color="auto" w:fill="FFFFFF" w:themeFill="background1"/>
              </w:rPr>
              <w:t>ACA</w:t>
            </w:r>
            <w:r w:rsidR="00AC0B4A" w:rsidRPr="00BC2827">
              <w:rPr>
                <w:shd w:val="clear" w:color="auto" w:fill="FFFFFF" w:themeFill="background1"/>
              </w:rPr>
              <w:t>T</w:t>
            </w:r>
            <w:r w:rsidRPr="00BD35E9">
              <w:t xml:space="preserve"> assessments. Similarly only State and Territory governments’ expenditure on HACC services is included and expenditure funded by non</w:t>
            </w:r>
            <w:r w:rsidR="00AA68A5">
              <w:noBreakHyphen/>
            </w:r>
            <w:r w:rsidRPr="00BD35E9">
              <w:t>government sources is excluded.</w:t>
            </w:r>
          </w:p>
          <w:p w:rsidR="00864331" w:rsidRDefault="00864331" w:rsidP="00BC2827">
            <w:pPr>
              <w:pStyle w:val="Box"/>
              <w:shd w:val="clear" w:color="auto" w:fill="FFFFFF" w:themeFill="background1"/>
            </w:pPr>
            <w:r>
              <w:t>Data reported for the ‘</w:t>
            </w:r>
            <w:r w:rsidRPr="001617D7">
              <w:rPr>
                <w:rStyle w:val="BoxListBulletChar"/>
              </w:rPr>
              <w:t xml:space="preserve">Australian Government </w:t>
            </w:r>
            <w:r>
              <w:rPr>
                <w:rStyle w:val="BoxListBulletChar"/>
              </w:rPr>
              <w:t xml:space="preserve">expenditure </w:t>
            </w:r>
            <w:r w:rsidRPr="00EA51EB">
              <w:rPr>
                <w:rStyle w:val="BoxListBulletChar"/>
              </w:rPr>
              <w:t xml:space="preserve">per </w:t>
            </w:r>
            <w:r w:rsidRPr="00BC2827">
              <w:rPr>
                <w:rStyle w:val="BoxListBulletChar"/>
                <w:shd w:val="clear" w:color="auto" w:fill="FFFFFF" w:themeFill="background1"/>
              </w:rPr>
              <w:t>ACAT</w:t>
            </w:r>
            <w:r>
              <w:rPr>
                <w:rStyle w:val="BoxListBulletChar"/>
              </w:rPr>
              <w:t xml:space="preserve"> </w:t>
            </w:r>
            <w:r w:rsidRPr="00EA51EB">
              <w:rPr>
                <w:rStyle w:val="BoxListBulletChar"/>
              </w:rPr>
              <w:t>assessment</w:t>
            </w:r>
            <w:r>
              <w:rPr>
                <w:rStyle w:val="BoxListBulletChar"/>
              </w:rPr>
              <w:t>’</w:t>
            </w:r>
            <w:r w:rsidRPr="00EA51EB">
              <w:rPr>
                <w:rStyle w:val="BoxListBulletChar"/>
              </w:rPr>
              <w:t xml:space="preserve"> </w:t>
            </w:r>
            <w:r>
              <w:rPr>
                <w:rStyle w:val="BoxListBulletChar"/>
              </w:rPr>
              <w:t xml:space="preserve">measure </w:t>
            </w:r>
            <w:r>
              <w:t>are:</w:t>
            </w:r>
          </w:p>
          <w:p w:rsidR="00864331" w:rsidRDefault="00864331" w:rsidP="00615D83">
            <w:pPr>
              <w:pStyle w:val="BoxListBullet"/>
            </w:pPr>
            <w:r w:rsidRPr="00C304FF">
              <w:t xml:space="preserve">comparable (subject to caveats) across jurisdictions </w:t>
            </w:r>
            <w:r>
              <w:t xml:space="preserve">and overtime </w:t>
            </w:r>
          </w:p>
          <w:p w:rsidR="00864331" w:rsidRDefault="00864331" w:rsidP="00615D83">
            <w:pPr>
              <w:pStyle w:val="BoxListBullet"/>
            </w:pPr>
            <w:r>
              <w:t xml:space="preserve">complete for the current reporting period (subject to caveats). All required </w:t>
            </w:r>
            <w:r>
              <w:br/>
              <w:t>2011</w:t>
            </w:r>
            <w:r w:rsidR="00AA68A5">
              <w:noBreakHyphen/>
            </w:r>
            <w:r>
              <w:t xml:space="preserve">12 data are available for all jurisdictions. </w:t>
            </w:r>
          </w:p>
          <w:p w:rsidR="00864331" w:rsidRDefault="00864331" w:rsidP="00615D83">
            <w:pPr>
              <w:pStyle w:val="Box"/>
            </w:pPr>
            <w:r>
              <w:t>Data reported for the ‘</w:t>
            </w:r>
            <w:r>
              <w:rPr>
                <w:rStyle w:val="BoxListBulletChar"/>
              </w:rPr>
              <w:t>expenditure per hour of service for HACC’</w:t>
            </w:r>
            <w:r w:rsidRPr="00EA51EB">
              <w:rPr>
                <w:rStyle w:val="BoxListBulletChar"/>
              </w:rPr>
              <w:t xml:space="preserve"> </w:t>
            </w:r>
            <w:r>
              <w:rPr>
                <w:rStyle w:val="BoxListBulletChar"/>
              </w:rPr>
              <w:t xml:space="preserve">measure </w:t>
            </w:r>
            <w:r>
              <w:t>are:</w:t>
            </w:r>
          </w:p>
          <w:p w:rsidR="00864331" w:rsidRDefault="00864331" w:rsidP="00615D83">
            <w:pPr>
              <w:pStyle w:val="BoxListBullet"/>
            </w:pPr>
            <w:r w:rsidRPr="002A5236">
              <w:t>comparable (subject to caveats) within jurisdictions over time but are not comparable across jurisdictions</w:t>
            </w:r>
            <w:r>
              <w:t xml:space="preserve"> </w:t>
            </w:r>
          </w:p>
          <w:p w:rsidR="00864331" w:rsidRDefault="00864331" w:rsidP="00615D83">
            <w:pPr>
              <w:pStyle w:val="BoxListBullet"/>
            </w:pPr>
            <w:r>
              <w:t xml:space="preserve">incomplete for the current reporting period (subject to caveats). All required </w:t>
            </w:r>
            <w:r>
              <w:br/>
              <w:t>2011</w:t>
            </w:r>
            <w:r w:rsidR="00AA68A5">
              <w:noBreakHyphen/>
            </w:r>
            <w:r>
              <w:t xml:space="preserve">12 data </w:t>
            </w:r>
            <w:r w:rsidRPr="002A5236">
              <w:t xml:space="preserve">were not available for </w:t>
            </w:r>
            <w:r>
              <w:t xml:space="preserve">Queensland and the NT. </w:t>
            </w:r>
          </w:p>
          <w:p w:rsidR="00864331" w:rsidRDefault="00864331" w:rsidP="00615D83">
            <w:pPr>
              <w:pStyle w:val="Box"/>
            </w:pPr>
            <w:r>
              <w:rPr>
                <w:rFonts w:cs="Arial"/>
                <w:szCs w:val="22"/>
              </w:rPr>
              <w:t>Data quality information for this indicator is under development.</w:t>
            </w:r>
          </w:p>
        </w:tc>
      </w:tr>
      <w:tr w:rsidR="002A5236">
        <w:trPr>
          <w:cantSplit/>
        </w:trPr>
        <w:tc>
          <w:tcPr>
            <w:tcW w:w="8771" w:type="dxa"/>
            <w:tcBorders>
              <w:top w:val="nil"/>
              <w:left w:val="single" w:sz="6" w:space="0" w:color="auto"/>
              <w:bottom w:val="single" w:sz="6" w:space="0" w:color="auto"/>
              <w:right w:val="single" w:sz="6" w:space="0" w:color="auto"/>
            </w:tcBorders>
          </w:tcPr>
          <w:p w:rsidR="002A5236" w:rsidRDefault="002A5236">
            <w:pPr>
              <w:pStyle w:val="Box"/>
              <w:spacing w:before="0" w:line="120" w:lineRule="exact"/>
            </w:pPr>
          </w:p>
        </w:tc>
      </w:tr>
      <w:tr w:rsidR="002A5236" w:rsidRPr="000863A5">
        <w:tc>
          <w:tcPr>
            <w:tcW w:w="8771" w:type="dxa"/>
            <w:tcBorders>
              <w:top w:val="nil"/>
              <w:left w:val="nil"/>
              <w:bottom w:val="nil"/>
              <w:right w:val="nil"/>
            </w:tcBorders>
          </w:tcPr>
          <w:p w:rsidR="002A5236" w:rsidRPr="000863A5" w:rsidRDefault="002A5236" w:rsidP="001E2D3E">
            <w:pPr>
              <w:pStyle w:val="Box"/>
              <w:keepNext w:val="0"/>
              <w:spacing w:before="60" w:after="60" w:line="80" w:lineRule="exact"/>
              <w:rPr>
                <w:b/>
                <w:sz w:val="14"/>
              </w:rPr>
            </w:pPr>
          </w:p>
        </w:tc>
      </w:tr>
    </w:tbl>
    <w:p w:rsidR="00A12C8F" w:rsidRDefault="00A12C8F" w:rsidP="002501A2">
      <w:pPr>
        <w:pStyle w:val="BodyText"/>
      </w:pPr>
      <w:r>
        <w:t>Australian Government expenditure per aged care assessment during 20</w:t>
      </w:r>
      <w:r w:rsidR="00162868">
        <w:t>1</w:t>
      </w:r>
      <w:r w:rsidR="00EE11E0">
        <w:t>1</w:t>
      </w:r>
      <w:r w:rsidR="00AA68A5">
        <w:noBreakHyphen/>
      </w:r>
      <w:r w:rsidR="00162868">
        <w:t>1</w:t>
      </w:r>
      <w:r w:rsidR="00EE11E0">
        <w:t>2</w:t>
      </w:r>
      <w:r>
        <w:t xml:space="preserve"> </w:t>
      </w:r>
      <w:r w:rsidRPr="0024347F">
        <w:t>averaged $</w:t>
      </w:r>
      <w:r w:rsidR="002A5236">
        <w:t>502</w:t>
      </w:r>
      <w:r>
        <w:t xml:space="preserve"> nationally (figure</w:t>
      </w:r>
      <w:r w:rsidR="00AA68A5">
        <w:t> </w:t>
      </w:r>
      <w:r>
        <w:t>13.</w:t>
      </w:r>
      <w:r w:rsidR="00EE11E0">
        <w:t>28</w:t>
      </w:r>
      <w:r>
        <w:t xml:space="preserve">). </w:t>
      </w:r>
    </w:p>
    <w:p w:rsidR="00A12C8F" w:rsidRDefault="00A12C8F" w:rsidP="00267F32">
      <w:pPr>
        <w:pStyle w:val="FigureTitle"/>
        <w:ind w:left="1560" w:hanging="1560"/>
      </w:pPr>
      <w:r w:rsidRPr="009601ED">
        <w:rPr>
          <w:b w:val="0"/>
          <w:sz w:val="24"/>
        </w:rPr>
        <w:lastRenderedPageBreak/>
        <w:t xml:space="preserve">Figure </w:t>
      </w:r>
      <w:r w:rsidR="000B4837">
        <w:rPr>
          <w:b w:val="0"/>
          <w:sz w:val="24"/>
        </w:rPr>
        <w:t>13.</w:t>
      </w:r>
      <w:r w:rsidR="00E4728C">
        <w:rPr>
          <w:b w:val="0"/>
          <w:noProof/>
          <w:sz w:val="24"/>
        </w:rPr>
        <w:t>28</w:t>
      </w:r>
      <w:r w:rsidRPr="009601ED">
        <w:rPr>
          <w:sz w:val="24"/>
        </w:rPr>
        <w:tab/>
        <w:t>Australian Government expenditure on aged care assessments, per assessment (20</w:t>
      </w:r>
      <w:r w:rsidR="00143450" w:rsidRPr="009601ED">
        <w:rPr>
          <w:sz w:val="24"/>
        </w:rPr>
        <w:t>1</w:t>
      </w:r>
      <w:r w:rsidR="00EE11E0">
        <w:rPr>
          <w:sz w:val="24"/>
        </w:rPr>
        <w:t>1</w:t>
      </w:r>
      <w:r w:rsidR="00AA68A5">
        <w:rPr>
          <w:sz w:val="24"/>
        </w:rPr>
        <w:noBreakHyphen/>
      </w:r>
      <w:r w:rsidR="0020184C" w:rsidRPr="009601ED">
        <w:rPr>
          <w:sz w:val="24"/>
        </w:rPr>
        <w:t>1</w:t>
      </w:r>
      <w:r w:rsidR="00EE11E0">
        <w:rPr>
          <w:sz w:val="24"/>
        </w:rPr>
        <w:t>2</w:t>
      </w:r>
      <w:r w:rsidRPr="009601ED">
        <w:rPr>
          <w:sz w:val="24"/>
        </w:rPr>
        <w:t xml:space="preserve"> dollars)</w:t>
      </w:r>
      <w:r w:rsidRPr="00F05CB2">
        <w:rPr>
          <w:rStyle w:val="NoteLabel"/>
          <w:b/>
        </w:rPr>
        <w:t>a, b, c</w:t>
      </w:r>
      <w:r w:rsidR="00110B5A">
        <w:rPr>
          <w:rStyle w:val="NoteLabel"/>
          <w:b/>
        </w:rPr>
        <w:t>, d</w:t>
      </w:r>
      <w:r w:rsidR="007828BA">
        <w:rPr>
          <w:rStyle w:val="NoteLabel"/>
          <w:b/>
        </w:rPr>
        <w:t>, e</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875C4F" w:rsidRPr="00640545" w:rsidTr="00875C4F">
        <w:tc>
          <w:tcPr>
            <w:tcW w:w="8777" w:type="dxa"/>
            <w:tcBorders>
              <w:top w:val="single" w:sz="6" w:space="0" w:color="auto"/>
              <w:bottom w:val="single" w:sz="6" w:space="0" w:color="auto"/>
              <w:right w:val="nil"/>
            </w:tcBorders>
          </w:tcPr>
          <w:p w:rsidR="00875C4F" w:rsidRPr="00026F7E" w:rsidRDefault="00B07AA7" w:rsidP="007542BF">
            <w:pPr>
              <w:pStyle w:val="Figure"/>
              <w:spacing w:before="80" w:after="80"/>
            </w:pPr>
            <w:r>
              <w:rPr>
                <w:noProof/>
              </w:rPr>
              <w:drawing>
                <wp:inline distT="0" distB="0" distL="0" distR="0">
                  <wp:extent cx="5372100" cy="2638425"/>
                  <wp:effectExtent l="0" t="0" r="0" b="9525"/>
                  <wp:docPr id="32" name="Picture 32" descr="Figure 13.28 Australian Government expenditure on aged care assessments, per assessment (2011-12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372100" cy="2638425"/>
                          </a:xfrm>
                          <a:prstGeom prst="rect">
                            <a:avLst/>
                          </a:prstGeom>
                          <a:noFill/>
                          <a:ln>
                            <a:noFill/>
                          </a:ln>
                        </pic:spPr>
                      </pic:pic>
                    </a:graphicData>
                  </a:graphic>
                </wp:inline>
              </w:drawing>
            </w:r>
          </w:p>
        </w:tc>
      </w:tr>
    </w:tbl>
    <w:p w:rsidR="00A12C8F" w:rsidRPr="00BC2827" w:rsidRDefault="00A12C8F" w:rsidP="00BC2827">
      <w:pPr>
        <w:pStyle w:val="Note"/>
      </w:pPr>
      <w:proofErr w:type="spellStart"/>
      <w:r w:rsidRPr="00BC2827">
        <w:rPr>
          <w:rStyle w:val="NoteLabel"/>
        </w:rPr>
        <w:t>a</w:t>
      </w:r>
      <w:proofErr w:type="spellEnd"/>
      <w:r w:rsidRPr="00BC2827">
        <w:t xml:space="preserve"> Only includes Australian Government expenditure on ACATs. </w:t>
      </w:r>
      <w:r w:rsidRPr="00BC2827">
        <w:rPr>
          <w:rStyle w:val="NoteLabel"/>
        </w:rPr>
        <w:t>b</w:t>
      </w:r>
      <w:r w:rsidR="00926F6B" w:rsidRPr="00BC2827">
        <w:t xml:space="preserve"> </w:t>
      </w:r>
      <w:r w:rsidR="00A46C8F" w:rsidRPr="00BC2827">
        <w:t xml:space="preserve">The </w:t>
      </w:r>
      <w:r w:rsidRPr="00BC2827">
        <w:t xml:space="preserve">referrals and operations </w:t>
      </w:r>
      <w:r w:rsidR="00A46C8F" w:rsidRPr="00BC2827">
        <w:t xml:space="preserve">of ACATs </w:t>
      </w:r>
      <w:r w:rsidRPr="00BC2827">
        <w:t xml:space="preserve">vary across jurisdictions. </w:t>
      </w:r>
      <w:r w:rsidRPr="00BC2827">
        <w:rPr>
          <w:rStyle w:val="NoteLabel"/>
        </w:rPr>
        <w:t>c</w:t>
      </w:r>
      <w:r w:rsidRPr="00BC2827">
        <w:t> </w:t>
      </w:r>
      <w:r w:rsidR="007828BA" w:rsidRPr="00BC2827">
        <w:t>Data on the number of assessments used to derive this measure are preliminary extracted from the Ageing and Aged Care Data Warehouse on 31</w:t>
      </w:r>
      <w:r w:rsidR="00AA68A5">
        <w:t> </w:t>
      </w:r>
      <w:r w:rsidR="007828BA" w:rsidRPr="00BC2827">
        <w:t>August 2013.</w:t>
      </w:r>
      <w:r w:rsidR="00110B5A" w:rsidRPr="00BC2827">
        <w:t xml:space="preserve"> </w:t>
      </w:r>
      <w:r w:rsidR="00110B5A" w:rsidRPr="00BC2827">
        <w:rPr>
          <w:rStyle w:val="NoteLabel"/>
        </w:rPr>
        <w:t>d</w:t>
      </w:r>
      <w:r w:rsidR="00110B5A" w:rsidRPr="00BC2827">
        <w:t xml:space="preserve"> </w:t>
      </w:r>
      <w:r w:rsidR="002A5236" w:rsidRPr="00BC2827">
        <w:t>Time series financial data are adjusted to 2011</w:t>
      </w:r>
      <w:r w:rsidR="00AA68A5">
        <w:noBreakHyphen/>
      </w:r>
      <w:r w:rsidR="002A5236" w:rsidRPr="00BC2827">
        <w:t>12 dollars using the General Government Final Consumption Expenditure (GGFCE) chain price deflator (2011</w:t>
      </w:r>
      <w:r w:rsidR="00AA68A5">
        <w:noBreakHyphen/>
      </w:r>
      <w:r w:rsidR="002A5236" w:rsidRPr="00BC2827">
        <w:t>12 = 100) (table</w:t>
      </w:r>
      <w:r w:rsidR="00AA68A5">
        <w:t> </w:t>
      </w:r>
      <w:r w:rsidR="009C5E21" w:rsidRPr="00BC2827">
        <w:t>2A.53</w:t>
      </w:r>
      <w:r w:rsidR="002A5236" w:rsidRPr="00BC2827">
        <w:t xml:space="preserve">). The GGFCE replaces the Gross Domestic Product implicit price deflator used in previous editions. See </w:t>
      </w:r>
      <w:r w:rsidR="00AA68A5">
        <w:t>c</w:t>
      </w:r>
      <w:r w:rsidR="002A5236" w:rsidRPr="00BC2827">
        <w:t>hapter</w:t>
      </w:r>
      <w:r w:rsidR="00AA68A5">
        <w:t> </w:t>
      </w:r>
      <w:r w:rsidR="002A5236" w:rsidRPr="00BC2827">
        <w:t>2 (section</w:t>
      </w:r>
      <w:r w:rsidR="00AA68A5">
        <w:t> </w:t>
      </w:r>
      <w:r w:rsidR="002A5236" w:rsidRPr="00BC2827">
        <w:t>2.5) for details</w:t>
      </w:r>
      <w:r w:rsidR="00110B5A" w:rsidRPr="00BC2827">
        <w:t>.</w:t>
      </w:r>
      <w:r w:rsidR="007828BA" w:rsidRPr="00BC2827">
        <w:t xml:space="preserve"> </w:t>
      </w:r>
      <w:r w:rsidR="007828BA" w:rsidRPr="00BC2827">
        <w:rPr>
          <w:rStyle w:val="NoteLabel"/>
        </w:rPr>
        <w:t>e</w:t>
      </w:r>
      <w:r w:rsidR="007828BA" w:rsidRPr="00BC2827">
        <w:t xml:space="preserve"> The high cost for each assessment in the NT may be influenced by the remoteness of people requiring assessments, clients having English as a second or third language, and a lack of supporting health and community services infrastructure to assist with assessments.</w:t>
      </w:r>
    </w:p>
    <w:p w:rsidR="00A12C8F" w:rsidRDefault="00A12C8F" w:rsidP="00BC2827">
      <w:pPr>
        <w:pStyle w:val="Source"/>
      </w:pPr>
      <w:r>
        <w:rPr>
          <w:i/>
        </w:rPr>
        <w:t>Source</w:t>
      </w:r>
      <w:r w:rsidRPr="003F4261">
        <w:t>:</w:t>
      </w:r>
      <w:r>
        <w:t xml:space="preserve"> </w:t>
      </w:r>
      <w:proofErr w:type="spellStart"/>
      <w:r>
        <w:t>DoHA</w:t>
      </w:r>
      <w:proofErr w:type="spellEnd"/>
      <w:r w:rsidR="00302796" w:rsidRPr="00F2055D">
        <w:rPr>
          <w:shd w:val="clear" w:color="auto" w:fill="FFFFFF" w:themeFill="background1"/>
        </w:rPr>
        <w:t>/</w:t>
      </w:r>
      <w:proofErr w:type="spellStart"/>
      <w:r w:rsidR="00302796" w:rsidRPr="00F2055D">
        <w:rPr>
          <w:shd w:val="clear" w:color="auto" w:fill="FFFFFF" w:themeFill="background1"/>
        </w:rPr>
        <w:t>DSS</w:t>
      </w:r>
      <w:proofErr w:type="spellEnd"/>
      <w:r>
        <w:t xml:space="preserve"> (unpublished); table</w:t>
      </w:r>
      <w:r w:rsidR="00AA68A5">
        <w:t> </w:t>
      </w:r>
      <w:proofErr w:type="spellStart"/>
      <w:r>
        <w:t>13A.</w:t>
      </w:r>
      <w:r w:rsidR="002A5236">
        <w:t>84</w:t>
      </w:r>
      <w:proofErr w:type="spellEnd"/>
      <w:r w:rsidRPr="00F6045B">
        <w:t xml:space="preserve">. </w:t>
      </w:r>
    </w:p>
    <w:p w:rsidR="00E03BE5" w:rsidRPr="00E03BE5" w:rsidRDefault="00EE11E0" w:rsidP="00BD35E9">
      <w:pPr>
        <w:pStyle w:val="BodyText"/>
      </w:pPr>
      <w:r>
        <w:t>Australian</w:t>
      </w:r>
      <w:r w:rsidR="00302796">
        <w:t>, Victorian and WA</w:t>
      </w:r>
      <w:r w:rsidR="000C3884" w:rsidRPr="00BD35E9">
        <w:t xml:space="preserve"> governments’ e</w:t>
      </w:r>
      <w:r w:rsidR="00E03BE5" w:rsidRPr="00BD35E9">
        <w:t>xpenditure</w:t>
      </w:r>
      <w:r w:rsidR="00E03BE5" w:rsidRPr="00E03BE5">
        <w:t xml:space="preserve"> per </w:t>
      </w:r>
      <w:r w:rsidR="00206DA8">
        <w:t>hour of HACC service</w:t>
      </w:r>
      <w:r w:rsidR="0020184C">
        <w:t xml:space="preserve"> during </w:t>
      </w:r>
      <w:r>
        <w:t>2011</w:t>
      </w:r>
      <w:r w:rsidR="00AA68A5">
        <w:noBreakHyphen/>
      </w:r>
      <w:r>
        <w:t xml:space="preserve">12 </w:t>
      </w:r>
      <w:r w:rsidR="0020184C">
        <w:t>was higher for nursing and allied health than</w:t>
      </w:r>
      <w:r w:rsidR="00615BDB">
        <w:t xml:space="preserve"> for</w:t>
      </w:r>
      <w:r w:rsidR="0020184C">
        <w:t xml:space="preserve"> domestic assistance and personal care </w:t>
      </w:r>
      <w:r w:rsidR="00D86295">
        <w:t xml:space="preserve">across </w:t>
      </w:r>
      <w:r w:rsidR="001C6338">
        <w:t>the</w:t>
      </w:r>
      <w:r w:rsidR="00D86295">
        <w:t xml:space="preserve"> states and territories </w:t>
      </w:r>
      <w:r w:rsidR="001C6338">
        <w:t>for which data are available</w:t>
      </w:r>
      <w:r w:rsidR="001C6338" w:rsidRPr="00E03BE5">
        <w:t xml:space="preserve"> </w:t>
      </w:r>
      <w:r w:rsidR="00302796">
        <w:br/>
      </w:r>
      <w:r w:rsidR="00E03BE5" w:rsidRPr="00E03BE5">
        <w:t>(figure</w:t>
      </w:r>
      <w:r w:rsidR="00AA68A5">
        <w:t> </w:t>
      </w:r>
      <w:r w:rsidR="00E03BE5" w:rsidRPr="00E03BE5">
        <w:t>13.</w:t>
      </w:r>
      <w:r>
        <w:t>29</w:t>
      </w:r>
      <w:r w:rsidR="00E03BE5" w:rsidRPr="00E03BE5">
        <w:t xml:space="preserve">). </w:t>
      </w:r>
    </w:p>
    <w:p w:rsidR="00EA51EB" w:rsidRDefault="00EA51EB" w:rsidP="00BD35E9">
      <w:pPr>
        <w:pStyle w:val="FigureTitle"/>
        <w:ind w:left="1560" w:hanging="1560"/>
      </w:pPr>
      <w:r w:rsidRPr="009601ED">
        <w:rPr>
          <w:b w:val="0"/>
          <w:sz w:val="24"/>
        </w:rPr>
        <w:lastRenderedPageBreak/>
        <w:t xml:space="preserve">Figure </w:t>
      </w:r>
      <w:r w:rsidR="00EE11E0">
        <w:rPr>
          <w:b w:val="0"/>
          <w:sz w:val="24"/>
        </w:rPr>
        <w:t>13.</w:t>
      </w:r>
      <w:r w:rsidR="00E4728C">
        <w:rPr>
          <w:b w:val="0"/>
          <w:noProof/>
          <w:sz w:val="24"/>
        </w:rPr>
        <w:t>29</w:t>
      </w:r>
      <w:r w:rsidRPr="009601ED">
        <w:rPr>
          <w:sz w:val="24"/>
        </w:rPr>
        <w:tab/>
      </w:r>
      <w:r w:rsidR="000C3884" w:rsidRPr="009601ED">
        <w:rPr>
          <w:sz w:val="24"/>
        </w:rPr>
        <w:t>State and Territory governments’ expenditure</w:t>
      </w:r>
      <w:r w:rsidR="002818B3" w:rsidRPr="009601ED">
        <w:rPr>
          <w:sz w:val="24"/>
        </w:rPr>
        <w:t xml:space="preserve"> per hour of HACC service, by service type</w:t>
      </w:r>
      <w:r w:rsidR="00174022" w:rsidRPr="009601ED">
        <w:rPr>
          <w:sz w:val="24"/>
        </w:rPr>
        <w:t>, 20</w:t>
      </w:r>
      <w:r w:rsidR="001F52A0" w:rsidRPr="009601ED">
        <w:rPr>
          <w:sz w:val="24"/>
        </w:rPr>
        <w:t>1</w:t>
      </w:r>
      <w:r w:rsidR="00EE11E0">
        <w:rPr>
          <w:sz w:val="24"/>
        </w:rPr>
        <w:t>1</w:t>
      </w:r>
      <w:r w:rsidR="00AA68A5">
        <w:rPr>
          <w:sz w:val="24"/>
        </w:rPr>
        <w:noBreakHyphen/>
      </w:r>
      <w:r w:rsidR="00174022" w:rsidRPr="009601ED">
        <w:rPr>
          <w:sz w:val="24"/>
        </w:rPr>
        <w:t>1</w:t>
      </w:r>
      <w:r w:rsidR="00EE11E0">
        <w:rPr>
          <w:sz w:val="24"/>
        </w:rPr>
        <w:t>2</w:t>
      </w:r>
      <w:r w:rsidR="00D86295" w:rsidRPr="00D86295">
        <w:rPr>
          <w:rStyle w:val="NoteLabel"/>
          <w:b/>
          <w:szCs w:val="20"/>
        </w:rPr>
        <w:t>a</w:t>
      </w:r>
      <w:r w:rsidR="00485A8A">
        <w:rPr>
          <w:rStyle w:val="NoteLabel"/>
          <w:b/>
          <w:szCs w:val="20"/>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A51EB" w:rsidRPr="00640545" w:rsidTr="00445F96">
        <w:tc>
          <w:tcPr>
            <w:tcW w:w="8777" w:type="dxa"/>
            <w:tcBorders>
              <w:top w:val="single" w:sz="6" w:space="0" w:color="auto"/>
              <w:bottom w:val="single" w:sz="6" w:space="0" w:color="auto"/>
              <w:right w:val="nil"/>
            </w:tcBorders>
          </w:tcPr>
          <w:p w:rsidR="00EA51EB" w:rsidRPr="00026F7E" w:rsidRDefault="00B07AA7" w:rsidP="0020184C">
            <w:pPr>
              <w:pStyle w:val="Figure"/>
            </w:pPr>
            <w:r>
              <w:rPr>
                <w:noProof/>
              </w:rPr>
              <w:drawing>
                <wp:inline distT="0" distB="0" distL="0" distR="0">
                  <wp:extent cx="5362575" cy="2638425"/>
                  <wp:effectExtent l="0" t="0" r="9525" b="9525"/>
                  <wp:docPr id="33" name="Picture 33" descr="Figure 13.29 State and Territory governments’ expenditure per hour of HACC service, by service type, 2011-12&#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62575" cy="2638425"/>
                          </a:xfrm>
                          <a:prstGeom prst="rect">
                            <a:avLst/>
                          </a:prstGeom>
                          <a:noFill/>
                          <a:ln>
                            <a:noFill/>
                          </a:ln>
                        </pic:spPr>
                      </pic:pic>
                    </a:graphicData>
                  </a:graphic>
                </wp:inline>
              </w:drawing>
            </w:r>
          </w:p>
        </w:tc>
      </w:tr>
    </w:tbl>
    <w:p w:rsidR="003D1D89" w:rsidRPr="00367B0A" w:rsidRDefault="00D86295" w:rsidP="008F0B6E">
      <w:pPr>
        <w:pStyle w:val="Note"/>
      </w:pPr>
      <w:r w:rsidRPr="00D86295">
        <w:rPr>
          <w:rStyle w:val="NoteLabel"/>
        </w:rPr>
        <w:t>a</w:t>
      </w:r>
      <w:r>
        <w:rPr>
          <w:rStyle w:val="NoteLabel"/>
        </w:rPr>
        <w:t xml:space="preserve"> </w:t>
      </w:r>
      <w:r w:rsidR="00615BDB">
        <w:rPr>
          <w:rStyle w:val="NoteChar"/>
        </w:rPr>
        <w:t>WA</w:t>
      </w:r>
      <w:r w:rsidR="00174022" w:rsidRPr="00174022">
        <w:rPr>
          <w:rStyle w:val="NoteChar"/>
        </w:rPr>
        <w:t xml:space="preserve"> contract by service group. Unit costs </w:t>
      </w:r>
      <w:r w:rsidR="003271E3">
        <w:rPr>
          <w:rStyle w:val="NoteChar"/>
        </w:rPr>
        <w:t xml:space="preserve">(includes government expenditure only) </w:t>
      </w:r>
      <w:r w:rsidR="00174022" w:rsidRPr="00174022">
        <w:rPr>
          <w:rStyle w:val="NoteChar"/>
        </w:rPr>
        <w:t>reported are an average across all services in the group</w:t>
      </w:r>
      <w:r w:rsidR="00174022">
        <w:rPr>
          <w:rStyle w:val="NoteChar"/>
        </w:rPr>
        <w:t>.</w:t>
      </w:r>
      <w:r w:rsidRPr="00174022">
        <w:rPr>
          <w:rStyle w:val="NoteChar"/>
        </w:rPr>
        <w:t xml:space="preserve"> </w:t>
      </w:r>
      <w:r w:rsidR="00485A8A" w:rsidRPr="00485A8A">
        <w:rPr>
          <w:rStyle w:val="NoteLabel"/>
        </w:rPr>
        <w:t>b</w:t>
      </w:r>
      <w:r w:rsidR="00485A8A">
        <w:rPr>
          <w:rStyle w:val="NoteChar"/>
        </w:rPr>
        <w:t xml:space="preserve"> </w:t>
      </w:r>
      <w:r w:rsidR="00485A8A" w:rsidRPr="00485A8A">
        <w:rPr>
          <w:rStyle w:val="NoteChar"/>
        </w:rPr>
        <w:t xml:space="preserve">Unit costs </w:t>
      </w:r>
      <w:r w:rsidR="003271E3">
        <w:rPr>
          <w:rStyle w:val="NoteChar"/>
        </w:rPr>
        <w:t xml:space="preserve">(includes government expenditure only) </w:t>
      </w:r>
      <w:r w:rsidR="00485A8A" w:rsidRPr="00485A8A">
        <w:rPr>
          <w:rStyle w:val="NoteChar"/>
        </w:rPr>
        <w:t xml:space="preserve">are not available for </w:t>
      </w:r>
      <w:r w:rsidR="00302796">
        <w:rPr>
          <w:rStyle w:val="NoteChar"/>
        </w:rPr>
        <w:t>Q</w:t>
      </w:r>
      <w:r w:rsidR="00B04AF7">
        <w:rPr>
          <w:rStyle w:val="NoteChar"/>
        </w:rPr>
        <w:t>ueenslan</w:t>
      </w:r>
      <w:r w:rsidR="00302796">
        <w:rPr>
          <w:rStyle w:val="NoteChar"/>
        </w:rPr>
        <w:t>d and the NT as they have not submitted the annual HACC business reports.</w:t>
      </w:r>
      <w:r w:rsidR="003D1D89">
        <w:rPr>
          <w:rStyle w:val="NoteChar"/>
        </w:rPr>
        <w:t xml:space="preserve"> </w:t>
      </w:r>
    </w:p>
    <w:p w:rsidR="00206DA8" w:rsidRDefault="00206DA8" w:rsidP="00F93C0F">
      <w:pPr>
        <w:pStyle w:val="Source"/>
      </w:pPr>
      <w:r>
        <w:rPr>
          <w:i/>
        </w:rPr>
        <w:t>Source</w:t>
      </w:r>
      <w:r w:rsidRPr="003F4261">
        <w:t>:</w:t>
      </w:r>
      <w:r>
        <w:t xml:space="preserve"> </w:t>
      </w:r>
      <w:r w:rsidRPr="00F93C0F">
        <w:rPr>
          <w:shd w:val="clear" w:color="auto" w:fill="FFFFFF" w:themeFill="background1"/>
        </w:rPr>
        <w:t>D</w:t>
      </w:r>
      <w:r w:rsidR="00302796" w:rsidRPr="00F93C0F">
        <w:rPr>
          <w:shd w:val="clear" w:color="auto" w:fill="FFFFFF" w:themeFill="background1"/>
        </w:rPr>
        <w:t>SS</w:t>
      </w:r>
      <w:r>
        <w:t xml:space="preserve"> (unpublished)</w:t>
      </w:r>
      <w:r w:rsidR="0020184C">
        <w:t>, from State and Territory go</w:t>
      </w:r>
      <w:r w:rsidR="00BC2827">
        <w:t>vernment</w:t>
      </w:r>
      <w:r w:rsidR="0020184C">
        <w:t xml:space="preserve"> </w:t>
      </w:r>
      <w:r w:rsidR="00CD4FA7" w:rsidRPr="00CD4FA7">
        <w:t>estimates</w:t>
      </w:r>
      <w:r>
        <w:t>; table</w:t>
      </w:r>
      <w:r w:rsidR="00AA68A5">
        <w:t> </w:t>
      </w:r>
      <w:proofErr w:type="spellStart"/>
      <w:r>
        <w:t>13A.</w:t>
      </w:r>
      <w:r w:rsidR="00302796">
        <w:t>85</w:t>
      </w:r>
      <w:proofErr w:type="spellEnd"/>
      <w:r w:rsidRPr="00F6045B">
        <w:t xml:space="preserve">. </w:t>
      </w:r>
    </w:p>
    <w:p w:rsidR="00A12C8F" w:rsidRDefault="00A12C8F" w:rsidP="002501A2">
      <w:pPr>
        <w:pStyle w:val="Heading5"/>
      </w:pPr>
      <w:r>
        <w:t xml:space="preserve">Expenditure per head of </w:t>
      </w:r>
      <w:r w:rsidR="00E10D09">
        <w:t xml:space="preserve">aged care </w:t>
      </w:r>
      <w:r>
        <w:t>target population</w:t>
      </w:r>
    </w:p>
    <w:p w:rsidR="00A12C8F" w:rsidRDefault="00A12C8F" w:rsidP="002501A2">
      <w:pPr>
        <w:pStyle w:val="BodyText"/>
      </w:pPr>
      <w:r>
        <w:t xml:space="preserve">‘Expenditure per head of </w:t>
      </w:r>
      <w:r w:rsidR="00E10D09">
        <w:t xml:space="preserve">aged care </w:t>
      </w:r>
      <w:r>
        <w:t>target population’ is an indicator of governments’ objective to deliver efficient aged care services (box</w:t>
      </w:r>
      <w:r w:rsidR="00AA68A5">
        <w:t> </w:t>
      </w:r>
      <w:r>
        <w:t>13.</w:t>
      </w:r>
      <w:r w:rsidR="00EE11E0">
        <w:t>1</w:t>
      </w:r>
      <w:r w:rsidR="000B4837">
        <w:t>6</w:t>
      </w:r>
      <w:r>
        <w:t xml:space="preserve">). </w:t>
      </w:r>
    </w:p>
    <w:p w:rsidR="000872E2" w:rsidRDefault="000872E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0872E2">
        <w:tc>
          <w:tcPr>
            <w:tcW w:w="8771" w:type="dxa"/>
            <w:tcBorders>
              <w:top w:val="single" w:sz="6" w:space="0" w:color="auto"/>
              <w:bottom w:val="nil"/>
            </w:tcBorders>
          </w:tcPr>
          <w:p w:rsidR="000872E2" w:rsidRPr="000872E2" w:rsidRDefault="000872E2" w:rsidP="000872E2">
            <w:pPr>
              <w:pStyle w:val="BoxTitle"/>
              <w:rPr>
                <w:sz w:val="24"/>
              </w:rPr>
            </w:pPr>
            <w:r w:rsidRPr="000872E2">
              <w:rPr>
                <w:b w:val="0"/>
                <w:sz w:val="24"/>
              </w:rPr>
              <w:t xml:space="preserve">Box </w:t>
            </w:r>
            <w:bookmarkStart w:id="141" w:name="OLE_LINK34"/>
            <w:r w:rsidR="00302796">
              <w:rPr>
                <w:b w:val="0"/>
                <w:sz w:val="24"/>
              </w:rPr>
              <w:t>13.</w:t>
            </w:r>
            <w:r w:rsidR="00E4728C">
              <w:rPr>
                <w:b w:val="0"/>
                <w:noProof/>
                <w:sz w:val="24"/>
              </w:rPr>
              <w:t>16</w:t>
            </w:r>
            <w:bookmarkEnd w:id="141"/>
            <w:r w:rsidRPr="000872E2">
              <w:rPr>
                <w:sz w:val="24"/>
              </w:rPr>
              <w:tab/>
              <w:t>Expenditure per head of aged care target population</w:t>
            </w:r>
          </w:p>
        </w:tc>
      </w:tr>
      <w:tr w:rsidR="000872E2">
        <w:trPr>
          <w:cantSplit/>
        </w:trPr>
        <w:tc>
          <w:tcPr>
            <w:tcW w:w="8771" w:type="dxa"/>
            <w:tcBorders>
              <w:top w:val="nil"/>
              <w:left w:val="single" w:sz="6" w:space="0" w:color="auto"/>
              <w:bottom w:val="nil"/>
              <w:right w:val="single" w:sz="6" w:space="0" w:color="auto"/>
            </w:tcBorders>
          </w:tcPr>
          <w:p w:rsidR="00EC6C17" w:rsidRDefault="000872E2">
            <w:pPr>
              <w:pStyle w:val="Box"/>
            </w:pPr>
            <w:r>
              <w:t xml:space="preserve">‘Expenditure per head of aged care target population’ is defined as government inputs (expenditure) divided by the number of people aged 65 years or over </w:t>
            </w:r>
            <w:r w:rsidRPr="00BD35E9">
              <w:t>and</w:t>
            </w:r>
            <w:r>
              <w:t xml:space="preserve"> </w:t>
            </w:r>
            <w:r w:rsidR="00EB2705">
              <w:t>Indigenous Australians</w:t>
            </w:r>
            <w:r>
              <w:t xml:space="preserve"> aged 50–64 years. Expenditure per person in the aged care target population is reported for residential care, selected community aged care programs (CACP, EACH and EACH</w:t>
            </w:r>
            <w:r w:rsidR="00AA68A5">
              <w:noBreakHyphen/>
            </w:r>
            <w:r>
              <w:t xml:space="preserve">D) and </w:t>
            </w:r>
            <w:r w:rsidRPr="003F4A46">
              <w:t>multi</w:t>
            </w:r>
            <w:r w:rsidR="00AA68A5">
              <w:noBreakHyphen/>
            </w:r>
            <w:r w:rsidRPr="003F4A46">
              <w:t xml:space="preserve">purpose and Indigenous specific services </w:t>
            </w:r>
            <w:r>
              <w:t>combined and reported separately for the three main service types: residential care services, HACC and CACP services.</w:t>
            </w:r>
          </w:p>
        </w:tc>
      </w:tr>
      <w:tr w:rsidR="000872E2">
        <w:trPr>
          <w:cantSplit/>
        </w:trPr>
        <w:tc>
          <w:tcPr>
            <w:tcW w:w="8771" w:type="dxa"/>
            <w:tcBorders>
              <w:top w:val="nil"/>
              <w:left w:val="single" w:sz="6" w:space="0" w:color="auto"/>
              <w:bottom w:val="nil"/>
              <w:right w:val="single" w:sz="6" w:space="0" w:color="auto"/>
            </w:tcBorders>
          </w:tcPr>
          <w:p w:rsidR="000872E2" w:rsidRDefault="000872E2" w:rsidP="000872E2">
            <w:pPr>
              <w:pStyle w:val="Continued"/>
            </w:pPr>
            <w:r>
              <w:t>(Continued next page)</w:t>
            </w:r>
          </w:p>
        </w:tc>
      </w:tr>
      <w:tr w:rsidR="000872E2">
        <w:trPr>
          <w:cantSplit/>
        </w:trPr>
        <w:tc>
          <w:tcPr>
            <w:tcW w:w="8771" w:type="dxa"/>
            <w:tcBorders>
              <w:top w:val="nil"/>
              <w:left w:val="single" w:sz="6" w:space="0" w:color="auto"/>
              <w:bottom w:val="single" w:sz="6" w:space="0" w:color="auto"/>
              <w:right w:val="single" w:sz="6" w:space="0" w:color="auto"/>
            </w:tcBorders>
          </w:tcPr>
          <w:p w:rsidR="000872E2" w:rsidRDefault="000872E2">
            <w:pPr>
              <w:pStyle w:val="Box"/>
              <w:spacing w:before="0" w:line="120" w:lineRule="exact"/>
            </w:pPr>
          </w:p>
        </w:tc>
      </w:tr>
      <w:tr w:rsidR="000872E2" w:rsidRPr="000863A5">
        <w:tc>
          <w:tcPr>
            <w:tcW w:w="8771" w:type="dxa"/>
            <w:tcBorders>
              <w:top w:val="nil"/>
              <w:left w:val="nil"/>
              <w:bottom w:val="nil"/>
              <w:right w:val="nil"/>
            </w:tcBorders>
          </w:tcPr>
          <w:p w:rsidR="000872E2" w:rsidRPr="000863A5" w:rsidRDefault="000872E2" w:rsidP="00815A40">
            <w:pPr>
              <w:pStyle w:val="Box"/>
              <w:keepNext w:val="0"/>
              <w:spacing w:before="60" w:after="60" w:line="80" w:lineRule="exact"/>
              <w:rPr>
                <w:b/>
                <w:sz w:val="14"/>
              </w:rPr>
            </w:pPr>
          </w:p>
        </w:tc>
      </w:tr>
    </w:tbl>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A12C8F">
        <w:tc>
          <w:tcPr>
            <w:tcW w:w="8771" w:type="dxa"/>
            <w:tcBorders>
              <w:top w:val="single" w:sz="6" w:space="0" w:color="auto"/>
              <w:bottom w:val="nil"/>
            </w:tcBorders>
          </w:tcPr>
          <w:p w:rsidR="00A12C8F" w:rsidRDefault="00A12C8F" w:rsidP="000B4837">
            <w:pPr>
              <w:pStyle w:val="BoxTitle"/>
            </w:pPr>
            <w:r w:rsidRPr="000872E2">
              <w:rPr>
                <w:b w:val="0"/>
                <w:sz w:val="24"/>
              </w:rPr>
              <w:t xml:space="preserve">Box </w:t>
            </w:r>
            <w:r w:rsidR="00AA512C">
              <w:rPr>
                <w:b w:val="0"/>
                <w:sz w:val="24"/>
              </w:rPr>
              <w:t>13.</w:t>
            </w:r>
            <w:r w:rsidR="00EE11E0">
              <w:rPr>
                <w:b w:val="0"/>
                <w:sz w:val="24"/>
              </w:rPr>
              <w:t>1</w:t>
            </w:r>
            <w:r w:rsidR="000B4837">
              <w:rPr>
                <w:b w:val="0"/>
                <w:sz w:val="24"/>
              </w:rPr>
              <w:t>6</w:t>
            </w:r>
            <w:r>
              <w:tab/>
            </w:r>
            <w:r w:rsidR="000872E2" w:rsidRPr="000872E2">
              <w:rPr>
                <w:sz w:val="18"/>
                <w:szCs w:val="18"/>
              </w:rPr>
              <w:t>(continued)</w:t>
            </w:r>
          </w:p>
        </w:tc>
      </w:tr>
      <w:tr w:rsidR="00A12C8F" w:rsidTr="00A12C8F">
        <w:trPr>
          <w:cantSplit/>
        </w:trPr>
        <w:tc>
          <w:tcPr>
            <w:tcW w:w="8771" w:type="dxa"/>
            <w:tcBorders>
              <w:top w:val="nil"/>
              <w:left w:val="single" w:sz="6" w:space="0" w:color="auto"/>
              <w:bottom w:val="nil"/>
              <w:right w:val="single" w:sz="6" w:space="0" w:color="auto"/>
            </w:tcBorders>
          </w:tcPr>
          <w:p w:rsidR="00A12C8F" w:rsidRDefault="00A12C8F" w:rsidP="00F93C0F">
            <w:pPr>
              <w:pStyle w:val="Box"/>
            </w:pPr>
            <w:r>
              <w:t xml:space="preserve">This is a proxy indicator of efficiency and needs to be interpreted with care as it measures cost per </w:t>
            </w:r>
            <w:r w:rsidR="00932F26" w:rsidRPr="00F93C0F">
              <w:rPr>
                <w:shd w:val="clear" w:color="auto" w:fill="FFFFFF" w:themeFill="background1"/>
              </w:rPr>
              <w:t>head of the aged care</w:t>
            </w:r>
            <w:r w:rsidR="00932F26">
              <w:t xml:space="preserve"> </w:t>
            </w:r>
            <w:r>
              <w:t>target population, not cost per unit of service. While high or increasing expenditure per person can reflect deteriorating efficiency, it can also reflect changes in aspects of the service (such as better quality of services) or in the characteristics of clients receiving the service (such as their geographic location or level of care need). Similarly, low or declining expenditure per assessment can reflect improving efficiency or a decrease in service standards.</w:t>
            </w:r>
          </w:p>
          <w:p w:rsidR="00302796" w:rsidRDefault="00302796" w:rsidP="00302796">
            <w:pPr>
              <w:pStyle w:val="Box"/>
            </w:pPr>
            <w:r>
              <w:t>Data reported for this indicator are:</w:t>
            </w:r>
          </w:p>
          <w:p w:rsidR="00302796" w:rsidRDefault="00302796" w:rsidP="00467C3D">
            <w:pPr>
              <w:pStyle w:val="BoxListBullet"/>
            </w:pPr>
            <w:r w:rsidRPr="00C304FF">
              <w:t xml:space="preserve">comparable (subject to caveats) across jurisdictions </w:t>
            </w:r>
            <w:r w:rsidR="00467C3D" w:rsidRPr="00467C3D">
              <w:t>but a break in series means that data for 2012</w:t>
            </w:r>
            <w:r w:rsidR="00AA68A5">
              <w:noBreakHyphen/>
            </w:r>
            <w:r w:rsidR="00467C3D" w:rsidRPr="00467C3D">
              <w:t xml:space="preserve">13 are not comparable to data </w:t>
            </w:r>
            <w:r w:rsidR="00467C3D">
              <w:t>before that year</w:t>
            </w:r>
          </w:p>
          <w:p w:rsidR="00A12C8F" w:rsidRDefault="00302796" w:rsidP="002501A2">
            <w:pPr>
              <w:pStyle w:val="BoxListBullet"/>
            </w:pPr>
            <w:r>
              <w:t xml:space="preserve">complete for the current reporting period (subject to caveats). All required </w:t>
            </w:r>
            <w:r>
              <w:br/>
              <w:t>2012</w:t>
            </w:r>
            <w:r w:rsidR="00AA68A5">
              <w:noBreakHyphen/>
            </w:r>
            <w:r>
              <w:t xml:space="preserve">13 data are available for all jurisdictions. </w:t>
            </w:r>
          </w:p>
          <w:p w:rsidR="000A26F9" w:rsidRDefault="000A26F9" w:rsidP="002501A2">
            <w:pPr>
              <w:pStyle w:val="Box"/>
            </w:pPr>
            <w:r w:rsidRPr="000A26F9">
              <w:t>Data quality information for this indicator is under development.</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976E2F" w:rsidRDefault="00094871" w:rsidP="00BD35E9">
      <w:pPr>
        <w:pStyle w:val="BodyText"/>
      </w:pPr>
      <w:r>
        <w:t xml:space="preserve">Australian Government </w:t>
      </w:r>
      <w:r w:rsidRPr="002A0D9F">
        <w:t xml:space="preserve">real </w:t>
      </w:r>
      <w:r>
        <w:t xml:space="preserve">expenditure on residential care, </w:t>
      </w:r>
      <w:r w:rsidRPr="002A0D9F">
        <w:t>selected community car</w:t>
      </w:r>
      <w:r>
        <w:t>e programs (CACP, EACH, EACH</w:t>
      </w:r>
      <w:r w:rsidR="00AA68A5">
        <w:noBreakHyphen/>
      </w:r>
      <w:r>
        <w:t xml:space="preserve">D), and on multipurpose and Indigenous specific services combined per </w:t>
      </w:r>
      <w:r w:rsidR="009D2090">
        <w:t xml:space="preserve">person aged </w:t>
      </w:r>
      <w:r w:rsidR="001F52A0">
        <w:t>65</w:t>
      </w:r>
      <w:r w:rsidR="009D2090">
        <w:t xml:space="preserve"> years or </w:t>
      </w:r>
      <w:r w:rsidR="00C05C11">
        <w:t xml:space="preserve">over </w:t>
      </w:r>
      <w:r w:rsidR="00CF2C9C" w:rsidRPr="00BD35E9">
        <w:t>and</w:t>
      </w:r>
      <w:r w:rsidR="009D2090">
        <w:t xml:space="preserve"> </w:t>
      </w:r>
      <w:r w:rsidR="00EB2705">
        <w:t>Indigenous Australians</w:t>
      </w:r>
      <w:r w:rsidR="009D2090">
        <w:t xml:space="preserve"> aged 50–6</w:t>
      </w:r>
      <w:r w:rsidR="001F52A0">
        <w:t>4</w:t>
      </w:r>
      <w:r w:rsidR="009D2090">
        <w:t xml:space="preserve"> years </w:t>
      </w:r>
      <w:r w:rsidR="002D1881">
        <w:t>was</w:t>
      </w:r>
      <w:r w:rsidR="009D2090" w:rsidRPr="00352C93">
        <w:t xml:space="preserve"> $</w:t>
      </w:r>
      <w:r w:rsidR="00302796">
        <w:t>3</w:t>
      </w:r>
      <w:r w:rsidR="00E11C10">
        <w:t>048</w:t>
      </w:r>
      <w:r w:rsidR="009D2090">
        <w:t xml:space="preserve"> </w:t>
      </w:r>
      <w:r w:rsidR="008104F3">
        <w:t xml:space="preserve">nationally </w:t>
      </w:r>
      <w:r w:rsidR="009D2090">
        <w:t>in 201</w:t>
      </w:r>
      <w:r w:rsidR="00EE11E0">
        <w:t>2</w:t>
      </w:r>
      <w:r w:rsidR="00AA68A5">
        <w:noBreakHyphen/>
      </w:r>
      <w:r w:rsidR="00EE11E0">
        <w:t>13</w:t>
      </w:r>
      <w:r w:rsidR="009D2090" w:rsidRPr="0024347F">
        <w:t xml:space="preserve"> (figure 13.</w:t>
      </w:r>
      <w:r w:rsidR="009D2090">
        <w:t>3</w:t>
      </w:r>
      <w:r w:rsidR="00EE11E0">
        <w:t>0</w:t>
      </w:r>
      <w:r w:rsidR="009D2090" w:rsidRPr="0024347F">
        <w:t>).</w:t>
      </w:r>
    </w:p>
    <w:p w:rsidR="003F4A46" w:rsidRDefault="003F4A46" w:rsidP="0080482A">
      <w:pPr>
        <w:pStyle w:val="FigureTitle"/>
        <w:keepLines w:val="0"/>
        <w:ind w:left="1559" w:hanging="1559"/>
      </w:pPr>
      <w:r w:rsidRPr="009601ED">
        <w:rPr>
          <w:b w:val="0"/>
          <w:sz w:val="24"/>
        </w:rPr>
        <w:t xml:space="preserve">Figure </w:t>
      </w:r>
      <w:r w:rsidR="00EE11E0">
        <w:rPr>
          <w:b w:val="0"/>
          <w:sz w:val="24"/>
        </w:rPr>
        <w:t>13.</w:t>
      </w:r>
      <w:r w:rsidR="00E4728C">
        <w:rPr>
          <w:b w:val="0"/>
          <w:noProof/>
          <w:sz w:val="24"/>
        </w:rPr>
        <w:t>30</w:t>
      </w:r>
      <w:r w:rsidRPr="009601ED">
        <w:rPr>
          <w:b w:val="0"/>
          <w:sz w:val="24"/>
        </w:rPr>
        <w:tab/>
      </w:r>
      <w:r w:rsidRPr="009601ED">
        <w:rPr>
          <w:sz w:val="24"/>
        </w:rPr>
        <w:t xml:space="preserve">Australian Government </w:t>
      </w:r>
      <w:r w:rsidR="000C77BE" w:rsidRPr="009601ED">
        <w:rPr>
          <w:sz w:val="24"/>
        </w:rPr>
        <w:t xml:space="preserve">(DoHA and DVA) </w:t>
      </w:r>
      <w:r w:rsidRPr="009601ED">
        <w:rPr>
          <w:sz w:val="24"/>
        </w:rPr>
        <w:t xml:space="preserve">real expenditure </w:t>
      </w:r>
      <w:r w:rsidR="00B00F59" w:rsidRPr="009601ED">
        <w:rPr>
          <w:sz w:val="24"/>
        </w:rPr>
        <w:t xml:space="preserve">on selected programs, </w:t>
      </w:r>
      <w:r w:rsidRPr="009601ED">
        <w:rPr>
          <w:sz w:val="24"/>
        </w:rPr>
        <w:t xml:space="preserve">per </w:t>
      </w:r>
      <w:r w:rsidR="00B00F59" w:rsidRPr="009601ED">
        <w:rPr>
          <w:sz w:val="24"/>
        </w:rPr>
        <w:t>person</w:t>
      </w:r>
      <w:r w:rsidRPr="009601ED">
        <w:rPr>
          <w:sz w:val="24"/>
        </w:rPr>
        <w:t xml:space="preserve"> in the </w:t>
      </w:r>
      <w:r w:rsidR="003C5ADD" w:rsidRPr="009601ED">
        <w:rPr>
          <w:sz w:val="24"/>
        </w:rPr>
        <w:t xml:space="preserve">aged care </w:t>
      </w:r>
      <w:r w:rsidRPr="009601ED">
        <w:rPr>
          <w:sz w:val="24"/>
        </w:rPr>
        <w:t>target population</w:t>
      </w:r>
      <w:r w:rsidR="00394AD9">
        <w:rPr>
          <w:sz w:val="24"/>
        </w:rPr>
        <w:t xml:space="preserve">, </w:t>
      </w:r>
      <w:r w:rsidRPr="009601ED">
        <w:rPr>
          <w:sz w:val="24"/>
        </w:rPr>
        <w:t>201</w:t>
      </w:r>
      <w:r w:rsidR="00EE11E0">
        <w:rPr>
          <w:sz w:val="24"/>
        </w:rPr>
        <w:t>2</w:t>
      </w:r>
      <w:r w:rsidRPr="009601ED">
        <w:rPr>
          <w:sz w:val="24"/>
        </w:rPr>
        <w:noBreakHyphen/>
        <w:t>1</w:t>
      </w:r>
      <w:r w:rsidR="00EE11E0">
        <w:rPr>
          <w:sz w:val="24"/>
        </w:rPr>
        <w:t>3</w:t>
      </w:r>
      <w:r w:rsidR="003634B2" w:rsidRPr="00BD35E9">
        <w:rPr>
          <w:rStyle w:val="NoteLabel"/>
          <w:b/>
        </w:rPr>
        <w:t>a</w:t>
      </w:r>
      <w:r w:rsidRPr="003C3805">
        <w:rPr>
          <w:shd w:val="pct20" w:color="auto" w:fill="auto"/>
        </w:rPr>
        <w:t xml:space="preserve"> </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3F4A46" w:rsidTr="009C1619">
        <w:tc>
          <w:tcPr>
            <w:tcW w:w="8777" w:type="dxa"/>
          </w:tcPr>
          <w:p w:rsidR="003F4A46" w:rsidRPr="00026F7E" w:rsidRDefault="00B07AA7" w:rsidP="0080482A">
            <w:pPr>
              <w:pStyle w:val="Figure"/>
              <w:keepNext w:val="0"/>
            </w:pPr>
            <w:r>
              <w:rPr>
                <w:noProof/>
              </w:rPr>
              <w:drawing>
                <wp:inline distT="0" distB="0" distL="0" distR="0">
                  <wp:extent cx="5391150" cy="2638425"/>
                  <wp:effectExtent l="0" t="0" r="0" b="9525"/>
                  <wp:docPr id="34" name="Picture 34" descr="Figure 13.30 Australian Government (DoHA and DVA) real expenditure on selected programs, per person in the aged care target population,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061134" w:rsidRPr="003634B2" w:rsidRDefault="003634B2" w:rsidP="0080482A">
      <w:pPr>
        <w:pStyle w:val="Source"/>
        <w:keepLines w:val="0"/>
      </w:pPr>
      <w:r w:rsidRPr="007D7964">
        <w:rPr>
          <w:rStyle w:val="NoteLabel"/>
        </w:rPr>
        <w:t>a</w:t>
      </w:r>
      <w:r>
        <w:rPr>
          <w:rStyle w:val="NoteLabel"/>
          <w:b w:val="0"/>
        </w:rPr>
        <w:t xml:space="preserve"> </w:t>
      </w:r>
      <w:r w:rsidR="00A624F9">
        <w:t xml:space="preserve">Results exclude </w:t>
      </w:r>
      <w:r w:rsidR="00791A1E">
        <w:t xml:space="preserve">State and Territory </w:t>
      </w:r>
      <w:r w:rsidR="002D1881">
        <w:t xml:space="preserve">governments funding of </w:t>
      </w:r>
      <w:r w:rsidR="00791A1E">
        <w:t xml:space="preserve">younger people with disability (people aged under 65 years and Indigenous </w:t>
      </w:r>
      <w:r w:rsidR="005361B1">
        <w:t xml:space="preserve">Australians </w:t>
      </w:r>
      <w:r w:rsidR="00791A1E">
        <w:t>aged under 50 years) in residential aged care</w:t>
      </w:r>
      <w:r w:rsidR="00791A1E" w:rsidRPr="00927EB9">
        <w:t>.</w:t>
      </w:r>
    </w:p>
    <w:p w:rsidR="003F4A46" w:rsidRPr="002A0D9F" w:rsidRDefault="003F4A46" w:rsidP="00F93C0F">
      <w:pPr>
        <w:pStyle w:val="Source"/>
      </w:pPr>
      <w:r>
        <w:rPr>
          <w:i/>
        </w:rPr>
        <w:t>Source</w:t>
      </w:r>
      <w:r w:rsidRPr="003F4261">
        <w:t>:</w:t>
      </w:r>
      <w:r>
        <w:t xml:space="preserve"> </w:t>
      </w:r>
      <w:proofErr w:type="spellStart"/>
      <w:r w:rsidR="00543AE9" w:rsidRPr="00F93C0F">
        <w:rPr>
          <w:shd w:val="clear" w:color="auto" w:fill="FFFFFF" w:themeFill="background1"/>
        </w:rPr>
        <w:t>D</w:t>
      </w:r>
      <w:r w:rsidR="00C46244" w:rsidRPr="00F93C0F">
        <w:rPr>
          <w:shd w:val="clear" w:color="auto" w:fill="FFFFFF" w:themeFill="background1"/>
        </w:rPr>
        <w:t>SS</w:t>
      </w:r>
      <w:proofErr w:type="spellEnd"/>
      <w:r w:rsidR="00094871" w:rsidRPr="00F93C0F">
        <w:rPr>
          <w:shd w:val="clear" w:color="auto" w:fill="FFFFFF" w:themeFill="background1"/>
        </w:rPr>
        <w:t xml:space="preserve"> </w:t>
      </w:r>
      <w:r w:rsidR="00094871">
        <w:t>(unpublished); t</w:t>
      </w:r>
      <w:r>
        <w:t>ables</w:t>
      </w:r>
      <w:r w:rsidR="00AA68A5">
        <w:t> </w:t>
      </w:r>
      <w:proofErr w:type="spellStart"/>
      <w:r>
        <w:t>13A.8</w:t>
      </w:r>
      <w:proofErr w:type="spellEnd"/>
      <w:r w:rsidR="002D1881">
        <w:sym w:font="Symbol" w:char="F02D"/>
      </w:r>
      <w:r>
        <w:t>10.</w:t>
      </w:r>
      <w:r w:rsidRPr="00F527C6">
        <w:t xml:space="preserve"> </w:t>
      </w:r>
    </w:p>
    <w:p w:rsidR="002F6E9D" w:rsidRDefault="002F6E9D" w:rsidP="00BD35E9">
      <w:pPr>
        <w:pStyle w:val="BodyText"/>
      </w:pPr>
      <w:r>
        <w:lastRenderedPageBreak/>
        <w:t xml:space="preserve">Nationally, Australian Government real expenditure by both </w:t>
      </w:r>
      <w:r w:rsidRPr="00EA4D7E">
        <w:t>DoHA</w:t>
      </w:r>
      <w:r>
        <w:t xml:space="preserve"> and DVA on residential care services per person aged 65 years or over </w:t>
      </w:r>
      <w:r w:rsidRPr="00BD35E9">
        <w:t>and</w:t>
      </w:r>
      <w:r>
        <w:t xml:space="preserve"> Indigenous Australians aged 50–64 years was</w:t>
      </w:r>
      <w:r w:rsidRPr="00352C93">
        <w:t xml:space="preserve"> </w:t>
      </w:r>
      <w:r>
        <w:t>$</w:t>
      </w:r>
      <w:r w:rsidR="00467C3D">
        <w:t>2661</w:t>
      </w:r>
      <w:r>
        <w:t xml:space="preserve"> in 201</w:t>
      </w:r>
      <w:r w:rsidR="00467C3D">
        <w:t>2</w:t>
      </w:r>
      <w:r w:rsidR="00AA68A5">
        <w:noBreakHyphen/>
      </w:r>
      <w:r>
        <w:t>1</w:t>
      </w:r>
      <w:r w:rsidR="00467C3D">
        <w:t>3</w:t>
      </w:r>
      <w:r w:rsidRPr="0024347F">
        <w:t xml:space="preserve"> (figure 13.</w:t>
      </w:r>
      <w:r>
        <w:t>3</w:t>
      </w:r>
      <w:r w:rsidR="00EE11E0">
        <w:t>1</w:t>
      </w:r>
      <w:r w:rsidRPr="0024347F">
        <w:t xml:space="preserve">). If the payroll tax supplement paid by the Australian Government is excluded, this expenditure nationally </w:t>
      </w:r>
      <w:r>
        <w:t>was</w:t>
      </w:r>
      <w:r w:rsidRPr="0024347F">
        <w:t xml:space="preserve"> $</w:t>
      </w:r>
      <w:r w:rsidR="00467C3D">
        <w:t>2609</w:t>
      </w:r>
      <w:r>
        <w:t xml:space="preserve"> </w:t>
      </w:r>
      <w:r w:rsidRPr="0024347F">
        <w:t xml:space="preserve">in </w:t>
      </w:r>
      <w:r>
        <w:t>201</w:t>
      </w:r>
      <w:r w:rsidR="00EE11E0">
        <w:t>2</w:t>
      </w:r>
      <w:r w:rsidR="00AA68A5">
        <w:noBreakHyphen/>
      </w:r>
      <w:r>
        <w:t>1</w:t>
      </w:r>
      <w:r w:rsidR="00EE11E0">
        <w:t>3</w:t>
      </w:r>
      <w:r w:rsidRPr="0024347F">
        <w:t xml:space="preserve"> (table </w:t>
      </w:r>
      <w:proofErr w:type="spellStart"/>
      <w:r w:rsidRPr="0024347F">
        <w:t>13A.</w:t>
      </w:r>
      <w:r w:rsidR="00467C3D">
        <w:t>86</w:t>
      </w:r>
      <w:proofErr w:type="spellEnd"/>
      <w:r w:rsidRPr="0024347F">
        <w:t>).</w:t>
      </w:r>
    </w:p>
    <w:p w:rsidR="00976E2F" w:rsidRPr="005F2178" w:rsidRDefault="00122098" w:rsidP="00BD35E9">
      <w:pPr>
        <w:pStyle w:val="BodyText"/>
      </w:pPr>
      <w:r>
        <w:t xml:space="preserve">Nationally, </w:t>
      </w:r>
      <w:r w:rsidR="00976E2F" w:rsidRPr="00EA4D7E">
        <w:t>DoHA</w:t>
      </w:r>
      <w:r w:rsidR="00976E2F" w:rsidRPr="00EA4D7E">
        <w:rPr>
          <w:b/>
        </w:rPr>
        <w:t xml:space="preserve"> </w:t>
      </w:r>
      <w:r w:rsidR="00976E2F" w:rsidRPr="0024347F">
        <w:t>expenditure</w:t>
      </w:r>
      <w:r w:rsidR="00E61B43">
        <w:t xml:space="preserve"> </w:t>
      </w:r>
      <w:r w:rsidR="00976E2F" w:rsidRPr="0024347F">
        <w:t xml:space="preserve">on residential care per person aged </w:t>
      </w:r>
      <w:r w:rsidR="00927C6D">
        <w:t>65</w:t>
      </w:r>
      <w:r w:rsidR="00976E2F" w:rsidRPr="0024347F">
        <w:t xml:space="preserve"> years or </w:t>
      </w:r>
      <w:r w:rsidR="00C05C11">
        <w:t xml:space="preserve">over </w:t>
      </w:r>
      <w:r w:rsidR="00CF2C9C" w:rsidRPr="00BD35E9">
        <w:t>and</w:t>
      </w:r>
      <w:r w:rsidR="00976E2F" w:rsidRPr="0024347F">
        <w:t xml:space="preserve"> </w:t>
      </w:r>
      <w:r w:rsidR="00EB2705">
        <w:t>Indigenous Australians</w:t>
      </w:r>
      <w:r w:rsidR="00976E2F" w:rsidRPr="0024347F">
        <w:t xml:space="preserve"> aged 50–6</w:t>
      </w:r>
      <w:r w:rsidR="00927C6D">
        <w:t>4</w:t>
      </w:r>
      <w:r w:rsidR="00976E2F" w:rsidRPr="0024347F">
        <w:t xml:space="preserve"> years in </w:t>
      </w:r>
      <w:r w:rsidR="00976E2F">
        <w:t>201</w:t>
      </w:r>
      <w:r w:rsidR="00EE11E0">
        <w:t>2</w:t>
      </w:r>
      <w:r w:rsidR="00AA68A5">
        <w:noBreakHyphen/>
      </w:r>
      <w:r w:rsidR="00976E2F">
        <w:t>1</w:t>
      </w:r>
      <w:r w:rsidR="00EE11E0">
        <w:t xml:space="preserve">3 </w:t>
      </w:r>
      <w:r w:rsidR="00976E2F" w:rsidRPr="0024347F">
        <w:t>was $</w:t>
      </w:r>
      <w:r w:rsidR="00467C3D">
        <w:t>2</w:t>
      </w:r>
      <w:r w:rsidR="00E11C10">
        <w:t>276</w:t>
      </w:r>
      <w:r w:rsidR="00976E2F" w:rsidRPr="0024347F">
        <w:t xml:space="preserve"> including the payroll tax supplement and $</w:t>
      </w:r>
      <w:r w:rsidR="00467C3D">
        <w:t>2</w:t>
      </w:r>
      <w:r w:rsidR="00E11C10">
        <w:t>231</w:t>
      </w:r>
      <w:r w:rsidR="00976E2F" w:rsidRPr="0024347F">
        <w:t xml:space="preserve"> excluding the payroll tax supplement </w:t>
      </w:r>
      <w:r w:rsidR="005361B1">
        <w:br/>
      </w:r>
      <w:r w:rsidR="00976E2F" w:rsidRPr="0024347F">
        <w:t>(table</w:t>
      </w:r>
      <w:r w:rsidR="00AA68A5">
        <w:t> </w:t>
      </w:r>
      <w:proofErr w:type="spellStart"/>
      <w:r w:rsidR="00976E2F" w:rsidRPr="0024347F">
        <w:t>13A.</w:t>
      </w:r>
      <w:r w:rsidR="00976E2F">
        <w:t>8</w:t>
      </w:r>
      <w:proofErr w:type="spellEnd"/>
      <w:r w:rsidR="00976E2F" w:rsidRPr="0024347F">
        <w:t xml:space="preserve">). DVA expenditure on residential care per person aged </w:t>
      </w:r>
      <w:r w:rsidR="00927C6D">
        <w:t>65</w:t>
      </w:r>
      <w:r w:rsidR="00976E2F" w:rsidRPr="0024347F">
        <w:t xml:space="preserve"> years or over was $</w:t>
      </w:r>
      <w:r w:rsidR="00E11C10">
        <w:t>3</w:t>
      </w:r>
      <w:r w:rsidR="003B6BAB">
        <w:t>93</w:t>
      </w:r>
      <w:r w:rsidR="00976E2F" w:rsidRPr="0024347F">
        <w:t xml:space="preserve"> including the payroll tax supplement and $</w:t>
      </w:r>
      <w:r w:rsidR="00E11C10">
        <w:t>3</w:t>
      </w:r>
      <w:r w:rsidR="003B6BAB">
        <w:t>84</w:t>
      </w:r>
      <w:r w:rsidR="00976E2F" w:rsidRPr="0024347F">
        <w:t xml:space="preserve"> excluding the payroll tax supplement</w:t>
      </w:r>
      <w:r w:rsidR="00976E2F" w:rsidRPr="005F2178">
        <w:t xml:space="preserve"> </w:t>
      </w:r>
      <w:r w:rsidR="0014707D" w:rsidRPr="0024347F">
        <w:t xml:space="preserve">in </w:t>
      </w:r>
      <w:r w:rsidR="0014707D">
        <w:t>201</w:t>
      </w:r>
      <w:r w:rsidR="00EE11E0">
        <w:t>2</w:t>
      </w:r>
      <w:r w:rsidR="00AA68A5">
        <w:noBreakHyphen/>
      </w:r>
      <w:r w:rsidR="0014707D">
        <w:t>1</w:t>
      </w:r>
      <w:r w:rsidR="00EE11E0">
        <w:t>3</w:t>
      </w:r>
      <w:r w:rsidR="00927C6D">
        <w:t xml:space="preserve"> </w:t>
      </w:r>
      <w:r w:rsidR="00976E2F" w:rsidRPr="005F2178">
        <w:t>(table</w:t>
      </w:r>
      <w:r w:rsidR="00AA68A5">
        <w:t> </w:t>
      </w:r>
      <w:proofErr w:type="spellStart"/>
      <w:r w:rsidR="00976E2F" w:rsidRPr="005F2178">
        <w:t>13A.</w:t>
      </w:r>
      <w:r w:rsidR="002D1881">
        <w:t>14</w:t>
      </w:r>
      <w:proofErr w:type="spellEnd"/>
      <w:r w:rsidR="00976E2F" w:rsidRPr="005F2178">
        <w:t>).</w:t>
      </w:r>
    </w:p>
    <w:p w:rsidR="00A12C8F" w:rsidRDefault="00A12C8F" w:rsidP="00267F32">
      <w:pPr>
        <w:pStyle w:val="FigureTitle"/>
        <w:ind w:left="1560" w:hanging="1560"/>
      </w:pPr>
      <w:r w:rsidRPr="009601ED">
        <w:rPr>
          <w:b w:val="0"/>
          <w:sz w:val="24"/>
        </w:rPr>
        <w:t xml:space="preserve">Figure </w:t>
      </w:r>
      <w:r w:rsidR="00EE11E0">
        <w:rPr>
          <w:b w:val="0"/>
          <w:sz w:val="24"/>
        </w:rPr>
        <w:t>13.</w:t>
      </w:r>
      <w:r w:rsidR="00E4728C">
        <w:rPr>
          <w:b w:val="0"/>
          <w:noProof/>
          <w:sz w:val="24"/>
        </w:rPr>
        <w:t>31</w:t>
      </w:r>
      <w:r w:rsidRPr="009601ED">
        <w:rPr>
          <w:sz w:val="24"/>
        </w:rPr>
        <w:tab/>
        <w:t>Australian Government (</w:t>
      </w:r>
      <w:r w:rsidRPr="00EA4D7E">
        <w:t>DoHA</w:t>
      </w:r>
      <w:r w:rsidRPr="00EA4D7E">
        <w:rPr>
          <w:sz w:val="24"/>
        </w:rPr>
        <w:t xml:space="preserve"> </w:t>
      </w:r>
      <w:r w:rsidRPr="009601ED">
        <w:rPr>
          <w:sz w:val="24"/>
        </w:rPr>
        <w:t xml:space="preserve">and DVA) real expenditure on residential services per person </w:t>
      </w:r>
      <w:r w:rsidR="00B00F59" w:rsidRPr="009601ED">
        <w:rPr>
          <w:sz w:val="24"/>
        </w:rPr>
        <w:t xml:space="preserve">in the </w:t>
      </w:r>
      <w:r w:rsidR="00FF41F9" w:rsidRPr="009601ED">
        <w:rPr>
          <w:sz w:val="24"/>
        </w:rPr>
        <w:t xml:space="preserve">aged care </w:t>
      </w:r>
      <w:r w:rsidR="00B00F59" w:rsidRPr="009601ED">
        <w:rPr>
          <w:sz w:val="24"/>
        </w:rPr>
        <w:t>target population</w:t>
      </w:r>
      <w:r w:rsidR="00AB426C">
        <w:rPr>
          <w:sz w:val="24"/>
        </w:rPr>
        <w:t xml:space="preserve"> </w:t>
      </w:r>
      <w:r w:rsidR="00AB426C" w:rsidRPr="00AB426C">
        <w:rPr>
          <w:sz w:val="24"/>
        </w:rPr>
        <w:t>(201</w:t>
      </w:r>
      <w:r w:rsidR="00AB426C">
        <w:rPr>
          <w:sz w:val="24"/>
        </w:rPr>
        <w:t>2</w:t>
      </w:r>
      <w:r w:rsidR="00AA68A5">
        <w:rPr>
          <w:sz w:val="24"/>
        </w:rPr>
        <w:noBreakHyphen/>
      </w:r>
      <w:r w:rsidR="00AB426C" w:rsidRPr="00AB426C">
        <w:rPr>
          <w:sz w:val="24"/>
        </w:rPr>
        <w:t>1</w:t>
      </w:r>
      <w:r w:rsidR="00AB426C">
        <w:rPr>
          <w:sz w:val="24"/>
        </w:rPr>
        <w:t>3</w:t>
      </w:r>
      <w:r w:rsidR="00AB426C" w:rsidRPr="00AB426C">
        <w:rPr>
          <w:sz w:val="24"/>
        </w:rPr>
        <w:t xml:space="preserve"> dollars)</w:t>
      </w:r>
      <w:r w:rsidR="00EA4698" w:rsidRPr="00EA4698">
        <w:rPr>
          <w:rStyle w:val="NoteLabel"/>
          <w:b/>
        </w:rPr>
        <w:t>a</w:t>
      </w:r>
      <w:r>
        <w:rPr>
          <w:rStyle w:val="NoteLabel"/>
          <w:b/>
        </w:rPr>
        <w:t>, b</w:t>
      </w:r>
      <w:r w:rsidR="00B53287">
        <w:rPr>
          <w:rStyle w:val="NoteLabel"/>
          <w:b/>
        </w:rPr>
        <w:t>, c</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155A3" w:rsidRPr="00640545" w:rsidTr="006223F0">
        <w:tc>
          <w:tcPr>
            <w:tcW w:w="8777" w:type="dxa"/>
            <w:tcBorders>
              <w:top w:val="single" w:sz="6" w:space="0" w:color="auto"/>
              <w:bottom w:val="single" w:sz="6" w:space="0" w:color="auto"/>
              <w:right w:val="nil"/>
            </w:tcBorders>
          </w:tcPr>
          <w:p w:rsidR="00E155A3" w:rsidRPr="00301A15" w:rsidRDefault="00B07AA7" w:rsidP="000F394C">
            <w:pPr>
              <w:pStyle w:val="Figure"/>
            </w:pPr>
            <w:r>
              <w:rPr>
                <w:noProof/>
              </w:rPr>
              <w:drawing>
                <wp:inline distT="0" distB="0" distL="0" distR="0">
                  <wp:extent cx="5391150" cy="2867025"/>
                  <wp:effectExtent l="0" t="0" r="0" b="9525"/>
                  <wp:docPr id="36" name="Picture 36" descr="Figure 13.31 Australian Government (DoHA and DVA) real expenditure on residential services per person in the aged care target population (2012-13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91150" cy="2867025"/>
                          </a:xfrm>
                          <a:prstGeom prst="rect">
                            <a:avLst/>
                          </a:prstGeom>
                          <a:noFill/>
                          <a:ln>
                            <a:noFill/>
                          </a:ln>
                        </pic:spPr>
                      </pic:pic>
                    </a:graphicData>
                  </a:graphic>
                </wp:inline>
              </w:drawing>
            </w:r>
          </w:p>
        </w:tc>
      </w:tr>
    </w:tbl>
    <w:p w:rsidR="00A12C8F" w:rsidRPr="007D7964" w:rsidRDefault="00A12C8F" w:rsidP="002501A2">
      <w:pPr>
        <w:pStyle w:val="Note"/>
      </w:pPr>
      <w:proofErr w:type="spellStart"/>
      <w:r>
        <w:rPr>
          <w:rStyle w:val="NoteLabel"/>
        </w:rPr>
        <w:t>a</w:t>
      </w:r>
      <w:proofErr w:type="spellEnd"/>
      <w:r>
        <w:t xml:space="preserve"> Includes a payroll tax supplement provided by the Australian Government. Actual payroll tax paid may differ. </w:t>
      </w:r>
      <w:r w:rsidR="00467C3D">
        <w:rPr>
          <w:rStyle w:val="NoteLabel"/>
        </w:rPr>
        <w:t>b</w:t>
      </w:r>
      <w:r w:rsidR="00927EB9" w:rsidRPr="003C3805">
        <w:t xml:space="preserve"> </w:t>
      </w:r>
      <w:r w:rsidR="00791A1E">
        <w:t xml:space="preserve">Results exclude </w:t>
      </w:r>
      <w:r w:rsidR="00495EDA">
        <w:t>State and Territory governments’ funding</w:t>
      </w:r>
      <w:r w:rsidR="00791A1E">
        <w:t xml:space="preserve"> for younger people with disability (people aged </w:t>
      </w:r>
      <w:r w:rsidR="00467C3D">
        <w:br/>
      </w:r>
      <w:r w:rsidR="00791A1E">
        <w:t>6</w:t>
      </w:r>
      <w:r w:rsidR="002D1881">
        <w:t>4</w:t>
      </w:r>
      <w:r w:rsidR="00791A1E">
        <w:t xml:space="preserve"> years </w:t>
      </w:r>
      <w:r w:rsidR="002D1881">
        <w:t xml:space="preserve">or under </w:t>
      </w:r>
      <w:r w:rsidR="00791A1E">
        <w:t xml:space="preserve">and Indigenous aged </w:t>
      </w:r>
      <w:r w:rsidR="002D1881">
        <w:t>49</w:t>
      </w:r>
      <w:r w:rsidR="00791A1E">
        <w:t xml:space="preserve"> years</w:t>
      </w:r>
      <w:r w:rsidR="002D1881">
        <w:t xml:space="preserve"> or under</w:t>
      </w:r>
      <w:r w:rsidR="00791A1E">
        <w:t>) in residential aged care</w:t>
      </w:r>
      <w:r w:rsidR="001B2609">
        <w:t xml:space="preserve"> (see tables</w:t>
      </w:r>
      <w:r w:rsidR="00AA68A5">
        <w:t> </w:t>
      </w:r>
      <w:proofErr w:type="spellStart"/>
      <w:r w:rsidR="001B2609">
        <w:t>13A.5</w:t>
      </w:r>
      <w:proofErr w:type="spellEnd"/>
      <w:r w:rsidR="001B2609">
        <w:t xml:space="preserve"> and </w:t>
      </w:r>
      <w:proofErr w:type="spellStart"/>
      <w:r w:rsidR="001B2609">
        <w:t>13A.8</w:t>
      </w:r>
      <w:proofErr w:type="spellEnd"/>
      <w:r w:rsidR="001B2609">
        <w:t xml:space="preserve"> for details)</w:t>
      </w:r>
      <w:r w:rsidR="001B60E8" w:rsidRPr="00927EB9">
        <w:t>.</w:t>
      </w:r>
      <w:r w:rsidR="007D7964">
        <w:t xml:space="preserve"> </w:t>
      </w:r>
      <w:r w:rsidR="00B53287" w:rsidRPr="00B53287">
        <w:rPr>
          <w:rStyle w:val="NoteLabel"/>
        </w:rPr>
        <w:t>c</w:t>
      </w:r>
      <w:r w:rsidR="00B53287" w:rsidRPr="00B53287">
        <w:t xml:space="preserve"> Time series financial data are adjusted to 201</w:t>
      </w:r>
      <w:r w:rsidR="00B53287">
        <w:t>2</w:t>
      </w:r>
      <w:r w:rsidR="00AA68A5">
        <w:noBreakHyphen/>
      </w:r>
      <w:r w:rsidR="00B53287" w:rsidRPr="00B53287">
        <w:t>1</w:t>
      </w:r>
      <w:r w:rsidR="00444537">
        <w:t>3</w:t>
      </w:r>
      <w:r w:rsidR="00B53287" w:rsidRPr="00B53287">
        <w:t xml:space="preserve"> dollars using the </w:t>
      </w:r>
      <w:r w:rsidR="00B53287">
        <w:t xml:space="preserve">GGFCE </w:t>
      </w:r>
      <w:r w:rsidR="00B53287" w:rsidRPr="00B53287">
        <w:t>chain price deflator (201</w:t>
      </w:r>
      <w:r w:rsidR="00B53287">
        <w:t>2</w:t>
      </w:r>
      <w:r w:rsidR="00AA68A5">
        <w:noBreakHyphen/>
      </w:r>
      <w:r w:rsidR="00B53287" w:rsidRPr="00B53287">
        <w:t>1</w:t>
      </w:r>
      <w:r w:rsidR="00B53287">
        <w:t>3</w:t>
      </w:r>
      <w:r w:rsidR="00B53287" w:rsidRPr="00B53287">
        <w:t xml:space="preserve"> = 100) (table</w:t>
      </w:r>
      <w:r w:rsidR="00AA68A5">
        <w:t> </w:t>
      </w:r>
      <w:r w:rsidR="009C5E21">
        <w:t>2A.53</w:t>
      </w:r>
      <w:r w:rsidR="00B53287" w:rsidRPr="00B53287">
        <w:t xml:space="preserve">). The GGFCE replaces the Gross Domestic Product implicit price deflator used in previous editions. See </w:t>
      </w:r>
      <w:r w:rsidR="00AA68A5">
        <w:t>c</w:t>
      </w:r>
      <w:r w:rsidR="00B53287" w:rsidRPr="00B53287">
        <w:t>hapter</w:t>
      </w:r>
      <w:r w:rsidR="00AA68A5">
        <w:t> </w:t>
      </w:r>
      <w:r w:rsidR="00B53287" w:rsidRPr="00B53287">
        <w:t>2 (section</w:t>
      </w:r>
      <w:r w:rsidR="00AA68A5">
        <w:t> </w:t>
      </w:r>
      <w:r w:rsidR="00B53287" w:rsidRPr="00B53287">
        <w:t>2.5) for details</w:t>
      </w:r>
      <w:r w:rsidR="00B53287">
        <w:t>.</w:t>
      </w:r>
    </w:p>
    <w:p w:rsidR="00A12C8F" w:rsidRDefault="00A12C8F" w:rsidP="009C5E21">
      <w:pPr>
        <w:pStyle w:val="Source"/>
      </w:pPr>
      <w:r>
        <w:rPr>
          <w:i/>
        </w:rPr>
        <w:t>Source</w:t>
      </w:r>
      <w:r w:rsidRPr="003F4261">
        <w:t xml:space="preserve">: </w:t>
      </w:r>
      <w:r w:rsidR="00023C8D">
        <w:t>DoHA</w:t>
      </w:r>
      <w:r w:rsidR="00023C8D" w:rsidRPr="000B210F">
        <w:rPr>
          <w:shd w:val="clear" w:color="auto" w:fill="BFBFBF" w:themeFill="background1" w:themeFillShade="BF"/>
        </w:rPr>
        <w:t>/</w:t>
      </w:r>
      <w:r w:rsidRPr="00F93C0F">
        <w:rPr>
          <w:shd w:val="clear" w:color="auto" w:fill="FFFFFF" w:themeFill="background1"/>
        </w:rPr>
        <w:t>D</w:t>
      </w:r>
      <w:r w:rsidR="00467C3D" w:rsidRPr="00F93C0F">
        <w:rPr>
          <w:shd w:val="clear" w:color="auto" w:fill="FFFFFF" w:themeFill="background1"/>
        </w:rPr>
        <w:t>SS</w:t>
      </w:r>
      <w:r w:rsidRPr="00F93C0F">
        <w:rPr>
          <w:shd w:val="clear" w:color="auto" w:fill="FFFFFF" w:themeFill="background1"/>
        </w:rPr>
        <w:t xml:space="preserve"> </w:t>
      </w:r>
      <w:r>
        <w:t xml:space="preserve">(unpublished); </w:t>
      </w:r>
      <w:proofErr w:type="spellStart"/>
      <w:r>
        <w:t>DVA</w:t>
      </w:r>
      <w:proofErr w:type="spellEnd"/>
      <w:r>
        <w:t xml:space="preserve"> (unpublished); table</w:t>
      </w:r>
      <w:r w:rsidR="00AA68A5">
        <w:t> </w:t>
      </w:r>
      <w:proofErr w:type="spellStart"/>
      <w:r>
        <w:t>13A.</w:t>
      </w:r>
      <w:r w:rsidR="00467C3D">
        <w:t>86</w:t>
      </w:r>
      <w:proofErr w:type="spellEnd"/>
      <w:r>
        <w:t>.</w:t>
      </w:r>
    </w:p>
    <w:p w:rsidR="00736B22" w:rsidRDefault="00736B22" w:rsidP="009C5E21">
      <w:pPr>
        <w:pStyle w:val="BodyText"/>
      </w:pPr>
      <w:r w:rsidRPr="005F2178">
        <w:t xml:space="preserve">Australian Government expenditure on CACPs per person aged </w:t>
      </w:r>
      <w:r w:rsidR="00927C6D">
        <w:t>65</w:t>
      </w:r>
      <w:r w:rsidRPr="005F2178">
        <w:t xml:space="preserve"> years or </w:t>
      </w:r>
      <w:r w:rsidR="00C05C11">
        <w:t xml:space="preserve">over </w:t>
      </w:r>
      <w:r w:rsidR="00CF2C9C" w:rsidRPr="00BD35E9">
        <w:t>and</w:t>
      </w:r>
      <w:r w:rsidR="00145E8B">
        <w:t xml:space="preserve"> </w:t>
      </w:r>
      <w:r w:rsidR="00EB2705">
        <w:t>Indigenous Australians</w:t>
      </w:r>
      <w:r w:rsidRPr="005F2178">
        <w:t xml:space="preserve"> aged 50–6</w:t>
      </w:r>
      <w:r w:rsidR="00927C6D">
        <w:t>4</w:t>
      </w:r>
      <w:r w:rsidRPr="005F2178">
        <w:t xml:space="preserve"> years was similar in most jurisdictions except the NT. Nationally</w:t>
      </w:r>
      <w:r>
        <w:t xml:space="preserve">, expenditure </w:t>
      </w:r>
      <w:r w:rsidR="004F1A6D" w:rsidRPr="00F93C0F">
        <w:rPr>
          <w:shd w:val="clear" w:color="auto" w:fill="FFFFFF" w:themeFill="background1"/>
        </w:rPr>
        <w:t>was $176</w:t>
      </w:r>
      <w:r w:rsidR="004F1A6D" w:rsidRPr="00E155A3">
        <w:t xml:space="preserve"> </w:t>
      </w:r>
      <w:r>
        <w:t xml:space="preserve">per person aged </w:t>
      </w:r>
      <w:r w:rsidR="00927C6D">
        <w:t>65</w:t>
      </w:r>
      <w:r>
        <w:t xml:space="preserve"> years or </w:t>
      </w:r>
      <w:r w:rsidR="00C05C11">
        <w:t xml:space="preserve">over </w:t>
      </w:r>
      <w:r w:rsidR="00CF2C9C" w:rsidRPr="00BD35E9">
        <w:t>and</w:t>
      </w:r>
      <w:r>
        <w:t xml:space="preserve"> </w:t>
      </w:r>
      <w:r w:rsidR="00EB2705">
        <w:t>Indigenous Australians</w:t>
      </w:r>
      <w:r>
        <w:t xml:space="preserve"> aged 50–6</w:t>
      </w:r>
      <w:r w:rsidR="00927C6D">
        <w:t>4</w:t>
      </w:r>
      <w:r>
        <w:t xml:space="preserve"> years </w:t>
      </w:r>
      <w:r w:rsidR="00DB6BF4" w:rsidRPr="00E155A3">
        <w:t>i</w:t>
      </w:r>
      <w:r w:rsidR="00DB6BF4">
        <w:t xml:space="preserve">n </w:t>
      </w:r>
      <w:r w:rsidR="00714EDC">
        <w:t>201</w:t>
      </w:r>
      <w:r w:rsidR="00EE11E0">
        <w:t>2</w:t>
      </w:r>
      <w:r w:rsidR="00AA68A5">
        <w:noBreakHyphen/>
      </w:r>
      <w:r w:rsidR="00927C6D">
        <w:t>1</w:t>
      </w:r>
      <w:r w:rsidR="00EE11E0">
        <w:t>3</w:t>
      </w:r>
      <w:r w:rsidR="00DB6BF4">
        <w:t xml:space="preserve"> (figure</w:t>
      </w:r>
      <w:r w:rsidR="00AA68A5">
        <w:t> </w:t>
      </w:r>
      <w:r w:rsidR="00DB6BF4">
        <w:t>13.3</w:t>
      </w:r>
      <w:r w:rsidR="00EE11E0">
        <w:t>2</w:t>
      </w:r>
      <w:r>
        <w:t>).</w:t>
      </w:r>
    </w:p>
    <w:p w:rsidR="00736B22" w:rsidRDefault="00736B22" w:rsidP="00267F32">
      <w:pPr>
        <w:pStyle w:val="FigureTitle"/>
        <w:ind w:left="1560" w:hanging="1560"/>
      </w:pPr>
      <w:r w:rsidRPr="009601ED">
        <w:rPr>
          <w:b w:val="0"/>
          <w:sz w:val="24"/>
        </w:rPr>
        <w:lastRenderedPageBreak/>
        <w:t xml:space="preserve">Figure </w:t>
      </w:r>
      <w:r w:rsidR="00EE11E0">
        <w:rPr>
          <w:b w:val="0"/>
          <w:sz w:val="24"/>
        </w:rPr>
        <w:t>13.</w:t>
      </w:r>
      <w:r w:rsidR="00E4728C">
        <w:rPr>
          <w:b w:val="0"/>
          <w:noProof/>
          <w:sz w:val="24"/>
        </w:rPr>
        <w:t>32</w:t>
      </w:r>
      <w:r w:rsidRPr="009601ED">
        <w:rPr>
          <w:sz w:val="24"/>
        </w:rPr>
        <w:tab/>
        <w:t xml:space="preserve">Australian Government real expenditure on CACP services per person </w:t>
      </w:r>
      <w:r w:rsidR="00B00F59" w:rsidRPr="009601ED">
        <w:rPr>
          <w:sz w:val="24"/>
        </w:rPr>
        <w:t xml:space="preserve">in the </w:t>
      </w:r>
      <w:r w:rsidR="00FF41F9" w:rsidRPr="009601ED">
        <w:rPr>
          <w:sz w:val="24"/>
        </w:rPr>
        <w:t xml:space="preserve">aged care </w:t>
      </w:r>
      <w:r w:rsidR="00B00F59" w:rsidRPr="009601ED">
        <w:rPr>
          <w:sz w:val="24"/>
        </w:rPr>
        <w:t>target population</w:t>
      </w:r>
      <w:r w:rsidR="00AB426C">
        <w:rPr>
          <w:sz w:val="24"/>
        </w:rPr>
        <w:t xml:space="preserve"> </w:t>
      </w:r>
      <w:r w:rsidR="00D418E4">
        <w:rPr>
          <w:sz w:val="24"/>
        </w:rPr>
        <w:br/>
      </w:r>
      <w:r w:rsidR="00AB426C" w:rsidRPr="00AB426C">
        <w:rPr>
          <w:sz w:val="24"/>
        </w:rPr>
        <w:t>(201</w:t>
      </w:r>
      <w:r w:rsidR="00AB426C">
        <w:rPr>
          <w:sz w:val="24"/>
        </w:rPr>
        <w:t>2</w:t>
      </w:r>
      <w:r w:rsidR="00AA68A5">
        <w:rPr>
          <w:sz w:val="24"/>
        </w:rPr>
        <w:noBreakHyphen/>
      </w:r>
      <w:r w:rsidR="00AB426C" w:rsidRPr="00AB426C">
        <w:rPr>
          <w:sz w:val="24"/>
        </w:rPr>
        <w:t>1</w:t>
      </w:r>
      <w:r w:rsidR="00AB426C">
        <w:rPr>
          <w:sz w:val="24"/>
        </w:rPr>
        <w:t>3</w:t>
      </w:r>
      <w:r w:rsidR="00AB426C" w:rsidRPr="00AB426C">
        <w:rPr>
          <w:sz w:val="24"/>
        </w:rPr>
        <w:t xml:space="preserve"> dollars)</w:t>
      </w:r>
      <w:r w:rsidRPr="001B6E98">
        <w:rPr>
          <w:rStyle w:val="NoteLabel"/>
          <w:b/>
        </w:rPr>
        <w:t>a</w:t>
      </w:r>
      <w:r w:rsidR="003975E4">
        <w:rPr>
          <w:rStyle w:val="NoteLabel"/>
          <w:b/>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155A3" w:rsidRPr="00640545" w:rsidTr="006223F0">
        <w:tc>
          <w:tcPr>
            <w:tcW w:w="8777" w:type="dxa"/>
            <w:tcBorders>
              <w:top w:val="single" w:sz="6" w:space="0" w:color="auto"/>
              <w:bottom w:val="single" w:sz="6" w:space="0" w:color="auto"/>
              <w:right w:val="nil"/>
            </w:tcBorders>
          </w:tcPr>
          <w:p w:rsidR="00AC7778" w:rsidRPr="00301A15" w:rsidRDefault="00B07AA7" w:rsidP="007242A9">
            <w:pPr>
              <w:pStyle w:val="Figure"/>
            </w:pPr>
            <w:r>
              <w:rPr>
                <w:noProof/>
              </w:rPr>
              <w:drawing>
                <wp:inline distT="0" distB="0" distL="0" distR="0">
                  <wp:extent cx="5400675" cy="2886075"/>
                  <wp:effectExtent l="0" t="0" r="9525" b="9525"/>
                  <wp:docPr id="37" name="Picture 37" descr="Figure 13.32 Australian Government real expenditure on CACP services per person in the aged care target population &#10;(2012-13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00675" cy="2886075"/>
                          </a:xfrm>
                          <a:prstGeom prst="rect">
                            <a:avLst/>
                          </a:prstGeom>
                          <a:noFill/>
                          <a:ln>
                            <a:noFill/>
                          </a:ln>
                        </pic:spPr>
                      </pic:pic>
                    </a:graphicData>
                  </a:graphic>
                </wp:inline>
              </w:drawing>
            </w:r>
          </w:p>
        </w:tc>
      </w:tr>
    </w:tbl>
    <w:p w:rsidR="00736B22" w:rsidRPr="00424A2D" w:rsidRDefault="00736B22" w:rsidP="00424A2D">
      <w:pPr>
        <w:pStyle w:val="Note"/>
      </w:pPr>
      <w:r w:rsidRPr="00424A2D">
        <w:rPr>
          <w:rStyle w:val="NoteLabel"/>
        </w:rPr>
        <w:t>a</w:t>
      </w:r>
      <w:r w:rsidR="009C467B" w:rsidRPr="00424A2D">
        <w:t xml:space="preserve"> </w:t>
      </w:r>
      <w:r w:rsidR="00CB3BB3" w:rsidRPr="00424A2D">
        <w:t>Time series financial data are adjusted to 2012</w:t>
      </w:r>
      <w:r w:rsidR="00AA68A5">
        <w:noBreakHyphen/>
      </w:r>
      <w:r w:rsidR="00CB3BB3" w:rsidRPr="00424A2D">
        <w:t>1</w:t>
      </w:r>
      <w:r w:rsidR="00AB426C" w:rsidRPr="00424A2D">
        <w:t>3</w:t>
      </w:r>
      <w:r w:rsidR="00CB3BB3" w:rsidRPr="00424A2D">
        <w:t xml:space="preserve"> dollars using the GGFCE chain price deflator </w:t>
      </w:r>
      <w:r w:rsidR="00B34ABC" w:rsidRPr="00424A2D">
        <w:br/>
      </w:r>
      <w:r w:rsidR="00CB3BB3" w:rsidRPr="00424A2D">
        <w:t>(2012</w:t>
      </w:r>
      <w:r w:rsidR="00AA68A5">
        <w:noBreakHyphen/>
      </w:r>
      <w:r w:rsidR="00CB3BB3" w:rsidRPr="00424A2D">
        <w:t>13 = 100) (table</w:t>
      </w:r>
      <w:r w:rsidR="00AA68A5">
        <w:t> </w:t>
      </w:r>
      <w:r w:rsidR="00CB3BB3" w:rsidRPr="00424A2D">
        <w:t>2A.5</w:t>
      </w:r>
      <w:r w:rsidR="00424A2D">
        <w:t>3</w:t>
      </w:r>
      <w:r w:rsidR="00CB3BB3" w:rsidRPr="00424A2D">
        <w:t xml:space="preserve">). The GGFCE replaces the Gross Domestic Product implicit price deflator used in previous editions. See </w:t>
      </w:r>
      <w:r w:rsidR="00AA68A5">
        <w:t>c</w:t>
      </w:r>
      <w:r w:rsidR="00CB3BB3" w:rsidRPr="00424A2D">
        <w:t>hapter</w:t>
      </w:r>
      <w:r w:rsidR="00AA68A5">
        <w:t> </w:t>
      </w:r>
      <w:r w:rsidR="00CB3BB3" w:rsidRPr="00424A2D">
        <w:t>2 (section</w:t>
      </w:r>
      <w:r w:rsidR="00AA68A5">
        <w:t> </w:t>
      </w:r>
      <w:r w:rsidR="00CB3BB3" w:rsidRPr="00424A2D">
        <w:t xml:space="preserve">2.5) for details. </w:t>
      </w:r>
      <w:r w:rsidR="0059686A" w:rsidRPr="00424A2D">
        <w:rPr>
          <w:rStyle w:val="NoteLabel"/>
        </w:rPr>
        <w:t>b</w:t>
      </w:r>
      <w:r w:rsidR="0059686A" w:rsidRPr="00424A2D">
        <w:t xml:space="preserve"> </w:t>
      </w:r>
      <w:r w:rsidR="007B7C90" w:rsidRPr="00424A2D">
        <w:t xml:space="preserve">Results </w:t>
      </w:r>
      <w:r w:rsidR="00CE233F" w:rsidRPr="00424A2D">
        <w:t>in</w:t>
      </w:r>
      <w:r w:rsidR="007B7C90" w:rsidRPr="00424A2D">
        <w:t>clude</w:t>
      </w:r>
      <w:r w:rsidR="0059686A" w:rsidRPr="00424A2D">
        <w:t xml:space="preserve"> State and Territory governments’ funding for younger people with disability (people aged under 65 years and Indigenous aged under 50 years) receiving </w:t>
      </w:r>
      <w:proofErr w:type="spellStart"/>
      <w:r w:rsidR="0059686A" w:rsidRPr="00424A2D">
        <w:t>CACP</w:t>
      </w:r>
      <w:proofErr w:type="spellEnd"/>
      <w:r w:rsidR="001B2609" w:rsidRPr="00424A2D">
        <w:t xml:space="preserve"> (see tables</w:t>
      </w:r>
      <w:r w:rsidR="00AA68A5">
        <w:t> </w:t>
      </w:r>
      <w:proofErr w:type="spellStart"/>
      <w:r w:rsidR="001B2609" w:rsidRPr="00424A2D">
        <w:t>13A.5</w:t>
      </w:r>
      <w:proofErr w:type="spellEnd"/>
      <w:r w:rsidR="001B2609" w:rsidRPr="00424A2D">
        <w:t xml:space="preserve"> and </w:t>
      </w:r>
      <w:proofErr w:type="spellStart"/>
      <w:r w:rsidR="001B2609" w:rsidRPr="00424A2D">
        <w:t>13A.9</w:t>
      </w:r>
      <w:proofErr w:type="spellEnd"/>
      <w:r w:rsidR="001B2609" w:rsidRPr="00424A2D">
        <w:t xml:space="preserve"> for details)</w:t>
      </w:r>
      <w:r w:rsidR="0059686A" w:rsidRPr="00424A2D">
        <w:t>.</w:t>
      </w:r>
    </w:p>
    <w:p w:rsidR="00736B22" w:rsidRDefault="00736B22" w:rsidP="00424A2D">
      <w:pPr>
        <w:pStyle w:val="Source"/>
      </w:pPr>
      <w:r>
        <w:rPr>
          <w:i/>
        </w:rPr>
        <w:t>Source</w:t>
      </w:r>
      <w:r w:rsidRPr="003F4261">
        <w:t>:</w:t>
      </w:r>
      <w:r>
        <w:t xml:space="preserve"> </w:t>
      </w:r>
      <w:proofErr w:type="spellStart"/>
      <w:r>
        <w:t>DoHA</w:t>
      </w:r>
      <w:proofErr w:type="spellEnd"/>
      <w:r w:rsidR="00023C8D" w:rsidRPr="00F93C0F">
        <w:rPr>
          <w:shd w:val="clear" w:color="auto" w:fill="FFFFFF" w:themeFill="background1"/>
        </w:rPr>
        <w:t>/</w:t>
      </w:r>
      <w:proofErr w:type="spellStart"/>
      <w:r w:rsidR="00023C8D" w:rsidRPr="00F93C0F">
        <w:rPr>
          <w:shd w:val="clear" w:color="auto" w:fill="FFFFFF" w:themeFill="background1"/>
        </w:rPr>
        <w:t>DSS</w:t>
      </w:r>
      <w:proofErr w:type="spellEnd"/>
      <w:r>
        <w:t xml:space="preserve"> (unpublished); table</w:t>
      </w:r>
      <w:r w:rsidR="00AA68A5">
        <w:t> </w:t>
      </w:r>
      <w:proofErr w:type="spellStart"/>
      <w:r>
        <w:t>13A.</w:t>
      </w:r>
      <w:r w:rsidR="00B53287">
        <w:t>89</w:t>
      </w:r>
      <w:proofErr w:type="spellEnd"/>
      <w:r>
        <w:t>.</w:t>
      </w:r>
    </w:p>
    <w:p w:rsidR="00A12C8F" w:rsidRDefault="003B13A4" w:rsidP="00424A2D">
      <w:pPr>
        <w:pStyle w:val="BodyText"/>
      </w:pPr>
      <w:bookmarkStart w:id="142" w:name="OLE_LINK58"/>
      <w:r w:rsidRPr="00F93C0F">
        <w:rPr>
          <w:shd w:val="clear" w:color="auto" w:fill="FFFFFF" w:themeFill="background1"/>
        </w:rPr>
        <w:t>Nationally, in 2012</w:t>
      </w:r>
      <w:r w:rsidR="00AA68A5">
        <w:rPr>
          <w:shd w:val="clear" w:color="auto" w:fill="FFFFFF" w:themeFill="background1"/>
        </w:rPr>
        <w:noBreakHyphen/>
      </w:r>
      <w:r w:rsidRPr="00F93C0F">
        <w:rPr>
          <w:shd w:val="clear" w:color="auto" w:fill="FFFFFF" w:themeFill="background1"/>
        </w:rPr>
        <w:t>1</w:t>
      </w:r>
      <w:bookmarkEnd w:id="142"/>
      <w:r w:rsidRPr="00F93C0F">
        <w:rPr>
          <w:shd w:val="clear" w:color="auto" w:fill="FFFFFF" w:themeFill="background1"/>
        </w:rPr>
        <w:t xml:space="preserve">3, </w:t>
      </w:r>
      <w:r w:rsidR="00A12C8F" w:rsidRPr="00F93C0F">
        <w:rPr>
          <w:shd w:val="clear" w:color="auto" w:fill="FFFFFF" w:themeFill="background1"/>
        </w:rPr>
        <w:t xml:space="preserve">Australian, </w:t>
      </w:r>
      <w:r w:rsidR="001E4A7C" w:rsidRPr="00F93C0F">
        <w:rPr>
          <w:shd w:val="clear" w:color="auto" w:fill="FFFFFF" w:themeFill="background1"/>
        </w:rPr>
        <w:t>Victorian and WA</w:t>
      </w:r>
      <w:r w:rsidR="00A12C8F" w:rsidRPr="00F93C0F">
        <w:rPr>
          <w:shd w:val="clear" w:color="auto" w:fill="FFFFFF" w:themeFill="background1"/>
        </w:rPr>
        <w:t xml:space="preserve"> government</w:t>
      </w:r>
      <w:r w:rsidR="007A5B80" w:rsidRPr="00F93C0F">
        <w:rPr>
          <w:shd w:val="clear" w:color="auto" w:fill="FFFFFF" w:themeFill="background1"/>
        </w:rPr>
        <w:t>s’</w:t>
      </w:r>
      <w:r w:rsidR="00A12C8F" w:rsidRPr="00F93C0F">
        <w:rPr>
          <w:shd w:val="clear" w:color="auto" w:fill="FFFFFF" w:themeFill="background1"/>
        </w:rPr>
        <w:t xml:space="preserve"> </w:t>
      </w:r>
      <w:r w:rsidR="007A5B80" w:rsidRPr="00F93C0F">
        <w:rPr>
          <w:shd w:val="clear" w:color="auto" w:fill="FFFFFF" w:themeFill="background1"/>
        </w:rPr>
        <w:t xml:space="preserve">real </w:t>
      </w:r>
      <w:r w:rsidR="00A12C8F" w:rsidRPr="00F93C0F">
        <w:rPr>
          <w:shd w:val="clear" w:color="auto" w:fill="FFFFFF" w:themeFill="background1"/>
        </w:rPr>
        <w:t xml:space="preserve">expenditure on HACC services </w:t>
      </w:r>
      <w:r w:rsidR="004F1A6D" w:rsidRPr="00F93C0F">
        <w:rPr>
          <w:shd w:val="clear" w:color="auto" w:fill="FFFFFF" w:themeFill="background1"/>
        </w:rPr>
        <w:t xml:space="preserve">was </w:t>
      </w:r>
      <w:r w:rsidR="004F1A6D" w:rsidRPr="005361B1">
        <w:rPr>
          <w:shd w:val="clear" w:color="auto" w:fill="FFFFFF" w:themeFill="background1"/>
        </w:rPr>
        <w:t>$</w:t>
      </w:r>
      <w:r w:rsidR="00424A2D" w:rsidRPr="005361B1">
        <w:rPr>
          <w:shd w:val="clear" w:color="auto" w:fill="FFFFFF" w:themeFill="background1"/>
        </w:rPr>
        <w:t>514</w:t>
      </w:r>
      <w:r w:rsidR="004F1A6D" w:rsidRPr="005361B1">
        <w:rPr>
          <w:shd w:val="clear" w:color="auto" w:fill="FFFFFF" w:themeFill="background1"/>
        </w:rPr>
        <w:t xml:space="preserve"> </w:t>
      </w:r>
      <w:r w:rsidR="00A12C8F" w:rsidRPr="005361B1">
        <w:rPr>
          <w:shd w:val="clear" w:color="auto" w:fill="FFFFFF" w:themeFill="background1"/>
        </w:rPr>
        <w:t>per person</w:t>
      </w:r>
      <w:r w:rsidR="00A12C8F" w:rsidRPr="006D6B0A">
        <w:t xml:space="preserve"> aged </w:t>
      </w:r>
      <w:r w:rsidR="00927C6D">
        <w:t>65</w:t>
      </w:r>
      <w:r w:rsidR="00A12C8F" w:rsidRPr="006D6B0A">
        <w:t xml:space="preserve"> years or </w:t>
      </w:r>
      <w:r w:rsidR="00C05C11">
        <w:t xml:space="preserve">over </w:t>
      </w:r>
      <w:r w:rsidR="00CF2C9C" w:rsidRPr="00BD35E9">
        <w:t>and</w:t>
      </w:r>
      <w:r w:rsidR="00145E8B">
        <w:t xml:space="preserve"> </w:t>
      </w:r>
      <w:r w:rsidR="00EB2705">
        <w:t>Indigenous Australians</w:t>
      </w:r>
      <w:r w:rsidR="00A12C8F" w:rsidRPr="006D6B0A">
        <w:t xml:space="preserve"> aged 50–6</w:t>
      </w:r>
      <w:r w:rsidR="00927C6D">
        <w:t>4</w:t>
      </w:r>
      <w:r w:rsidR="00A12C8F" w:rsidRPr="006D6B0A">
        <w:t xml:space="preserve"> years </w:t>
      </w:r>
      <w:r w:rsidR="00A12C8F" w:rsidRPr="0024347F">
        <w:t>(figure</w:t>
      </w:r>
      <w:r w:rsidR="00AA68A5">
        <w:t> </w:t>
      </w:r>
      <w:r w:rsidR="00A12C8F" w:rsidRPr="0024347F">
        <w:t>13.</w:t>
      </w:r>
      <w:r w:rsidR="003A4CF0">
        <w:t>3</w:t>
      </w:r>
      <w:r w:rsidR="00E15403">
        <w:t>3</w:t>
      </w:r>
      <w:r w:rsidR="00A12C8F" w:rsidRPr="0024347F">
        <w:t xml:space="preserve">). These </w:t>
      </w:r>
      <w:r w:rsidR="009B4C59">
        <w:t>data</w:t>
      </w:r>
      <w:r w:rsidR="00A12C8F" w:rsidRPr="0024347F">
        <w:t xml:space="preserve"> reflect expenditu</w:t>
      </w:r>
      <w:r w:rsidR="00A12C8F" w:rsidRPr="006D6B0A">
        <w:t xml:space="preserve">re against the </w:t>
      </w:r>
      <w:r w:rsidR="00C0357A">
        <w:t xml:space="preserve">aged care target </w:t>
      </w:r>
      <w:r w:rsidR="00A12C8F" w:rsidRPr="006D6B0A">
        <w:t>population (see section</w:t>
      </w:r>
      <w:r w:rsidR="00AA68A5">
        <w:t> </w:t>
      </w:r>
      <w:r w:rsidR="00A12C8F" w:rsidRPr="006D6B0A">
        <w:t>13.</w:t>
      </w:r>
      <w:r w:rsidR="00AB426C">
        <w:t>2</w:t>
      </w:r>
      <w:r w:rsidR="00A12C8F" w:rsidRPr="006D6B0A">
        <w:t>), which is not the same as the HACC target population</w:t>
      </w:r>
      <w:r w:rsidR="00162868">
        <w:t xml:space="preserve"> for older people</w:t>
      </w:r>
      <w:r w:rsidR="00A12C8F" w:rsidRPr="006D6B0A">
        <w:t xml:space="preserve">. Expenditure per person in the HACC target population </w:t>
      </w:r>
      <w:r w:rsidR="00162868">
        <w:t xml:space="preserve">for older people </w:t>
      </w:r>
      <w:r w:rsidR="00A12C8F" w:rsidRPr="006D6B0A">
        <w:t>is reported in table</w:t>
      </w:r>
      <w:r w:rsidR="00AA68A5">
        <w:t> </w:t>
      </w:r>
      <w:proofErr w:type="spellStart"/>
      <w:r w:rsidR="00A12C8F" w:rsidRPr="006D6B0A">
        <w:t>13A.</w:t>
      </w:r>
      <w:r w:rsidR="00AB426C">
        <w:t>87</w:t>
      </w:r>
      <w:proofErr w:type="spellEnd"/>
      <w:r w:rsidR="006C68D2">
        <w:t>.</w:t>
      </w:r>
      <w:r w:rsidR="00927C6D">
        <w:t xml:space="preserve"> </w:t>
      </w:r>
    </w:p>
    <w:p w:rsidR="00A12C8F" w:rsidRDefault="00A12C8F" w:rsidP="009601ED">
      <w:pPr>
        <w:pStyle w:val="FigureTitle"/>
        <w:ind w:left="1560" w:hanging="1560"/>
      </w:pPr>
      <w:r w:rsidRPr="009601ED">
        <w:rPr>
          <w:b w:val="0"/>
          <w:sz w:val="24"/>
        </w:rPr>
        <w:lastRenderedPageBreak/>
        <w:t xml:space="preserve">Figure </w:t>
      </w:r>
      <w:r w:rsidR="00E15403">
        <w:rPr>
          <w:b w:val="0"/>
          <w:sz w:val="24"/>
        </w:rPr>
        <w:t>13.</w:t>
      </w:r>
      <w:r w:rsidR="00E4728C">
        <w:rPr>
          <w:b w:val="0"/>
          <w:noProof/>
          <w:sz w:val="24"/>
        </w:rPr>
        <w:t>33</w:t>
      </w:r>
      <w:r w:rsidRPr="009601ED">
        <w:rPr>
          <w:sz w:val="24"/>
        </w:rPr>
        <w:tab/>
        <w:t xml:space="preserve">Australian, </w:t>
      </w:r>
      <w:r w:rsidR="001B16B8" w:rsidRPr="001B16B8">
        <w:rPr>
          <w:sz w:val="24"/>
        </w:rPr>
        <w:t xml:space="preserve">Victorian and WA </w:t>
      </w:r>
      <w:r w:rsidRPr="009601ED">
        <w:rPr>
          <w:sz w:val="24"/>
        </w:rPr>
        <w:t>government</w:t>
      </w:r>
      <w:r w:rsidR="003B5099" w:rsidRPr="009601ED">
        <w:rPr>
          <w:sz w:val="24"/>
        </w:rPr>
        <w:t>s’</w:t>
      </w:r>
      <w:r w:rsidRPr="009601ED">
        <w:rPr>
          <w:sz w:val="24"/>
        </w:rPr>
        <w:t xml:space="preserve"> real expenditure on HACC services per person </w:t>
      </w:r>
      <w:r w:rsidR="00FF41F9" w:rsidRPr="009601ED">
        <w:rPr>
          <w:sz w:val="24"/>
        </w:rPr>
        <w:t xml:space="preserve">in </w:t>
      </w:r>
      <w:r w:rsidR="00394AD9">
        <w:rPr>
          <w:sz w:val="24"/>
        </w:rPr>
        <w:t>the aged care targe</w:t>
      </w:r>
      <w:r w:rsidR="00AB426C">
        <w:rPr>
          <w:sz w:val="24"/>
        </w:rPr>
        <w:t xml:space="preserve">t population </w:t>
      </w:r>
      <w:r w:rsidR="00AB426C" w:rsidRPr="00AB426C">
        <w:rPr>
          <w:rFonts w:cs="Arial"/>
          <w:sz w:val="24"/>
        </w:rPr>
        <w:t>(2012</w:t>
      </w:r>
      <w:r w:rsidR="00AA68A5">
        <w:rPr>
          <w:rFonts w:cs="Arial"/>
          <w:sz w:val="24"/>
        </w:rPr>
        <w:noBreakHyphen/>
      </w:r>
      <w:r w:rsidR="00AB426C" w:rsidRPr="00AB426C">
        <w:rPr>
          <w:rFonts w:cs="Arial"/>
          <w:sz w:val="24"/>
        </w:rPr>
        <w:t>13 dollars)</w:t>
      </w:r>
      <w:r w:rsidRPr="00F05CB2">
        <w:rPr>
          <w:rStyle w:val="NoteLabel"/>
          <w:b/>
        </w:rPr>
        <w:t>a, b, c</w:t>
      </w:r>
      <w:r w:rsidR="00C0357A">
        <w:rPr>
          <w:rStyle w:val="NoteLabel"/>
          <w:b/>
        </w:rPr>
        <w:t>, d</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155A3" w:rsidRPr="00640545" w:rsidTr="005361B1">
        <w:tc>
          <w:tcPr>
            <w:tcW w:w="8777" w:type="dxa"/>
            <w:tcBorders>
              <w:top w:val="single" w:sz="6" w:space="0" w:color="auto"/>
              <w:bottom w:val="single" w:sz="6" w:space="0" w:color="auto"/>
              <w:right w:val="nil"/>
            </w:tcBorders>
            <w:shd w:val="clear" w:color="auto" w:fill="FFFFFF" w:themeFill="background1"/>
          </w:tcPr>
          <w:p w:rsidR="00E155A3" w:rsidRPr="00301A15" w:rsidRDefault="00B07AA7" w:rsidP="000F394C">
            <w:pPr>
              <w:pStyle w:val="Figure"/>
            </w:pPr>
            <w:r>
              <w:rPr>
                <w:noProof/>
              </w:rPr>
              <w:drawing>
                <wp:inline distT="0" distB="0" distL="0" distR="0">
                  <wp:extent cx="5391150" cy="2638425"/>
                  <wp:effectExtent l="0" t="0" r="0" b="9525"/>
                  <wp:docPr id="38" name="Picture 38" descr="Figure 13.33 Australian, Victorian and WA governments’ real expenditure on HACC services per person in the aged care target population (2012-13 dollars)&#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91150" cy="2638425"/>
                          </a:xfrm>
                          <a:prstGeom prst="rect">
                            <a:avLst/>
                          </a:prstGeom>
                          <a:noFill/>
                          <a:ln>
                            <a:noFill/>
                          </a:ln>
                        </pic:spPr>
                      </pic:pic>
                    </a:graphicData>
                  </a:graphic>
                </wp:inline>
              </w:drawing>
            </w:r>
          </w:p>
        </w:tc>
      </w:tr>
    </w:tbl>
    <w:p w:rsidR="00A12C8F" w:rsidRPr="00424A2D" w:rsidRDefault="00A12C8F" w:rsidP="00424A2D">
      <w:pPr>
        <w:pStyle w:val="Note"/>
      </w:pPr>
      <w:proofErr w:type="spellStart"/>
      <w:r w:rsidRPr="00424A2D">
        <w:rPr>
          <w:rStyle w:val="NoteLabel"/>
        </w:rPr>
        <w:t>a</w:t>
      </w:r>
      <w:proofErr w:type="spellEnd"/>
      <w:r w:rsidRPr="00424A2D">
        <w:t> Th</w:t>
      </w:r>
      <w:r w:rsidR="00B0307D" w:rsidRPr="00424A2D">
        <w:t>ese data</w:t>
      </w:r>
      <w:r w:rsidR="00D62772" w:rsidRPr="00424A2D">
        <w:t xml:space="preserve"> represent</w:t>
      </w:r>
      <w:r w:rsidRPr="00424A2D">
        <w:t xml:space="preserve"> expenditure </w:t>
      </w:r>
      <w:r w:rsidR="00A53670" w:rsidRPr="00424A2D">
        <w:t xml:space="preserve">on </w:t>
      </w:r>
      <w:r w:rsidR="007B7C90" w:rsidRPr="00424A2D">
        <w:t xml:space="preserve">those </w:t>
      </w:r>
      <w:r w:rsidR="00C52D85" w:rsidRPr="00424A2D">
        <w:t xml:space="preserve">people </w:t>
      </w:r>
      <w:r w:rsidR="007B7C90" w:rsidRPr="00424A2D">
        <w:t xml:space="preserve">aged </w:t>
      </w:r>
      <w:r w:rsidR="00A53670" w:rsidRPr="00424A2D">
        <w:t xml:space="preserve">65 years or over and </w:t>
      </w:r>
      <w:r w:rsidR="00EB2705" w:rsidRPr="00424A2D">
        <w:t>Indigenous Australians</w:t>
      </w:r>
      <w:r w:rsidR="00A53670" w:rsidRPr="00424A2D">
        <w:t xml:space="preserve"> aged 50–64 years</w:t>
      </w:r>
      <w:r w:rsidRPr="00424A2D">
        <w:t xml:space="preserve">. </w:t>
      </w:r>
      <w:r w:rsidR="009F5B3D" w:rsidRPr="00424A2D">
        <w:t>Victorian and WA governments’ HACC expenditure was around $247 million in total in 2012</w:t>
      </w:r>
      <w:r w:rsidR="00AA68A5">
        <w:noBreakHyphen/>
      </w:r>
      <w:r w:rsidR="009F5B3D" w:rsidRPr="00424A2D">
        <w:t xml:space="preserve">13, </w:t>
      </w:r>
      <w:r w:rsidR="00045856" w:rsidRPr="00424A2D">
        <w:t>equivalent</w:t>
      </w:r>
      <w:r w:rsidR="009F5B3D" w:rsidRPr="00424A2D">
        <w:t xml:space="preserve"> to $207 per person spent by the Victorian Government in Victoria and $225 per person spent by the WA Government in WA. </w:t>
      </w:r>
      <w:r w:rsidR="00932F26" w:rsidRPr="00424A2D">
        <w:rPr>
          <w:rStyle w:val="NoteLabel"/>
        </w:rPr>
        <w:t>b</w:t>
      </w:r>
      <w:r w:rsidR="00932F26" w:rsidRPr="00424A2D">
        <w:t xml:space="preserve"> Expenditure per person in the </w:t>
      </w:r>
      <w:r w:rsidR="00C52D85" w:rsidRPr="00424A2D">
        <w:t xml:space="preserve">older </w:t>
      </w:r>
      <w:r w:rsidR="00932F26" w:rsidRPr="00424A2D">
        <w:t>HACC target population (people aged 65 years or over and Indigenous Australians aged 50</w:t>
      </w:r>
      <w:r w:rsidR="00AA68A5">
        <w:noBreakHyphen/>
      </w:r>
      <w:r w:rsidR="00932F26" w:rsidRPr="00424A2D">
        <w:t>64 years) is contained in table </w:t>
      </w:r>
      <w:proofErr w:type="spellStart"/>
      <w:r w:rsidR="00932F26" w:rsidRPr="00424A2D">
        <w:t>13A.87</w:t>
      </w:r>
      <w:proofErr w:type="spellEnd"/>
      <w:r w:rsidR="00932F26" w:rsidRPr="00424A2D">
        <w:t xml:space="preserve">. </w:t>
      </w:r>
      <w:r w:rsidRPr="00424A2D">
        <w:rPr>
          <w:rStyle w:val="NoteLabel"/>
        </w:rPr>
        <w:t>c</w:t>
      </w:r>
      <w:r w:rsidRPr="00424A2D">
        <w:t xml:space="preserve"> Reports provisional HACC data that have not been validated and may be subject to revision. </w:t>
      </w:r>
      <w:r w:rsidR="00A53670" w:rsidRPr="00424A2D">
        <w:rPr>
          <w:rStyle w:val="NoteLabel"/>
        </w:rPr>
        <w:t>d</w:t>
      </w:r>
      <w:r w:rsidRPr="00424A2D">
        <w:t> </w:t>
      </w:r>
      <w:r w:rsidR="00AB426C" w:rsidRPr="00424A2D">
        <w:t>Time series financial data are adjusted to 2012</w:t>
      </w:r>
      <w:r w:rsidR="00AA68A5">
        <w:noBreakHyphen/>
      </w:r>
      <w:r w:rsidR="00AB426C" w:rsidRPr="00424A2D">
        <w:t>13 dollars using the GGFCE chain price deflator (2012</w:t>
      </w:r>
      <w:r w:rsidR="00AA68A5">
        <w:noBreakHyphen/>
      </w:r>
      <w:r w:rsidR="00AB426C" w:rsidRPr="00424A2D">
        <w:t>13 = 100) (table</w:t>
      </w:r>
      <w:r w:rsidR="00AA68A5">
        <w:t> </w:t>
      </w:r>
      <w:r w:rsidR="00AB426C" w:rsidRPr="00424A2D">
        <w:t>2A.5</w:t>
      </w:r>
      <w:r w:rsidR="00424A2D" w:rsidRPr="00424A2D">
        <w:t>3</w:t>
      </w:r>
      <w:r w:rsidR="00AB426C" w:rsidRPr="00424A2D">
        <w:t xml:space="preserve">). The GGFCE replaces the Gross Domestic Product implicit price deflator used in previous editions. See </w:t>
      </w:r>
      <w:r w:rsidR="00AA68A5">
        <w:t>c</w:t>
      </w:r>
      <w:r w:rsidR="00AB426C" w:rsidRPr="00424A2D">
        <w:t>hapter</w:t>
      </w:r>
      <w:r w:rsidR="00AA68A5">
        <w:t> </w:t>
      </w:r>
      <w:r w:rsidR="00AB426C" w:rsidRPr="00424A2D">
        <w:t xml:space="preserve">2 </w:t>
      </w:r>
      <w:r w:rsidR="00424A2D">
        <w:br/>
      </w:r>
      <w:r w:rsidR="00AB426C" w:rsidRPr="00424A2D">
        <w:t>(section</w:t>
      </w:r>
      <w:r w:rsidR="00AA68A5">
        <w:t> </w:t>
      </w:r>
      <w:r w:rsidR="00AB426C" w:rsidRPr="00424A2D">
        <w:t>2.5) for details.</w:t>
      </w:r>
    </w:p>
    <w:p w:rsidR="00A12C8F" w:rsidRDefault="00A12C8F" w:rsidP="00424A2D">
      <w:pPr>
        <w:pStyle w:val="Source"/>
      </w:pPr>
      <w:r>
        <w:rPr>
          <w:i/>
        </w:rPr>
        <w:t>Source</w:t>
      </w:r>
      <w:r w:rsidRPr="003F4261">
        <w:t>:</w:t>
      </w:r>
      <w:r>
        <w:t xml:space="preserve"> </w:t>
      </w:r>
      <w:proofErr w:type="spellStart"/>
      <w:r>
        <w:t>DoHA</w:t>
      </w:r>
      <w:proofErr w:type="spellEnd"/>
      <w:r w:rsidR="00023C8D">
        <w:t>/</w:t>
      </w:r>
      <w:proofErr w:type="spellStart"/>
      <w:r w:rsidR="00023C8D" w:rsidRPr="00424A2D">
        <w:rPr>
          <w:shd w:val="clear" w:color="auto" w:fill="FFFFFF" w:themeFill="background1"/>
        </w:rPr>
        <w:t>DSS</w:t>
      </w:r>
      <w:proofErr w:type="spellEnd"/>
      <w:r w:rsidRPr="00424A2D">
        <w:rPr>
          <w:shd w:val="clear" w:color="auto" w:fill="FFFFFF" w:themeFill="background1"/>
        </w:rPr>
        <w:t xml:space="preserve"> (unpublished); table</w:t>
      </w:r>
      <w:r w:rsidR="00AA68A5">
        <w:rPr>
          <w:shd w:val="clear" w:color="auto" w:fill="FFFFFF" w:themeFill="background1"/>
        </w:rPr>
        <w:t> </w:t>
      </w:r>
      <w:proofErr w:type="spellStart"/>
      <w:r w:rsidRPr="00424A2D">
        <w:rPr>
          <w:shd w:val="clear" w:color="auto" w:fill="FFFFFF" w:themeFill="background1"/>
        </w:rPr>
        <w:t>13A.</w:t>
      </w:r>
      <w:r w:rsidR="00B53287" w:rsidRPr="00424A2D">
        <w:rPr>
          <w:shd w:val="clear" w:color="auto" w:fill="FFFFFF" w:themeFill="background1"/>
        </w:rPr>
        <w:t>88</w:t>
      </w:r>
      <w:proofErr w:type="spellEnd"/>
      <w:r>
        <w:t>.</w:t>
      </w:r>
    </w:p>
    <w:p w:rsidR="00A12C8F" w:rsidRDefault="00A12C8F" w:rsidP="002501A2">
      <w:pPr>
        <w:pStyle w:val="Heading3"/>
      </w:pPr>
      <w:r>
        <w:t>Outcomes</w:t>
      </w:r>
    </w:p>
    <w:p w:rsidR="00A12C8F" w:rsidRPr="007B1CDC" w:rsidRDefault="00A12C8F" w:rsidP="002501A2">
      <w:pPr>
        <w:pStyle w:val="BodyText"/>
      </w:pPr>
      <w:r>
        <w:t>Outcomes are the impact of services on the status of an individual or group (while outputs are the services delivered) (see chapter</w:t>
      </w:r>
      <w:r w:rsidR="00AA68A5">
        <w:t> </w:t>
      </w:r>
      <w:r>
        <w:t>1, section</w:t>
      </w:r>
      <w:r w:rsidR="00AA68A5">
        <w:t> </w:t>
      </w:r>
      <w:r>
        <w:t>1.5).</w:t>
      </w:r>
      <w:r w:rsidR="00965DA3">
        <w:t xml:space="preserve"> </w:t>
      </w:r>
    </w:p>
    <w:p w:rsidR="00A12C8F" w:rsidRDefault="00A12C8F" w:rsidP="00EA51EB">
      <w:pPr>
        <w:pStyle w:val="Heading4"/>
      </w:pPr>
      <w:r>
        <w:t>Social participation in the community</w:t>
      </w:r>
    </w:p>
    <w:p w:rsidR="00A12C8F" w:rsidRPr="009F4F77" w:rsidRDefault="00A12C8F" w:rsidP="002501A2">
      <w:pPr>
        <w:pStyle w:val="BodyText"/>
      </w:pPr>
      <w:r>
        <w:t>‘Social participation in the community’ has been identified for development as an indicator of governments’ objective to encourage the wellbeing and independence of older people (box</w:t>
      </w:r>
      <w:r w:rsidR="00AA68A5">
        <w:t> </w:t>
      </w:r>
      <w:r>
        <w:t>13.</w:t>
      </w:r>
      <w:r w:rsidR="00E15403">
        <w:t>1</w:t>
      </w:r>
      <w:r w:rsidR="000B4837">
        <w:t>7</w:t>
      </w:r>
      <w:r>
        <w:t>).</w:t>
      </w:r>
    </w:p>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A12C8F">
        <w:tc>
          <w:tcPr>
            <w:tcW w:w="8771" w:type="dxa"/>
            <w:tcBorders>
              <w:top w:val="single" w:sz="6" w:space="0" w:color="auto"/>
              <w:bottom w:val="nil"/>
            </w:tcBorders>
          </w:tcPr>
          <w:p w:rsidR="00A12C8F" w:rsidRPr="009601ED" w:rsidRDefault="00A12C8F" w:rsidP="002501A2">
            <w:pPr>
              <w:pStyle w:val="BoxTitle"/>
              <w:rPr>
                <w:sz w:val="24"/>
              </w:rPr>
            </w:pPr>
            <w:r w:rsidRPr="009601ED">
              <w:rPr>
                <w:b w:val="0"/>
                <w:sz w:val="24"/>
              </w:rPr>
              <w:t xml:space="preserve">Box </w:t>
            </w:r>
            <w:r w:rsidR="000B4837">
              <w:rPr>
                <w:b w:val="0"/>
                <w:sz w:val="24"/>
              </w:rPr>
              <w:t>13.</w:t>
            </w:r>
            <w:r w:rsidR="00E4728C">
              <w:rPr>
                <w:b w:val="0"/>
                <w:noProof/>
                <w:sz w:val="24"/>
              </w:rPr>
              <w:t>17</w:t>
            </w:r>
            <w:r w:rsidRPr="009601ED">
              <w:rPr>
                <w:sz w:val="24"/>
              </w:rPr>
              <w:tab/>
              <w:t>Social participation in the community</w:t>
            </w:r>
          </w:p>
        </w:tc>
      </w:tr>
      <w:tr w:rsidR="00A12C8F" w:rsidTr="00A12C8F">
        <w:trPr>
          <w:cantSplit/>
        </w:trPr>
        <w:tc>
          <w:tcPr>
            <w:tcW w:w="8771" w:type="dxa"/>
            <w:tcBorders>
              <w:top w:val="nil"/>
              <w:left w:val="single" w:sz="6" w:space="0" w:color="auto"/>
              <w:bottom w:val="nil"/>
              <w:right w:val="single" w:sz="6" w:space="0" w:color="auto"/>
            </w:tcBorders>
          </w:tcPr>
          <w:p w:rsidR="00A12C8F" w:rsidRDefault="00A12C8F" w:rsidP="002501A2">
            <w:pPr>
              <w:pStyle w:val="Box"/>
            </w:pPr>
            <w:r>
              <w:t>‘Social participation in the community’ is yet to be defined.</w:t>
            </w:r>
          </w:p>
          <w:p w:rsidR="00A12C8F" w:rsidRDefault="00A12C8F" w:rsidP="002501A2">
            <w:pPr>
              <w:pStyle w:val="Box"/>
            </w:pPr>
            <w:r>
              <w:t>High</w:t>
            </w:r>
            <w:r w:rsidR="004859CB">
              <w:t xml:space="preserve"> </w:t>
            </w:r>
            <w:r w:rsidR="009B4C59">
              <w:t>or increasing</w:t>
            </w:r>
            <w:r>
              <w:t xml:space="preserve"> rates of participation in the community are desirable.</w:t>
            </w:r>
          </w:p>
          <w:p w:rsidR="00A12C8F" w:rsidRDefault="00A12C8F" w:rsidP="002501A2">
            <w:pPr>
              <w:pStyle w:val="Box"/>
            </w:pPr>
            <w:r>
              <w:t xml:space="preserve">When developed for future </w:t>
            </w:r>
            <w:r w:rsidR="00CB4EAD">
              <w:t>r</w:t>
            </w:r>
            <w:r>
              <w:t xml:space="preserve">eports, this indicator will show the extent to which older people participated in community, cultural or leisure activities. </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A12C8F" w:rsidRDefault="00A12C8F" w:rsidP="00EA51EB">
      <w:pPr>
        <w:pStyle w:val="Heading4"/>
      </w:pPr>
      <w:r>
        <w:t>Mai</w:t>
      </w:r>
      <w:r w:rsidR="000E766F">
        <w:t xml:space="preserve">ntenance of individual </w:t>
      </w:r>
      <w:r w:rsidR="000E766F" w:rsidRPr="00F052C2">
        <w:t>physical function</w:t>
      </w:r>
    </w:p>
    <w:p w:rsidR="00A12C8F" w:rsidRDefault="00A12C8F" w:rsidP="00F93C0F">
      <w:pPr>
        <w:pStyle w:val="BodyText"/>
      </w:pPr>
      <w:r w:rsidRPr="009F4F77">
        <w:t xml:space="preserve">‘Maintenance of individual </w:t>
      </w:r>
      <w:r w:rsidR="000E766F" w:rsidRPr="00F052C2">
        <w:t xml:space="preserve">physical </w:t>
      </w:r>
      <w:r w:rsidRPr="00F052C2">
        <w:t>function</w:t>
      </w:r>
      <w:r w:rsidRPr="009F4F77">
        <w:t xml:space="preserve">’ is an indicator of governments’ objective for aged care </w:t>
      </w:r>
      <w:r w:rsidRPr="00CF7F6D">
        <w:t xml:space="preserve">services to promote the health, wellbeing and independence of older people </w:t>
      </w:r>
      <w:r w:rsidR="00677BE3" w:rsidRPr="00F93C0F">
        <w:rPr>
          <w:shd w:val="clear" w:color="auto" w:fill="FFFFFF" w:themeFill="background1"/>
        </w:rPr>
        <w:t>and is measured using data for the TCP only</w:t>
      </w:r>
      <w:r w:rsidR="00615D83" w:rsidRPr="00F93C0F">
        <w:rPr>
          <w:shd w:val="clear" w:color="auto" w:fill="FFFFFF" w:themeFill="background1"/>
        </w:rPr>
        <w:t xml:space="preserve"> (</w:t>
      </w:r>
      <w:r w:rsidR="00615D83" w:rsidRPr="00CF7F6D">
        <w:t>box</w:t>
      </w:r>
      <w:r w:rsidR="00AA68A5">
        <w:t> </w:t>
      </w:r>
      <w:r w:rsidR="00615D83" w:rsidRPr="00CF7F6D">
        <w:t>13.</w:t>
      </w:r>
      <w:r w:rsidR="00615D83">
        <w:t>18)</w:t>
      </w:r>
      <w:r w:rsidR="00677BE3">
        <w:t>.</w:t>
      </w:r>
    </w:p>
    <w:p w:rsidR="00A12C8F" w:rsidRPr="00C84FB1" w:rsidRDefault="00A12C8F" w:rsidP="002501A2">
      <w:pPr>
        <w:pStyle w:val="BoxSpace"/>
      </w:pPr>
      <w:r w:rsidRPr="00C84FB1">
        <w:rPr>
          <w:rFonts w:ascii="Times New Roman Bold" w:hAnsi="Times New Roman Bold"/>
          <w:b/>
          <w:color w:val="FF00FF"/>
          <w:sz w:val="14"/>
        </w:rPr>
        <w:t>.</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RPr="009F4F77" w:rsidTr="00A12C8F">
        <w:tc>
          <w:tcPr>
            <w:tcW w:w="8771" w:type="dxa"/>
            <w:tcBorders>
              <w:top w:val="single" w:sz="6" w:space="0" w:color="auto"/>
              <w:bottom w:val="nil"/>
            </w:tcBorders>
          </w:tcPr>
          <w:p w:rsidR="00A12C8F" w:rsidRPr="009601ED" w:rsidRDefault="00A12C8F" w:rsidP="002501A2">
            <w:pPr>
              <w:pStyle w:val="BoxTitle"/>
              <w:rPr>
                <w:sz w:val="24"/>
              </w:rPr>
            </w:pPr>
            <w:r w:rsidRPr="009601ED">
              <w:rPr>
                <w:b w:val="0"/>
                <w:sz w:val="24"/>
              </w:rPr>
              <w:t xml:space="preserve">Box </w:t>
            </w:r>
            <w:r w:rsidR="000B4837">
              <w:rPr>
                <w:b w:val="0"/>
                <w:sz w:val="24"/>
              </w:rPr>
              <w:t>13.</w:t>
            </w:r>
            <w:r w:rsidR="00E4728C">
              <w:rPr>
                <w:b w:val="0"/>
                <w:noProof/>
                <w:sz w:val="24"/>
              </w:rPr>
              <w:t>18</w:t>
            </w:r>
            <w:r w:rsidRPr="009601ED">
              <w:rPr>
                <w:sz w:val="24"/>
              </w:rPr>
              <w:tab/>
            </w:r>
            <w:r w:rsidR="006F792B" w:rsidRPr="009F4F77">
              <w:t xml:space="preserve">Maintenance of individual </w:t>
            </w:r>
            <w:r w:rsidR="006F792B" w:rsidRPr="00F052C2">
              <w:t>physical function</w:t>
            </w:r>
          </w:p>
        </w:tc>
      </w:tr>
      <w:tr w:rsidR="00A12C8F" w:rsidRPr="00B377A2" w:rsidTr="00A12C8F">
        <w:trPr>
          <w:cantSplit/>
        </w:trPr>
        <w:tc>
          <w:tcPr>
            <w:tcW w:w="8771" w:type="dxa"/>
            <w:tcBorders>
              <w:top w:val="nil"/>
              <w:left w:val="single" w:sz="6" w:space="0" w:color="auto"/>
              <w:bottom w:val="nil"/>
              <w:right w:val="single" w:sz="6" w:space="0" w:color="auto"/>
            </w:tcBorders>
          </w:tcPr>
          <w:p w:rsidR="003B5099" w:rsidRPr="009F4F77" w:rsidRDefault="006F792B" w:rsidP="009C0C70">
            <w:pPr>
              <w:pStyle w:val="Box"/>
            </w:pPr>
            <w:r>
              <w:t>‘</w:t>
            </w:r>
            <w:r w:rsidRPr="009F4F77">
              <w:t xml:space="preserve">Maintenance of individual </w:t>
            </w:r>
            <w:r w:rsidRPr="00F052C2">
              <w:t>physical function</w:t>
            </w:r>
            <w:r w:rsidR="00A12C8F" w:rsidRPr="009F4F77">
              <w:t xml:space="preserve">’ </w:t>
            </w:r>
            <w:r w:rsidR="009C0C70">
              <w:t>is</w:t>
            </w:r>
            <w:r w:rsidR="003B5099">
              <w:t xml:space="preserve"> </w:t>
            </w:r>
            <w:r w:rsidR="00A12C8F" w:rsidRPr="009F4F77">
              <w:t xml:space="preserve">defined as </w:t>
            </w:r>
            <w:r w:rsidR="009C0C70">
              <w:t xml:space="preserve">the </w:t>
            </w:r>
            <w:r w:rsidR="00A12C8F" w:rsidRPr="009F4F77">
              <w:t xml:space="preserve">improvement in </w:t>
            </w:r>
            <w:r w:rsidR="009B4C59">
              <w:t xml:space="preserve">the </w:t>
            </w:r>
            <w:r w:rsidR="001E3909">
              <w:t>TCP</w:t>
            </w:r>
            <w:r w:rsidR="00A12C8F" w:rsidRPr="009F4F77">
              <w:t xml:space="preserve"> client</w:t>
            </w:r>
            <w:r w:rsidR="0081675E">
              <w:t>’</w:t>
            </w:r>
            <w:r w:rsidR="00A12C8F" w:rsidRPr="009F4F77">
              <w:t xml:space="preserve">s level of </w:t>
            </w:r>
            <w:r w:rsidR="00F50D44" w:rsidRPr="00F052C2">
              <w:t xml:space="preserve">physical </w:t>
            </w:r>
            <w:r w:rsidR="000E766F" w:rsidRPr="00F052C2">
              <w:t>function</w:t>
            </w:r>
            <w:r w:rsidR="00A12C8F" w:rsidRPr="009F4F77">
              <w:t xml:space="preserve">, reflected in the </w:t>
            </w:r>
            <w:r w:rsidR="003B5099">
              <w:t>difference between</w:t>
            </w:r>
            <w:r w:rsidR="00A12C8F" w:rsidRPr="009F4F77">
              <w:t xml:space="preserve"> the average Modified </w:t>
            </w:r>
            <w:proofErr w:type="spellStart"/>
            <w:r w:rsidR="00A12C8F" w:rsidRPr="009F4F77">
              <w:t>Barthel</w:t>
            </w:r>
            <w:proofErr w:type="spellEnd"/>
            <w:r w:rsidR="00A12C8F" w:rsidRPr="009F4F77">
              <w:t xml:space="preserve"> Index (</w:t>
            </w:r>
            <w:proofErr w:type="spellStart"/>
            <w:r w:rsidR="00A12C8F" w:rsidRPr="009F4F77">
              <w:t>MBI</w:t>
            </w:r>
            <w:proofErr w:type="spellEnd"/>
            <w:r w:rsidR="00A12C8F" w:rsidRPr="009F4F77">
              <w:t>) score on entry to</w:t>
            </w:r>
            <w:r w:rsidR="0081675E">
              <w:t xml:space="preserve"> the TCP to</w:t>
            </w:r>
            <w:r w:rsidR="00A12C8F" w:rsidRPr="009F4F77">
              <w:t xml:space="preserve"> the average </w:t>
            </w:r>
            <w:proofErr w:type="spellStart"/>
            <w:r w:rsidR="00A12C8F" w:rsidRPr="009F4F77">
              <w:t>MBI</w:t>
            </w:r>
            <w:proofErr w:type="spellEnd"/>
            <w:r w:rsidR="00A12C8F" w:rsidRPr="009F4F77">
              <w:t xml:space="preserve"> score on exit from the TCP. The minimum </w:t>
            </w:r>
            <w:proofErr w:type="spellStart"/>
            <w:r w:rsidR="00A12C8F" w:rsidRPr="009F4F77">
              <w:t>MBI</w:t>
            </w:r>
            <w:proofErr w:type="spellEnd"/>
            <w:r w:rsidR="00A12C8F" w:rsidRPr="009F4F77">
              <w:t xml:space="preserve"> score is 0 (full</w:t>
            </w:r>
            <w:r w:rsidR="00A12C8F">
              <w:t>y</w:t>
            </w:r>
            <w:r w:rsidR="00A12C8F" w:rsidRPr="009F4F77">
              <w:t xml:space="preserve"> dependent) and the maximum s</w:t>
            </w:r>
            <w:r w:rsidR="003B5099">
              <w:t>core is 100 (fully independent)</w:t>
            </w:r>
            <w:r w:rsidR="009C0C70">
              <w:t>.</w:t>
            </w:r>
          </w:p>
          <w:p w:rsidR="00A12C8F" w:rsidRPr="009F4F77" w:rsidRDefault="00A12C8F" w:rsidP="002501A2">
            <w:pPr>
              <w:pStyle w:val="Box"/>
            </w:pPr>
            <w:r w:rsidRPr="009F4F77">
              <w:t>Th</w:t>
            </w:r>
            <w:r>
              <w:t>is indicator</w:t>
            </w:r>
            <w:r w:rsidRPr="009F4F77">
              <w:t xml:space="preserve"> </w:t>
            </w:r>
            <w:r>
              <w:t>needs to</w:t>
            </w:r>
            <w:r w:rsidRPr="009F4F77">
              <w:t xml:space="preserve"> be interpreted with care. </w:t>
            </w:r>
            <w:r w:rsidR="00296347" w:rsidRPr="00296347">
              <w:t>The TCP operates with some differences across jurisdictions including differences in healt</w:t>
            </w:r>
            <w:r w:rsidR="00296347">
              <w:t>h and aged care service systems,</w:t>
            </w:r>
            <w:r w:rsidR="00296347" w:rsidRPr="00296347">
              <w:t xml:space="preserve"> local operating procedures </w:t>
            </w:r>
            <w:r w:rsidR="00296347">
              <w:t xml:space="preserve">and </w:t>
            </w:r>
            <w:r w:rsidR="00296347" w:rsidRPr="00296347">
              <w:t>client groups.</w:t>
            </w:r>
            <w:r w:rsidR="00296347">
              <w:t xml:space="preserve"> </w:t>
            </w:r>
            <w:r w:rsidRPr="009F4F77">
              <w:t xml:space="preserve">Variation in the average </w:t>
            </w:r>
            <w:proofErr w:type="spellStart"/>
            <w:r w:rsidRPr="009F4F77">
              <w:t>MBI</w:t>
            </w:r>
            <w:proofErr w:type="spellEnd"/>
            <w:r w:rsidRPr="009F4F77">
              <w:t xml:space="preserve"> scores on entry and exit from the program may reflect a range of target client groups for the program across jurisdictions.</w:t>
            </w:r>
            <w:r w:rsidR="009B4C59">
              <w:t xml:space="preserve"> An increase in </w:t>
            </w:r>
            <w:r w:rsidR="00B00BF7">
              <w:t xml:space="preserve">the </w:t>
            </w:r>
            <w:r w:rsidR="009B4C59">
              <w:t>score from entry to exit is desirable.</w:t>
            </w:r>
            <w:r w:rsidR="003B5099">
              <w:t xml:space="preserve"> </w:t>
            </w:r>
          </w:p>
          <w:p w:rsidR="00A12C8F" w:rsidRDefault="00A12C8F" w:rsidP="002501A2">
            <w:pPr>
              <w:pStyle w:val="Box"/>
            </w:pPr>
            <w:r w:rsidRPr="009F4F77">
              <w:t xml:space="preserve">The TCP is a small program at the interface of the health and aged care systems. </w:t>
            </w:r>
            <w:r w:rsidR="00332830" w:rsidRPr="009F1C7E">
              <w:t xml:space="preserve">A person may only enter the TCP directly upon discharge from hospital. The average duration of care is around 8 weeks </w:t>
            </w:r>
            <w:r w:rsidR="00332830" w:rsidRPr="009F1C7E">
              <w:rPr>
                <w:shd w:val="clear" w:color="auto" w:fill="FFFFFF" w:themeFill="background1"/>
              </w:rPr>
              <w:t>(62 days for completed episodes),</w:t>
            </w:r>
            <w:r w:rsidR="00332830" w:rsidRPr="009F1C7E">
              <w:t xml:space="preserve"> with a maximum duration of 12 weeks that may in some circumstances be extended by a further 6 weeks.</w:t>
            </w:r>
            <w:r w:rsidR="00332830">
              <w:t xml:space="preserve"> </w:t>
            </w:r>
            <w:r w:rsidRPr="009F4F77">
              <w:t xml:space="preserve">It may be possible to develop measures for other aged care programs such as residential aged care and community aged care services which would be indicators of maintenance of individual </w:t>
            </w:r>
            <w:r w:rsidR="00F50D44" w:rsidRPr="00F052C2">
              <w:t xml:space="preserve">physical </w:t>
            </w:r>
            <w:r w:rsidR="000E766F" w:rsidRPr="00F052C2">
              <w:t>function</w:t>
            </w:r>
            <w:r w:rsidRPr="009F4F77">
              <w:t>.</w:t>
            </w:r>
          </w:p>
          <w:p w:rsidR="00AB426C" w:rsidRDefault="00AB426C" w:rsidP="00AB426C">
            <w:pPr>
              <w:pStyle w:val="Box"/>
            </w:pPr>
            <w:r>
              <w:t>Data reported for this indicator</w:t>
            </w:r>
            <w:r>
              <w:rPr>
                <w:rStyle w:val="BoxListBulletChar"/>
              </w:rPr>
              <w:t xml:space="preserve"> </w:t>
            </w:r>
            <w:r>
              <w:t>are:</w:t>
            </w:r>
          </w:p>
          <w:p w:rsidR="00AB426C" w:rsidRDefault="00AB426C" w:rsidP="00AB426C">
            <w:pPr>
              <w:pStyle w:val="BoxListBullet"/>
            </w:pPr>
            <w:r w:rsidRPr="00C304FF">
              <w:t xml:space="preserve">comparable (subject to caveats) across jurisdictions </w:t>
            </w:r>
            <w:r>
              <w:t xml:space="preserve">and overtime </w:t>
            </w:r>
          </w:p>
          <w:p w:rsidR="00A12C8F" w:rsidRDefault="00AB426C" w:rsidP="00AB426C">
            <w:pPr>
              <w:pStyle w:val="BoxListBullet"/>
            </w:pPr>
            <w:r>
              <w:t xml:space="preserve">complete for the current reporting period (subject to caveats). All required </w:t>
            </w:r>
            <w:r>
              <w:br/>
              <w:t>2012</w:t>
            </w:r>
            <w:r w:rsidR="00AA68A5">
              <w:noBreakHyphen/>
            </w:r>
            <w:r>
              <w:t>13 data are available for all jurisdictions.</w:t>
            </w:r>
          </w:p>
          <w:p w:rsidR="000A26F9" w:rsidRPr="000A26F9" w:rsidRDefault="00F93C0F" w:rsidP="00F93C0F">
            <w:pPr>
              <w:pStyle w:val="Box"/>
            </w:pPr>
            <w:r>
              <w:t>D</w:t>
            </w:r>
            <w:r w:rsidR="00970F12">
              <w:t xml:space="preserve">ata quality </w:t>
            </w:r>
            <w:r>
              <w:t>i</w:t>
            </w:r>
            <w:r w:rsidRPr="00102DF2">
              <w:t xml:space="preserve">nformation </w:t>
            </w:r>
            <w:r w:rsidR="00970F12">
              <w:t>for this indicator</w:t>
            </w:r>
            <w:r w:rsidR="00970F12" w:rsidRPr="00102DF2">
              <w:t xml:space="preserve"> is at </w:t>
            </w:r>
            <w:proofErr w:type="spellStart"/>
            <w:r w:rsidR="00970F12" w:rsidRPr="00102DF2">
              <w:t>www.pc.gov.au</w:t>
            </w:r>
            <w:proofErr w:type="spellEnd"/>
            <w:r w:rsidR="00970F12" w:rsidRPr="00102DF2">
              <w:t>/</w:t>
            </w:r>
            <w:proofErr w:type="spellStart"/>
            <w:r w:rsidR="00970F12" w:rsidRPr="00102DF2">
              <w:t>gsp</w:t>
            </w:r>
            <w:proofErr w:type="spellEnd"/>
            <w:r w:rsidR="00970F12">
              <w:t>/reports/</w:t>
            </w:r>
            <w:proofErr w:type="spellStart"/>
            <w:r w:rsidR="00970F12">
              <w:t>rogs</w:t>
            </w:r>
            <w:proofErr w:type="spellEnd"/>
            <w:r w:rsidR="00970F12">
              <w:t>/201</w:t>
            </w:r>
            <w:r w:rsidR="00E15403">
              <w:t>4</w:t>
            </w:r>
            <w:r w:rsidR="00970F12" w:rsidRPr="009612B9">
              <w:t>.</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7F1914" w:rsidRPr="007F1914" w:rsidRDefault="00A12C8F" w:rsidP="007F1914">
      <w:pPr>
        <w:pStyle w:val="BodyText"/>
      </w:pPr>
      <w:r w:rsidRPr="009F4F77">
        <w:lastRenderedPageBreak/>
        <w:t xml:space="preserve">The average </w:t>
      </w:r>
      <w:r w:rsidR="00C77FCC" w:rsidRPr="00C77FCC">
        <w:t xml:space="preserve">Modified </w:t>
      </w:r>
      <w:proofErr w:type="spellStart"/>
      <w:r w:rsidR="00C77FCC" w:rsidRPr="00C77FCC">
        <w:t>Barthel</w:t>
      </w:r>
      <w:proofErr w:type="spellEnd"/>
      <w:r w:rsidR="00C77FCC" w:rsidRPr="00C77FCC">
        <w:t xml:space="preserve"> Index </w:t>
      </w:r>
      <w:r w:rsidR="00C77FCC">
        <w:t>(</w:t>
      </w:r>
      <w:proofErr w:type="spellStart"/>
      <w:r w:rsidRPr="009F4F77">
        <w:t>MBI</w:t>
      </w:r>
      <w:proofErr w:type="spellEnd"/>
      <w:r w:rsidR="00C77FCC">
        <w:t>)</w:t>
      </w:r>
      <w:r w:rsidRPr="009F4F77">
        <w:t xml:space="preserve"> score on entry to the TCP in </w:t>
      </w:r>
      <w:r w:rsidR="00714EDC">
        <w:t>201</w:t>
      </w:r>
      <w:r w:rsidR="00E15403">
        <w:t>2</w:t>
      </w:r>
      <w:r w:rsidR="00AA68A5">
        <w:noBreakHyphen/>
      </w:r>
      <w:r w:rsidR="00714EDC">
        <w:t>1</w:t>
      </w:r>
      <w:r w:rsidR="00E15403">
        <w:t>3</w:t>
      </w:r>
      <w:r w:rsidRPr="009F4F77">
        <w:t xml:space="preserve"> was </w:t>
      </w:r>
      <w:r w:rsidR="00AB426C">
        <w:t>72.3</w:t>
      </w:r>
      <w:r w:rsidRPr="0024347F">
        <w:t xml:space="preserve"> nationally. The average </w:t>
      </w:r>
      <w:proofErr w:type="spellStart"/>
      <w:r w:rsidRPr="0024347F">
        <w:t>MBI</w:t>
      </w:r>
      <w:proofErr w:type="spellEnd"/>
      <w:r w:rsidRPr="0024347F">
        <w:t xml:space="preserve"> score on exit from the TCP was </w:t>
      </w:r>
      <w:r w:rsidR="00AB426C">
        <w:t>82.9</w:t>
      </w:r>
      <w:r w:rsidRPr="0024347F">
        <w:t xml:space="preserve"> nationally</w:t>
      </w:r>
      <w:r w:rsidRPr="009F4F77">
        <w:t xml:space="preserve"> (figure</w:t>
      </w:r>
      <w:r w:rsidR="00AA68A5">
        <w:t> </w:t>
      </w:r>
      <w:r w:rsidRPr="009F4F77">
        <w:t>13.</w:t>
      </w:r>
      <w:r w:rsidR="003A4CF0">
        <w:t>3</w:t>
      </w:r>
      <w:r w:rsidR="00E15403">
        <w:t>4</w:t>
      </w:r>
      <w:r w:rsidRPr="009F4F77">
        <w:t>).</w:t>
      </w:r>
      <w:r w:rsidR="003B5099">
        <w:t xml:space="preserve"> This was an average increase in the score of </w:t>
      </w:r>
      <w:r w:rsidR="00AB426C">
        <w:t>10.6</w:t>
      </w:r>
      <w:r w:rsidR="003B5099" w:rsidRPr="003B5099">
        <w:t xml:space="preserve"> nationally</w:t>
      </w:r>
      <w:r w:rsidR="003B5099">
        <w:t xml:space="preserve">. </w:t>
      </w:r>
    </w:p>
    <w:p w:rsidR="00A12C8F" w:rsidRPr="009F4F77" w:rsidRDefault="00A12C8F" w:rsidP="00267F32">
      <w:pPr>
        <w:pStyle w:val="FigureTitle"/>
        <w:ind w:left="1560" w:hanging="1560"/>
      </w:pPr>
      <w:r w:rsidRPr="009601ED">
        <w:rPr>
          <w:b w:val="0"/>
          <w:sz w:val="24"/>
        </w:rPr>
        <w:t xml:space="preserve">Figure </w:t>
      </w:r>
      <w:r w:rsidR="00E15403">
        <w:rPr>
          <w:b w:val="0"/>
          <w:sz w:val="24"/>
        </w:rPr>
        <w:t>13.</w:t>
      </w:r>
      <w:r w:rsidR="00E4728C">
        <w:rPr>
          <w:b w:val="0"/>
          <w:noProof/>
          <w:sz w:val="24"/>
        </w:rPr>
        <w:t>34</w:t>
      </w:r>
      <w:r w:rsidRPr="009601ED">
        <w:rPr>
          <w:sz w:val="24"/>
        </w:rPr>
        <w:tab/>
        <w:t xml:space="preserve">Transition </w:t>
      </w:r>
      <w:r w:rsidR="00AC79E1" w:rsidRPr="009601ED">
        <w:rPr>
          <w:sz w:val="24"/>
        </w:rPr>
        <w:t xml:space="preserve">Care Program </w:t>
      </w:r>
      <w:r w:rsidRPr="009601ED">
        <w:rPr>
          <w:sz w:val="24"/>
        </w:rPr>
        <w:t xml:space="preserve">— average </w:t>
      </w:r>
      <w:proofErr w:type="spellStart"/>
      <w:r w:rsidR="00204DA4">
        <w:rPr>
          <w:sz w:val="24"/>
        </w:rPr>
        <w:t>MBI</w:t>
      </w:r>
      <w:proofErr w:type="spellEnd"/>
      <w:r w:rsidRPr="009601ED">
        <w:rPr>
          <w:sz w:val="24"/>
        </w:rPr>
        <w:t xml:space="preserve"> score on entry and exit, </w:t>
      </w:r>
      <w:r w:rsidR="00714EDC" w:rsidRPr="009601ED">
        <w:rPr>
          <w:sz w:val="24"/>
        </w:rPr>
        <w:t>201</w:t>
      </w:r>
      <w:r w:rsidR="00E15403">
        <w:rPr>
          <w:sz w:val="24"/>
        </w:rPr>
        <w:t>2</w:t>
      </w:r>
      <w:r w:rsidR="00AA68A5">
        <w:rPr>
          <w:sz w:val="24"/>
        </w:rPr>
        <w:noBreakHyphen/>
      </w:r>
      <w:r w:rsidR="00714EDC" w:rsidRPr="00DE59A5">
        <w:rPr>
          <w:sz w:val="24"/>
          <w:shd w:val="clear" w:color="auto" w:fill="FFFFFF" w:themeFill="background1"/>
        </w:rPr>
        <w:t>1</w:t>
      </w:r>
      <w:r w:rsidR="00E15403">
        <w:rPr>
          <w:sz w:val="24"/>
          <w:shd w:val="clear" w:color="auto" w:fill="FFFFFF" w:themeFill="background1"/>
        </w:rPr>
        <w:t>3</w:t>
      </w:r>
      <w:r w:rsidRPr="00DE59A5">
        <w:rPr>
          <w:rStyle w:val="NoteLabel"/>
          <w:b/>
          <w:shd w:val="clear" w:color="auto" w:fill="FFFFFF" w:themeFill="background1"/>
        </w:rPr>
        <w:t>a</w:t>
      </w:r>
      <w:r w:rsidR="00E54595" w:rsidRPr="00DE59A5">
        <w:rPr>
          <w:rStyle w:val="NoteLabel"/>
          <w:b/>
          <w:shd w:val="clear" w:color="auto" w:fill="FFFFFF" w:themeFill="background1"/>
        </w:rPr>
        <w:t>,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155A3" w:rsidRPr="00640545" w:rsidTr="006223F0">
        <w:tc>
          <w:tcPr>
            <w:tcW w:w="8777" w:type="dxa"/>
            <w:tcBorders>
              <w:top w:val="single" w:sz="6" w:space="0" w:color="auto"/>
              <w:bottom w:val="single" w:sz="6" w:space="0" w:color="auto"/>
              <w:right w:val="nil"/>
            </w:tcBorders>
          </w:tcPr>
          <w:p w:rsidR="00E155A3" w:rsidRPr="00301A15" w:rsidRDefault="00B07AA7" w:rsidP="007A5B80">
            <w:pPr>
              <w:pStyle w:val="Figure"/>
            </w:pPr>
            <w:r>
              <w:rPr>
                <w:noProof/>
              </w:rPr>
              <w:drawing>
                <wp:inline distT="0" distB="0" distL="0" distR="0">
                  <wp:extent cx="5391150" cy="2714625"/>
                  <wp:effectExtent l="0" t="0" r="0" b="9525"/>
                  <wp:docPr id="39" name="Picture 39" descr="Figure 13.34 Transition Care Program - average MBI score on entry and exit, 2012-13&#10;&#10;More details can be found within the text surrounding this imag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391150" cy="2714625"/>
                          </a:xfrm>
                          <a:prstGeom prst="rect">
                            <a:avLst/>
                          </a:prstGeom>
                          <a:noFill/>
                          <a:ln>
                            <a:noFill/>
                          </a:ln>
                        </pic:spPr>
                      </pic:pic>
                    </a:graphicData>
                  </a:graphic>
                </wp:inline>
              </w:drawing>
            </w:r>
          </w:p>
        </w:tc>
      </w:tr>
    </w:tbl>
    <w:p w:rsidR="00A12C8F" w:rsidRPr="006359E5" w:rsidRDefault="00A12C8F" w:rsidP="006359E5">
      <w:pPr>
        <w:pStyle w:val="Note"/>
      </w:pPr>
      <w:proofErr w:type="spellStart"/>
      <w:r w:rsidRPr="006359E5">
        <w:t>MBI</w:t>
      </w:r>
      <w:proofErr w:type="spellEnd"/>
      <w:r w:rsidR="00CB4EAD" w:rsidRPr="006359E5">
        <w:t xml:space="preserve"> =</w:t>
      </w:r>
      <w:r w:rsidRPr="006359E5">
        <w:t xml:space="preserve"> Modified </w:t>
      </w:r>
      <w:proofErr w:type="spellStart"/>
      <w:r w:rsidRPr="006359E5">
        <w:t>Barthel</w:t>
      </w:r>
      <w:proofErr w:type="spellEnd"/>
      <w:r w:rsidRPr="006359E5">
        <w:t xml:space="preserve"> Index. </w:t>
      </w:r>
      <w:proofErr w:type="spellStart"/>
      <w:r w:rsidRPr="006359E5">
        <w:rPr>
          <w:rStyle w:val="NoteLabel"/>
        </w:rPr>
        <w:t>a</w:t>
      </w:r>
      <w:proofErr w:type="spellEnd"/>
      <w:r w:rsidRPr="006359E5">
        <w:t xml:space="preserve"> The </w:t>
      </w:r>
      <w:proofErr w:type="spellStart"/>
      <w:r w:rsidRPr="006359E5">
        <w:t>MBI</w:t>
      </w:r>
      <w:proofErr w:type="spellEnd"/>
      <w:r w:rsidRPr="006359E5">
        <w:t xml:space="preserve"> is a measure of </w:t>
      </w:r>
      <w:r w:rsidR="007F56DA" w:rsidRPr="006359E5">
        <w:t xml:space="preserve">functioning in the </w:t>
      </w:r>
      <w:r w:rsidRPr="006359E5">
        <w:t xml:space="preserve">activities of daily </w:t>
      </w:r>
      <w:r w:rsidR="00D47705" w:rsidRPr="006359E5">
        <w:t>living</w:t>
      </w:r>
      <w:r w:rsidRPr="006359E5">
        <w:t xml:space="preserve">, ranging from 0 (fully dependent) to 100 (fully independent). Data are reported for </w:t>
      </w:r>
      <w:r w:rsidR="00FF45A4" w:rsidRPr="006359E5">
        <w:t>TCP</w:t>
      </w:r>
      <w:r w:rsidRPr="006359E5">
        <w:t xml:space="preserve"> recipients who completed a </w:t>
      </w:r>
      <w:r w:rsidR="00510F4A" w:rsidRPr="006359E5">
        <w:t>transition c</w:t>
      </w:r>
      <w:r w:rsidRPr="006359E5">
        <w:t>are episode.</w:t>
      </w:r>
      <w:r w:rsidR="00E54595" w:rsidRPr="006359E5">
        <w:t xml:space="preserve"> </w:t>
      </w:r>
      <w:r w:rsidR="00E54595" w:rsidRPr="006359E5">
        <w:rPr>
          <w:rStyle w:val="NoteLabel"/>
        </w:rPr>
        <w:t>b</w:t>
      </w:r>
      <w:r w:rsidR="00E54595" w:rsidRPr="006359E5">
        <w:t xml:space="preserve"> Different health and aged care service systems, local operating procedures and client groups can </w:t>
      </w:r>
      <w:r w:rsidR="007F1914" w:rsidRPr="006359E5">
        <w:t>affect</w:t>
      </w:r>
      <w:r w:rsidR="00E54595" w:rsidRPr="006359E5">
        <w:t xml:space="preserve"> the outcomes of the Transition Care Program across jurisdictions.</w:t>
      </w:r>
    </w:p>
    <w:p w:rsidR="00A12C8F" w:rsidRDefault="00A12C8F" w:rsidP="00015BD7">
      <w:pPr>
        <w:pStyle w:val="Source"/>
      </w:pPr>
      <w:r>
        <w:rPr>
          <w:i/>
        </w:rPr>
        <w:t>Source</w:t>
      </w:r>
      <w:r w:rsidRPr="009F4F77">
        <w:t xml:space="preserve">: </w:t>
      </w:r>
      <w:proofErr w:type="spellStart"/>
      <w:r w:rsidR="00543AE9" w:rsidRPr="00015BD7">
        <w:rPr>
          <w:shd w:val="clear" w:color="auto" w:fill="FFFFFF" w:themeFill="background1"/>
        </w:rPr>
        <w:t>D</w:t>
      </w:r>
      <w:r w:rsidR="00023C8D" w:rsidRPr="00015BD7">
        <w:rPr>
          <w:shd w:val="clear" w:color="auto" w:fill="FFFFFF" w:themeFill="background1"/>
        </w:rPr>
        <w:t>SS</w:t>
      </w:r>
      <w:proofErr w:type="spellEnd"/>
      <w:r>
        <w:t xml:space="preserve"> (unpublished); table</w:t>
      </w:r>
      <w:r w:rsidR="00AA68A5">
        <w:t> </w:t>
      </w:r>
      <w:proofErr w:type="spellStart"/>
      <w:r>
        <w:t>13A.</w:t>
      </w:r>
      <w:r w:rsidR="00AB426C">
        <w:t>90</w:t>
      </w:r>
      <w:proofErr w:type="spellEnd"/>
      <w:r>
        <w:t>.</w:t>
      </w:r>
    </w:p>
    <w:p w:rsidR="00BF2CB0" w:rsidRDefault="00BF2CB0" w:rsidP="00BF2CB0">
      <w:pPr>
        <w:pStyle w:val="Heading4"/>
      </w:pPr>
      <w:r>
        <w:t>Hospital leave days</w:t>
      </w:r>
      <w:r w:rsidR="00AB426C" w:rsidRPr="00AB426C">
        <w:t xml:space="preserve"> </w:t>
      </w:r>
      <w:r w:rsidR="00AB426C">
        <w:t xml:space="preserve">from residential aged care </w:t>
      </w:r>
      <w:r w:rsidR="00AB426C" w:rsidRPr="00BF03E1">
        <w:t>for</w:t>
      </w:r>
      <w:r>
        <w:t xml:space="preserve"> preventable causes</w:t>
      </w:r>
    </w:p>
    <w:p w:rsidR="00BF2CB0" w:rsidRPr="00886109" w:rsidRDefault="00BF2CB0" w:rsidP="00BF2CB0">
      <w:pPr>
        <w:pStyle w:val="BodyText"/>
      </w:pPr>
      <w:r>
        <w:t>‘</w:t>
      </w:r>
      <w:r w:rsidR="00200BD0">
        <w:t>Hospital leave days </w:t>
      </w:r>
      <w:r w:rsidR="00AB426C">
        <w:t xml:space="preserve">from residential aged care </w:t>
      </w:r>
      <w:r w:rsidRPr="00BF03E1">
        <w:t>for preventable causes</w:t>
      </w:r>
      <w:r>
        <w:t xml:space="preserve">’ has been identified for development as an indicator of governments’ objective to provide </w:t>
      </w:r>
      <w:r w:rsidRPr="00BF03E1">
        <w:t>high quality</w:t>
      </w:r>
      <w:r>
        <w:t xml:space="preserve"> and safe residential aged care services (box</w:t>
      </w:r>
      <w:r w:rsidR="00AA68A5">
        <w:t> </w:t>
      </w:r>
      <w:r>
        <w:t>13.</w:t>
      </w:r>
      <w:r w:rsidR="000B4837">
        <w:t>19</w:t>
      </w:r>
      <w:r>
        <w:t>).</w:t>
      </w:r>
    </w:p>
    <w:p w:rsidR="00BF2CB0" w:rsidRDefault="00BF2CB0" w:rsidP="00BF2CB0">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F2CB0" w:rsidTr="00BF2CB0">
        <w:tc>
          <w:tcPr>
            <w:tcW w:w="8771" w:type="dxa"/>
            <w:tcBorders>
              <w:top w:val="single" w:sz="6" w:space="0" w:color="auto"/>
              <w:bottom w:val="nil"/>
            </w:tcBorders>
          </w:tcPr>
          <w:p w:rsidR="00BF2CB0" w:rsidRPr="009601ED" w:rsidRDefault="00BF2CB0" w:rsidP="00AB426C">
            <w:pPr>
              <w:pStyle w:val="BoxTitle"/>
              <w:rPr>
                <w:sz w:val="24"/>
              </w:rPr>
            </w:pPr>
            <w:r w:rsidRPr="009601ED">
              <w:rPr>
                <w:b w:val="0"/>
                <w:sz w:val="24"/>
              </w:rPr>
              <w:t xml:space="preserve">Box </w:t>
            </w:r>
            <w:r w:rsidR="000B4837">
              <w:rPr>
                <w:b w:val="0"/>
                <w:sz w:val="24"/>
              </w:rPr>
              <w:t>13.</w:t>
            </w:r>
            <w:r w:rsidR="00E4728C">
              <w:rPr>
                <w:b w:val="0"/>
                <w:noProof/>
                <w:sz w:val="24"/>
              </w:rPr>
              <w:t>19</w:t>
            </w:r>
            <w:r w:rsidRPr="009601ED">
              <w:rPr>
                <w:sz w:val="24"/>
              </w:rPr>
              <w:tab/>
            </w:r>
            <w:r w:rsidRPr="00BF03E1">
              <w:rPr>
                <w:sz w:val="24"/>
              </w:rPr>
              <w:t xml:space="preserve">Hospital leave </w:t>
            </w:r>
            <w:r>
              <w:rPr>
                <w:sz w:val="24"/>
              </w:rPr>
              <w:t>day</w:t>
            </w:r>
            <w:r w:rsidR="00B078E5">
              <w:rPr>
                <w:sz w:val="24"/>
              </w:rPr>
              <w:t>s</w:t>
            </w:r>
            <w:r>
              <w:rPr>
                <w:sz w:val="24"/>
              </w:rPr>
              <w:t xml:space="preserve"> </w:t>
            </w:r>
            <w:r w:rsidR="00AB426C" w:rsidRPr="00AB426C">
              <w:rPr>
                <w:sz w:val="24"/>
              </w:rPr>
              <w:t xml:space="preserve">from residential aged care </w:t>
            </w:r>
            <w:r w:rsidRPr="00BF03E1">
              <w:rPr>
                <w:sz w:val="24"/>
              </w:rPr>
              <w:t>for preventable causes</w:t>
            </w:r>
          </w:p>
        </w:tc>
      </w:tr>
      <w:tr w:rsidR="00BF2CB0" w:rsidTr="00BF2CB0">
        <w:trPr>
          <w:cantSplit/>
        </w:trPr>
        <w:tc>
          <w:tcPr>
            <w:tcW w:w="8771" w:type="dxa"/>
            <w:tcBorders>
              <w:top w:val="nil"/>
              <w:left w:val="single" w:sz="6" w:space="0" w:color="auto"/>
              <w:bottom w:val="nil"/>
              <w:right w:val="single" w:sz="6" w:space="0" w:color="auto"/>
            </w:tcBorders>
          </w:tcPr>
          <w:p w:rsidR="00BF2CB0" w:rsidRDefault="00BF2CB0" w:rsidP="00BF2CB0">
            <w:pPr>
              <w:pStyle w:val="Box"/>
            </w:pPr>
            <w:r>
              <w:t>‘</w:t>
            </w:r>
            <w:r w:rsidRPr="00BF03E1">
              <w:t xml:space="preserve">Hospital leave days </w:t>
            </w:r>
            <w:r w:rsidR="00AB426C" w:rsidRPr="00AB426C">
              <w:t>from residential aged care for</w:t>
            </w:r>
            <w:r w:rsidRPr="00BF03E1">
              <w:t xml:space="preserve"> preventable causes</w:t>
            </w:r>
            <w:r>
              <w:t>’ is yet to be defined.</w:t>
            </w:r>
          </w:p>
          <w:p w:rsidR="00BF2CB0" w:rsidRDefault="00BF2CB0" w:rsidP="00BF2CB0">
            <w:pPr>
              <w:pStyle w:val="Box"/>
            </w:pPr>
            <w:r>
              <w:t>Low or decreasing proportions of residential aged care days on h</w:t>
            </w:r>
            <w:r w:rsidRPr="00BF03E1">
              <w:t xml:space="preserve">ospital </w:t>
            </w:r>
            <w:r>
              <w:t>leave due to</w:t>
            </w:r>
            <w:r w:rsidRPr="00BF03E1">
              <w:t xml:space="preserve"> </w:t>
            </w:r>
            <w:r>
              <w:t xml:space="preserve">selected </w:t>
            </w:r>
            <w:r w:rsidRPr="00BF03E1">
              <w:t>preventable causes</w:t>
            </w:r>
            <w:r>
              <w:t xml:space="preserve"> are desirable.</w:t>
            </w:r>
          </w:p>
          <w:p w:rsidR="00BF2CB0" w:rsidRDefault="00BF2CB0" w:rsidP="00BF2CB0">
            <w:pPr>
              <w:pStyle w:val="Box"/>
            </w:pPr>
            <w:r>
              <w:t xml:space="preserve">When developed for future reports, this indicator will show the proportion of residential aged care days that are taken as hospital leave for selected preventable causes. </w:t>
            </w:r>
          </w:p>
        </w:tc>
      </w:tr>
      <w:tr w:rsidR="00BF2CB0" w:rsidTr="00BF2CB0">
        <w:trPr>
          <w:cantSplit/>
        </w:trPr>
        <w:tc>
          <w:tcPr>
            <w:tcW w:w="8771" w:type="dxa"/>
            <w:tcBorders>
              <w:top w:val="nil"/>
              <w:left w:val="single" w:sz="6" w:space="0" w:color="auto"/>
              <w:bottom w:val="single" w:sz="6" w:space="0" w:color="auto"/>
              <w:right w:val="single" w:sz="6" w:space="0" w:color="auto"/>
            </w:tcBorders>
          </w:tcPr>
          <w:p w:rsidR="00BF2CB0" w:rsidRDefault="00BF2CB0" w:rsidP="00BF2CB0">
            <w:pPr>
              <w:pStyle w:val="Box"/>
              <w:spacing w:before="0" w:line="120" w:lineRule="exact"/>
            </w:pPr>
          </w:p>
        </w:tc>
      </w:tr>
      <w:tr w:rsidR="00BF2CB0" w:rsidTr="00BF2CB0">
        <w:tc>
          <w:tcPr>
            <w:tcW w:w="8771" w:type="dxa"/>
            <w:tcBorders>
              <w:top w:val="nil"/>
              <w:left w:val="nil"/>
              <w:bottom w:val="nil"/>
              <w:right w:val="nil"/>
            </w:tcBorders>
          </w:tcPr>
          <w:p w:rsidR="00BF2CB0" w:rsidRDefault="00BF2CB0" w:rsidP="00BF2CB0">
            <w:pPr>
              <w:pStyle w:val="Box"/>
              <w:keepNext w:val="0"/>
              <w:spacing w:before="60" w:after="60" w:line="80" w:lineRule="exact"/>
              <w:rPr>
                <w:b/>
                <w:color w:val="FF00FF"/>
                <w:sz w:val="14"/>
              </w:rPr>
            </w:pPr>
          </w:p>
        </w:tc>
      </w:tr>
    </w:tbl>
    <w:p w:rsidR="00A12C8F" w:rsidRDefault="00A12C8F" w:rsidP="00EA51EB">
      <w:pPr>
        <w:pStyle w:val="Heading4"/>
      </w:pPr>
      <w:r>
        <w:t>Enabling people with care needs to live in the community</w:t>
      </w:r>
    </w:p>
    <w:p w:rsidR="00A12C8F" w:rsidRPr="00886109" w:rsidRDefault="00A12C8F" w:rsidP="002501A2">
      <w:pPr>
        <w:pStyle w:val="BodyText"/>
      </w:pPr>
      <w:r>
        <w:t xml:space="preserve">‘Enabling people with care needs to live in the community’ has been identified for development as an indicator of governments’ objective to delay entry to residential care </w:t>
      </w:r>
      <w:r w:rsidR="00B00BF7">
        <w:t>whe</w:t>
      </w:r>
      <w:r w:rsidR="00CB621E">
        <w:t>n a person</w:t>
      </w:r>
      <w:r w:rsidR="00E61B43">
        <w:t>’s</w:t>
      </w:r>
      <w:r w:rsidR="00CB621E">
        <w:t xml:space="preserve"> </w:t>
      </w:r>
      <w:r w:rsidR="00B00BF7">
        <w:t xml:space="preserve">care needs can be met in the community </w:t>
      </w:r>
      <w:r>
        <w:t>(box</w:t>
      </w:r>
      <w:r w:rsidR="00AA68A5">
        <w:t> </w:t>
      </w:r>
      <w:r>
        <w:t>13.</w:t>
      </w:r>
      <w:r w:rsidR="000F214F">
        <w:t>2</w:t>
      </w:r>
      <w:r w:rsidR="000B4837">
        <w:t>0</w:t>
      </w:r>
      <w:r>
        <w:t>).</w:t>
      </w:r>
    </w:p>
    <w:p w:rsidR="00A12C8F" w:rsidRDefault="00A12C8F" w:rsidP="002501A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12C8F" w:rsidTr="00A12C8F">
        <w:tc>
          <w:tcPr>
            <w:tcW w:w="8771" w:type="dxa"/>
            <w:tcBorders>
              <w:top w:val="single" w:sz="6" w:space="0" w:color="auto"/>
              <w:bottom w:val="nil"/>
            </w:tcBorders>
          </w:tcPr>
          <w:p w:rsidR="00A12C8F" w:rsidRPr="009601ED" w:rsidRDefault="00A12C8F" w:rsidP="002501A2">
            <w:pPr>
              <w:pStyle w:val="BoxTitle"/>
              <w:rPr>
                <w:sz w:val="24"/>
              </w:rPr>
            </w:pPr>
            <w:r w:rsidRPr="009601ED">
              <w:rPr>
                <w:b w:val="0"/>
                <w:sz w:val="24"/>
              </w:rPr>
              <w:t xml:space="preserve">Box </w:t>
            </w:r>
            <w:r w:rsidR="000B4837">
              <w:rPr>
                <w:b w:val="0"/>
                <w:sz w:val="24"/>
              </w:rPr>
              <w:t>13.</w:t>
            </w:r>
            <w:r w:rsidR="00E4728C">
              <w:rPr>
                <w:b w:val="0"/>
                <w:noProof/>
                <w:sz w:val="24"/>
              </w:rPr>
              <w:t>20</w:t>
            </w:r>
            <w:r w:rsidRPr="009601ED">
              <w:rPr>
                <w:sz w:val="24"/>
              </w:rPr>
              <w:tab/>
              <w:t>Enabling people with care needs to live in the community</w:t>
            </w:r>
          </w:p>
        </w:tc>
      </w:tr>
      <w:tr w:rsidR="00A12C8F" w:rsidTr="00A12C8F">
        <w:trPr>
          <w:cantSplit/>
        </w:trPr>
        <w:tc>
          <w:tcPr>
            <w:tcW w:w="8771" w:type="dxa"/>
            <w:tcBorders>
              <w:top w:val="nil"/>
              <w:left w:val="single" w:sz="6" w:space="0" w:color="auto"/>
              <w:bottom w:val="nil"/>
              <w:right w:val="single" w:sz="6" w:space="0" w:color="auto"/>
            </w:tcBorders>
          </w:tcPr>
          <w:p w:rsidR="00A12C8F" w:rsidRDefault="00A12C8F" w:rsidP="002501A2">
            <w:pPr>
              <w:pStyle w:val="Box"/>
            </w:pPr>
            <w:r>
              <w:t>‘Enabling people with care needs to live in the community’ is yet to be defined.</w:t>
            </w:r>
          </w:p>
          <w:p w:rsidR="00A12C8F" w:rsidRDefault="001C406C" w:rsidP="002501A2">
            <w:pPr>
              <w:pStyle w:val="Box"/>
            </w:pPr>
            <w:r>
              <w:t xml:space="preserve">High or increasing </w:t>
            </w:r>
            <w:r w:rsidR="00A12C8F">
              <w:t>rates of people with care needs remaining and participating in the community are desirable.</w:t>
            </w:r>
            <w:r w:rsidR="00BF03E1">
              <w:t xml:space="preserve"> </w:t>
            </w:r>
          </w:p>
          <w:p w:rsidR="00A12C8F" w:rsidRDefault="00A12C8F" w:rsidP="002501A2">
            <w:pPr>
              <w:pStyle w:val="Box"/>
            </w:pPr>
            <w:r>
              <w:t xml:space="preserve">When developed for future </w:t>
            </w:r>
            <w:r w:rsidR="00764948">
              <w:t>r</w:t>
            </w:r>
            <w:r>
              <w:t>eports, this indicator will show the extent to which older people’s entry</w:t>
            </w:r>
            <w:r w:rsidR="00252E5D">
              <w:t xml:space="preserve"> to residential care is delayed.</w:t>
            </w:r>
          </w:p>
        </w:tc>
      </w:tr>
      <w:tr w:rsidR="00A12C8F" w:rsidTr="00A12C8F">
        <w:trPr>
          <w:cantSplit/>
        </w:trPr>
        <w:tc>
          <w:tcPr>
            <w:tcW w:w="8771" w:type="dxa"/>
            <w:tcBorders>
              <w:top w:val="nil"/>
              <w:left w:val="single" w:sz="6" w:space="0" w:color="auto"/>
              <w:bottom w:val="single" w:sz="6" w:space="0" w:color="auto"/>
              <w:right w:val="single" w:sz="6" w:space="0" w:color="auto"/>
            </w:tcBorders>
          </w:tcPr>
          <w:p w:rsidR="00A12C8F" w:rsidRDefault="00A12C8F" w:rsidP="002501A2">
            <w:pPr>
              <w:pStyle w:val="Box"/>
              <w:spacing w:before="0" w:line="120" w:lineRule="exact"/>
            </w:pPr>
          </w:p>
        </w:tc>
      </w:tr>
      <w:tr w:rsidR="00A12C8F" w:rsidTr="00A12C8F">
        <w:tc>
          <w:tcPr>
            <w:tcW w:w="8771" w:type="dxa"/>
            <w:tcBorders>
              <w:top w:val="nil"/>
              <w:left w:val="nil"/>
              <w:bottom w:val="nil"/>
              <w:right w:val="nil"/>
            </w:tcBorders>
          </w:tcPr>
          <w:p w:rsidR="00A12C8F" w:rsidRDefault="00A12C8F" w:rsidP="002501A2">
            <w:pPr>
              <w:pStyle w:val="Box"/>
              <w:keepNext w:val="0"/>
              <w:spacing w:before="60" w:after="60" w:line="80" w:lineRule="exact"/>
              <w:rPr>
                <w:b/>
                <w:color w:val="FF00FF"/>
                <w:sz w:val="14"/>
              </w:rPr>
            </w:pPr>
          </w:p>
        </w:tc>
      </w:tr>
    </w:tbl>
    <w:p w:rsidR="00A12C8F" w:rsidRDefault="00C82353" w:rsidP="002501A2">
      <w:pPr>
        <w:pStyle w:val="Heading2"/>
      </w:pPr>
      <w:bookmarkStart w:id="143" w:name="_Toc211788425"/>
      <w:bookmarkStart w:id="144" w:name="_Toc274671083"/>
      <w:bookmarkStart w:id="145" w:name="_Toc274671156"/>
      <w:bookmarkStart w:id="146" w:name="_Toc274671268"/>
      <w:bookmarkStart w:id="147" w:name="_Toc274671352"/>
      <w:bookmarkStart w:id="148" w:name="_Toc274671838"/>
      <w:bookmarkStart w:id="149" w:name="_Toc370803128"/>
      <w:r>
        <w:t>13.</w:t>
      </w:r>
      <w:r w:rsidR="00E4728C">
        <w:rPr>
          <w:noProof/>
        </w:rPr>
        <w:t>4</w:t>
      </w:r>
      <w:r w:rsidR="0088002B">
        <w:tab/>
      </w:r>
      <w:r w:rsidR="00A12C8F">
        <w:t>Future directions in performance reporting</w:t>
      </w:r>
      <w:bookmarkEnd w:id="143"/>
      <w:bookmarkEnd w:id="144"/>
      <w:bookmarkEnd w:id="145"/>
      <w:bookmarkEnd w:id="146"/>
      <w:bookmarkEnd w:id="147"/>
      <w:bookmarkEnd w:id="148"/>
      <w:bookmarkEnd w:id="149"/>
    </w:p>
    <w:p w:rsidR="00A12C8F" w:rsidRDefault="00643C9D" w:rsidP="000E1620">
      <w:pPr>
        <w:pStyle w:val="BodyText"/>
      </w:pPr>
      <w:bookmarkStart w:id="150" w:name="OLE_LINK64"/>
      <w:r>
        <w:t>For several aspects of aged care services,</w:t>
      </w:r>
      <w:r w:rsidR="00FA2DF0">
        <w:t xml:space="preserve"> i</w:t>
      </w:r>
      <w:r w:rsidR="00A12C8F">
        <w:t>ndicators are not fully developed and there is little performance reporting available.</w:t>
      </w:r>
      <w:bookmarkEnd w:id="150"/>
      <w:r w:rsidR="00A12C8F">
        <w:t xml:space="preserve"> Priorities for the future include:</w:t>
      </w:r>
    </w:p>
    <w:p w:rsidR="00A12C8F" w:rsidRDefault="00A12C8F" w:rsidP="00CC79C6">
      <w:pPr>
        <w:pStyle w:val="ListBullet"/>
      </w:pPr>
      <w:r w:rsidRPr="00BD7304">
        <w:t>continued</w:t>
      </w:r>
      <w:r>
        <w:t xml:space="preserve"> improvement of efficiency indicators</w:t>
      </w:r>
    </w:p>
    <w:p w:rsidR="00A12C8F" w:rsidRDefault="00A12C8F" w:rsidP="00CD5734">
      <w:pPr>
        <w:pStyle w:val="ListBullet"/>
      </w:pPr>
      <w:r>
        <w:t xml:space="preserve">improved reporting of </w:t>
      </w:r>
      <w:r w:rsidR="00CC79C6" w:rsidRPr="00EC6C17">
        <w:t>elapsed</w:t>
      </w:r>
      <w:r>
        <w:t xml:space="preserve"> times for aged care</w:t>
      </w:r>
    </w:p>
    <w:p w:rsidR="00A12C8F" w:rsidRDefault="00A12C8F" w:rsidP="00CD5734">
      <w:pPr>
        <w:pStyle w:val="ListBullet"/>
      </w:pPr>
      <w:r>
        <w:t xml:space="preserve">improved reporting of </w:t>
      </w:r>
      <w:r w:rsidR="00CC79C6" w:rsidRPr="00EC6C17">
        <w:t>hospital patient days used by aged care type patients</w:t>
      </w:r>
    </w:p>
    <w:p w:rsidR="00A12C8F" w:rsidRDefault="00A12C8F" w:rsidP="00CD5734">
      <w:pPr>
        <w:pStyle w:val="ListBullet"/>
      </w:pPr>
      <w:r>
        <w:t xml:space="preserve">inclusion of data on </w:t>
      </w:r>
      <w:r w:rsidR="00CC79C6" w:rsidRPr="00EC6C17">
        <w:t>hospital leave days for preventable causes</w:t>
      </w:r>
      <w:r>
        <w:t xml:space="preserve"> as they become available</w:t>
      </w:r>
    </w:p>
    <w:p w:rsidR="00D81020" w:rsidRDefault="00D81020" w:rsidP="00D81020">
      <w:pPr>
        <w:pStyle w:val="ListBullet"/>
      </w:pPr>
      <w:r w:rsidRPr="00D81020">
        <w:t xml:space="preserve">development of performance indicators relevant to </w:t>
      </w:r>
      <w:r>
        <w:t xml:space="preserve">the </w:t>
      </w:r>
      <w:r w:rsidR="00F238A8" w:rsidRPr="00F238A8">
        <w:t xml:space="preserve">aged care </w:t>
      </w:r>
      <w:r w:rsidR="00104D90">
        <w:t>reforms</w:t>
      </w:r>
      <w:r w:rsidRPr="00D81020">
        <w:t xml:space="preserve"> </w:t>
      </w:r>
    </w:p>
    <w:p w:rsidR="00A12C8F" w:rsidRDefault="00A12C8F" w:rsidP="002501A2">
      <w:pPr>
        <w:pStyle w:val="ListBullet"/>
      </w:pPr>
      <w:r w:rsidRPr="008C4CFE">
        <w:t>further development of outcome indicators.</w:t>
      </w:r>
    </w:p>
    <w:p w:rsidR="00C35AC2" w:rsidRDefault="00C35AC2" w:rsidP="00015BD7">
      <w:pPr>
        <w:pStyle w:val="BodyText"/>
      </w:pPr>
      <w:r>
        <w:lastRenderedPageBreak/>
        <w:t xml:space="preserve">In 2012, the Australian Government announced a package of reforms to aged care. </w:t>
      </w:r>
      <w:r w:rsidR="00890B17" w:rsidRPr="00015BD7">
        <w:rPr>
          <w:shd w:val="clear" w:color="auto" w:fill="FFFFFF" w:themeFill="background1"/>
        </w:rPr>
        <w:t>On 28</w:t>
      </w:r>
      <w:r w:rsidR="00AA68A5">
        <w:rPr>
          <w:shd w:val="clear" w:color="auto" w:fill="FFFFFF" w:themeFill="background1"/>
        </w:rPr>
        <w:t> </w:t>
      </w:r>
      <w:r w:rsidR="00890B17" w:rsidRPr="00015BD7">
        <w:rPr>
          <w:shd w:val="clear" w:color="auto" w:fill="FFFFFF" w:themeFill="background1"/>
        </w:rPr>
        <w:t xml:space="preserve">June 2013, </w:t>
      </w:r>
      <w:r w:rsidR="00120CC0" w:rsidRPr="00015BD7">
        <w:rPr>
          <w:shd w:val="clear" w:color="auto" w:fill="FFFFFF" w:themeFill="background1"/>
        </w:rPr>
        <w:t>to implement these reforms</w:t>
      </w:r>
      <w:r w:rsidR="006C7B15" w:rsidRPr="00015BD7">
        <w:rPr>
          <w:shd w:val="clear" w:color="auto" w:fill="FFFFFF" w:themeFill="background1"/>
        </w:rPr>
        <w:t>,</w:t>
      </w:r>
      <w:r w:rsidR="00120CC0" w:rsidRPr="00015BD7">
        <w:rPr>
          <w:shd w:val="clear" w:color="auto" w:fill="FFFFFF" w:themeFill="background1"/>
        </w:rPr>
        <w:t xml:space="preserve"> </w:t>
      </w:r>
      <w:r w:rsidR="00890B17" w:rsidRPr="00015BD7">
        <w:rPr>
          <w:shd w:val="clear" w:color="auto" w:fill="FFFFFF" w:themeFill="background1"/>
        </w:rPr>
        <w:t xml:space="preserve">a package of Bills amending the </w:t>
      </w:r>
      <w:r w:rsidR="00890B17" w:rsidRPr="00015BD7">
        <w:rPr>
          <w:i/>
          <w:shd w:val="clear" w:color="auto" w:fill="FFFFFF" w:themeFill="background1"/>
        </w:rPr>
        <w:t>Aged Care Act 1997</w:t>
      </w:r>
      <w:r w:rsidR="00890B17" w:rsidRPr="00015BD7">
        <w:rPr>
          <w:shd w:val="clear" w:color="auto" w:fill="FFFFFF" w:themeFill="background1"/>
        </w:rPr>
        <w:t xml:space="preserve"> was passed into law.</w:t>
      </w:r>
      <w:r w:rsidR="00890B17" w:rsidRPr="00890B17">
        <w:t xml:space="preserve"> </w:t>
      </w:r>
      <w:r w:rsidRPr="00C35AC2">
        <w:t xml:space="preserve">The key reforms implemented </w:t>
      </w:r>
      <w:r>
        <w:t xml:space="preserve">since </w:t>
      </w:r>
      <w:r w:rsidR="00984D2B">
        <w:br/>
      </w:r>
      <w:r w:rsidRPr="00C35AC2">
        <w:t>30</w:t>
      </w:r>
      <w:r w:rsidR="00AA68A5">
        <w:t> </w:t>
      </w:r>
      <w:r w:rsidRPr="00C35AC2">
        <w:t xml:space="preserve">June 2013 </w:t>
      </w:r>
      <w:r>
        <w:t xml:space="preserve">that will have a significant </w:t>
      </w:r>
      <w:r w:rsidR="00EC20E4">
        <w:t>effect</w:t>
      </w:r>
      <w:r>
        <w:t xml:space="preserve"> on reporting in the next version of this Report are outlined in box</w:t>
      </w:r>
      <w:r w:rsidR="00AA68A5">
        <w:t> </w:t>
      </w:r>
      <w:r>
        <w:t>13.21.</w:t>
      </w:r>
    </w:p>
    <w:p w:rsidR="00C35AC2" w:rsidRDefault="00C35AC2" w:rsidP="00C35AC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35AC2" w:rsidTr="00E46620">
        <w:tc>
          <w:tcPr>
            <w:tcW w:w="8771" w:type="dxa"/>
            <w:tcBorders>
              <w:top w:val="single" w:sz="6" w:space="0" w:color="auto"/>
              <w:bottom w:val="nil"/>
            </w:tcBorders>
          </w:tcPr>
          <w:p w:rsidR="00C35AC2" w:rsidRDefault="00C35AC2" w:rsidP="00F238A8">
            <w:pPr>
              <w:pStyle w:val="BoxTitle"/>
            </w:pPr>
            <w:r>
              <w:rPr>
                <w:b w:val="0"/>
              </w:rPr>
              <w:t xml:space="preserve">Box </w:t>
            </w:r>
            <w:r w:rsidR="00EE1950">
              <w:rPr>
                <w:b w:val="0"/>
              </w:rPr>
              <w:t>13.</w:t>
            </w:r>
            <w:r w:rsidR="00E4728C">
              <w:rPr>
                <w:b w:val="0"/>
                <w:noProof/>
              </w:rPr>
              <w:t>21</w:t>
            </w:r>
            <w:r>
              <w:tab/>
            </w:r>
            <w:r w:rsidR="00F238A8" w:rsidRPr="00F238A8">
              <w:t>Aged care</w:t>
            </w:r>
            <w:r>
              <w:t xml:space="preserve"> reforms </w:t>
            </w:r>
          </w:p>
        </w:tc>
      </w:tr>
      <w:tr w:rsidR="00C35AC2" w:rsidTr="00015BD7">
        <w:trPr>
          <w:cantSplit/>
        </w:trPr>
        <w:tc>
          <w:tcPr>
            <w:tcW w:w="8771" w:type="dxa"/>
            <w:tcBorders>
              <w:top w:val="nil"/>
              <w:left w:val="single" w:sz="6" w:space="0" w:color="auto"/>
              <w:bottom w:val="nil"/>
              <w:right w:val="single" w:sz="6" w:space="0" w:color="auto"/>
            </w:tcBorders>
            <w:shd w:val="clear" w:color="auto" w:fill="FFFFFF" w:themeFill="background1"/>
          </w:tcPr>
          <w:p w:rsidR="00C35AC2" w:rsidRPr="00275116" w:rsidRDefault="00C35AC2" w:rsidP="00E46620">
            <w:pPr>
              <w:pStyle w:val="Box"/>
              <w:rPr>
                <w:rFonts w:eastAsiaTheme="minorHAnsi"/>
                <w:lang w:eastAsia="en-US"/>
              </w:rPr>
            </w:pPr>
            <w:r w:rsidRPr="00CF642A">
              <w:rPr>
                <w:rFonts w:eastAsiaTheme="minorHAnsi"/>
                <w:lang w:eastAsia="en-US"/>
              </w:rPr>
              <w:t xml:space="preserve">The Australian Government’s </w:t>
            </w:r>
            <w:r w:rsidR="00F238A8">
              <w:rPr>
                <w:rFonts w:eastAsiaTheme="minorHAnsi"/>
                <w:lang w:eastAsia="en-US"/>
              </w:rPr>
              <w:t>aged care reforms were</w:t>
            </w:r>
            <w:r w:rsidRPr="00CF642A">
              <w:rPr>
                <w:rFonts w:eastAsiaTheme="minorHAnsi"/>
                <w:lang w:eastAsia="en-US"/>
              </w:rPr>
              <w:t xml:space="preserve"> developed in response to the Productivity Commission’s </w:t>
            </w:r>
            <w:r w:rsidRPr="00496CE9">
              <w:rPr>
                <w:rFonts w:eastAsiaTheme="minorHAnsi"/>
                <w:i/>
                <w:lang w:eastAsia="en-US"/>
              </w:rPr>
              <w:t>Inquiry into Caring for Older Australians</w:t>
            </w:r>
            <w:r w:rsidRPr="00CF642A">
              <w:rPr>
                <w:rFonts w:eastAsiaTheme="minorHAnsi"/>
                <w:lang w:eastAsia="en-US"/>
              </w:rPr>
              <w:t>.</w:t>
            </w:r>
            <w:r w:rsidRPr="00FA3335">
              <w:rPr>
                <w:rFonts w:eastAsiaTheme="minorHAnsi"/>
                <w:lang w:eastAsia="en-US"/>
              </w:rPr>
              <w:t xml:space="preserve"> The focus of the reforms is to make the structural changes needed to ensure the future sustainability of Australia’s aged</w:t>
            </w:r>
            <w:r w:rsidRPr="00275116">
              <w:rPr>
                <w:rFonts w:eastAsiaTheme="minorHAnsi"/>
                <w:lang w:eastAsia="en-US"/>
              </w:rPr>
              <w:t xml:space="preserve"> care system.</w:t>
            </w:r>
            <w:r>
              <w:rPr>
                <w:rFonts w:eastAsiaTheme="minorHAnsi"/>
                <w:lang w:eastAsia="en-US"/>
              </w:rPr>
              <w:t xml:space="preserve"> The key elements of the </w:t>
            </w:r>
            <w:r w:rsidRPr="00275116">
              <w:rPr>
                <w:rFonts w:eastAsiaTheme="minorHAnsi"/>
                <w:lang w:eastAsia="en-US"/>
              </w:rPr>
              <w:t xml:space="preserve">new aged care system </w:t>
            </w:r>
            <w:r>
              <w:rPr>
                <w:rFonts w:eastAsiaTheme="minorHAnsi"/>
                <w:lang w:eastAsia="en-US"/>
              </w:rPr>
              <w:t xml:space="preserve">are designed to </w:t>
            </w:r>
            <w:r w:rsidRPr="00275116">
              <w:rPr>
                <w:rFonts w:eastAsiaTheme="minorHAnsi"/>
                <w:lang w:eastAsia="en-US"/>
              </w:rPr>
              <w:t>provide for:</w:t>
            </w:r>
          </w:p>
          <w:p w:rsidR="00C35AC2" w:rsidRPr="00FA3335" w:rsidRDefault="00C35AC2" w:rsidP="00E46620">
            <w:pPr>
              <w:pStyle w:val="BoxListBullet"/>
              <w:rPr>
                <w:rFonts w:eastAsiaTheme="minorHAnsi"/>
                <w:lang w:eastAsia="en-US"/>
              </w:rPr>
            </w:pPr>
            <w:r w:rsidRPr="00FA3335">
              <w:rPr>
                <w:rFonts w:eastAsiaTheme="minorHAnsi"/>
                <w:lang w:eastAsia="en-US"/>
              </w:rPr>
              <w:t>greater choice and control over aged care arrangements for consumers</w:t>
            </w:r>
          </w:p>
          <w:p w:rsidR="00C35AC2" w:rsidRPr="00FA3335" w:rsidRDefault="00C35AC2" w:rsidP="00E46620">
            <w:pPr>
              <w:pStyle w:val="BoxListBullet"/>
              <w:rPr>
                <w:rFonts w:eastAsiaTheme="minorHAnsi"/>
                <w:lang w:eastAsia="en-US"/>
              </w:rPr>
            </w:pPr>
            <w:r w:rsidRPr="00FA3335">
              <w:rPr>
                <w:rFonts w:eastAsiaTheme="minorHAnsi"/>
                <w:lang w:eastAsia="en-US"/>
              </w:rPr>
              <w:t>new and more equitable ways of meeting the ever increasing costs of aged care</w:t>
            </w:r>
          </w:p>
          <w:p w:rsidR="00C35AC2" w:rsidRPr="00FA3335" w:rsidRDefault="00C35AC2" w:rsidP="00E46620">
            <w:pPr>
              <w:pStyle w:val="BoxListBullet"/>
              <w:rPr>
                <w:rFonts w:eastAsiaTheme="minorHAnsi"/>
                <w:lang w:eastAsia="en-US"/>
              </w:rPr>
            </w:pPr>
            <w:r w:rsidRPr="00FA3335">
              <w:rPr>
                <w:rFonts w:eastAsiaTheme="minorHAnsi"/>
                <w:lang w:eastAsia="en-US"/>
              </w:rPr>
              <w:t xml:space="preserve">ensuring that the most vulnerable in our society are fully protected </w:t>
            </w:r>
          </w:p>
          <w:p w:rsidR="00C35AC2" w:rsidRPr="00FA3335" w:rsidRDefault="00C35AC2" w:rsidP="005E33D7">
            <w:pPr>
              <w:pStyle w:val="BoxListBullet"/>
              <w:rPr>
                <w:rFonts w:eastAsiaTheme="minorHAnsi"/>
                <w:lang w:eastAsia="en-US"/>
              </w:rPr>
            </w:pPr>
            <w:r w:rsidRPr="00FA3335">
              <w:rPr>
                <w:rFonts w:eastAsiaTheme="minorHAnsi"/>
                <w:lang w:eastAsia="en-US"/>
              </w:rPr>
              <w:t xml:space="preserve">the aged care sector working more closely with the wider health system to tackle key health challenges in particular, </w:t>
            </w:r>
            <w:r w:rsidRPr="00015BD7">
              <w:rPr>
                <w:rFonts w:eastAsiaTheme="minorHAnsi"/>
                <w:shd w:val="clear" w:color="auto" w:fill="FFFFFF" w:themeFill="background1"/>
                <w:lang w:eastAsia="en-US"/>
              </w:rPr>
              <w:t xml:space="preserve">the </w:t>
            </w:r>
            <w:r w:rsidR="00496CE9" w:rsidRPr="00015BD7">
              <w:rPr>
                <w:rFonts w:eastAsiaTheme="minorHAnsi"/>
                <w:shd w:val="clear" w:color="auto" w:fill="FFFFFF" w:themeFill="background1"/>
                <w:lang w:eastAsia="en-US"/>
              </w:rPr>
              <w:t>increasing prevalence of dementia</w:t>
            </w:r>
            <w:r w:rsidRPr="00015BD7">
              <w:rPr>
                <w:rFonts w:eastAsiaTheme="minorHAnsi"/>
                <w:shd w:val="clear" w:color="auto" w:fill="FFFFFF" w:themeFill="background1"/>
                <w:lang w:eastAsia="en-US"/>
              </w:rPr>
              <w:t>,</w:t>
            </w:r>
            <w:r w:rsidRPr="00FA3335">
              <w:rPr>
                <w:rFonts w:eastAsiaTheme="minorHAnsi"/>
                <w:lang w:eastAsia="en-US"/>
              </w:rPr>
              <w:t xml:space="preserve"> and support for end</w:t>
            </w:r>
            <w:r w:rsidR="00AA68A5">
              <w:rPr>
                <w:rFonts w:eastAsiaTheme="minorHAnsi"/>
                <w:lang w:eastAsia="en-US"/>
              </w:rPr>
              <w:noBreakHyphen/>
            </w:r>
            <w:r w:rsidRPr="00FA3335">
              <w:rPr>
                <w:rFonts w:eastAsiaTheme="minorHAnsi"/>
                <w:lang w:eastAsia="en-US"/>
              </w:rPr>
              <w:t>of</w:t>
            </w:r>
            <w:r w:rsidR="00AA68A5">
              <w:rPr>
                <w:rFonts w:eastAsiaTheme="minorHAnsi"/>
                <w:lang w:eastAsia="en-US"/>
              </w:rPr>
              <w:noBreakHyphen/>
            </w:r>
            <w:r w:rsidRPr="00FA3335">
              <w:rPr>
                <w:rFonts w:eastAsiaTheme="minorHAnsi"/>
                <w:lang w:eastAsia="en-US"/>
              </w:rPr>
              <w:t>life care</w:t>
            </w:r>
          </w:p>
          <w:p w:rsidR="00C35AC2" w:rsidRPr="00FA3335" w:rsidRDefault="00C35AC2" w:rsidP="00E46620">
            <w:pPr>
              <w:pStyle w:val="BoxListBullet"/>
              <w:rPr>
                <w:rFonts w:eastAsiaTheme="minorHAnsi"/>
                <w:lang w:eastAsia="en-US"/>
              </w:rPr>
            </w:pPr>
            <w:r w:rsidRPr="00FA3335">
              <w:rPr>
                <w:rFonts w:eastAsiaTheme="minorHAnsi"/>
                <w:lang w:eastAsia="en-US"/>
              </w:rPr>
              <w:t>a single identifiable entry point for consumers, called the Aged Care Gateway</w:t>
            </w:r>
          </w:p>
          <w:p w:rsidR="00C35AC2" w:rsidRPr="00FA3335" w:rsidRDefault="00C35AC2" w:rsidP="00E46620">
            <w:pPr>
              <w:pStyle w:val="BoxListBullet"/>
              <w:rPr>
                <w:rFonts w:eastAsiaTheme="minorHAnsi"/>
                <w:lang w:eastAsia="en-US"/>
              </w:rPr>
            </w:pPr>
            <w:r w:rsidRPr="00FA3335">
              <w:rPr>
                <w:rFonts w:eastAsiaTheme="minorHAnsi"/>
                <w:lang w:eastAsia="en-US"/>
              </w:rPr>
              <w:t>access to aged care based on need and not the ability to pay.</w:t>
            </w:r>
          </w:p>
          <w:p w:rsidR="00C35AC2" w:rsidRDefault="00C35AC2" w:rsidP="00E46620">
            <w:pPr>
              <w:pStyle w:val="Box"/>
              <w:rPr>
                <w:rFonts w:eastAsiaTheme="minorHAnsi"/>
                <w:lang w:eastAsia="en-US"/>
              </w:rPr>
            </w:pPr>
            <w:r>
              <w:rPr>
                <w:rFonts w:eastAsiaTheme="minorHAnsi"/>
                <w:lang w:eastAsia="en-US"/>
              </w:rPr>
              <w:t>The key reforms implemented after</w:t>
            </w:r>
            <w:r w:rsidRPr="000844F1">
              <w:rPr>
                <w:rFonts w:eastAsiaTheme="minorHAnsi"/>
                <w:lang w:eastAsia="en-US"/>
              </w:rPr>
              <w:t xml:space="preserve"> </w:t>
            </w:r>
            <w:r>
              <w:rPr>
                <w:rFonts w:eastAsiaTheme="minorHAnsi"/>
                <w:lang w:eastAsia="en-US"/>
              </w:rPr>
              <w:t>30</w:t>
            </w:r>
            <w:r w:rsidR="00AA68A5">
              <w:rPr>
                <w:rFonts w:eastAsiaTheme="minorHAnsi"/>
                <w:lang w:eastAsia="en-US"/>
              </w:rPr>
              <w:t> </w:t>
            </w:r>
            <w:r>
              <w:rPr>
                <w:rFonts w:eastAsiaTheme="minorHAnsi"/>
                <w:lang w:eastAsia="en-US"/>
              </w:rPr>
              <w:t>June</w:t>
            </w:r>
            <w:r w:rsidRPr="000844F1">
              <w:rPr>
                <w:rFonts w:eastAsiaTheme="minorHAnsi"/>
                <w:lang w:eastAsia="en-US"/>
              </w:rPr>
              <w:t xml:space="preserve"> 2013 </w:t>
            </w:r>
            <w:r>
              <w:rPr>
                <w:rFonts w:eastAsiaTheme="minorHAnsi"/>
                <w:lang w:eastAsia="en-US"/>
              </w:rPr>
              <w:t>are the:</w:t>
            </w:r>
          </w:p>
          <w:p w:rsidR="00C35AC2" w:rsidRPr="00AE7A0D" w:rsidRDefault="00C35AC2" w:rsidP="00E46620">
            <w:pPr>
              <w:pStyle w:val="BoxListBullet"/>
              <w:rPr>
                <w:rFonts w:eastAsiaTheme="minorHAnsi"/>
                <w:lang w:eastAsia="en-US"/>
              </w:rPr>
            </w:pPr>
            <w:r>
              <w:rPr>
                <w:rFonts w:eastAsiaTheme="minorHAnsi"/>
                <w:lang w:eastAsia="en-US"/>
              </w:rPr>
              <w:t>introduction of the</w:t>
            </w:r>
            <w:r w:rsidRPr="00AE7A0D">
              <w:rPr>
                <w:rFonts w:eastAsiaTheme="minorHAnsi"/>
                <w:lang w:eastAsia="en-US"/>
              </w:rPr>
              <w:t xml:space="preserve"> Home Care Packages</w:t>
            </w:r>
            <w:r>
              <w:rPr>
                <w:rFonts w:eastAsiaTheme="minorHAnsi"/>
                <w:lang w:eastAsia="en-US"/>
              </w:rPr>
              <w:t xml:space="preserve"> Program with four levels of packages, two </w:t>
            </w:r>
            <w:r w:rsidRPr="00AE7A0D">
              <w:rPr>
                <w:rFonts w:eastAsiaTheme="minorHAnsi"/>
                <w:lang w:eastAsia="en-US"/>
              </w:rPr>
              <w:t>replacing CACP</w:t>
            </w:r>
            <w:r>
              <w:rPr>
                <w:rFonts w:eastAsiaTheme="minorHAnsi"/>
                <w:lang w:eastAsia="en-US"/>
              </w:rPr>
              <w:t xml:space="preserve"> and</w:t>
            </w:r>
            <w:r w:rsidRPr="00AE7A0D">
              <w:rPr>
                <w:rFonts w:eastAsiaTheme="minorHAnsi"/>
                <w:lang w:eastAsia="en-US"/>
              </w:rPr>
              <w:t xml:space="preserve"> EACH </w:t>
            </w:r>
          </w:p>
          <w:p w:rsidR="00C35AC2" w:rsidRDefault="00C35AC2" w:rsidP="005E33D7">
            <w:pPr>
              <w:pStyle w:val="BoxListBullet"/>
              <w:rPr>
                <w:rFonts w:eastAsiaTheme="minorHAnsi"/>
                <w:lang w:eastAsia="en-US"/>
              </w:rPr>
            </w:pPr>
            <w:r>
              <w:rPr>
                <w:rFonts w:eastAsiaTheme="minorHAnsi"/>
                <w:lang w:eastAsia="en-US"/>
              </w:rPr>
              <w:t>requirement that</w:t>
            </w:r>
            <w:r w:rsidRPr="00673FFD">
              <w:rPr>
                <w:rFonts w:eastAsiaTheme="minorHAnsi"/>
                <w:lang w:eastAsia="en-US"/>
              </w:rPr>
              <w:t xml:space="preserve"> all new </w:t>
            </w:r>
            <w:r w:rsidR="00245CB3" w:rsidRPr="00015BD7">
              <w:rPr>
                <w:rFonts w:eastAsiaTheme="minorHAnsi"/>
                <w:shd w:val="clear" w:color="auto" w:fill="FFFFFF" w:themeFill="background1"/>
                <w:lang w:eastAsia="en-US"/>
              </w:rPr>
              <w:t>H</w:t>
            </w:r>
            <w:r w:rsidRPr="00015BD7">
              <w:rPr>
                <w:rFonts w:eastAsiaTheme="minorHAnsi"/>
                <w:shd w:val="clear" w:color="auto" w:fill="FFFFFF" w:themeFill="background1"/>
                <w:lang w:eastAsia="en-US"/>
              </w:rPr>
              <w:t xml:space="preserve">ome </w:t>
            </w:r>
            <w:r w:rsidR="00245CB3" w:rsidRPr="00015BD7">
              <w:rPr>
                <w:rFonts w:eastAsiaTheme="minorHAnsi"/>
                <w:shd w:val="clear" w:color="auto" w:fill="FFFFFF" w:themeFill="background1"/>
                <w:lang w:eastAsia="en-US"/>
              </w:rPr>
              <w:t>C</w:t>
            </w:r>
            <w:r w:rsidRPr="00015BD7">
              <w:rPr>
                <w:rFonts w:eastAsiaTheme="minorHAnsi"/>
                <w:shd w:val="clear" w:color="auto" w:fill="FFFFFF" w:themeFill="background1"/>
                <w:lang w:eastAsia="en-US"/>
              </w:rPr>
              <w:t xml:space="preserve">are </w:t>
            </w:r>
            <w:r w:rsidR="00245CB3" w:rsidRPr="00015BD7">
              <w:rPr>
                <w:rFonts w:eastAsiaTheme="minorHAnsi"/>
                <w:shd w:val="clear" w:color="auto" w:fill="FFFFFF" w:themeFill="background1"/>
                <w:lang w:eastAsia="en-US"/>
              </w:rPr>
              <w:t>P</w:t>
            </w:r>
            <w:r w:rsidRPr="00015BD7">
              <w:rPr>
                <w:rFonts w:eastAsiaTheme="minorHAnsi"/>
                <w:shd w:val="clear" w:color="auto" w:fill="FFFFFF" w:themeFill="background1"/>
                <w:lang w:eastAsia="en-US"/>
              </w:rPr>
              <w:t>ackages</w:t>
            </w:r>
            <w:r w:rsidRPr="00673FFD">
              <w:rPr>
                <w:rFonts w:eastAsiaTheme="minorHAnsi"/>
                <w:lang w:eastAsia="en-US"/>
              </w:rPr>
              <w:t xml:space="preserve"> allocated to providers are offered to care recipients on a Consumer Directed Care basis</w:t>
            </w:r>
          </w:p>
          <w:p w:rsidR="00C35AC2" w:rsidRDefault="00C35AC2" w:rsidP="00E46620">
            <w:pPr>
              <w:pStyle w:val="BoxListBullet"/>
              <w:rPr>
                <w:rFonts w:eastAsiaTheme="minorHAnsi"/>
                <w:lang w:eastAsia="en-US"/>
              </w:rPr>
            </w:pPr>
            <w:r w:rsidRPr="00FA3335">
              <w:rPr>
                <w:rFonts w:eastAsiaTheme="minorHAnsi"/>
                <w:lang w:eastAsia="en-US"/>
              </w:rPr>
              <w:t xml:space="preserve">establishment of the My Aged Care website and a national call centre </w:t>
            </w:r>
          </w:p>
          <w:p w:rsidR="00C35AC2" w:rsidRPr="00FA3335" w:rsidRDefault="00C35AC2" w:rsidP="00E46620">
            <w:pPr>
              <w:pStyle w:val="BoxListBullet"/>
              <w:rPr>
                <w:rFonts w:eastAsiaTheme="minorHAnsi"/>
                <w:lang w:eastAsia="en-US"/>
              </w:rPr>
            </w:pPr>
            <w:r w:rsidRPr="00FA3335">
              <w:rPr>
                <w:rFonts w:eastAsiaTheme="minorHAnsi"/>
                <w:lang w:eastAsia="en-US"/>
              </w:rPr>
              <w:t xml:space="preserve">operation of a centralised data clearing house at </w:t>
            </w:r>
            <w:r w:rsidR="00E61B43">
              <w:rPr>
                <w:rFonts w:eastAsiaTheme="minorHAnsi"/>
                <w:lang w:eastAsia="en-US"/>
              </w:rPr>
              <w:t xml:space="preserve">the </w:t>
            </w:r>
            <w:r w:rsidRPr="00FA3335">
              <w:rPr>
                <w:rFonts w:eastAsiaTheme="minorHAnsi"/>
                <w:lang w:eastAsia="en-US"/>
              </w:rPr>
              <w:t>AIHW</w:t>
            </w:r>
          </w:p>
          <w:p w:rsidR="00C35AC2" w:rsidRDefault="00C35AC2" w:rsidP="005E33D7">
            <w:pPr>
              <w:pStyle w:val="BoxListBullet"/>
              <w:rPr>
                <w:rFonts w:eastAsiaTheme="minorHAnsi"/>
                <w:lang w:eastAsia="en-US"/>
              </w:rPr>
            </w:pPr>
            <w:r w:rsidRPr="00673FFD">
              <w:rPr>
                <w:rFonts w:eastAsiaTheme="minorHAnsi"/>
                <w:lang w:eastAsia="en-US"/>
              </w:rPr>
              <w:t>introduc</w:t>
            </w:r>
            <w:r>
              <w:rPr>
                <w:rFonts w:eastAsiaTheme="minorHAnsi"/>
                <w:lang w:eastAsia="en-US"/>
              </w:rPr>
              <w:t>tion of</w:t>
            </w:r>
            <w:r w:rsidRPr="00673FFD">
              <w:rPr>
                <w:rFonts w:eastAsiaTheme="minorHAnsi"/>
                <w:lang w:eastAsia="en-US"/>
              </w:rPr>
              <w:t xml:space="preserve"> a funding supplement for veterans receiving aged care through a </w:t>
            </w:r>
            <w:r w:rsidR="00245CB3" w:rsidRPr="00015BD7">
              <w:rPr>
                <w:rFonts w:eastAsiaTheme="minorHAnsi"/>
                <w:shd w:val="clear" w:color="auto" w:fill="FFFFFF" w:themeFill="background1"/>
                <w:lang w:eastAsia="en-US"/>
              </w:rPr>
              <w:t>H</w:t>
            </w:r>
            <w:r w:rsidRPr="00015BD7">
              <w:rPr>
                <w:rFonts w:eastAsiaTheme="minorHAnsi"/>
                <w:shd w:val="clear" w:color="auto" w:fill="FFFFFF" w:themeFill="background1"/>
                <w:lang w:eastAsia="en-US"/>
              </w:rPr>
              <w:t xml:space="preserve">ome </w:t>
            </w:r>
            <w:r w:rsidR="00245CB3" w:rsidRPr="00015BD7">
              <w:rPr>
                <w:rFonts w:eastAsiaTheme="minorHAnsi"/>
                <w:shd w:val="clear" w:color="auto" w:fill="FFFFFF" w:themeFill="background1"/>
                <w:lang w:eastAsia="en-US"/>
              </w:rPr>
              <w:t>C</w:t>
            </w:r>
            <w:r w:rsidRPr="00015BD7">
              <w:rPr>
                <w:rFonts w:eastAsiaTheme="minorHAnsi"/>
                <w:shd w:val="clear" w:color="auto" w:fill="FFFFFF" w:themeFill="background1"/>
                <w:lang w:eastAsia="en-US"/>
              </w:rPr>
              <w:t xml:space="preserve">are </w:t>
            </w:r>
            <w:r w:rsidR="00245CB3" w:rsidRPr="00015BD7">
              <w:rPr>
                <w:rFonts w:eastAsiaTheme="minorHAnsi"/>
                <w:shd w:val="clear" w:color="auto" w:fill="FFFFFF" w:themeFill="background1"/>
                <w:lang w:eastAsia="en-US"/>
              </w:rPr>
              <w:t>P</w:t>
            </w:r>
            <w:r w:rsidRPr="00015BD7">
              <w:rPr>
                <w:rFonts w:eastAsiaTheme="minorHAnsi"/>
                <w:shd w:val="clear" w:color="auto" w:fill="FFFFFF" w:themeFill="background1"/>
                <w:lang w:eastAsia="en-US"/>
              </w:rPr>
              <w:t>ackage</w:t>
            </w:r>
            <w:r w:rsidRPr="00673FFD">
              <w:rPr>
                <w:rFonts w:eastAsiaTheme="minorHAnsi"/>
                <w:lang w:eastAsia="en-US"/>
              </w:rPr>
              <w:t xml:space="preserve"> or residential care, who have an accepted eligible mental health condition</w:t>
            </w:r>
          </w:p>
          <w:p w:rsidR="00C35AC2" w:rsidRPr="00FA3335" w:rsidRDefault="00C35AC2" w:rsidP="005E33D7">
            <w:pPr>
              <w:pStyle w:val="BoxListBullet"/>
              <w:rPr>
                <w:rFonts w:eastAsiaTheme="minorHAnsi"/>
                <w:lang w:eastAsia="en-US"/>
              </w:rPr>
            </w:pPr>
            <w:r>
              <w:rPr>
                <w:rFonts w:eastAsiaTheme="minorHAnsi"/>
                <w:lang w:eastAsia="en-US"/>
              </w:rPr>
              <w:t>i</w:t>
            </w:r>
            <w:r w:rsidRPr="00FA3335">
              <w:rPr>
                <w:rFonts w:eastAsiaTheme="minorHAnsi"/>
                <w:lang w:eastAsia="en-US"/>
              </w:rPr>
              <w:t xml:space="preserve">ntroduction of dementia supplements for people receiving aged care through a </w:t>
            </w:r>
            <w:r w:rsidR="00245CB3" w:rsidRPr="00015BD7">
              <w:rPr>
                <w:rFonts w:eastAsiaTheme="minorHAnsi"/>
                <w:shd w:val="clear" w:color="auto" w:fill="FFFFFF" w:themeFill="background1"/>
                <w:lang w:eastAsia="en-US"/>
              </w:rPr>
              <w:t>H</w:t>
            </w:r>
            <w:r w:rsidRPr="00015BD7">
              <w:rPr>
                <w:rFonts w:eastAsiaTheme="minorHAnsi"/>
                <w:shd w:val="clear" w:color="auto" w:fill="FFFFFF" w:themeFill="background1"/>
                <w:lang w:eastAsia="en-US"/>
              </w:rPr>
              <w:t xml:space="preserve">ome </w:t>
            </w:r>
            <w:r w:rsidR="00245CB3" w:rsidRPr="00015BD7">
              <w:rPr>
                <w:rFonts w:eastAsiaTheme="minorHAnsi"/>
                <w:shd w:val="clear" w:color="auto" w:fill="FFFFFF" w:themeFill="background1"/>
                <w:lang w:eastAsia="en-US"/>
              </w:rPr>
              <w:t>C</w:t>
            </w:r>
            <w:r w:rsidRPr="00015BD7">
              <w:rPr>
                <w:rFonts w:eastAsiaTheme="minorHAnsi"/>
                <w:shd w:val="clear" w:color="auto" w:fill="FFFFFF" w:themeFill="background1"/>
                <w:lang w:eastAsia="en-US"/>
              </w:rPr>
              <w:t xml:space="preserve">are </w:t>
            </w:r>
            <w:r w:rsidR="00245CB3" w:rsidRPr="00015BD7">
              <w:rPr>
                <w:rFonts w:eastAsiaTheme="minorHAnsi"/>
                <w:shd w:val="clear" w:color="auto" w:fill="FFFFFF" w:themeFill="background1"/>
                <w:lang w:eastAsia="en-US"/>
              </w:rPr>
              <w:t>P</w:t>
            </w:r>
            <w:r w:rsidRPr="00015BD7">
              <w:rPr>
                <w:rFonts w:eastAsiaTheme="minorHAnsi"/>
                <w:shd w:val="clear" w:color="auto" w:fill="FFFFFF" w:themeFill="background1"/>
                <w:lang w:eastAsia="en-US"/>
              </w:rPr>
              <w:t>ackage</w:t>
            </w:r>
            <w:r w:rsidRPr="00FA3335">
              <w:rPr>
                <w:rFonts w:eastAsiaTheme="minorHAnsi"/>
                <w:lang w:eastAsia="en-US"/>
              </w:rPr>
              <w:t xml:space="preserve"> or residential care, who have dementia </w:t>
            </w:r>
            <w:r w:rsidRPr="00015BD7">
              <w:rPr>
                <w:rFonts w:eastAsiaTheme="minorHAnsi"/>
                <w:shd w:val="clear" w:color="auto" w:fill="FFFFFF" w:themeFill="background1"/>
                <w:lang w:eastAsia="en-US"/>
              </w:rPr>
              <w:t xml:space="preserve">and </w:t>
            </w:r>
            <w:r w:rsidR="00496CE9" w:rsidRPr="00015BD7">
              <w:rPr>
                <w:rFonts w:eastAsiaTheme="minorHAnsi"/>
                <w:shd w:val="clear" w:color="auto" w:fill="FFFFFF" w:themeFill="background1"/>
                <w:lang w:eastAsia="en-US"/>
              </w:rPr>
              <w:t>other conditions</w:t>
            </w:r>
            <w:r w:rsidRPr="00015BD7">
              <w:rPr>
                <w:rFonts w:eastAsiaTheme="minorHAnsi"/>
                <w:shd w:val="clear" w:color="auto" w:fill="FFFFFF" w:themeFill="background1"/>
                <w:lang w:eastAsia="en-US"/>
              </w:rPr>
              <w:t>.</w:t>
            </w:r>
          </w:p>
        </w:tc>
      </w:tr>
      <w:tr w:rsidR="00C35AC2" w:rsidTr="00015BD7">
        <w:trPr>
          <w:cantSplit/>
        </w:trPr>
        <w:tc>
          <w:tcPr>
            <w:tcW w:w="8771" w:type="dxa"/>
            <w:tcBorders>
              <w:top w:val="nil"/>
              <w:left w:val="single" w:sz="6" w:space="0" w:color="auto"/>
              <w:bottom w:val="nil"/>
              <w:right w:val="single" w:sz="6" w:space="0" w:color="auto"/>
            </w:tcBorders>
            <w:shd w:val="clear" w:color="auto" w:fill="FFFFFF" w:themeFill="background1"/>
          </w:tcPr>
          <w:p w:rsidR="00C35AC2" w:rsidRDefault="00C35AC2" w:rsidP="005E33D7">
            <w:pPr>
              <w:pStyle w:val="BoxSource"/>
            </w:pPr>
            <w:r>
              <w:rPr>
                <w:i/>
              </w:rPr>
              <w:t>Source</w:t>
            </w:r>
            <w:r w:rsidRPr="00167F06">
              <w:t xml:space="preserve">: </w:t>
            </w:r>
            <w:r w:rsidR="008A1F22" w:rsidRPr="00015BD7">
              <w:rPr>
                <w:shd w:val="clear" w:color="auto" w:fill="FFFFFF" w:themeFill="background1"/>
              </w:rPr>
              <w:t>DSS (unpublished).</w:t>
            </w:r>
          </w:p>
        </w:tc>
      </w:tr>
      <w:tr w:rsidR="00C35AC2" w:rsidTr="00E46620">
        <w:trPr>
          <w:cantSplit/>
        </w:trPr>
        <w:tc>
          <w:tcPr>
            <w:tcW w:w="8771" w:type="dxa"/>
            <w:tcBorders>
              <w:top w:val="nil"/>
              <w:left w:val="single" w:sz="6" w:space="0" w:color="auto"/>
              <w:bottom w:val="single" w:sz="6" w:space="0" w:color="auto"/>
              <w:right w:val="single" w:sz="6" w:space="0" w:color="auto"/>
            </w:tcBorders>
          </w:tcPr>
          <w:p w:rsidR="00C35AC2" w:rsidRDefault="00C35AC2" w:rsidP="00E46620">
            <w:pPr>
              <w:pStyle w:val="Box"/>
              <w:spacing w:before="0" w:line="120" w:lineRule="exact"/>
            </w:pPr>
          </w:p>
        </w:tc>
      </w:tr>
      <w:tr w:rsidR="00C35AC2" w:rsidRPr="000863A5" w:rsidTr="00E46620">
        <w:tc>
          <w:tcPr>
            <w:tcW w:w="8771" w:type="dxa"/>
            <w:tcBorders>
              <w:top w:val="nil"/>
              <w:left w:val="nil"/>
              <w:bottom w:val="nil"/>
              <w:right w:val="nil"/>
            </w:tcBorders>
          </w:tcPr>
          <w:p w:rsidR="00C35AC2" w:rsidRPr="000863A5" w:rsidRDefault="00C35AC2" w:rsidP="00E46620">
            <w:pPr>
              <w:pStyle w:val="Box"/>
              <w:keepNext w:val="0"/>
              <w:spacing w:before="60" w:after="60" w:line="80" w:lineRule="exact"/>
              <w:rPr>
                <w:b/>
                <w:sz w:val="14"/>
              </w:rPr>
            </w:pPr>
          </w:p>
        </w:tc>
      </w:tr>
    </w:tbl>
    <w:p w:rsidR="00A12C8F" w:rsidRPr="00851417" w:rsidRDefault="00C82353" w:rsidP="002501A2">
      <w:pPr>
        <w:pStyle w:val="Heading2"/>
      </w:pPr>
      <w:bookmarkStart w:id="151" w:name="_Toc211788426"/>
      <w:bookmarkStart w:id="152" w:name="_Toc274671084"/>
      <w:bookmarkStart w:id="153" w:name="_Toc274671157"/>
      <w:bookmarkStart w:id="154" w:name="_Toc274671269"/>
      <w:bookmarkStart w:id="155" w:name="_Toc274671353"/>
      <w:bookmarkStart w:id="156" w:name="_Toc274671839"/>
      <w:bookmarkStart w:id="157" w:name="_Toc370803129"/>
      <w:r>
        <w:lastRenderedPageBreak/>
        <w:t>13.</w:t>
      </w:r>
      <w:r w:rsidR="00E4728C">
        <w:rPr>
          <w:noProof/>
        </w:rPr>
        <w:t>5</w:t>
      </w:r>
      <w:r w:rsidR="00B52210">
        <w:tab/>
      </w:r>
      <w:r w:rsidR="00A12C8F" w:rsidRPr="00851417">
        <w:t>Jurisdictions’ comments</w:t>
      </w:r>
      <w:bookmarkEnd w:id="151"/>
      <w:bookmarkEnd w:id="152"/>
      <w:bookmarkEnd w:id="153"/>
      <w:bookmarkEnd w:id="154"/>
      <w:bookmarkEnd w:id="155"/>
      <w:bookmarkEnd w:id="156"/>
      <w:bookmarkEnd w:id="157"/>
      <w:r w:rsidR="00A12C8F">
        <w:t xml:space="preserve"> </w:t>
      </w:r>
    </w:p>
    <w:p w:rsidR="00A12C8F" w:rsidRDefault="00A12C8F" w:rsidP="002501A2">
      <w:pPr>
        <w:pStyle w:val="BodyText"/>
      </w:pPr>
      <w:r>
        <w:t xml:space="preserve">This section provides comments from each jurisdiction on the services covered in this chapter. </w:t>
      </w:r>
    </w:p>
    <w:p w:rsidR="00A12C8F" w:rsidRPr="00492536" w:rsidRDefault="00A12C8F" w:rsidP="00492536">
      <w:pPr>
        <w:pStyle w:val="Jurisdictioncommentsbodytext"/>
        <w:spacing w:after="0"/>
        <w:rPr>
          <w:sz w:val="20"/>
        </w:rPr>
      </w:pPr>
      <w:r>
        <w:br w:type="page"/>
      </w:r>
      <w:bookmarkStart w:id="158" w:name="OLE_LINK62"/>
      <w:bookmarkStart w:id="159" w:name="OLE_LINK63"/>
    </w:p>
    <w:tbl>
      <w:tblPr>
        <w:tblW w:w="10632" w:type="dxa"/>
        <w:tblInd w:w="-885" w:type="dxa"/>
        <w:tblLayout w:type="fixed"/>
        <w:tblLook w:val="0000" w:firstRow="0" w:lastRow="0" w:firstColumn="0" w:lastColumn="0" w:noHBand="0" w:noVBand="0"/>
      </w:tblPr>
      <w:tblGrid>
        <w:gridCol w:w="993"/>
        <w:gridCol w:w="8789"/>
        <w:gridCol w:w="850"/>
      </w:tblGrid>
      <w:tr w:rsidR="00A12C8F" w:rsidRPr="00763B44" w:rsidTr="00A12C8F">
        <w:trPr>
          <w:cantSplit/>
        </w:trPr>
        <w:tc>
          <w:tcPr>
            <w:tcW w:w="993" w:type="dxa"/>
            <w:vMerge w:val="restart"/>
          </w:tcPr>
          <w:p w:rsidR="00A12C8F" w:rsidRPr="00763B44" w:rsidRDefault="00A12C8F" w:rsidP="002501A2">
            <w:pPr>
              <w:pStyle w:val="BodyText"/>
              <w:jc w:val="right"/>
              <w:rPr>
                <w:rFonts w:ascii="Arial" w:hAnsi="Arial"/>
                <w:b/>
              </w:rPr>
            </w:pPr>
            <w:r w:rsidRPr="00763B44">
              <w:rPr>
                <w:b/>
                <w:sz w:val="132"/>
              </w:rPr>
              <w:lastRenderedPageBreak/>
              <w:t>“</w:t>
            </w:r>
          </w:p>
        </w:tc>
        <w:tc>
          <w:tcPr>
            <w:tcW w:w="8789" w:type="dxa"/>
          </w:tcPr>
          <w:p w:rsidR="00A12C8F" w:rsidRPr="00763B44" w:rsidRDefault="00A12C8F" w:rsidP="002501A2">
            <w:pPr>
              <w:pStyle w:val="Jurisdictioncommentsheading"/>
            </w:pPr>
            <w:r>
              <w:t>Australian</w:t>
            </w:r>
            <w:r w:rsidRPr="004E3A21">
              <w:t xml:space="preserve"> Government comments</w:t>
            </w:r>
          </w:p>
        </w:tc>
        <w:tc>
          <w:tcPr>
            <w:tcW w:w="850" w:type="dxa"/>
          </w:tcPr>
          <w:p w:rsidR="00A12C8F" w:rsidRPr="00763B44" w:rsidRDefault="00A12C8F" w:rsidP="002501A2">
            <w:pPr>
              <w:pStyle w:val="BodyText"/>
              <w:spacing w:before="0" w:after="140"/>
              <w:jc w:val="left"/>
              <w:rPr>
                <w:rFonts w:ascii="Arial" w:hAnsi="Arial"/>
                <w:b/>
              </w:rPr>
            </w:pPr>
          </w:p>
        </w:tc>
      </w:tr>
      <w:tr w:rsidR="00A12C8F" w:rsidRPr="00763B44" w:rsidTr="00A12C8F">
        <w:trPr>
          <w:cantSplit/>
          <w:trHeight w:hRule="exact" w:val="12443"/>
        </w:trPr>
        <w:tc>
          <w:tcPr>
            <w:tcW w:w="993" w:type="dxa"/>
            <w:vMerge/>
          </w:tcPr>
          <w:p w:rsidR="00A12C8F" w:rsidRPr="00763B44" w:rsidRDefault="00A12C8F" w:rsidP="002501A2">
            <w:pPr>
              <w:pStyle w:val="BodyText"/>
              <w:spacing w:before="0" w:line="240" w:lineRule="auto"/>
              <w:jc w:val="right"/>
              <w:rPr>
                <w:sz w:val="132"/>
              </w:rPr>
            </w:pPr>
          </w:p>
        </w:tc>
        <w:tc>
          <w:tcPr>
            <w:tcW w:w="8789" w:type="dxa"/>
          </w:tcPr>
          <w:p w:rsidR="00C00560" w:rsidRPr="00C00560" w:rsidRDefault="00C00560" w:rsidP="00C00560">
            <w:pPr>
              <w:pStyle w:val="Jurisdictioncommentsbodytext"/>
              <w:rPr>
                <w:lang w:val="en-US"/>
              </w:rPr>
            </w:pPr>
            <w:r w:rsidRPr="00C00560">
              <w:rPr>
                <w:lang w:val="en-US"/>
              </w:rPr>
              <w:t xml:space="preserve">The Australian Government is committed to reforming the aged care system in a way that balances the needs and expectations of older people as consumers, and those of industry. The Government has a vision of a flexible aged care system that is </w:t>
            </w:r>
            <w:proofErr w:type="spellStart"/>
            <w:r w:rsidRPr="00C00560">
              <w:rPr>
                <w:lang w:val="en-US"/>
              </w:rPr>
              <w:t>focussed</w:t>
            </w:r>
            <w:proofErr w:type="spellEnd"/>
            <w:r w:rsidRPr="00C00560">
              <w:rPr>
                <w:lang w:val="en-US"/>
              </w:rPr>
              <w:t xml:space="preserve"> on providing high</w:t>
            </w:r>
            <w:r w:rsidR="00AA68A5">
              <w:rPr>
                <w:lang w:val="en-US"/>
              </w:rPr>
              <w:noBreakHyphen/>
            </w:r>
            <w:r w:rsidRPr="00C00560">
              <w:rPr>
                <w:lang w:val="en-US"/>
              </w:rPr>
              <w:t xml:space="preserve">quality care for older Australians. </w:t>
            </w:r>
          </w:p>
          <w:p w:rsidR="00C00560" w:rsidRPr="00C00560" w:rsidRDefault="00C00560" w:rsidP="00C00560">
            <w:pPr>
              <w:pStyle w:val="Jurisdictioncommentsbodytext"/>
              <w:rPr>
                <w:lang w:val="en-US"/>
              </w:rPr>
            </w:pPr>
            <w:r w:rsidRPr="00C00560">
              <w:rPr>
                <w:lang w:val="en-US"/>
              </w:rPr>
              <w:t>This year’s report shows the early signs of changes to Australia’s aged care system. As the reforms move forward, the aged care system will become more affordable and sustainable by striking a balance between individual responsibility, affordability for the taxpayer and a safety net for those who need it. It will also be made more accessible as My Aged Care, the systems entry point, grows and develops.</w:t>
            </w:r>
            <w:r w:rsidR="00926F6B">
              <w:rPr>
                <w:lang w:val="en-US"/>
              </w:rPr>
              <w:t xml:space="preserve"> </w:t>
            </w:r>
          </w:p>
          <w:p w:rsidR="00C00560" w:rsidRPr="00C00560" w:rsidRDefault="00C00560" w:rsidP="00C00560">
            <w:pPr>
              <w:pStyle w:val="Jurisdictioncommentsbodytext"/>
              <w:rPr>
                <w:lang w:val="en-US"/>
              </w:rPr>
            </w:pPr>
            <w:r w:rsidRPr="00C00560">
              <w:rPr>
                <w:lang w:val="en-US"/>
              </w:rPr>
              <w:t xml:space="preserve">The Government will work in partnership with stakeholders to </w:t>
            </w:r>
            <w:proofErr w:type="spellStart"/>
            <w:r w:rsidRPr="00C00560">
              <w:rPr>
                <w:lang w:val="en-US"/>
              </w:rPr>
              <w:t>prioritise</w:t>
            </w:r>
            <w:proofErr w:type="spellEnd"/>
            <w:r w:rsidRPr="00C00560">
              <w:rPr>
                <w:lang w:val="en-US"/>
              </w:rPr>
              <w:t xml:space="preserve"> future reform to the aged care system through a Healthy Life, Better Ageing Agreement, guided by the Productivity Commission Report, Caring for Older Australians.</w:t>
            </w:r>
            <w:r w:rsidR="00926F6B">
              <w:rPr>
                <w:lang w:val="en-US"/>
              </w:rPr>
              <w:t xml:space="preserve"> </w:t>
            </w:r>
          </w:p>
          <w:p w:rsidR="00C00560" w:rsidRDefault="00C00560" w:rsidP="00C00560">
            <w:pPr>
              <w:pStyle w:val="Jurisdictioncommentsbodytext"/>
              <w:rPr>
                <w:lang w:val="en-US"/>
              </w:rPr>
            </w:pPr>
            <w:r w:rsidRPr="00C00560">
              <w:rPr>
                <w:lang w:val="en-US"/>
              </w:rPr>
              <w:t>The Australian Government is also very conscious of the need to ensure the aged care and disability systems work together, and has taken important steps to enhance this interface by ensuring both sets of reforms are overseen</w:t>
            </w:r>
            <w:r>
              <w:rPr>
                <w:lang w:val="en-US"/>
              </w:rPr>
              <w:t xml:space="preserve"> by the same Ministerial team. </w:t>
            </w:r>
          </w:p>
          <w:p w:rsidR="00A12C8F" w:rsidRPr="00B14C21" w:rsidRDefault="00C00560" w:rsidP="00C00560">
            <w:pPr>
              <w:pStyle w:val="Jurisdictioncommentsbodytext"/>
              <w:rPr>
                <w:lang w:val="en-US"/>
              </w:rPr>
            </w:pPr>
            <w:r w:rsidRPr="00C00560">
              <w:rPr>
                <w:lang w:val="en-US"/>
              </w:rPr>
              <w:t>The Government is committed to working to ensure these changes improve the system, and are complemented by a reduction in red tape and an increase in flexibility in the sector.</w:t>
            </w:r>
            <w:r w:rsidR="00926F6B">
              <w:rPr>
                <w:lang w:val="en-US"/>
              </w:rPr>
              <w:t xml:space="preserve"> </w:t>
            </w:r>
          </w:p>
        </w:tc>
        <w:tc>
          <w:tcPr>
            <w:tcW w:w="850" w:type="dxa"/>
          </w:tcPr>
          <w:p w:rsidR="00A12C8F" w:rsidRPr="00763B44" w:rsidRDefault="00A12C8F" w:rsidP="009C5E21">
            <w:pPr>
              <w:pStyle w:val="BodyText"/>
              <w:spacing w:before="0" w:line="240" w:lineRule="auto"/>
              <w:jc w:val="left"/>
              <w:rPr>
                <w:sz w:val="132"/>
              </w:rPr>
            </w:pP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Pr="00763B44">
              <w:rPr>
                <w:b/>
                <w:sz w:val="132"/>
              </w:rPr>
              <w:t>”</w:t>
            </w:r>
          </w:p>
        </w:tc>
      </w:tr>
      <w:bookmarkEnd w:id="158"/>
      <w:bookmarkEnd w:id="159"/>
    </w:tbl>
    <w:p w:rsidR="00A12C8F" w:rsidRPr="00070B65" w:rsidRDefault="00A12C8F" w:rsidP="00070B65">
      <w:pPr>
        <w:pStyle w:val="BodyText"/>
        <w:spacing w:before="0" w:line="240" w:lineRule="auto"/>
        <w:rPr>
          <w:sz w:val="16"/>
          <w:szCs w:val="16"/>
        </w:rPr>
      </w:pPr>
    </w:p>
    <w:tbl>
      <w:tblPr>
        <w:tblW w:w="10632" w:type="dxa"/>
        <w:tblInd w:w="-885" w:type="dxa"/>
        <w:tblLayout w:type="fixed"/>
        <w:tblLook w:val="0000" w:firstRow="0" w:lastRow="0" w:firstColumn="0" w:lastColumn="0" w:noHBand="0" w:noVBand="0"/>
      </w:tblPr>
      <w:tblGrid>
        <w:gridCol w:w="993"/>
        <w:gridCol w:w="8789"/>
        <w:gridCol w:w="850"/>
      </w:tblGrid>
      <w:tr w:rsidR="00A12C8F" w:rsidRPr="00763B44" w:rsidTr="00435EAB">
        <w:trPr>
          <w:cantSplit/>
          <w:trHeight w:val="329"/>
        </w:trPr>
        <w:tc>
          <w:tcPr>
            <w:tcW w:w="993" w:type="dxa"/>
            <w:vMerge w:val="restart"/>
          </w:tcPr>
          <w:p w:rsidR="00A12C8F" w:rsidRPr="00763B44" w:rsidRDefault="00A12C8F" w:rsidP="002501A2">
            <w:pPr>
              <w:pStyle w:val="BodyText"/>
              <w:jc w:val="right"/>
              <w:rPr>
                <w:rFonts w:ascii="Arial" w:hAnsi="Arial"/>
                <w:b/>
              </w:rPr>
            </w:pPr>
            <w:r w:rsidRPr="00763B44">
              <w:rPr>
                <w:b/>
                <w:sz w:val="132"/>
              </w:rPr>
              <w:lastRenderedPageBreak/>
              <w:t>“</w:t>
            </w:r>
          </w:p>
        </w:tc>
        <w:tc>
          <w:tcPr>
            <w:tcW w:w="8789" w:type="dxa"/>
          </w:tcPr>
          <w:p w:rsidR="00A12C8F" w:rsidRPr="00763B44" w:rsidRDefault="00A12C8F" w:rsidP="00435EAB">
            <w:pPr>
              <w:pStyle w:val="Jurisdictioncommentsheading"/>
              <w:spacing w:after="0" w:line="240" w:lineRule="auto"/>
            </w:pPr>
            <w:r>
              <w:t>New South Wales Government comments</w:t>
            </w:r>
          </w:p>
        </w:tc>
        <w:tc>
          <w:tcPr>
            <w:tcW w:w="850" w:type="dxa"/>
          </w:tcPr>
          <w:p w:rsidR="00A12C8F" w:rsidRPr="00763B44" w:rsidRDefault="00A12C8F" w:rsidP="002501A2">
            <w:pPr>
              <w:pStyle w:val="BodyText"/>
              <w:spacing w:before="0" w:after="140"/>
              <w:jc w:val="left"/>
              <w:rPr>
                <w:rFonts w:ascii="Arial" w:hAnsi="Arial"/>
                <w:b/>
              </w:rPr>
            </w:pPr>
          </w:p>
        </w:tc>
      </w:tr>
      <w:tr w:rsidR="00A12C8F" w:rsidRPr="00763B44" w:rsidTr="00435EAB">
        <w:trPr>
          <w:cantSplit/>
          <w:trHeight w:hRule="exact" w:val="12781"/>
        </w:trPr>
        <w:tc>
          <w:tcPr>
            <w:tcW w:w="993" w:type="dxa"/>
            <w:vMerge/>
          </w:tcPr>
          <w:p w:rsidR="00A12C8F" w:rsidRPr="00763B44" w:rsidRDefault="00A12C8F" w:rsidP="002501A2">
            <w:pPr>
              <w:pStyle w:val="BodyText"/>
              <w:spacing w:before="0" w:line="240" w:lineRule="auto"/>
              <w:jc w:val="right"/>
              <w:rPr>
                <w:sz w:val="132"/>
              </w:rPr>
            </w:pPr>
          </w:p>
        </w:tc>
        <w:tc>
          <w:tcPr>
            <w:tcW w:w="8789" w:type="dxa"/>
          </w:tcPr>
          <w:p w:rsidR="009E29C1" w:rsidRDefault="00F02D72" w:rsidP="009E29C1">
            <w:pPr>
              <w:pStyle w:val="Jurisdictioncommentsbodytext"/>
            </w:pPr>
            <w:r w:rsidRPr="009E29C1">
              <w:t>The NSW Government continues to implement its 2012 Ageing Strategy, a whole of government response to the challenges of an ageing population.</w:t>
            </w:r>
            <w:r w:rsidR="00926F6B">
              <w:t xml:space="preserve"> </w:t>
            </w:r>
            <w:r w:rsidRPr="009E29C1">
              <w:t>A key priority has been to prevent and address abuse against older people. An Elder Abuse Helpline and Resource Unit was established in early 2013 as a central point for information, advice, referral and data collection. Concerned older people and carers, as well as friends, family, support workers and service providers, are able to access a range of services, including advice and referral to support agencies or service providers as and when appropriate. The Unit is also providing education and training for frontline workers, including police and care workers, as well as engaging in com</w:t>
            </w:r>
            <w:r w:rsidR="009E29C1">
              <w:t>munity awareness and education.</w:t>
            </w:r>
          </w:p>
          <w:p w:rsidR="00F02D72" w:rsidRPr="009E29C1" w:rsidRDefault="009E29C1" w:rsidP="009E29C1">
            <w:pPr>
              <w:pStyle w:val="Jurisdictioncommentsbodytext"/>
            </w:pPr>
            <w:r>
              <w:t>T</w:t>
            </w:r>
            <w:r w:rsidR="00F02D72" w:rsidRPr="009E29C1">
              <w:t xml:space="preserve">he NSW Government launched its </w:t>
            </w:r>
            <w:r>
              <w:t>‘</w:t>
            </w:r>
            <w:r w:rsidR="00F02D72" w:rsidRPr="009E29C1">
              <w:t>Get it in black &amp; white</w:t>
            </w:r>
            <w:r>
              <w:t>’</w:t>
            </w:r>
            <w:r w:rsidR="00F02D72" w:rsidRPr="009E29C1">
              <w:t xml:space="preserve"> campaign in October 2013 as an Australian</w:t>
            </w:r>
            <w:r w:rsidR="00AA68A5">
              <w:noBreakHyphen/>
            </w:r>
            <w:r w:rsidR="00F02D72" w:rsidRPr="009E29C1">
              <w:t>first initiative aimed at increasing the number of people completing Wills, Powers of Attorney and Enduring Guardianship.</w:t>
            </w:r>
            <w:r w:rsidR="00926F6B">
              <w:t xml:space="preserve"> </w:t>
            </w:r>
            <w:r w:rsidR="00F02D72" w:rsidRPr="009E29C1">
              <w:t>The media and advertising campaign aims to encourage people to seek out the right information, have information with their loved ones and take control of their own plans for later life while they have the capacity to do so.</w:t>
            </w:r>
            <w:r w:rsidR="00926F6B">
              <w:t xml:space="preserve"> </w:t>
            </w:r>
            <w:r w:rsidR="00F02D72" w:rsidRPr="009E29C1">
              <w:t>A range of resources are available for community education purposes and tailored for different age groups, life stages, cultural backgrounds and interests.</w:t>
            </w:r>
          </w:p>
          <w:p w:rsidR="00F02D72" w:rsidRPr="009E29C1" w:rsidRDefault="00F02D72" w:rsidP="00F02D72">
            <w:pPr>
              <w:pStyle w:val="Jurisdictioncommentsbodytext"/>
            </w:pPr>
            <w:r w:rsidRPr="009E29C1">
              <w:t>NSW Health has lead agency responsibility for a range of actions related to the strategic goal of keeping people healthy and out of hospital. Priorities include promoting integrated health service delivery to support older people living in their communities; improving building design of health facilities to be aged friendly; building aged care expertise in the health system workforce; promoting healthy ageing strategies; and developing service measures to reflect how well the health system meets the needs of an ageing population.</w:t>
            </w:r>
          </w:p>
          <w:p w:rsidR="00F02D72" w:rsidRPr="009E29C1" w:rsidRDefault="00F02D72" w:rsidP="00F02D72">
            <w:pPr>
              <w:pStyle w:val="Jurisdictioncommentsbodytext"/>
            </w:pPr>
            <w:r w:rsidRPr="009E29C1">
              <w:t>NSW Health continues to maintain ACAT service delivery through to 30</w:t>
            </w:r>
            <w:r w:rsidR="00AA68A5">
              <w:t> </w:t>
            </w:r>
            <w:r w:rsidRPr="009E29C1">
              <w:t>June 2014 when the Commonwealth assumes full funding and policy responsibility for aged care. Significant improvements have been made to ACAT seen on time performance indicators to ensure timely responses to referrals for a comprehensive ACAT eligibility assessment across NSW.</w:t>
            </w:r>
          </w:p>
          <w:p w:rsidR="00F02D72" w:rsidRPr="009E29C1" w:rsidRDefault="00F02D72" w:rsidP="00F02D72">
            <w:pPr>
              <w:pStyle w:val="Jurisdictioncommentsbodytext"/>
            </w:pPr>
            <w:r w:rsidRPr="009E29C1">
              <w:t>NSW H</w:t>
            </w:r>
            <w:r w:rsidR="009E29C1">
              <w:t xml:space="preserve">ealth has </w:t>
            </w:r>
            <w:proofErr w:type="spellStart"/>
            <w:r w:rsidR="009E29C1">
              <w:t>operationalised</w:t>
            </w:r>
            <w:proofErr w:type="spellEnd"/>
            <w:r w:rsidR="009E29C1">
              <w:t xml:space="preserve"> all 1</w:t>
            </w:r>
            <w:r w:rsidRPr="009E29C1">
              <w:t>378 Transition Care places allocated to NSW.</w:t>
            </w:r>
            <w:r w:rsidR="00926F6B">
              <w:t xml:space="preserve"> </w:t>
            </w:r>
            <w:r w:rsidRPr="009E29C1">
              <w:t>As at September 2013, there are 45 Transition Care services across NSW providing 148 (11</w:t>
            </w:r>
            <w:r w:rsidR="009E29C1">
              <w:t xml:space="preserve"> per cent) residential places and 1</w:t>
            </w:r>
            <w:r w:rsidRPr="009E29C1">
              <w:t>213 (88</w:t>
            </w:r>
            <w:r w:rsidR="009E29C1">
              <w:t xml:space="preserve"> per cent</w:t>
            </w:r>
            <w:r w:rsidRPr="009E29C1">
              <w:t>) community places and 17 (1</w:t>
            </w:r>
            <w:r w:rsidR="009E29C1">
              <w:t xml:space="preserve"> per cent</w:t>
            </w:r>
            <w:r w:rsidRPr="009E29C1">
              <w:t xml:space="preserve">) ‘mixed setting’ places. </w:t>
            </w:r>
          </w:p>
          <w:p w:rsidR="00F02D72" w:rsidRPr="009E29C1" w:rsidRDefault="00F02D72" w:rsidP="00F02D72">
            <w:pPr>
              <w:pStyle w:val="Jurisdictioncommentsbodytext"/>
            </w:pPr>
            <w:r w:rsidRPr="009E29C1">
              <w:t>The NSW Government committed $30 million in its 2013</w:t>
            </w:r>
            <w:r w:rsidR="00AA68A5">
              <w:noBreakHyphen/>
            </w:r>
            <w:r w:rsidRPr="009E29C1">
              <w:t>14 budget to support ‘integration’ initiatives in recognition of the importance of integrated care, which better connects those parts of the healthcare system outside of hospitals, such as primary, aged and community healthcare providers. The Agency for Clinical Innovation, one of the NSW Health pillars, is leading the development of a Framework for the integrated care of older people with complex health needs.</w:t>
            </w:r>
          </w:p>
          <w:p w:rsidR="00A12C8F" w:rsidRPr="000B1CDD" w:rsidRDefault="00F02D72" w:rsidP="00F02D72">
            <w:pPr>
              <w:pStyle w:val="Jurisdictioncommentsbodytext"/>
              <w:rPr>
                <w:i/>
              </w:rPr>
            </w:pPr>
            <w:r w:rsidRPr="009E29C1">
              <w:t xml:space="preserve">NSW Health continues to improve the experiences of people with dementia and their carers through the NSW </w:t>
            </w:r>
            <w:r w:rsidRPr="009E29C1">
              <w:rPr>
                <w:i/>
              </w:rPr>
              <w:t>2010</w:t>
            </w:r>
            <w:r w:rsidR="00AA68A5">
              <w:rPr>
                <w:i/>
              </w:rPr>
              <w:noBreakHyphen/>
            </w:r>
            <w:r w:rsidRPr="009E29C1">
              <w:rPr>
                <w:i/>
              </w:rPr>
              <w:t>15 Dementia Services Framework</w:t>
            </w:r>
            <w:r w:rsidRPr="009E29C1">
              <w:t>.</w:t>
            </w:r>
          </w:p>
        </w:tc>
        <w:tc>
          <w:tcPr>
            <w:tcW w:w="850" w:type="dxa"/>
          </w:tcPr>
          <w:p w:rsidR="00A12C8F" w:rsidRDefault="00A12C8F" w:rsidP="002501A2">
            <w:pPr>
              <w:pStyle w:val="BodyText"/>
              <w:spacing w:before="0" w:line="240" w:lineRule="auto"/>
              <w:jc w:val="left"/>
              <w:rPr>
                <w:rFonts w:ascii="Arial" w:hAnsi="Arial"/>
                <w:sz w:val="24"/>
              </w:rPr>
            </w:pP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p>
          <w:p w:rsidR="00A12C8F" w:rsidRDefault="00A12C8F" w:rsidP="002501A2">
            <w:pPr>
              <w:pStyle w:val="BodyText"/>
              <w:spacing w:before="0" w:line="240" w:lineRule="auto"/>
              <w:jc w:val="left"/>
              <w:rPr>
                <w:rFonts w:ascii="Arial" w:hAnsi="Arial"/>
                <w:sz w:val="24"/>
              </w:rPr>
            </w:pPr>
          </w:p>
          <w:p w:rsidR="00A12C8F" w:rsidRPr="00763B44" w:rsidRDefault="00991E58" w:rsidP="002501A2">
            <w:pPr>
              <w:pStyle w:val="BodyText"/>
              <w:spacing w:before="0" w:line="240" w:lineRule="auto"/>
              <w:jc w:val="left"/>
              <w:rPr>
                <w:sz w:val="132"/>
              </w:rPr>
            </w:pPr>
            <w:r>
              <w:rPr>
                <w:rFonts w:ascii="Arial" w:hAnsi="Arial"/>
                <w:sz w:val="24"/>
              </w:rPr>
              <w:br/>
            </w:r>
            <w:r w:rsidR="00070B65">
              <w:rPr>
                <w:rFonts w:ascii="Arial" w:hAnsi="Arial"/>
                <w:sz w:val="24"/>
              </w:rPr>
              <w:br/>
            </w:r>
            <w:r w:rsidR="00070B65">
              <w:rPr>
                <w:rFonts w:ascii="Arial" w:hAnsi="Arial"/>
                <w:sz w:val="24"/>
              </w:rPr>
              <w:br/>
            </w:r>
            <w:r w:rsidR="00A12C8F">
              <w:rPr>
                <w:rFonts w:ascii="Arial" w:hAnsi="Arial"/>
                <w:sz w:val="24"/>
              </w:rPr>
              <w:br/>
            </w:r>
            <w:r w:rsidR="00A12C8F" w:rsidRPr="00763B44">
              <w:rPr>
                <w:b/>
                <w:sz w:val="132"/>
              </w:rPr>
              <w:t>”</w:t>
            </w:r>
          </w:p>
        </w:tc>
      </w:tr>
    </w:tbl>
    <w:p w:rsidR="00A12C8F" w:rsidRPr="00EB26E8" w:rsidRDefault="00A12C8F" w:rsidP="00EB26E8">
      <w:pPr>
        <w:pStyle w:val="BodyText"/>
        <w:keepNext/>
        <w:spacing w:before="0" w:line="240" w:lineRule="auto"/>
        <w:rPr>
          <w:sz w:val="10"/>
          <w:szCs w:val="10"/>
        </w:rPr>
      </w:pPr>
    </w:p>
    <w:tbl>
      <w:tblPr>
        <w:tblW w:w="10632" w:type="dxa"/>
        <w:tblInd w:w="-885" w:type="dxa"/>
        <w:tblLayout w:type="fixed"/>
        <w:tblLook w:val="0000" w:firstRow="0" w:lastRow="0" w:firstColumn="0" w:lastColumn="0" w:noHBand="0" w:noVBand="0"/>
      </w:tblPr>
      <w:tblGrid>
        <w:gridCol w:w="993"/>
        <w:gridCol w:w="8789"/>
        <w:gridCol w:w="850"/>
      </w:tblGrid>
      <w:tr w:rsidR="00A12C8F" w:rsidRPr="00763B44" w:rsidTr="00EB26E8">
        <w:trPr>
          <w:cantSplit/>
          <w:trHeight w:val="417"/>
        </w:trPr>
        <w:tc>
          <w:tcPr>
            <w:tcW w:w="993" w:type="dxa"/>
            <w:vMerge w:val="restart"/>
          </w:tcPr>
          <w:p w:rsidR="00A12C8F" w:rsidRPr="00763B44" w:rsidRDefault="00A12C8F" w:rsidP="002501A2">
            <w:pPr>
              <w:pStyle w:val="BodyText"/>
              <w:keepNext/>
              <w:jc w:val="right"/>
              <w:rPr>
                <w:rFonts w:ascii="Arial" w:hAnsi="Arial"/>
                <w:b/>
              </w:rPr>
            </w:pPr>
            <w:r w:rsidRPr="00763B44">
              <w:rPr>
                <w:b/>
                <w:sz w:val="132"/>
              </w:rPr>
              <w:t>“</w:t>
            </w:r>
          </w:p>
        </w:tc>
        <w:tc>
          <w:tcPr>
            <w:tcW w:w="8789" w:type="dxa"/>
          </w:tcPr>
          <w:p w:rsidR="00A12C8F" w:rsidRPr="00763B44" w:rsidRDefault="00A12C8F" w:rsidP="00C41F5F">
            <w:pPr>
              <w:pStyle w:val="Jurisdictioncommentsheading"/>
              <w:keepNext/>
              <w:spacing w:after="0" w:line="240" w:lineRule="auto"/>
            </w:pPr>
            <w:r>
              <w:t>Victorian</w:t>
            </w:r>
            <w:r w:rsidRPr="004E3A21">
              <w:t xml:space="preserve"> Government comments</w:t>
            </w:r>
          </w:p>
        </w:tc>
        <w:tc>
          <w:tcPr>
            <w:tcW w:w="850" w:type="dxa"/>
          </w:tcPr>
          <w:p w:rsidR="00A12C8F" w:rsidRPr="00763B44" w:rsidRDefault="00A12C8F" w:rsidP="002501A2">
            <w:pPr>
              <w:pStyle w:val="BodyText"/>
              <w:keepNext/>
              <w:spacing w:before="0" w:after="140"/>
              <w:jc w:val="left"/>
              <w:rPr>
                <w:rFonts w:ascii="Arial" w:hAnsi="Arial"/>
                <w:b/>
              </w:rPr>
            </w:pPr>
          </w:p>
        </w:tc>
      </w:tr>
      <w:tr w:rsidR="00336478" w:rsidRPr="00763B44" w:rsidTr="00EB26E8">
        <w:trPr>
          <w:cantSplit/>
          <w:trHeight w:hRule="exact" w:val="12655"/>
        </w:trPr>
        <w:tc>
          <w:tcPr>
            <w:tcW w:w="993" w:type="dxa"/>
            <w:vMerge/>
          </w:tcPr>
          <w:p w:rsidR="00336478" w:rsidRPr="00763B44" w:rsidRDefault="00336478" w:rsidP="002501A2">
            <w:pPr>
              <w:pStyle w:val="BodyText"/>
              <w:spacing w:before="0" w:line="240" w:lineRule="auto"/>
              <w:jc w:val="right"/>
              <w:rPr>
                <w:sz w:val="132"/>
              </w:rPr>
            </w:pPr>
          </w:p>
        </w:tc>
        <w:tc>
          <w:tcPr>
            <w:tcW w:w="8789" w:type="dxa"/>
          </w:tcPr>
          <w:p w:rsidR="00DC027C" w:rsidRDefault="00DC027C" w:rsidP="00DC027C">
            <w:pPr>
              <w:pStyle w:val="Jurisdictioncommentsbodytext"/>
            </w:pPr>
            <w:r>
              <w:t>In 2012</w:t>
            </w:r>
            <w:r w:rsidR="00AA68A5">
              <w:noBreakHyphen/>
            </w:r>
            <w:r>
              <w:t>13, Victoria again strengthened its work in promoting the health, wellbeing and participation of older people.</w:t>
            </w:r>
            <w:r w:rsidR="00926F6B">
              <w:t xml:space="preserve"> </w:t>
            </w:r>
            <w:r>
              <w:t>This year there have been many achievements that will benefit older people.</w:t>
            </w:r>
          </w:p>
          <w:p w:rsidR="00DC027C" w:rsidRDefault="00DC027C" w:rsidP="00DC027C">
            <w:pPr>
              <w:pStyle w:val="Jurisdictioncommentsbodytext"/>
            </w:pPr>
            <w:r>
              <w:t>For the first time in Victoria, people in care relationships are formally recognised by law. Under the Carers Recognition Act 2012, state government departments, local governments and funded organisations must acknowledge, inform, support, promote and value people in care relationships.</w:t>
            </w:r>
          </w:p>
          <w:p w:rsidR="00DC027C" w:rsidRDefault="00DC027C" w:rsidP="00DC027C">
            <w:pPr>
              <w:pStyle w:val="Jurisdictioncommentsbodytext"/>
            </w:pPr>
            <w:r>
              <w:t>Improving responses to people with dementia and their carers underpinned a project in collaboration with the Royal District Nursing Service, where two dementia resources were developed to improve awareness of how to connect people to the dementia and carer support services across the health system.</w:t>
            </w:r>
          </w:p>
          <w:p w:rsidR="00DC027C" w:rsidRDefault="00DC027C" w:rsidP="00DC027C">
            <w:pPr>
              <w:pStyle w:val="Jurisdictioncommentsbodytext"/>
            </w:pPr>
            <w:r>
              <w:t>Funds of $1.6 million have been provided over the past three years for staff training to public health and aged care services (including district nursing) in the comprehensive health assessment of older Victorians, which has benefited over 1200 clinicians and care staff. The program aims to train aged care and district nurses to identify and address people at clinical risk, thereby avoiding potential hospital admissions.</w:t>
            </w:r>
          </w:p>
          <w:p w:rsidR="00DC027C" w:rsidRDefault="00DC027C" w:rsidP="00DC027C">
            <w:pPr>
              <w:pStyle w:val="Jurisdictioncommentsbodytext"/>
            </w:pPr>
            <w:r>
              <w:t>The Home and Community Care (HACC) Diversity Planning and Practice Initiative was implemented across all HACC</w:t>
            </w:r>
            <w:r w:rsidR="00AA68A5">
              <w:noBreakHyphen/>
            </w:r>
            <w:r>
              <w:t>funded organisations this year. It ensures a more comprehensive and better</w:t>
            </w:r>
            <w:r w:rsidR="00AA68A5">
              <w:noBreakHyphen/>
            </w:r>
            <w:r>
              <w:t>coordinated approach to responding to different needs and disadvantage experienced within the HACC target population.</w:t>
            </w:r>
          </w:p>
          <w:p w:rsidR="00DC027C" w:rsidRDefault="00DC027C" w:rsidP="00DC027C">
            <w:pPr>
              <w:pStyle w:val="Jurisdictioncommentsbodytext"/>
            </w:pPr>
            <w:r>
              <w:t>A successful pilot investigated whether short</w:t>
            </w:r>
            <w:r w:rsidR="00AA68A5">
              <w:noBreakHyphen/>
            </w:r>
            <w:r>
              <w:t>term case management could help HACC clients who have complex needs to live more independently at home, and avoid escalation to more intensive levels of care such as hospital admission.</w:t>
            </w:r>
          </w:p>
          <w:p w:rsidR="00DC027C" w:rsidRDefault="00DC027C" w:rsidP="00DC027C">
            <w:pPr>
              <w:pStyle w:val="Jurisdictioncommentsbodytext"/>
            </w:pPr>
            <w:r>
              <w:t xml:space="preserve">As part of the </w:t>
            </w:r>
            <w:proofErr w:type="spellStart"/>
            <w:r>
              <w:t>NDIS</w:t>
            </w:r>
            <w:proofErr w:type="spellEnd"/>
            <w:r>
              <w:t xml:space="preserve"> agreement, Victoria agreed that responsibility for HACC services for people aged sixty</w:t>
            </w:r>
            <w:r w:rsidR="00AA68A5">
              <w:noBreakHyphen/>
            </w:r>
            <w:r>
              <w:t xml:space="preserve">five and over will be transferred to the Commonwealth from July 2015. </w:t>
            </w:r>
          </w:p>
          <w:p w:rsidR="00DC027C" w:rsidRDefault="00DC027C" w:rsidP="00DC027C">
            <w:pPr>
              <w:pStyle w:val="Jurisdictioncommentsbodytext"/>
            </w:pPr>
            <w:r>
              <w:t>The agreement provides that the Commonwealth and Victoria will work together to retain the benefits of Victoria’s current Home and Community Care service system. Victoria and the Commonwealth have begun a cooperative process to ensure that this is achieved.</w:t>
            </w:r>
          </w:p>
          <w:p w:rsidR="00DC027C" w:rsidRDefault="00DC027C" w:rsidP="00DC027C">
            <w:pPr>
              <w:pStyle w:val="Jurisdictioncommentsbodytext"/>
            </w:pPr>
            <w:r>
              <w:t>There is strong consensus amongst peak provider, consumer and advocacy groups in Victoria that the fundamental features of our system should remain in place.</w:t>
            </w:r>
          </w:p>
          <w:p w:rsidR="00336478" w:rsidRDefault="00DC027C" w:rsidP="00DC027C">
            <w:pPr>
              <w:pStyle w:val="Jurisdictioncommentsbodytext"/>
            </w:pPr>
            <w:r>
              <w:t>These include the strong and effective linkages between community care services and health services, including acute and post</w:t>
            </w:r>
            <w:r w:rsidR="00AA68A5">
              <w:noBreakHyphen/>
            </w:r>
            <w:r>
              <w:t>acute, as well as community nursing, and primary care, including allied health.</w:t>
            </w:r>
          </w:p>
        </w:tc>
        <w:tc>
          <w:tcPr>
            <w:tcW w:w="850" w:type="dxa"/>
          </w:tcPr>
          <w:p w:rsidR="00336478" w:rsidRDefault="00336478" w:rsidP="002501A2">
            <w:pPr>
              <w:pStyle w:val="BodyText"/>
              <w:spacing w:before="0" w:line="240" w:lineRule="auto"/>
              <w:jc w:val="left"/>
              <w:rPr>
                <w:rFonts w:ascii="Arial" w:hAnsi="Arial"/>
                <w:sz w:val="24"/>
              </w:rPr>
            </w:pP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00FC015C">
              <w:rPr>
                <w:rFonts w:ascii="Arial" w:hAnsi="Arial"/>
                <w:sz w:val="24"/>
              </w:rPr>
              <w:br/>
            </w:r>
          </w:p>
          <w:p w:rsidR="00336478" w:rsidRDefault="00336478" w:rsidP="002501A2">
            <w:pPr>
              <w:pStyle w:val="BodyText"/>
              <w:spacing w:before="0" w:line="240" w:lineRule="auto"/>
              <w:jc w:val="left"/>
              <w:rPr>
                <w:rFonts w:ascii="Arial" w:hAnsi="Arial"/>
                <w:sz w:val="24"/>
              </w:rPr>
            </w:pPr>
          </w:p>
          <w:p w:rsidR="00336478" w:rsidRDefault="00336478" w:rsidP="002501A2">
            <w:pPr>
              <w:pStyle w:val="BodyText"/>
              <w:spacing w:before="0" w:line="240" w:lineRule="auto"/>
              <w:jc w:val="left"/>
              <w:rPr>
                <w:rFonts w:ascii="Arial" w:hAnsi="Arial"/>
                <w:sz w:val="24"/>
              </w:rPr>
            </w:pPr>
          </w:p>
          <w:p w:rsidR="00336478" w:rsidRDefault="00336478" w:rsidP="002501A2">
            <w:pPr>
              <w:pStyle w:val="BodyText"/>
              <w:spacing w:before="0" w:line="240" w:lineRule="auto"/>
              <w:jc w:val="left"/>
              <w:rPr>
                <w:rFonts w:ascii="Arial" w:hAnsi="Arial"/>
                <w:sz w:val="24"/>
              </w:rPr>
            </w:pPr>
          </w:p>
          <w:p w:rsidR="00336478" w:rsidRDefault="00336478" w:rsidP="002501A2">
            <w:pPr>
              <w:pStyle w:val="BodyText"/>
              <w:spacing w:before="0" w:line="240" w:lineRule="auto"/>
              <w:jc w:val="left"/>
              <w:rPr>
                <w:rFonts w:ascii="Arial" w:hAnsi="Arial"/>
                <w:sz w:val="24"/>
              </w:rPr>
            </w:pPr>
          </w:p>
          <w:p w:rsidR="00336478" w:rsidRPr="00763B44" w:rsidRDefault="00336478" w:rsidP="002501A2">
            <w:pPr>
              <w:pStyle w:val="BodyText"/>
              <w:spacing w:before="0" w:line="240" w:lineRule="auto"/>
              <w:jc w:val="left"/>
              <w:rPr>
                <w:sz w:val="132"/>
              </w:rPr>
            </w:pPr>
            <w:r w:rsidRPr="00763B44">
              <w:rPr>
                <w:b/>
                <w:sz w:val="132"/>
              </w:rPr>
              <w:t>”</w:t>
            </w:r>
          </w:p>
        </w:tc>
      </w:tr>
      <w:tr w:rsidR="00336478" w:rsidRPr="00763B44" w:rsidTr="00EB28B2">
        <w:trPr>
          <w:cantSplit/>
          <w:trHeight w:hRule="exact" w:val="471"/>
        </w:trPr>
        <w:tc>
          <w:tcPr>
            <w:tcW w:w="993" w:type="dxa"/>
            <w:shd w:val="clear" w:color="auto" w:fill="auto"/>
          </w:tcPr>
          <w:p w:rsidR="00336478" w:rsidRPr="00763B44" w:rsidRDefault="00336478" w:rsidP="002501A2">
            <w:pPr>
              <w:pStyle w:val="BodyText"/>
              <w:spacing w:before="0" w:line="240" w:lineRule="auto"/>
              <w:jc w:val="right"/>
              <w:rPr>
                <w:sz w:val="132"/>
              </w:rPr>
            </w:pPr>
          </w:p>
        </w:tc>
        <w:tc>
          <w:tcPr>
            <w:tcW w:w="8789" w:type="dxa"/>
            <w:shd w:val="clear" w:color="auto" w:fill="auto"/>
          </w:tcPr>
          <w:p w:rsidR="00336478" w:rsidRPr="00763B44" w:rsidRDefault="00336478" w:rsidP="00EB28B2">
            <w:pPr>
              <w:pStyle w:val="Jurisdictioncommentsheading"/>
              <w:keepNext/>
              <w:spacing w:after="0" w:line="240" w:lineRule="auto"/>
            </w:pPr>
            <w:r>
              <w:t>Queensland</w:t>
            </w:r>
            <w:r w:rsidRPr="004E3A21">
              <w:t xml:space="preserve"> Government comments</w:t>
            </w:r>
          </w:p>
        </w:tc>
        <w:tc>
          <w:tcPr>
            <w:tcW w:w="850" w:type="dxa"/>
          </w:tcPr>
          <w:p w:rsidR="00336478" w:rsidRPr="00763B44" w:rsidRDefault="00336478" w:rsidP="002501A2">
            <w:pPr>
              <w:pStyle w:val="BodyText"/>
              <w:spacing w:before="0" w:after="140"/>
              <w:jc w:val="left"/>
              <w:rPr>
                <w:rFonts w:ascii="Arial" w:hAnsi="Arial"/>
                <w:b/>
              </w:rPr>
            </w:pPr>
          </w:p>
        </w:tc>
      </w:tr>
      <w:tr w:rsidR="00336478" w:rsidRPr="00763B44" w:rsidTr="00EB26E8">
        <w:trPr>
          <w:cantSplit/>
          <w:trHeight w:hRule="exact" w:val="12585"/>
        </w:trPr>
        <w:tc>
          <w:tcPr>
            <w:tcW w:w="993" w:type="dxa"/>
            <w:shd w:val="clear" w:color="auto" w:fill="auto"/>
          </w:tcPr>
          <w:p w:rsidR="00336478" w:rsidRPr="00763B44" w:rsidRDefault="00336478" w:rsidP="002501A2">
            <w:pPr>
              <w:pStyle w:val="BodyText"/>
              <w:spacing w:before="0" w:line="240" w:lineRule="auto"/>
              <w:jc w:val="right"/>
              <w:rPr>
                <w:sz w:val="132"/>
              </w:rPr>
            </w:pPr>
            <w:r w:rsidRPr="00763B44">
              <w:rPr>
                <w:b/>
                <w:sz w:val="132"/>
              </w:rPr>
              <w:t>“</w:t>
            </w:r>
          </w:p>
        </w:tc>
        <w:tc>
          <w:tcPr>
            <w:tcW w:w="8789" w:type="dxa"/>
            <w:shd w:val="clear" w:color="auto" w:fill="auto"/>
          </w:tcPr>
          <w:p w:rsidR="007415AA" w:rsidRDefault="007415AA" w:rsidP="007415AA">
            <w:pPr>
              <w:pStyle w:val="Jurisdictioncommentsbodytext"/>
            </w:pPr>
            <w:r>
              <w:t>The Queensland Government is continuing to implement the National Health Reform Agreement through focusing on its role in providing a quality health system for all Queenslanders.</w:t>
            </w:r>
            <w:r w:rsidR="00926F6B">
              <w:t xml:space="preserve"> </w:t>
            </w:r>
          </w:p>
          <w:p w:rsidR="007415AA" w:rsidRDefault="007415AA" w:rsidP="007415AA">
            <w:pPr>
              <w:pStyle w:val="Jurisdictioncommentsbodytext"/>
            </w:pPr>
            <w:r>
              <w:t>In April 2013, the Queensland Government released its response to the Independent Commission of Audit’s Final Report.</w:t>
            </w:r>
            <w:r w:rsidR="00926F6B">
              <w:t xml:space="preserve"> </w:t>
            </w:r>
            <w:r>
              <w:t>As part of the response, the Queensland Government agreed that its primary role in the health system is to deliver public hospital and health services such as elective surgery and emergency department services.</w:t>
            </w:r>
            <w:r w:rsidR="00926F6B">
              <w:t xml:space="preserve"> </w:t>
            </w:r>
            <w:r>
              <w:t>In recognition of its primary role, the Queensland Government agreed to examine options to transfer residential aged care places to non</w:t>
            </w:r>
            <w:r w:rsidR="00AA68A5">
              <w:noBreakHyphen/>
            </w:r>
            <w:r>
              <w:t>government providers having regard to local circumstances and capacity.</w:t>
            </w:r>
            <w:r w:rsidR="00926F6B">
              <w:t xml:space="preserve"> </w:t>
            </w:r>
            <w:r>
              <w:t>This recognises that non</w:t>
            </w:r>
            <w:r w:rsidR="00AA68A5">
              <w:noBreakHyphen/>
            </w:r>
            <w:r>
              <w:t>government providers of residential aged care already provide over 95 per cent of residential aged care places in Queensland and have the necessary expertise and capacity to provide high quality services.</w:t>
            </w:r>
          </w:p>
          <w:p w:rsidR="007415AA" w:rsidRDefault="007415AA" w:rsidP="007415AA">
            <w:pPr>
              <w:pStyle w:val="Jurisdictioncommentsbodytext"/>
            </w:pPr>
            <w:r>
              <w:t>During 2013, various Queensland Hospital and Health Services (</w:t>
            </w:r>
            <w:proofErr w:type="spellStart"/>
            <w:r>
              <w:t>HHSs</w:t>
            </w:r>
            <w:proofErr w:type="spellEnd"/>
            <w:r>
              <w:t>) began examining their role in providing residential aged care services and whether these could be more appropriately delivered by non</w:t>
            </w:r>
            <w:r w:rsidR="00AA68A5">
              <w:noBreakHyphen/>
            </w:r>
            <w:r>
              <w:t>government providers.</w:t>
            </w:r>
            <w:r w:rsidR="00926F6B">
              <w:t xml:space="preserve"> </w:t>
            </w:r>
            <w:r>
              <w:t xml:space="preserve">In addition, </w:t>
            </w:r>
            <w:proofErr w:type="spellStart"/>
            <w:r>
              <w:t>HHSs</w:t>
            </w:r>
            <w:proofErr w:type="spellEnd"/>
            <w:r>
              <w:t xml:space="preserve"> also assessed their role in providing community services under the Commonwealth Home and Community Care (HACC) Program and where appropriate, relinquished funding to the Commonwealth for reallocation to </w:t>
            </w:r>
            <w:r w:rsidR="00000F44">
              <w:br/>
            </w:r>
            <w:r>
              <w:t>non</w:t>
            </w:r>
            <w:r w:rsidR="00AA68A5">
              <w:noBreakHyphen/>
            </w:r>
            <w:r>
              <w:t>government providers.</w:t>
            </w:r>
            <w:r w:rsidR="00926F6B">
              <w:t xml:space="preserve"> </w:t>
            </w:r>
            <w:r>
              <w:t xml:space="preserve">This process has allowed </w:t>
            </w:r>
            <w:proofErr w:type="spellStart"/>
            <w:r>
              <w:t>HHSs</w:t>
            </w:r>
            <w:proofErr w:type="spellEnd"/>
            <w:r>
              <w:t xml:space="preserve"> to focus on the provision of public hospital services, whilst strengthening the capacity of the non</w:t>
            </w:r>
            <w:r w:rsidR="00AA68A5">
              <w:noBreakHyphen/>
            </w:r>
            <w:r>
              <w:t>government sector.</w:t>
            </w:r>
          </w:p>
          <w:p w:rsidR="007415AA" w:rsidRDefault="007415AA" w:rsidP="007415AA">
            <w:pPr>
              <w:pStyle w:val="Jurisdictioncommentsbodytext"/>
            </w:pPr>
            <w:r>
              <w:t>The Queensland Government will continue to be a provider of residential aged care services and Commonwealth HACC Program services in circumstances where no other alternative providers are willing or able to provide services or for people who have high and complex care needs that are unable to be met by other providers.</w:t>
            </w:r>
          </w:p>
          <w:p w:rsidR="007415AA" w:rsidRDefault="007415AA" w:rsidP="007415AA">
            <w:pPr>
              <w:pStyle w:val="Jurisdictioncommentsbodytext"/>
            </w:pPr>
            <w:r>
              <w:t xml:space="preserve">As part of the Queensland Health Reforms, </w:t>
            </w:r>
            <w:proofErr w:type="spellStart"/>
            <w:r>
              <w:t>HHSs</w:t>
            </w:r>
            <w:proofErr w:type="spellEnd"/>
            <w:r>
              <w:t xml:space="preserve"> have been working closely with Medicare Locals, as well as primary health and aged care providers to improve the integration of services for older people between the different sectors.</w:t>
            </w:r>
            <w:r w:rsidR="00926F6B">
              <w:t xml:space="preserve"> </w:t>
            </w:r>
            <w:r>
              <w:t>This work has resulted in a downward trend in the number of longer stay older patients remaining in public hospitals who are in need of aged care services.</w:t>
            </w:r>
            <w:r w:rsidR="00926F6B">
              <w:t xml:space="preserve"> </w:t>
            </w:r>
          </w:p>
          <w:p w:rsidR="007415AA" w:rsidRDefault="007415AA" w:rsidP="007415AA">
            <w:pPr>
              <w:pStyle w:val="Jurisdictioncommentsbodytext"/>
            </w:pPr>
            <w:r>
              <w:t xml:space="preserve">Queensland provided 733 transition care places across the </w:t>
            </w:r>
            <w:r w:rsidR="00AA68A5">
              <w:t>state assisting approximately 4</w:t>
            </w:r>
            <w:r>
              <w:t>700 older people in 2012</w:t>
            </w:r>
            <w:r w:rsidR="00AA68A5">
              <w:noBreakHyphen/>
            </w:r>
            <w:r>
              <w:t>13 to regain or maximise their level of independence following discharge from hospital.</w:t>
            </w:r>
          </w:p>
          <w:p w:rsidR="00336478" w:rsidRPr="00B97629" w:rsidRDefault="007415AA" w:rsidP="007415AA">
            <w:pPr>
              <w:pStyle w:val="Jurisdictioncommentsbodytext"/>
            </w:pPr>
            <w:r>
              <w:t>Queensland also operated 31 Multi</w:t>
            </w:r>
            <w:r w:rsidR="00AA68A5">
              <w:noBreakHyphen/>
            </w:r>
            <w:r>
              <w:t>purposes Health Services in 2012</w:t>
            </w:r>
            <w:r w:rsidR="00AA68A5">
              <w:noBreakHyphen/>
            </w:r>
            <w:r>
              <w:t>13 which provided a mix of health and aged care services appropriate to the needs of communities in rural and remote locations.</w:t>
            </w:r>
          </w:p>
        </w:tc>
        <w:tc>
          <w:tcPr>
            <w:tcW w:w="850" w:type="dxa"/>
          </w:tcPr>
          <w:p w:rsidR="009C5E21" w:rsidRDefault="00336478" w:rsidP="002501A2">
            <w:pPr>
              <w:pStyle w:val="BodyText"/>
              <w:widowControl w:val="0"/>
              <w:spacing w:before="0" w:line="240" w:lineRule="auto"/>
              <w:jc w:val="left"/>
              <w:rPr>
                <w:rFonts w:ascii="Arial" w:hAnsi="Arial"/>
                <w:sz w:val="24"/>
              </w:rPr>
            </w:pP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00873386">
              <w:rPr>
                <w:rFonts w:ascii="Arial" w:hAnsi="Arial"/>
                <w:sz w:val="24"/>
              </w:rPr>
              <w:br/>
            </w:r>
            <w:r w:rsidR="00873386">
              <w:rPr>
                <w:rFonts w:ascii="Arial" w:hAnsi="Arial"/>
                <w:sz w:val="24"/>
              </w:rPr>
              <w:br/>
            </w:r>
            <w:r w:rsidR="00873386">
              <w:rPr>
                <w:rFonts w:ascii="Arial" w:hAnsi="Arial"/>
                <w:sz w:val="24"/>
              </w:rPr>
              <w:br/>
            </w:r>
            <w:r w:rsidR="00873386">
              <w:rPr>
                <w:rFonts w:ascii="Arial" w:hAnsi="Arial"/>
                <w:sz w:val="24"/>
              </w:rPr>
              <w:br/>
            </w:r>
            <w:r w:rsidR="00873386">
              <w:rPr>
                <w:rFonts w:ascii="Arial" w:hAnsi="Arial"/>
                <w:sz w:val="24"/>
              </w:rPr>
              <w:br/>
            </w:r>
            <w:r w:rsidR="00873386">
              <w:rPr>
                <w:rFonts w:ascii="Arial" w:hAnsi="Arial"/>
                <w:sz w:val="24"/>
              </w:rPr>
              <w:br/>
            </w:r>
            <w:r w:rsidR="00873386">
              <w:rPr>
                <w:rFonts w:ascii="Arial" w:hAnsi="Arial"/>
                <w:sz w:val="24"/>
              </w:rPr>
              <w:br/>
            </w:r>
            <w:r w:rsidR="00873386">
              <w:rPr>
                <w:rFonts w:ascii="Arial" w:hAnsi="Arial"/>
                <w:sz w:val="24"/>
              </w:rPr>
              <w:br/>
            </w:r>
            <w:r>
              <w:rPr>
                <w:rFonts w:ascii="Arial" w:hAnsi="Arial"/>
                <w:sz w:val="24"/>
              </w:rPr>
              <w:br/>
            </w:r>
          </w:p>
          <w:p w:rsidR="00336478" w:rsidRPr="00763B44" w:rsidRDefault="00336478" w:rsidP="002501A2">
            <w:pPr>
              <w:pStyle w:val="BodyText"/>
              <w:widowControl w:val="0"/>
              <w:spacing w:before="0" w:line="240" w:lineRule="auto"/>
              <w:jc w:val="left"/>
              <w:rPr>
                <w:sz w:val="132"/>
              </w:rPr>
            </w:pPr>
            <w:r>
              <w:rPr>
                <w:rFonts w:ascii="Arial" w:hAnsi="Arial"/>
                <w:sz w:val="24"/>
              </w:rPr>
              <w:br/>
            </w:r>
            <w:r w:rsidRPr="00763B44">
              <w:rPr>
                <w:b/>
                <w:sz w:val="132"/>
              </w:rPr>
              <w:t>”</w:t>
            </w:r>
          </w:p>
        </w:tc>
      </w:tr>
    </w:tbl>
    <w:p w:rsidR="00A12C8F" w:rsidRDefault="00A12C8F" w:rsidP="002501A2">
      <w:pPr>
        <w:pStyle w:val="BodyText"/>
      </w:pPr>
    </w:p>
    <w:tbl>
      <w:tblPr>
        <w:tblW w:w="10632" w:type="dxa"/>
        <w:tblInd w:w="-885" w:type="dxa"/>
        <w:tblLayout w:type="fixed"/>
        <w:tblLook w:val="0000" w:firstRow="0" w:lastRow="0" w:firstColumn="0" w:lastColumn="0" w:noHBand="0" w:noVBand="0"/>
      </w:tblPr>
      <w:tblGrid>
        <w:gridCol w:w="993"/>
        <w:gridCol w:w="8789"/>
        <w:gridCol w:w="850"/>
      </w:tblGrid>
      <w:tr w:rsidR="00A12C8F" w:rsidRPr="00763B44" w:rsidTr="00A12C8F">
        <w:trPr>
          <w:cantSplit/>
        </w:trPr>
        <w:tc>
          <w:tcPr>
            <w:tcW w:w="993" w:type="dxa"/>
            <w:vMerge w:val="restart"/>
          </w:tcPr>
          <w:p w:rsidR="00A12C8F" w:rsidRPr="00763B44" w:rsidRDefault="00A12C8F" w:rsidP="002501A2">
            <w:pPr>
              <w:pStyle w:val="BodyText"/>
              <w:jc w:val="right"/>
              <w:rPr>
                <w:rFonts w:ascii="Arial" w:hAnsi="Arial"/>
                <w:b/>
              </w:rPr>
            </w:pPr>
            <w:r w:rsidRPr="00763B44">
              <w:rPr>
                <w:b/>
                <w:sz w:val="132"/>
              </w:rPr>
              <w:t>“</w:t>
            </w:r>
          </w:p>
        </w:tc>
        <w:tc>
          <w:tcPr>
            <w:tcW w:w="8789" w:type="dxa"/>
          </w:tcPr>
          <w:p w:rsidR="00A12C8F" w:rsidRPr="00763B44" w:rsidRDefault="00A12C8F" w:rsidP="002501A2">
            <w:pPr>
              <w:pStyle w:val="Jurisdictioncommentsheading"/>
            </w:pPr>
            <w:r>
              <w:t>Western Australian</w:t>
            </w:r>
            <w:r w:rsidRPr="004E3A21">
              <w:t xml:space="preserve"> Government comments</w:t>
            </w:r>
          </w:p>
        </w:tc>
        <w:tc>
          <w:tcPr>
            <w:tcW w:w="850" w:type="dxa"/>
          </w:tcPr>
          <w:p w:rsidR="00A12C8F" w:rsidRPr="00763B44" w:rsidRDefault="00A12C8F" w:rsidP="002501A2">
            <w:pPr>
              <w:pStyle w:val="BodyText"/>
              <w:spacing w:before="0" w:after="140"/>
              <w:jc w:val="left"/>
              <w:rPr>
                <w:rFonts w:ascii="Arial" w:hAnsi="Arial"/>
                <w:b/>
              </w:rPr>
            </w:pPr>
          </w:p>
        </w:tc>
      </w:tr>
      <w:tr w:rsidR="00A12C8F" w:rsidRPr="00763B44" w:rsidTr="00A12C8F">
        <w:trPr>
          <w:cantSplit/>
          <w:trHeight w:hRule="exact" w:val="12443"/>
        </w:trPr>
        <w:tc>
          <w:tcPr>
            <w:tcW w:w="993" w:type="dxa"/>
            <w:vMerge/>
          </w:tcPr>
          <w:p w:rsidR="00A12C8F" w:rsidRPr="00763B44" w:rsidRDefault="00A12C8F" w:rsidP="002501A2">
            <w:pPr>
              <w:pStyle w:val="BodyText"/>
              <w:spacing w:before="0" w:line="240" w:lineRule="auto"/>
              <w:jc w:val="right"/>
              <w:rPr>
                <w:sz w:val="132"/>
              </w:rPr>
            </w:pPr>
          </w:p>
        </w:tc>
        <w:tc>
          <w:tcPr>
            <w:tcW w:w="8789" w:type="dxa"/>
          </w:tcPr>
          <w:p w:rsidR="00292B57" w:rsidRPr="00292B57" w:rsidRDefault="00292B57" w:rsidP="00292B57">
            <w:pPr>
              <w:pBdr>
                <w:top w:val="nil"/>
                <w:left w:val="nil"/>
                <w:bottom w:val="nil"/>
                <w:right w:val="nil"/>
                <w:between w:val="nil"/>
                <w:bar w:val="nil"/>
              </w:pBdr>
              <w:spacing w:after="140"/>
              <w:jc w:val="both"/>
              <w:rPr>
                <w:rFonts w:ascii="Arial" w:eastAsia="Arial" w:hAnsi="Arial" w:cs="Arial"/>
                <w:color w:val="000000"/>
                <w:sz w:val="24"/>
                <w:u w:color="000000"/>
                <w:bdr w:val="nil"/>
                <w:lang w:val="en-US"/>
              </w:rPr>
            </w:pPr>
            <w:r w:rsidRPr="00292B57">
              <w:rPr>
                <w:rFonts w:ascii="Arial" w:eastAsia="Arial" w:hAnsi="Arial" w:cs="Arial"/>
                <w:color w:val="000000"/>
                <w:sz w:val="24"/>
                <w:u w:color="000000"/>
                <w:bdr w:val="nil"/>
                <w:lang w:val="en-US"/>
              </w:rPr>
              <w:t xml:space="preserve">During the past 12 months the Western Australian (WA) Aged Care Advisory Council has continued to support a WA Dementia Working group to focus on dementia as a priority for the health and community care sectors in WA. Hospital emergency departments, impatient settings , geriatrician led memory clinics and Home ad Community Care (HACC) assessment and service delivery are specific target areas in relation to achieving the broad objective of better outcomes and quality of life for people with dementia. This work aligns with the national Framework for Action on Dementia and is an extension of the WA models of care for dementia and delirium. </w:t>
            </w:r>
          </w:p>
          <w:p w:rsidR="00292B57" w:rsidRPr="00292B57" w:rsidRDefault="00292B57" w:rsidP="00292B57">
            <w:pPr>
              <w:pBdr>
                <w:top w:val="nil"/>
                <w:left w:val="nil"/>
                <w:bottom w:val="nil"/>
                <w:right w:val="nil"/>
                <w:between w:val="nil"/>
                <w:bar w:val="nil"/>
              </w:pBdr>
              <w:spacing w:after="140"/>
              <w:jc w:val="both"/>
              <w:rPr>
                <w:rFonts w:ascii="Arial" w:eastAsia="Arial" w:hAnsi="Arial" w:cs="Arial"/>
                <w:color w:val="000000"/>
                <w:sz w:val="24"/>
                <w:u w:color="000000"/>
                <w:bdr w:val="nil"/>
                <w:lang w:val="en-US"/>
              </w:rPr>
            </w:pPr>
            <w:r w:rsidRPr="00292B57">
              <w:rPr>
                <w:rFonts w:ascii="Arial" w:eastAsia="Arial" w:hAnsi="Arial" w:cs="Arial"/>
                <w:color w:val="000000"/>
                <w:sz w:val="24"/>
                <w:u w:color="000000"/>
                <w:bdr w:val="nil"/>
                <w:lang w:val="en-US"/>
              </w:rPr>
              <w:t>In 2012</w:t>
            </w:r>
            <w:r w:rsidR="00AA68A5">
              <w:rPr>
                <w:rFonts w:ascii="Arial" w:eastAsia="Arial" w:hAnsi="Arial" w:cs="Arial"/>
                <w:color w:val="000000"/>
                <w:sz w:val="24"/>
                <w:u w:color="000000"/>
                <w:bdr w:val="nil"/>
                <w:lang w:val="en-US"/>
              </w:rPr>
              <w:noBreakHyphen/>
            </w:r>
            <w:r w:rsidRPr="00292B57">
              <w:rPr>
                <w:rFonts w:ascii="Arial" w:eastAsia="Arial" w:hAnsi="Arial" w:cs="Arial"/>
                <w:color w:val="000000"/>
                <w:sz w:val="24"/>
                <w:u w:color="000000"/>
                <w:bdr w:val="nil"/>
                <w:lang w:val="en-US"/>
              </w:rPr>
              <w:t>2013 WA delivered a growth rate of 15</w:t>
            </w:r>
            <w:r>
              <w:rPr>
                <w:rFonts w:ascii="Arial" w:eastAsia="Arial" w:hAnsi="Arial" w:cs="Arial"/>
                <w:color w:val="000000"/>
                <w:sz w:val="24"/>
                <w:u w:color="000000"/>
                <w:bdr w:val="nil"/>
                <w:lang w:val="en-US"/>
              </w:rPr>
              <w:t xml:space="preserve"> per cent</w:t>
            </w:r>
            <w:r w:rsidRPr="00292B57">
              <w:rPr>
                <w:rFonts w:ascii="Arial" w:eastAsia="Arial" w:hAnsi="Arial" w:cs="Arial"/>
                <w:color w:val="000000"/>
                <w:sz w:val="24"/>
                <w:u w:color="000000"/>
                <w:bdr w:val="nil"/>
                <w:lang w:val="en-US"/>
              </w:rPr>
              <w:t xml:space="preserve"> in </w:t>
            </w:r>
            <w:proofErr w:type="spellStart"/>
            <w:r w:rsidRPr="00292B57">
              <w:rPr>
                <w:rFonts w:ascii="Arial" w:eastAsia="Arial" w:hAnsi="Arial" w:cs="Arial"/>
                <w:color w:val="000000"/>
                <w:sz w:val="24"/>
                <w:u w:color="000000"/>
                <w:bdr w:val="nil"/>
                <w:lang w:val="en-US"/>
              </w:rPr>
              <w:t>subacute</w:t>
            </w:r>
            <w:proofErr w:type="spellEnd"/>
            <w:r w:rsidRPr="00292B57">
              <w:rPr>
                <w:rFonts w:ascii="Arial" w:eastAsia="Arial" w:hAnsi="Arial" w:cs="Arial"/>
                <w:color w:val="000000"/>
                <w:sz w:val="24"/>
                <w:u w:color="000000"/>
                <w:bdr w:val="nil"/>
                <w:lang w:val="en-US"/>
              </w:rPr>
              <w:t xml:space="preserve"> care service delivery across approximately 50 projects. In addressing the gaps in </w:t>
            </w:r>
            <w:proofErr w:type="spellStart"/>
            <w:r w:rsidRPr="00292B57">
              <w:rPr>
                <w:rFonts w:ascii="Arial" w:eastAsia="Arial" w:hAnsi="Arial" w:cs="Arial"/>
                <w:color w:val="000000"/>
                <w:sz w:val="24"/>
                <w:u w:color="000000"/>
                <w:bdr w:val="nil"/>
                <w:lang w:val="en-US"/>
              </w:rPr>
              <w:t>subacute</w:t>
            </w:r>
            <w:proofErr w:type="spellEnd"/>
            <w:r w:rsidRPr="00292B57">
              <w:rPr>
                <w:rFonts w:ascii="Arial" w:eastAsia="Arial" w:hAnsi="Arial" w:cs="Arial"/>
                <w:color w:val="000000"/>
                <w:sz w:val="24"/>
                <w:u w:color="000000"/>
                <w:bdr w:val="nil"/>
                <w:lang w:val="en-US"/>
              </w:rPr>
              <w:t xml:space="preserve"> care service provision, increased service provision across rural and remote areas was addressed. The major focus being the strengthening services across WA with the establishment of dedicated </w:t>
            </w:r>
            <w:proofErr w:type="spellStart"/>
            <w:r w:rsidRPr="00292B57">
              <w:rPr>
                <w:rFonts w:ascii="Arial" w:eastAsia="Arial" w:hAnsi="Arial" w:cs="Arial"/>
                <w:color w:val="000000"/>
                <w:sz w:val="24"/>
                <w:u w:color="000000"/>
                <w:bdr w:val="nil"/>
                <w:lang w:val="en-US"/>
              </w:rPr>
              <w:t>subacute</w:t>
            </w:r>
            <w:proofErr w:type="spellEnd"/>
            <w:r w:rsidRPr="00292B57">
              <w:rPr>
                <w:rFonts w:ascii="Arial" w:eastAsia="Arial" w:hAnsi="Arial" w:cs="Arial"/>
                <w:color w:val="000000"/>
                <w:sz w:val="24"/>
                <w:u w:color="000000"/>
                <w:bdr w:val="nil"/>
                <w:lang w:val="en-US"/>
              </w:rPr>
              <w:t xml:space="preserve"> resources </w:t>
            </w:r>
            <w:proofErr w:type="spellStart"/>
            <w:r w:rsidRPr="00292B57">
              <w:rPr>
                <w:rFonts w:ascii="Arial" w:eastAsia="Arial" w:hAnsi="Arial" w:cs="Arial"/>
                <w:color w:val="000000"/>
                <w:sz w:val="24"/>
                <w:u w:color="000000"/>
                <w:bdr w:val="nil"/>
                <w:lang w:val="en-US"/>
              </w:rPr>
              <w:t>centres</w:t>
            </w:r>
            <w:proofErr w:type="spellEnd"/>
            <w:r w:rsidRPr="00292B57">
              <w:rPr>
                <w:rFonts w:ascii="Arial" w:eastAsia="Arial" w:hAnsi="Arial" w:cs="Arial"/>
                <w:color w:val="000000"/>
                <w:sz w:val="24"/>
                <w:u w:color="000000"/>
                <w:bdr w:val="nil"/>
                <w:lang w:val="en-US"/>
              </w:rPr>
              <w:t xml:space="preserve"> in all major regional </w:t>
            </w:r>
            <w:proofErr w:type="spellStart"/>
            <w:r w:rsidRPr="00292B57">
              <w:rPr>
                <w:rFonts w:ascii="Arial" w:eastAsia="Arial" w:hAnsi="Arial" w:cs="Arial"/>
                <w:color w:val="000000"/>
                <w:sz w:val="24"/>
                <w:u w:color="000000"/>
                <w:bdr w:val="nil"/>
                <w:lang w:val="en-US"/>
              </w:rPr>
              <w:t>centres</w:t>
            </w:r>
            <w:proofErr w:type="spellEnd"/>
            <w:r w:rsidRPr="00292B57">
              <w:rPr>
                <w:rFonts w:ascii="Arial" w:eastAsia="Arial" w:hAnsi="Arial" w:cs="Arial"/>
                <w:color w:val="000000"/>
                <w:sz w:val="24"/>
                <w:u w:color="000000"/>
                <w:bdr w:val="nil"/>
                <w:lang w:val="en-US"/>
              </w:rPr>
              <w:t>. The State</w:t>
            </w:r>
            <w:r w:rsidR="00AA68A5">
              <w:rPr>
                <w:rFonts w:ascii="Arial" w:eastAsia="Arial" w:hAnsi="Arial" w:cs="Arial"/>
                <w:color w:val="000000"/>
                <w:sz w:val="24"/>
                <w:u w:color="000000"/>
                <w:bdr w:val="nil"/>
                <w:lang w:val="en-US"/>
              </w:rPr>
              <w:noBreakHyphen/>
            </w:r>
            <w:r w:rsidRPr="00292B57">
              <w:rPr>
                <w:rFonts w:ascii="Arial" w:eastAsia="Arial" w:hAnsi="Arial" w:cs="Arial"/>
                <w:color w:val="000000"/>
                <w:sz w:val="24"/>
                <w:u w:color="000000"/>
                <w:bdr w:val="nil"/>
                <w:lang w:val="en-US"/>
              </w:rPr>
              <w:t xml:space="preserve">wide </w:t>
            </w:r>
            <w:proofErr w:type="spellStart"/>
            <w:r w:rsidRPr="00292B57">
              <w:rPr>
                <w:rFonts w:ascii="Arial" w:eastAsia="Arial" w:hAnsi="Arial" w:cs="Arial"/>
                <w:color w:val="000000"/>
                <w:sz w:val="24"/>
                <w:u w:color="000000"/>
                <w:bdr w:val="nil"/>
                <w:lang w:val="en-US"/>
              </w:rPr>
              <w:t>Subacute</w:t>
            </w:r>
            <w:proofErr w:type="spellEnd"/>
            <w:r w:rsidRPr="00292B57">
              <w:rPr>
                <w:rFonts w:ascii="Arial" w:eastAsia="Arial" w:hAnsi="Arial" w:cs="Arial"/>
                <w:color w:val="000000"/>
                <w:sz w:val="24"/>
                <w:u w:color="000000"/>
                <w:bdr w:val="nil"/>
                <w:lang w:val="en-US"/>
              </w:rPr>
              <w:t xml:space="preserve"> Training and Development Centre (</w:t>
            </w:r>
            <w:proofErr w:type="spellStart"/>
            <w:r w:rsidRPr="00292B57">
              <w:rPr>
                <w:rFonts w:ascii="Arial" w:eastAsia="Arial" w:hAnsi="Arial" w:cs="Arial"/>
                <w:color w:val="000000"/>
                <w:sz w:val="24"/>
                <w:u w:color="000000"/>
                <w:bdr w:val="nil"/>
                <w:lang w:val="en-US"/>
              </w:rPr>
              <w:t>TRACS</w:t>
            </w:r>
            <w:proofErr w:type="spellEnd"/>
            <w:r w:rsidRPr="00292B57">
              <w:rPr>
                <w:rFonts w:ascii="Arial" w:eastAsia="Arial" w:hAnsi="Arial" w:cs="Arial"/>
                <w:color w:val="000000"/>
                <w:sz w:val="24"/>
                <w:u w:color="000000"/>
                <w:bdr w:val="nil"/>
                <w:lang w:val="en-US"/>
              </w:rPr>
              <w:t xml:space="preserve"> WA) is now fully integrated into the WA </w:t>
            </w:r>
            <w:proofErr w:type="spellStart"/>
            <w:r w:rsidRPr="00292B57">
              <w:rPr>
                <w:rFonts w:ascii="Arial" w:eastAsia="Arial" w:hAnsi="Arial" w:cs="Arial"/>
                <w:color w:val="000000"/>
                <w:sz w:val="24"/>
                <w:u w:color="000000"/>
                <w:bdr w:val="nil"/>
                <w:lang w:val="en-US"/>
              </w:rPr>
              <w:t>subacute</w:t>
            </w:r>
            <w:proofErr w:type="spellEnd"/>
            <w:r w:rsidRPr="00292B57">
              <w:rPr>
                <w:rFonts w:ascii="Arial" w:eastAsia="Arial" w:hAnsi="Arial" w:cs="Arial"/>
                <w:color w:val="000000"/>
                <w:sz w:val="24"/>
                <w:u w:color="000000"/>
                <w:bdr w:val="nil"/>
                <w:lang w:val="en-US"/>
              </w:rPr>
              <w:t xml:space="preserve"> care sector as well as creating links with the non</w:t>
            </w:r>
            <w:r w:rsidR="00AA68A5">
              <w:rPr>
                <w:rFonts w:ascii="Arial" w:eastAsia="Arial" w:hAnsi="Arial" w:cs="Arial"/>
                <w:color w:val="000000"/>
                <w:sz w:val="24"/>
                <w:u w:color="000000"/>
                <w:bdr w:val="nil"/>
                <w:lang w:val="en-US"/>
              </w:rPr>
              <w:noBreakHyphen/>
            </w:r>
            <w:r w:rsidRPr="00292B57">
              <w:rPr>
                <w:rFonts w:ascii="Arial" w:eastAsia="Arial" w:hAnsi="Arial" w:cs="Arial"/>
                <w:color w:val="000000"/>
                <w:sz w:val="24"/>
                <w:u w:color="000000"/>
                <w:bdr w:val="nil"/>
                <w:lang w:val="en-US"/>
              </w:rPr>
              <w:t xml:space="preserve">government sector to enhance the provision of </w:t>
            </w:r>
            <w:proofErr w:type="spellStart"/>
            <w:r w:rsidRPr="00292B57">
              <w:rPr>
                <w:rFonts w:ascii="Arial" w:eastAsia="Arial" w:hAnsi="Arial" w:cs="Arial"/>
                <w:color w:val="000000"/>
                <w:sz w:val="24"/>
                <w:u w:color="000000"/>
                <w:bdr w:val="nil"/>
                <w:lang w:val="en-US"/>
              </w:rPr>
              <w:t>subacute</w:t>
            </w:r>
            <w:proofErr w:type="spellEnd"/>
            <w:r w:rsidRPr="00292B57">
              <w:rPr>
                <w:rFonts w:ascii="Arial" w:eastAsia="Arial" w:hAnsi="Arial" w:cs="Arial"/>
                <w:color w:val="000000"/>
                <w:sz w:val="24"/>
                <w:u w:color="000000"/>
                <w:bdr w:val="nil"/>
                <w:lang w:val="en-US"/>
              </w:rPr>
              <w:t xml:space="preserve"> services in WA. </w:t>
            </w:r>
            <w:proofErr w:type="spellStart"/>
            <w:r w:rsidRPr="00292B57">
              <w:rPr>
                <w:rFonts w:ascii="Arial" w:eastAsia="Arial" w:hAnsi="Arial" w:cs="Arial"/>
                <w:color w:val="000000"/>
                <w:sz w:val="24"/>
                <w:u w:color="000000"/>
                <w:bdr w:val="nil"/>
                <w:lang w:val="en-US"/>
              </w:rPr>
              <w:t>TRACS</w:t>
            </w:r>
            <w:proofErr w:type="spellEnd"/>
            <w:r w:rsidRPr="00292B57">
              <w:rPr>
                <w:rFonts w:ascii="Arial" w:eastAsia="Arial" w:hAnsi="Arial" w:cs="Arial"/>
                <w:color w:val="000000"/>
                <w:sz w:val="24"/>
                <w:u w:color="000000"/>
                <w:bdr w:val="nil"/>
                <w:lang w:val="en-US"/>
              </w:rPr>
              <w:t xml:space="preserve"> WA is currently focusing on the development of a “</w:t>
            </w:r>
            <w:proofErr w:type="spellStart"/>
            <w:r w:rsidRPr="00292B57">
              <w:rPr>
                <w:rFonts w:ascii="Arial" w:eastAsia="Arial" w:hAnsi="Arial" w:cs="Arial"/>
                <w:color w:val="000000"/>
                <w:sz w:val="24"/>
                <w:u w:color="000000"/>
                <w:bdr w:val="nil"/>
                <w:lang w:val="en-US"/>
              </w:rPr>
              <w:t>Subacute</w:t>
            </w:r>
            <w:proofErr w:type="spellEnd"/>
            <w:r w:rsidRPr="00292B57">
              <w:rPr>
                <w:rFonts w:ascii="Arial" w:eastAsia="Arial" w:hAnsi="Arial" w:cs="Arial"/>
                <w:color w:val="000000"/>
                <w:sz w:val="24"/>
                <w:u w:color="000000"/>
                <w:bdr w:val="nil"/>
                <w:lang w:val="en-US"/>
              </w:rPr>
              <w:t xml:space="preserve"> Care Core Curriculum” designed to form part of the orientation of the workforce in the WA Health </w:t>
            </w:r>
            <w:proofErr w:type="spellStart"/>
            <w:r w:rsidRPr="00292B57">
              <w:rPr>
                <w:rFonts w:ascii="Arial" w:eastAsia="Arial" w:hAnsi="Arial" w:cs="Arial"/>
                <w:color w:val="000000"/>
                <w:sz w:val="24"/>
                <w:u w:color="000000"/>
                <w:bdr w:val="nil"/>
                <w:lang w:val="en-US"/>
              </w:rPr>
              <w:t>subacute</w:t>
            </w:r>
            <w:proofErr w:type="spellEnd"/>
            <w:r w:rsidRPr="00292B57">
              <w:rPr>
                <w:rFonts w:ascii="Arial" w:eastAsia="Arial" w:hAnsi="Arial" w:cs="Arial"/>
                <w:color w:val="000000"/>
                <w:sz w:val="24"/>
                <w:u w:color="000000"/>
                <w:bdr w:val="nil"/>
                <w:lang w:val="en-US"/>
              </w:rPr>
              <w:t xml:space="preserve"> care sector.</w:t>
            </w:r>
          </w:p>
          <w:p w:rsidR="00292B57" w:rsidRPr="00292B57" w:rsidRDefault="00292B57" w:rsidP="00292B57">
            <w:pPr>
              <w:pBdr>
                <w:top w:val="nil"/>
                <w:left w:val="nil"/>
                <w:bottom w:val="nil"/>
                <w:right w:val="nil"/>
                <w:between w:val="nil"/>
                <w:bar w:val="nil"/>
              </w:pBdr>
              <w:spacing w:after="140"/>
              <w:jc w:val="both"/>
              <w:rPr>
                <w:rFonts w:ascii="Arial" w:eastAsia="Arial" w:hAnsi="Arial" w:cs="Arial"/>
                <w:color w:val="000000"/>
                <w:sz w:val="24"/>
                <w:u w:color="000000"/>
                <w:bdr w:val="nil"/>
                <w:lang w:val="en-US"/>
              </w:rPr>
            </w:pPr>
            <w:r w:rsidRPr="00292B57">
              <w:rPr>
                <w:rFonts w:ascii="Arial" w:eastAsia="Arial" w:hAnsi="Arial" w:cs="Arial"/>
                <w:color w:val="000000"/>
                <w:sz w:val="24"/>
                <w:u w:color="000000"/>
                <w:bdr w:val="nil"/>
                <w:lang w:val="en-US"/>
              </w:rPr>
              <w:t>The National Transition Care Program (TCP) Quality Improvement Framework commenced on 1</w:t>
            </w:r>
            <w:r w:rsidR="00AA68A5">
              <w:rPr>
                <w:rFonts w:ascii="Arial" w:eastAsia="Arial" w:hAnsi="Arial" w:cs="Arial"/>
                <w:color w:val="000000"/>
                <w:sz w:val="24"/>
                <w:u w:color="000000"/>
                <w:bdr w:val="nil"/>
                <w:lang w:val="en-US"/>
              </w:rPr>
              <w:t> </w:t>
            </w:r>
            <w:r w:rsidRPr="00292B57">
              <w:rPr>
                <w:rFonts w:ascii="Arial" w:eastAsia="Arial" w:hAnsi="Arial" w:cs="Arial"/>
                <w:color w:val="000000"/>
                <w:sz w:val="24"/>
                <w:u w:color="000000"/>
                <w:bdr w:val="nil"/>
                <w:lang w:val="en-US"/>
              </w:rPr>
              <w:t>July 2012 and having previously conducted quality review audits based on the WA Quality improvement Framework, WA was well placed to progress with this initiative. All current TCP service agreements are due to expire on 30</w:t>
            </w:r>
            <w:r w:rsidR="00AA68A5">
              <w:rPr>
                <w:rFonts w:ascii="Arial" w:eastAsia="Arial" w:hAnsi="Arial" w:cs="Arial"/>
                <w:color w:val="000000"/>
                <w:sz w:val="24"/>
                <w:u w:color="000000"/>
                <w:bdr w:val="nil"/>
                <w:lang w:val="en-US"/>
              </w:rPr>
              <w:t> </w:t>
            </w:r>
            <w:r w:rsidRPr="00292B57">
              <w:rPr>
                <w:rFonts w:ascii="Arial" w:eastAsia="Arial" w:hAnsi="Arial" w:cs="Arial"/>
                <w:color w:val="000000"/>
                <w:sz w:val="24"/>
                <w:u w:color="000000"/>
                <w:bdr w:val="nil"/>
                <w:lang w:val="en-US"/>
              </w:rPr>
              <w:t xml:space="preserve">June 2014 and the Department of Health is currently undertaking a tendering process for the delivery of TCP for the next 7 years. </w:t>
            </w:r>
          </w:p>
          <w:p w:rsidR="00292B57" w:rsidRPr="00292B57" w:rsidRDefault="00292B57" w:rsidP="00292B57">
            <w:pPr>
              <w:pBdr>
                <w:top w:val="nil"/>
                <w:left w:val="nil"/>
                <w:bottom w:val="nil"/>
                <w:right w:val="nil"/>
                <w:between w:val="nil"/>
                <w:bar w:val="nil"/>
              </w:pBdr>
              <w:spacing w:after="140"/>
              <w:jc w:val="both"/>
              <w:rPr>
                <w:rFonts w:ascii="Arial" w:eastAsia="Arial" w:hAnsi="Arial" w:cs="Arial"/>
                <w:color w:val="000000"/>
                <w:sz w:val="24"/>
                <w:u w:color="000000"/>
                <w:bdr w:val="nil"/>
                <w:lang w:val="en-US"/>
              </w:rPr>
            </w:pPr>
            <w:r w:rsidRPr="00292B57">
              <w:rPr>
                <w:rFonts w:ascii="Arial" w:eastAsia="Arial" w:hAnsi="Arial" w:cs="Arial"/>
                <w:color w:val="000000"/>
                <w:sz w:val="24"/>
                <w:u w:color="000000"/>
                <w:bdr w:val="nil"/>
                <w:lang w:val="en-US"/>
              </w:rPr>
              <w:t>WA continues to operate a very effective Continence Management and Support Scheme in partnership with the Disability Services Commission. The scheme delivers assessment and clinical support through a Continence Management and Advice Service managed by Silver Chain and a product subsidy managed by Independence Australia.</w:t>
            </w:r>
          </w:p>
          <w:p w:rsidR="00292B57" w:rsidRPr="00292B57" w:rsidRDefault="00292B57" w:rsidP="00292B57">
            <w:pPr>
              <w:pBdr>
                <w:top w:val="nil"/>
                <w:left w:val="nil"/>
                <w:bottom w:val="nil"/>
                <w:right w:val="nil"/>
                <w:between w:val="nil"/>
                <w:bar w:val="nil"/>
              </w:pBdr>
              <w:spacing w:after="140"/>
              <w:jc w:val="both"/>
              <w:rPr>
                <w:rFonts w:ascii="Arial" w:eastAsia="Arial" w:hAnsi="Arial" w:cs="Arial"/>
                <w:color w:val="000000"/>
                <w:sz w:val="24"/>
                <w:u w:color="000000"/>
                <w:bdr w:val="nil"/>
                <w:lang w:val="en-US"/>
              </w:rPr>
            </w:pPr>
            <w:r w:rsidRPr="00292B57">
              <w:rPr>
                <w:rFonts w:ascii="Arial" w:eastAsia="Arial" w:hAnsi="Arial" w:cs="Arial"/>
                <w:color w:val="000000"/>
                <w:sz w:val="24"/>
                <w:u w:color="000000"/>
                <w:bdr w:val="nil"/>
                <w:lang w:val="en-US"/>
              </w:rPr>
              <w:t>The role out of the WA Assessment Framework across the state has commenced and the partnership between HACC and the Aged Care Assessment Program has been strengthened, to support a streamlined client journey and referral pathways to prevent duplication of assessments. A Professional Development Framework for all assessors in currently being developed that will continue to support the focus on strengthening client independence in support planning.</w:t>
            </w:r>
          </w:p>
          <w:p w:rsidR="00A12C8F" w:rsidRPr="00AE0533" w:rsidRDefault="00292B57" w:rsidP="00292B57">
            <w:pPr>
              <w:pBdr>
                <w:top w:val="nil"/>
                <w:left w:val="nil"/>
                <w:bottom w:val="nil"/>
                <w:right w:val="nil"/>
                <w:between w:val="nil"/>
                <w:bar w:val="nil"/>
              </w:pBdr>
              <w:spacing w:after="140"/>
              <w:jc w:val="both"/>
              <w:rPr>
                <w:rFonts w:cs="Arial"/>
              </w:rPr>
            </w:pPr>
            <w:r w:rsidRPr="00292B57">
              <w:rPr>
                <w:rFonts w:ascii="Arial" w:eastAsia="Arial" w:hAnsi="Arial" w:cs="Arial"/>
                <w:color w:val="000000"/>
                <w:sz w:val="24"/>
                <w:u w:color="000000"/>
                <w:bdr w:val="nil"/>
                <w:lang w:val="en-US"/>
              </w:rPr>
              <w:t>The Long Stay Older Patient Initiative has continued to support Care Coordination Teams to improve the flow of older patients through the emergency department with the outcome of preventing avoidable admissions and early care planning in the acute environment.</w:t>
            </w:r>
          </w:p>
        </w:tc>
        <w:tc>
          <w:tcPr>
            <w:tcW w:w="850" w:type="dxa"/>
          </w:tcPr>
          <w:p w:rsidR="00A12C8F" w:rsidRPr="00763B44" w:rsidRDefault="00A12C8F" w:rsidP="002501A2">
            <w:pPr>
              <w:pStyle w:val="BodyText"/>
              <w:spacing w:before="0" w:line="240" w:lineRule="auto"/>
              <w:jc w:val="left"/>
              <w:rPr>
                <w:sz w:val="132"/>
              </w:rPr>
            </w:pP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00C41F5F">
              <w:rPr>
                <w:rFonts w:ascii="Arial" w:hAnsi="Arial"/>
                <w:sz w:val="24"/>
              </w:rPr>
              <w:br/>
            </w:r>
            <w:r w:rsidR="008F209C">
              <w:rPr>
                <w:rFonts w:ascii="Arial" w:hAnsi="Arial"/>
                <w:sz w:val="24"/>
              </w:rPr>
              <w:br/>
            </w:r>
            <w:r w:rsidR="008F209C">
              <w:rPr>
                <w:rFonts w:ascii="Arial" w:hAnsi="Arial"/>
                <w:sz w:val="24"/>
              </w:rPr>
              <w:br/>
            </w:r>
            <w:r w:rsidR="008F209C">
              <w:rPr>
                <w:rFonts w:ascii="Arial" w:hAnsi="Arial"/>
                <w:sz w:val="24"/>
              </w:rPr>
              <w:br/>
            </w:r>
            <w:r w:rsidR="00C41F5F">
              <w:rPr>
                <w:rFonts w:ascii="Arial" w:hAnsi="Arial"/>
                <w:sz w:val="24"/>
              </w:rPr>
              <w:br/>
            </w:r>
            <w:r w:rsidRPr="00763B44">
              <w:rPr>
                <w:b/>
                <w:sz w:val="132"/>
              </w:rPr>
              <w:t>”</w:t>
            </w:r>
          </w:p>
        </w:tc>
      </w:tr>
      <w:tr w:rsidR="00A12C8F" w:rsidRPr="00763B44" w:rsidTr="00A12C8F">
        <w:trPr>
          <w:cantSplit/>
        </w:trPr>
        <w:tc>
          <w:tcPr>
            <w:tcW w:w="993" w:type="dxa"/>
            <w:vMerge w:val="restart"/>
          </w:tcPr>
          <w:p w:rsidR="00A12C8F" w:rsidRPr="00763B44" w:rsidRDefault="00A12C8F" w:rsidP="002501A2">
            <w:pPr>
              <w:pStyle w:val="BodyText"/>
              <w:jc w:val="right"/>
              <w:rPr>
                <w:rFonts w:ascii="Arial" w:hAnsi="Arial"/>
                <w:b/>
              </w:rPr>
            </w:pPr>
            <w:r w:rsidRPr="00763B44">
              <w:rPr>
                <w:b/>
                <w:sz w:val="132"/>
              </w:rPr>
              <w:lastRenderedPageBreak/>
              <w:t>“</w:t>
            </w:r>
          </w:p>
        </w:tc>
        <w:tc>
          <w:tcPr>
            <w:tcW w:w="8789" w:type="dxa"/>
          </w:tcPr>
          <w:p w:rsidR="00A12C8F" w:rsidRPr="00763B44" w:rsidRDefault="00A12C8F" w:rsidP="00AC24F8">
            <w:pPr>
              <w:pStyle w:val="Jurisdictioncommentsheading"/>
              <w:spacing w:after="120" w:line="240" w:lineRule="auto"/>
            </w:pPr>
            <w:r>
              <w:t>South Australian</w:t>
            </w:r>
            <w:r w:rsidRPr="004E3A21">
              <w:t xml:space="preserve"> Government comments</w:t>
            </w:r>
          </w:p>
        </w:tc>
        <w:tc>
          <w:tcPr>
            <w:tcW w:w="850" w:type="dxa"/>
          </w:tcPr>
          <w:p w:rsidR="00A12C8F" w:rsidRPr="00763B44" w:rsidRDefault="00A12C8F" w:rsidP="002501A2">
            <w:pPr>
              <w:pStyle w:val="BodyText"/>
              <w:spacing w:before="0" w:after="140"/>
              <w:jc w:val="left"/>
              <w:rPr>
                <w:rFonts w:ascii="Arial" w:hAnsi="Arial"/>
                <w:b/>
              </w:rPr>
            </w:pPr>
          </w:p>
        </w:tc>
      </w:tr>
      <w:tr w:rsidR="00A12C8F" w:rsidRPr="00763B44" w:rsidTr="00AC24F8">
        <w:trPr>
          <w:cantSplit/>
          <w:trHeight w:hRule="exact" w:val="12746"/>
        </w:trPr>
        <w:tc>
          <w:tcPr>
            <w:tcW w:w="993" w:type="dxa"/>
            <w:vMerge/>
          </w:tcPr>
          <w:p w:rsidR="00A12C8F" w:rsidRPr="00763B44" w:rsidRDefault="00A12C8F" w:rsidP="002501A2">
            <w:pPr>
              <w:pStyle w:val="BodyText"/>
              <w:spacing w:before="0" w:line="240" w:lineRule="auto"/>
              <w:jc w:val="right"/>
              <w:rPr>
                <w:sz w:val="132"/>
              </w:rPr>
            </w:pPr>
          </w:p>
        </w:tc>
        <w:tc>
          <w:tcPr>
            <w:tcW w:w="8789" w:type="dxa"/>
          </w:tcPr>
          <w:p w:rsidR="00AC24F8" w:rsidRDefault="0055325B" w:rsidP="00AC24F8">
            <w:pPr>
              <w:pStyle w:val="Jurisdictioncommentsbodytext"/>
              <w:spacing w:after="120"/>
            </w:pPr>
            <w:r>
              <w:t xml:space="preserve"> </w:t>
            </w:r>
            <w:r w:rsidR="00AC24F8">
              <w:t>In 2012</w:t>
            </w:r>
            <w:r w:rsidR="00AA68A5">
              <w:noBreakHyphen/>
            </w:r>
            <w:r w:rsidR="00AC24F8">
              <w:t>13 South Australia continued to consolidate the transition of responsibility for Ageing Policy from the Department for Communities and Social Inclusion (DCSI) to SA Health, including the Aged Care Assessment Program (ACAP) and the Adelaide Aged Care Assessment Teams (</w:t>
            </w:r>
            <w:proofErr w:type="spellStart"/>
            <w:r w:rsidR="00AC24F8">
              <w:t>AACAT</w:t>
            </w:r>
            <w:proofErr w:type="spellEnd"/>
            <w:r w:rsidR="00AC24F8">
              <w:t xml:space="preserve">). </w:t>
            </w:r>
          </w:p>
          <w:p w:rsidR="00AC24F8" w:rsidRDefault="00AC24F8" w:rsidP="00AC24F8">
            <w:pPr>
              <w:pStyle w:val="Jurisdictioncommentsbodytext"/>
              <w:spacing w:after="120"/>
            </w:pPr>
            <w:r>
              <w:t>This transition presented an opportunity to evaluate the ACAP in South Australia, with an external evaluation conducted through August</w:t>
            </w:r>
            <w:r w:rsidR="00AA68A5">
              <w:noBreakHyphen/>
            </w:r>
            <w:r>
              <w:t>December 2012. The Final report contained 39 recommendations across five key areas:</w:t>
            </w:r>
          </w:p>
          <w:p w:rsidR="00AC24F8" w:rsidRDefault="00AC24F8" w:rsidP="00AC24F8">
            <w:pPr>
              <w:pStyle w:val="Jurisdictioncommentsbodytext"/>
              <w:spacing w:after="120"/>
            </w:pPr>
            <w:r>
              <w:t>1.</w:t>
            </w:r>
            <w:r>
              <w:tab/>
              <w:t>Improving documentation</w:t>
            </w:r>
          </w:p>
          <w:p w:rsidR="00AC24F8" w:rsidRDefault="00AC24F8" w:rsidP="00AC24F8">
            <w:pPr>
              <w:pStyle w:val="Jurisdictioncommentsbodytext"/>
              <w:spacing w:after="120"/>
            </w:pPr>
            <w:r>
              <w:t>2.</w:t>
            </w:r>
            <w:r>
              <w:tab/>
              <w:t>Improving the consumer experience</w:t>
            </w:r>
          </w:p>
          <w:p w:rsidR="00AC24F8" w:rsidRDefault="00AC24F8" w:rsidP="00AC24F8">
            <w:pPr>
              <w:pStyle w:val="Jurisdictioncommentsbodytext"/>
              <w:spacing w:after="120"/>
            </w:pPr>
            <w:r>
              <w:t>3.</w:t>
            </w:r>
            <w:r>
              <w:tab/>
              <w:t>ACAT Structure, roles and responsibilities</w:t>
            </w:r>
          </w:p>
          <w:p w:rsidR="00AC24F8" w:rsidRDefault="00AC24F8" w:rsidP="00AC24F8">
            <w:pPr>
              <w:pStyle w:val="Jurisdictioncommentsbodytext"/>
              <w:spacing w:after="120"/>
            </w:pPr>
            <w:r>
              <w:t>4.</w:t>
            </w:r>
            <w:r>
              <w:tab/>
              <w:t>Enhancing capacity for hospital assessments</w:t>
            </w:r>
          </w:p>
          <w:p w:rsidR="00AC24F8" w:rsidRDefault="00AC24F8" w:rsidP="00AC24F8">
            <w:pPr>
              <w:pStyle w:val="Jurisdictioncommentsbodytext"/>
              <w:spacing w:after="120"/>
            </w:pPr>
            <w:r>
              <w:t>5.</w:t>
            </w:r>
            <w:r>
              <w:tab/>
              <w:t xml:space="preserve">Enabling funding and capacity building </w:t>
            </w:r>
          </w:p>
          <w:p w:rsidR="00AC24F8" w:rsidRDefault="00AC24F8" w:rsidP="00AC24F8">
            <w:pPr>
              <w:pStyle w:val="Jurisdictioncommentsbodytext"/>
              <w:spacing w:after="120"/>
            </w:pPr>
            <w:r>
              <w:t>Major progress was also made towards enhancing the e</w:t>
            </w:r>
            <w:r w:rsidR="00AA68A5">
              <w:noBreakHyphen/>
            </w:r>
            <w:r>
              <w:t xml:space="preserve">business capability of all South Australian ACATs, with implementation of the </w:t>
            </w:r>
            <w:proofErr w:type="spellStart"/>
            <w:r>
              <w:t>eACAT</w:t>
            </w:r>
            <w:proofErr w:type="spellEnd"/>
            <w:r>
              <w:t xml:space="preserve"> System scheduled for 2013</w:t>
            </w:r>
            <w:r w:rsidR="00AA68A5">
              <w:noBreakHyphen/>
            </w:r>
            <w:r>
              <w:t>14.</w:t>
            </w:r>
          </w:p>
          <w:p w:rsidR="00AC24F8" w:rsidRDefault="00AC24F8" w:rsidP="00AC24F8">
            <w:pPr>
              <w:pStyle w:val="Jurisdictioncommentsbodytext"/>
              <w:spacing w:after="120"/>
            </w:pPr>
            <w:r>
              <w:t xml:space="preserve">South Australia has continued to build the interface between </w:t>
            </w:r>
            <w:proofErr w:type="spellStart"/>
            <w:r>
              <w:t>Access2HomeCare</w:t>
            </w:r>
            <w:proofErr w:type="spellEnd"/>
            <w:r>
              <w:t xml:space="preserve"> (</w:t>
            </w:r>
            <w:proofErr w:type="spellStart"/>
            <w:r>
              <w:t>A2HC</w:t>
            </w:r>
            <w:proofErr w:type="spellEnd"/>
            <w:r>
              <w:t>) and the ACATs, with the rollout of this service to all country ACATs during 2012</w:t>
            </w:r>
            <w:r w:rsidR="00AA68A5">
              <w:noBreakHyphen/>
            </w:r>
            <w:r>
              <w:t xml:space="preserve">13. </w:t>
            </w:r>
            <w:proofErr w:type="spellStart"/>
            <w:r>
              <w:t>A2HC</w:t>
            </w:r>
            <w:proofErr w:type="spellEnd"/>
            <w:r>
              <w:t xml:space="preserve"> is now the </w:t>
            </w:r>
            <w:proofErr w:type="spellStart"/>
            <w:r>
              <w:t>state</w:t>
            </w:r>
            <w:r w:rsidR="00AA68A5">
              <w:noBreakHyphen/>
            </w:r>
            <w:r>
              <w:t>wide</w:t>
            </w:r>
            <w:proofErr w:type="spellEnd"/>
            <w:r>
              <w:t xml:space="preserve"> single entry point for South Australian ACAT referrals. </w:t>
            </w:r>
          </w:p>
          <w:p w:rsidR="00AC24F8" w:rsidRDefault="00AC24F8" w:rsidP="00AC24F8">
            <w:pPr>
              <w:pStyle w:val="Jurisdictioncommentsbodytext"/>
              <w:spacing w:after="120"/>
            </w:pPr>
            <w:r>
              <w:t>South Australia has continued collaboration with the Commonwealth on advancing the national Living Longer. Living Better reform agenda in aged care including piloting the Assessment Framework Tool proposed as part of the National Aged Care Gateway initiative.</w:t>
            </w:r>
          </w:p>
          <w:p w:rsidR="00AC24F8" w:rsidRDefault="00AC24F8" w:rsidP="00AC24F8">
            <w:pPr>
              <w:pStyle w:val="Jurisdictioncommentsbodytext"/>
              <w:spacing w:after="120"/>
            </w:pPr>
            <w:r>
              <w:t xml:space="preserve">SA Health has been considering the ways of integrating the </w:t>
            </w:r>
            <w:r w:rsidRPr="00AC24F8">
              <w:rPr>
                <w:i/>
              </w:rPr>
              <w:t>Living Longer, Living Better</w:t>
            </w:r>
            <w:r>
              <w:t xml:space="preserve"> reform agenda complementing a range of state based initiatives underway. This work continues with a focus on developing protocols that ensure high quality care at the acute care</w:t>
            </w:r>
            <w:r w:rsidR="00AA68A5">
              <w:noBreakHyphen/>
            </w:r>
            <w:r>
              <w:t xml:space="preserve">aged care interface. </w:t>
            </w:r>
          </w:p>
          <w:p w:rsidR="00AC24F8" w:rsidRDefault="00AC24F8" w:rsidP="00AC24F8">
            <w:pPr>
              <w:pStyle w:val="Jurisdictioncommentsbodytext"/>
              <w:spacing w:after="120"/>
            </w:pPr>
            <w:r>
              <w:t>SA Health continues to strengthen the Transition Care program (TCP) demonstrating the second highest National average for occupancy levels for 2012</w:t>
            </w:r>
            <w:r w:rsidR="00AA68A5">
              <w:noBreakHyphen/>
            </w:r>
            <w:r>
              <w:t xml:space="preserve">13 with over 2000 people receiving services through TCP. SA Health has established a new provider panel based on a high level of quality service provision. </w:t>
            </w:r>
          </w:p>
          <w:p w:rsidR="00AC24F8" w:rsidRDefault="00AC24F8" w:rsidP="00AC24F8">
            <w:pPr>
              <w:pStyle w:val="Jurisdictioncommentsbodytext"/>
            </w:pPr>
            <w:r>
              <w:t xml:space="preserve">Work on the preparation of the new </w:t>
            </w:r>
            <w:proofErr w:type="spellStart"/>
            <w:r>
              <w:t>state</w:t>
            </w:r>
            <w:r w:rsidR="00AA68A5">
              <w:noBreakHyphen/>
            </w:r>
            <w:r>
              <w:t>wide</w:t>
            </w:r>
            <w:proofErr w:type="spellEnd"/>
            <w:r>
              <w:t xml:space="preserve"> ageing plan for South Australia began during 2012</w:t>
            </w:r>
            <w:r w:rsidR="00AA68A5">
              <w:noBreakHyphen/>
            </w:r>
            <w:r>
              <w:t xml:space="preserve">13. Prosperity Through Longevity: South Australia’s Ageing Plan: our vision was launched in October 2013. </w:t>
            </w:r>
          </w:p>
          <w:p w:rsidR="00A12C8F" w:rsidRPr="0055325B" w:rsidRDefault="00AC24F8" w:rsidP="00AC24F8">
            <w:pPr>
              <w:pStyle w:val="Jurisdictioncommentsbodytext"/>
            </w:pPr>
            <w:r>
              <w:t>A steering committee was established to review and update the existing Our Actions to Prevent the Abuse of Older People framework 2007, leading to the development draft for consultation of the South Australian Strategy for Safeguarding Older People 2014</w:t>
            </w:r>
            <w:r w:rsidR="00AA68A5">
              <w:t>–</w:t>
            </w:r>
            <w:r>
              <w:t>2021. It is anticipated that the strategy will be completed during 2013</w:t>
            </w:r>
            <w:r w:rsidR="00AA68A5">
              <w:noBreakHyphen/>
            </w:r>
            <w:r>
              <w:t>14.</w:t>
            </w:r>
          </w:p>
        </w:tc>
        <w:tc>
          <w:tcPr>
            <w:tcW w:w="850" w:type="dxa"/>
          </w:tcPr>
          <w:p w:rsidR="00751428" w:rsidRDefault="00A12C8F" w:rsidP="002501A2">
            <w:pPr>
              <w:pStyle w:val="BodyText"/>
              <w:spacing w:before="0" w:line="240" w:lineRule="auto"/>
              <w:jc w:val="left"/>
              <w:rPr>
                <w:rFonts w:ascii="Arial" w:hAnsi="Arial"/>
                <w:sz w:val="24"/>
              </w:rPr>
            </w:pP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00F96CE7">
              <w:rPr>
                <w:rFonts w:ascii="Arial" w:hAnsi="Arial"/>
                <w:sz w:val="24"/>
              </w:rPr>
              <w:br/>
            </w:r>
            <w:r w:rsidR="0055325B">
              <w:rPr>
                <w:rFonts w:ascii="Arial" w:hAnsi="Arial"/>
                <w:sz w:val="24"/>
              </w:rPr>
              <w:br/>
            </w:r>
          </w:p>
          <w:p w:rsidR="00751428" w:rsidRDefault="00751428" w:rsidP="002501A2">
            <w:pPr>
              <w:pStyle w:val="BodyText"/>
              <w:spacing w:before="0" w:line="240" w:lineRule="auto"/>
              <w:jc w:val="left"/>
              <w:rPr>
                <w:rFonts w:ascii="Arial" w:hAnsi="Arial"/>
                <w:sz w:val="24"/>
              </w:rPr>
            </w:pPr>
          </w:p>
          <w:p w:rsidR="00751428" w:rsidRDefault="00751428" w:rsidP="002501A2">
            <w:pPr>
              <w:pStyle w:val="BodyText"/>
              <w:spacing w:before="0" w:line="240" w:lineRule="auto"/>
              <w:jc w:val="left"/>
              <w:rPr>
                <w:rFonts w:ascii="Arial" w:hAnsi="Arial"/>
                <w:sz w:val="24"/>
              </w:rPr>
            </w:pPr>
          </w:p>
          <w:p w:rsidR="00751428" w:rsidRDefault="00751428" w:rsidP="002501A2">
            <w:pPr>
              <w:pStyle w:val="BodyText"/>
              <w:spacing w:before="0" w:line="240" w:lineRule="auto"/>
              <w:jc w:val="left"/>
              <w:rPr>
                <w:rFonts w:ascii="Arial" w:hAnsi="Arial"/>
                <w:sz w:val="24"/>
              </w:rPr>
            </w:pPr>
          </w:p>
          <w:p w:rsidR="0055325B" w:rsidRDefault="00FC015C" w:rsidP="002501A2">
            <w:pPr>
              <w:pStyle w:val="BodyText"/>
              <w:spacing w:before="0" w:line="240" w:lineRule="auto"/>
              <w:jc w:val="left"/>
              <w:rPr>
                <w:rFonts w:ascii="Arial" w:hAnsi="Arial"/>
                <w:sz w:val="24"/>
              </w:rPr>
            </w:pPr>
            <w:r>
              <w:rPr>
                <w:rFonts w:ascii="Arial" w:hAnsi="Arial"/>
                <w:sz w:val="24"/>
              </w:rPr>
              <w:br/>
            </w:r>
          </w:p>
          <w:p w:rsidR="00A12C8F" w:rsidRPr="00763B44" w:rsidRDefault="00A12C8F" w:rsidP="002501A2">
            <w:pPr>
              <w:pStyle w:val="BodyText"/>
              <w:spacing w:before="0" w:line="240" w:lineRule="auto"/>
              <w:jc w:val="left"/>
              <w:rPr>
                <w:sz w:val="132"/>
              </w:rPr>
            </w:pPr>
            <w:r>
              <w:rPr>
                <w:rFonts w:ascii="Arial" w:hAnsi="Arial"/>
                <w:sz w:val="24"/>
              </w:rPr>
              <w:br/>
            </w:r>
            <w:r w:rsidRPr="00763B44">
              <w:rPr>
                <w:b/>
                <w:sz w:val="132"/>
              </w:rPr>
              <w:t>”</w:t>
            </w:r>
          </w:p>
        </w:tc>
      </w:tr>
      <w:tr w:rsidR="00A12C8F" w:rsidRPr="00763B44" w:rsidTr="004B2A1E">
        <w:trPr>
          <w:cantSplit/>
          <w:trHeight w:val="329"/>
        </w:trPr>
        <w:tc>
          <w:tcPr>
            <w:tcW w:w="993" w:type="dxa"/>
            <w:vMerge w:val="restart"/>
          </w:tcPr>
          <w:p w:rsidR="00A12C8F" w:rsidRPr="00763B44" w:rsidRDefault="00A12C8F" w:rsidP="002501A2">
            <w:pPr>
              <w:pStyle w:val="BodyText"/>
              <w:jc w:val="right"/>
              <w:rPr>
                <w:rFonts w:ascii="Arial" w:hAnsi="Arial"/>
                <w:b/>
              </w:rPr>
            </w:pPr>
            <w:r>
              <w:lastRenderedPageBreak/>
              <w:br w:type="page"/>
            </w:r>
            <w:r w:rsidRPr="00763B44">
              <w:rPr>
                <w:b/>
                <w:sz w:val="132"/>
              </w:rPr>
              <w:t>“</w:t>
            </w:r>
          </w:p>
        </w:tc>
        <w:tc>
          <w:tcPr>
            <w:tcW w:w="8789" w:type="dxa"/>
          </w:tcPr>
          <w:p w:rsidR="00A12C8F" w:rsidRPr="00763B44" w:rsidRDefault="00A12C8F" w:rsidP="002501A2">
            <w:pPr>
              <w:pStyle w:val="Jurisdictioncommentsheading"/>
            </w:pPr>
            <w:r>
              <w:t>Tasmanian</w:t>
            </w:r>
            <w:r w:rsidRPr="004E3A21">
              <w:t xml:space="preserve"> Government comments</w:t>
            </w:r>
          </w:p>
        </w:tc>
        <w:tc>
          <w:tcPr>
            <w:tcW w:w="850" w:type="dxa"/>
          </w:tcPr>
          <w:p w:rsidR="00A12C8F" w:rsidRPr="00763B44" w:rsidRDefault="00A12C8F" w:rsidP="002501A2">
            <w:pPr>
              <w:pStyle w:val="BodyText"/>
              <w:spacing w:before="0" w:after="140"/>
              <w:jc w:val="left"/>
              <w:rPr>
                <w:rFonts w:ascii="Arial" w:hAnsi="Arial"/>
                <w:b/>
              </w:rPr>
            </w:pPr>
          </w:p>
        </w:tc>
      </w:tr>
      <w:tr w:rsidR="00A12C8F" w:rsidRPr="00763B44" w:rsidTr="004B2A1E">
        <w:trPr>
          <w:cantSplit/>
          <w:trHeight w:hRule="exact" w:val="12781"/>
        </w:trPr>
        <w:tc>
          <w:tcPr>
            <w:tcW w:w="993" w:type="dxa"/>
            <w:vMerge/>
          </w:tcPr>
          <w:p w:rsidR="00A12C8F" w:rsidRPr="00763B44" w:rsidRDefault="00A12C8F" w:rsidP="002501A2">
            <w:pPr>
              <w:pStyle w:val="BodyText"/>
              <w:spacing w:before="0" w:line="240" w:lineRule="auto"/>
              <w:jc w:val="right"/>
              <w:rPr>
                <w:sz w:val="132"/>
              </w:rPr>
            </w:pPr>
          </w:p>
        </w:tc>
        <w:tc>
          <w:tcPr>
            <w:tcW w:w="8789" w:type="dxa"/>
          </w:tcPr>
          <w:p w:rsidR="00A075B0" w:rsidRPr="00A075B0" w:rsidRDefault="00A075B0" w:rsidP="00292B57">
            <w:pPr>
              <w:pStyle w:val="ListBullet"/>
              <w:spacing w:before="140" w:line="240" w:lineRule="auto"/>
              <w:rPr>
                <w:rFonts w:ascii="Arial" w:hAnsi="Arial" w:cs="Arial"/>
                <w:sz w:val="24"/>
                <w:szCs w:val="24"/>
              </w:rPr>
            </w:pPr>
            <w:r w:rsidRPr="00A075B0">
              <w:rPr>
                <w:rFonts w:ascii="Arial" w:hAnsi="Arial" w:cs="Arial"/>
                <w:sz w:val="24"/>
                <w:szCs w:val="24"/>
              </w:rPr>
              <w:t>Tasmania’s population is ageing more rapidly than any other Australian jurisdiction. The median age is the highest in the nation and it is anticipated that future demand for aged care services will increase at a significantly faster rate than currently planned increases in their supply.</w:t>
            </w:r>
            <w:r w:rsidR="00926F6B">
              <w:rPr>
                <w:rFonts w:ascii="Arial" w:hAnsi="Arial" w:cs="Arial"/>
                <w:sz w:val="24"/>
                <w:szCs w:val="24"/>
              </w:rPr>
              <w:t xml:space="preserve"> </w:t>
            </w:r>
            <w:r w:rsidRPr="00A075B0">
              <w:rPr>
                <w:rFonts w:ascii="Arial" w:hAnsi="Arial" w:cs="Arial"/>
                <w:sz w:val="24"/>
                <w:szCs w:val="24"/>
              </w:rPr>
              <w:t>Tasmania is also likely to have more people per capita with dementia than any other sta</w:t>
            </w:r>
            <w:r w:rsidR="00AA68A5">
              <w:rPr>
                <w:rFonts w:ascii="Arial" w:hAnsi="Arial" w:cs="Arial"/>
                <w:sz w:val="24"/>
                <w:szCs w:val="24"/>
              </w:rPr>
              <w:t>te or territory, growing from 6</w:t>
            </w:r>
            <w:r w:rsidRPr="00A075B0">
              <w:rPr>
                <w:rFonts w:ascii="Arial" w:hAnsi="Arial" w:cs="Arial"/>
                <w:sz w:val="24"/>
                <w:szCs w:val="24"/>
              </w:rPr>
              <w:t>000 in 2010 to 15 000 by 2030.</w:t>
            </w:r>
            <w:r w:rsidR="00926F6B">
              <w:rPr>
                <w:rFonts w:ascii="Arial" w:hAnsi="Arial" w:cs="Arial"/>
                <w:sz w:val="24"/>
                <w:szCs w:val="24"/>
              </w:rPr>
              <w:t xml:space="preserve"> </w:t>
            </w:r>
          </w:p>
          <w:p w:rsidR="00A075B0" w:rsidRPr="00A075B0" w:rsidRDefault="00A075B0" w:rsidP="00292B57">
            <w:pPr>
              <w:pStyle w:val="ListBullet"/>
              <w:spacing w:before="140" w:line="240" w:lineRule="auto"/>
              <w:rPr>
                <w:rFonts w:ascii="Arial" w:hAnsi="Arial" w:cs="Arial"/>
                <w:sz w:val="24"/>
                <w:szCs w:val="24"/>
              </w:rPr>
            </w:pPr>
            <w:r w:rsidRPr="00A075B0">
              <w:rPr>
                <w:rFonts w:ascii="Arial" w:hAnsi="Arial" w:cs="Arial"/>
                <w:sz w:val="24"/>
                <w:szCs w:val="24"/>
              </w:rPr>
              <w:t>Population ageing will continue to have a significant impact on hospitalisation rates in Tasmania. While the Australian Government has assumed full funding and management responsibility for the provision of aged care services to people over 65 years of age, the Tasmanian Government retains a strong interest in those services and their impact on the broader health and human services system.</w:t>
            </w:r>
            <w:r w:rsidR="00926F6B">
              <w:rPr>
                <w:rFonts w:ascii="Arial" w:hAnsi="Arial" w:cs="Arial"/>
                <w:sz w:val="24"/>
                <w:szCs w:val="24"/>
              </w:rPr>
              <w:t xml:space="preserve"> </w:t>
            </w:r>
          </w:p>
          <w:p w:rsidR="00A075B0" w:rsidRPr="00A075B0" w:rsidRDefault="00A075B0" w:rsidP="00292B57">
            <w:pPr>
              <w:pStyle w:val="ListBullet"/>
              <w:spacing w:before="140" w:line="240" w:lineRule="auto"/>
              <w:rPr>
                <w:rFonts w:ascii="Arial" w:hAnsi="Arial" w:cs="Arial"/>
                <w:sz w:val="24"/>
                <w:szCs w:val="24"/>
              </w:rPr>
            </w:pPr>
            <w:r w:rsidRPr="00A075B0">
              <w:rPr>
                <w:rFonts w:ascii="Arial" w:hAnsi="Arial" w:cs="Arial"/>
                <w:sz w:val="24"/>
                <w:szCs w:val="24"/>
              </w:rPr>
              <w:t>It is likely that there will continue to be a degree of complexity at the interface between aged care and health services for older people and their families.</w:t>
            </w:r>
            <w:r w:rsidR="00926F6B">
              <w:rPr>
                <w:rFonts w:ascii="Arial" w:hAnsi="Arial" w:cs="Arial"/>
                <w:sz w:val="24"/>
                <w:szCs w:val="24"/>
              </w:rPr>
              <w:t xml:space="preserve"> </w:t>
            </w:r>
            <w:r w:rsidRPr="00A075B0">
              <w:rPr>
                <w:rFonts w:ascii="Arial" w:hAnsi="Arial" w:cs="Arial"/>
                <w:sz w:val="24"/>
                <w:szCs w:val="24"/>
              </w:rPr>
              <w:t>With increasing demand associated with the ageing of the population, it is important that avoidable hospitalisations and long</w:t>
            </w:r>
            <w:r w:rsidR="00AA68A5">
              <w:rPr>
                <w:rFonts w:ascii="Arial" w:hAnsi="Arial" w:cs="Arial"/>
                <w:sz w:val="24"/>
                <w:szCs w:val="24"/>
              </w:rPr>
              <w:noBreakHyphen/>
            </w:r>
            <w:r w:rsidRPr="00A075B0">
              <w:rPr>
                <w:rFonts w:ascii="Arial" w:hAnsi="Arial" w:cs="Arial"/>
                <w:sz w:val="24"/>
                <w:szCs w:val="24"/>
              </w:rPr>
              <w:t>stays by older people are minimised and well managed.</w:t>
            </w:r>
            <w:r w:rsidR="00926F6B">
              <w:rPr>
                <w:rFonts w:ascii="Arial" w:hAnsi="Arial" w:cs="Arial"/>
                <w:sz w:val="24"/>
                <w:szCs w:val="24"/>
              </w:rPr>
              <w:t xml:space="preserve"> </w:t>
            </w:r>
            <w:r w:rsidRPr="00A075B0">
              <w:rPr>
                <w:rFonts w:ascii="Arial" w:hAnsi="Arial" w:cs="Arial"/>
                <w:sz w:val="24"/>
                <w:szCs w:val="24"/>
              </w:rPr>
              <w:t>Accordingly, in 2012</w:t>
            </w:r>
            <w:r w:rsidR="00AA68A5">
              <w:rPr>
                <w:rFonts w:ascii="Arial" w:hAnsi="Arial" w:cs="Arial"/>
                <w:sz w:val="24"/>
                <w:szCs w:val="24"/>
              </w:rPr>
              <w:noBreakHyphen/>
            </w:r>
            <w:r w:rsidRPr="00A075B0">
              <w:rPr>
                <w:rFonts w:ascii="Arial" w:hAnsi="Arial" w:cs="Arial"/>
                <w:sz w:val="24"/>
                <w:szCs w:val="24"/>
              </w:rPr>
              <w:t>13, the Tasmanian Government has continued to make a considerable investment</w:t>
            </w:r>
            <w:r w:rsidRPr="00A075B0" w:rsidDel="00FC659D">
              <w:rPr>
                <w:rFonts w:ascii="Arial" w:hAnsi="Arial" w:cs="Arial"/>
                <w:sz w:val="24"/>
                <w:szCs w:val="24"/>
              </w:rPr>
              <w:t xml:space="preserve"> </w:t>
            </w:r>
            <w:r w:rsidRPr="00A075B0">
              <w:rPr>
                <w:rFonts w:ascii="Arial" w:hAnsi="Arial" w:cs="Arial"/>
                <w:sz w:val="24"/>
                <w:szCs w:val="24"/>
              </w:rPr>
              <w:t>in the jointly</w:t>
            </w:r>
            <w:r w:rsidR="00AA68A5">
              <w:rPr>
                <w:rFonts w:ascii="Arial" w:hAnsi="Arial" w:cs="Arial"/>
                <w:sz w:val="24"/>
                <w:szCs w:val="24"/>
              </w:rPr>
              <w:noBreakHyphen/>
            </w:r>
            <w:r w:rsidRPr="00A075B0">
              <w:rPr>
                <w:rFonts w:ascii="Arial" w:hAnsi="Arial" w:cs="Arial"/>
                <w:sz w:val="24"/>
                <w:szCs w:val="24"/>
              </w:rPr>
              <w:t xml:space="preserve">funded Transition Care Program. </w:t>
            </w:r>
          </w:p>
          <w:p w:rsidR="00A075B0" w:rsidRPr="00A075B0" w:rsidRDefault="00A075B0" w:rsidP="00292B57">
            <w:pPr>
              <w:pStyle w:val="ListBullet"/>
              <w:spacing w:before="140" w:line="240" w:lineRule="auto"/>
              <w:rPr>
                <w:rFonts w:ascii="Arial" w:hAnsi="Arial" w:cs="Arial"/>
                <w:sz w:val="24"/>
                <w:szCs w:val="24"/>
              </w:rPr>
            </w:pPr>
            <w:r w:rsidRPr="00A075B0">
              <w:rPr>
                <w:rFonts w:ascii="Arial" w:hAnsi="Arial" w:cs="Arial"/>
                <w:sz w:val="24"/>
                <w:szCs w:val="24"/>
              </w:rPr>
              <w:t>Since 2007, the Australian Government funded Long Stay Older Patients (LSOP) initiatives have also underpinned effective programs in Tasmania diverting older people away from, or reducing their necessary stay in hospital care. Tasmania’s hospitals have also implemented their own strategies, such as purchasing temporary beds in private aged care facilities to facilitate the transition for older people from hospital to home or into residential care.</w:t>
            </w:r>
          </w:p>
          <w:p w:rsidR="00A075B0" w:rsidRPr="00A075B0" w:rsidRDefault="00A075B0" w:rsidP="00292B57">
            <w:pPr>
              <w:pStyle w:val="ListBullet"/>
              <w:spacing w:before="140" w:line="240" w:lineRule="auto"/>
              <w:rPr>
                <w:rFonts w:ascii="Arial" w:hAnsi="Arial" w:cs="Arial"/>
                <w:sz w:val="24"/>
                <w:szCs w:val="24"/>
              </w:rPr>
            </w:pPr>
            <w:r w:rsidRPr="00A075B0">
              <w:rPr>
                <w:rFonts w:ascii="Arial" w:hAnsi="Arial" w:cs="Arial"/>
                <w:sz w:val="24"/>
                <w:szCs w:val="24"/>
              </w:rPr>
              <w:t xml:space="preserve">The current funding provided through the </w:t>
            </w:r>
            <w:r w:rsidRPr="00A075B0">
              <w:rPr>
                <w:rFonts w:ascii="Arial" w:hAnsi="Arial" w:cs="Arial"/>
                <w:i/>
                <w:iCs/>
                <w:sz w:val="24"/>
                <w:szCs w:val="24"/>
              </w:rPr>
              <w:t>National Partnership Agreement (on Financial Assistance for LSOP ― 2011</w:t>
            </w:r>
            <w:r w:rsidR="00AA68A5">
              <w:rPr>
                <w:rFonts w:ascii="Arial" w:hAnsi="Arial" w:cs="Arial"/>
                <w:i/>
                <w:iCs/>
                <w:sz w:val="24"/>
                <w:szCs w:val="24"/>
              </w:rPr>
              <w:noBreakHyphen/>
            </w:r>
            <w:r w:rsidRPr="00A075B0">
              <w:rPr>
                <w:rFonts w:ascii="Arial" w:hAnsi="Arial" w:cs="Arial"/>
                <w:i/>
                <w:iCs/>
                <w:sz w:val="24"/>
                <w:szCs w:val="24"/>
              </w:rPr>
              <w:t>12 to 2013</w:t>
            </w:r>
            <w:r w:rsidR="00AA68A5">
              <w:rPr>
                <w:rFonts w:ascii="Arial" w:hAnsi="Arial" w:cs="Arial"/>
                <w:i/>
                <w:iCs/>
                <w:sz w:val="24"/>
                <w:szCs w:val="24"/>
              </w:rPr>
              <w:noBreakHyphen/>
            </w:r>
            <w:r w:rsidRPr="00A075B0">
              <w:rPr>
                <w:rFonts w:ascii="Arial" w:hAnsi="Arial" w:cs="Arial"/>
                <w:i/>
                <w:iCs/>
                <w:sz w:val="24"/>
                <w:szCs w:val="24"/>
              </w:rPr>
              <w:t>14,</w:t>
            </w:r>
            <w:r w:rsidRPr="00A075B0">
              <w:rPr>
                <w:rFonts w:ascii="Arial" w:hAnsi="Arial" w:cs="Arial"/>
                <w:sz w:val="24"/>
                <w:szCs w:val="24"/>
              </w:rPr>
              <w:t xml:space="preserve"> has enabled Tasmania to support older patients in public hospitals who no longer require acute or subacute care and who are waiting for residential aged care.</w:t>
            </w:r>
            <w:r w:rsidR="00926F6B">
              <w:rPr>
                <w:rFonts w:ascii="Arial" w:hAnsi="Arial" w:cs="Arial"/>
                <w:sz w:val="24"/>
                <w:szCs w:val="24"/>
              </w:rPr>
              <w:t xml:space="preserve"> </w:t>
            </w:r>
            <w:r w:rsidRPr="00A075B0">
              <w:rPr>
                <w:rFonts w:ascii="Arial" w:hAnsi="Arial" w:cs="Arial"/>
                <w:sz w:val="24"/>
                <w:szCs w:val="24"/>
              </w:rPr>
              <w:t xml:space="preserve">As noted in the body of this chapter, most State and Territory governments report that this Commonwealth funding has enabled the implementation of valuable interventions to mitigate the LSOP problem. </w:t>
            </w:r>
          </w:p>
          <w:p w:rsidR="00A075B0" w:rsidRPr="00A075B0" w:rsidRDefault="00A075B0" w:rsidP="00292B57">
            <w:pPr>
              <w:pStyle w:val="ListBullet"/>
              <w:spacing w:before="140" w:line="240" w:lineRule="auto"/>
              <w:rPr>
                <w:rFonts w:ascii="Arial" w:hAnsi="Arial" w:cs="Arial"/>
                <w:sz w:val="24"/>
                <w:szCs w:val="24"/>
              </w:rPr>
            </w:pPr>
            <w:r w:rsidRPr="00A075B0">
              <w:rPr>
                <w:rFonts w:ascii="Arial" w:hAnsi="Arial" w:cs="Arial"/>
                <w:sz w:val="24"/>
                <w:szCs w:val="24"/>
              </w:rPr>
              <w:t>This has certainly been the case in Tasmania where the number of long stay older patients has more than halved between 2006 and 2013.</w:t>
            </w:r>
            <w:r w:rsidR="00926F6B">
              <w:rPr>
                <w:rFonts w:ascii="Arial" w:hAnsi="Arial" w:cs="Arial"/>
                <w:sz w:val="24"/>
                <w:szCs w:val="24"/>
              </w:rPr>
              <w:t xml:space="preserve"> </w:t>
            </w:r>
            <w:r w:rsidRPr="00A075B0">
              <w:rPr>
                <w:rFonts w:ascii="Arial" w:hAnsi="Arial" w:cs="Arial"/>
                <w:sz w:val="24"/>
                <w:szCs w:val="24"/>
              </w:rPr>
              <w:t>Even so, over the course of 2012</w:t>
            </w:r>
            <w:r w:rsidR="00AA68A5">
              <w:rPr>
                <w:rFonts w:ascii="Arial" w:hAnsi="Arial" w:cs="Arial"/>
                <w:sz w:val="24"/>
                <w:szCs w:val="24"/>
              </w:rPr>
              <w:noBreakHyphen/>
            </w:r>
            <w:r w:rsidRPr="00A075B0">
              <w:rPr>
                <w:rFonts w:ascii="Arial" w:hAnsi="Arial" w:cs="Arial"/>
                <w:sz w:val="24"/>
                <w:szCs w:val="24"/>
              </w:rPr>
              <w:t>13, Tasmania’s public hospitals still had 595 long stay older patients waiting an aggregate of just under 18 000 days between ACAT approval and discharge.</w:t>
            </w:r>
          </w:p>
          <w:p w:rsidR="00A12C8F" w:rsidRPr="00CB3AB1" w:rsidRDefault="00A075B0" w:rsidP="00292B57">
            <w:pPr>
              <w:pStyle w:val="ListBullet"/>
              <w:spacing w:before="140" w:line="240" w:lineRule="auto"/>
            </w:pPr>
            <w:r w:rsidRPr="00A075B0">
              <w:rPr>
                <w:rFonts w:ascii="Arial" w:hAnsi="Arial" w:cs="Arial"/>
                <w:sz w:val="24"/>
                <w:szCs w:val="24"/>
              </w:rPr>
              <w:t>The Tasmanian Government is concerned that, following the expiry of the current funding arrangement in June 2014, the successful programs now in place will be at risk and that the numbers of older people ‘stranded’ in hospital will, unfortunately, again increase due to an unavailability of safe and appropriate aged care services.</w:t>
            </w:r>
          </w:p>
        </w:tc>
        <w:tc>
          <w:tcPr>
            <w:tcW w:w="850" w:type="dxa"/>
          </w:tcPr>
          <w:p w:rsidR="00A12C8F" w:rsidRPr="00763B44" w:rsidRDefault="00A12C8F" w:rsidP="002501A2">
            <w:pPr>
              <w:pStyle w:val="BodyText"/>
              <w:spacing w:before="0" w:line="240" w:lineRule="auto"/>
              <w:jc w:val="left"/>
              <w:rPr>
                <w:sz w:val="132"/>
              </w:rPr>
            </w:pP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sidR="00C41F5F">
              <w:rPr>
                <w:rFonts w:ascii="Arial" w:hAnsi="Arial"/>
                <w:sz w:val="24"/>
              </w:rPr>
              <w:br/>
            </w:r>
            <w:r w:rsidR="00E87927">
              <w:rPr>
                <w:rFonts w:ascii="Arial" w:hAnsi="Arial"/>
                <w:sz w:val="24"/>
              </w:rPr>
              <w:br/>
            </w:r>
            <w:r w:rsidR="00E87927">
              <w:rPr>
                <w:rFonts w:ascii="Arial" w:hAnsi="Arial"/>
                <w:sz w:val="24"/>
              </w:rPr>
              <w:br/>
            </w:r>
            <w:r w:rsidR="00E87927">
              <w:rPr>
                <w:rFonts w:ascii="Arial" w:hAnsi="Arial"/>
                <w:sz w:val="24"/>
              </w:rPr>
              <w:br/>
            </w:r>
            <w:r w:rsidR="00E87927">
              <w:rPr>
                <w:rFonts w:ascii="Arial" w:hAnsi="Arial"/>
                <w:sz w:val="24"/>
              </w:rPr>
              <w:br/>
            </w:r>
            <w:r w:rsidR="00E87927">
              <w:rPr>
                <w:rFonts w:ascii="Arial" w:hAnsi="Arial"/>
                <w:sz w:val="24"/>
              </w:rPr>
              <w:br/>
            </w:r>
            <w:r w:rsidR="00E87927">
              <w:rPr>
                <w:rFonts w:ascii="Arial" w:hAnsi="Arial"/>
                <w:sz w:val="24"/>
              </w:rPr>
              <w:br/>
            </w:r>
            <w:r w:rsidR="00F052C2">
              <w:rPr>
                <w:rFonts w:ascii="Arial" w:hAnsi="Arial"/>
                <w:sz w:val="24"/>
              </w:rPr>
              <w:br/>
            </w:r>
            <w:r w:rsidR="00C41F5F">
              <w:rPr>
                <w:rFonts w:ascii="Arial" w:hAnsi="Arial"/>
                <w:sz w:val="24"/>
              </w:rPr>
              <w:br/>
            </w:r>
            <w:r w:rsidRPr="00763B44">
              <w:rPr>
                <w:b/>
                <w:sz w:val="132"/>
              </w:rPr>
              <w:t>”</w:t>
            </w:r>
          </w:p>
        </w:tc>
      </w:tr>
      <w:tr w:rsidR="00A12C8F" w:rsidRPr="00763B44" w:rsidTr="00A12C8F">
        <w:trPr>
          <w:cantSplit/>
        </w:trPr>
        <w:tc>
          <w:tcPr>
            <w:tcW w:w="993" w:type="dxa"/>
            <w:vMerge w:val="restart"/>
          </w:tcPr>
          <w:p w:rsidR="00A12C8F" w:rsidRPr="00763B44" w:rsidRDefault="00A12C8F" w:rsidP="002501A2">
            <w:pPr>
              <w:pStyle w:val="BodyText"/>
              <w:jc w:val="right"/>
              <w:rPr>
                <w:rFonts w:ascii="Arial" w:hAnsi="Arial"/>
                <w:b/>
              </w:rPr>
            </w:pPr>
            <w:r>
              <w:lastRenderedPageBreak/>
              <w:br w:type="page"/>
            </w:r>
            <w:r w:rsidRPr="00763B44">
              <w:rPr>
                <w:b/>
                <w:sz w:val="132"/>
              </w:rPr>
              <w:t>“</w:t>
            </w:r>
          </w:p>
        </w:tc>
        <w:tc>
          <w:tcPr>
            <w:tcW w:w="8789" w:type="dxa"/>
          </w:tcPr>
          <w:p w:rsidR="00A12C8F" w:rsidRPr="00763B44" w:rsidRDefault="00A12C8F" w:rsidP="002501A2">
            <w:pPr>
              <w:pStyle w:val="Jurisdictioncommentsheading"/>
            </w:pPr>
            <w:r>
              <w:t>Australian</w:t>
            </w:r>
            <w:r w:rsidRPr="004E3A21">
              <w:t xml:space="preserve"> </w:t>
            </w:r>
            <w:r>
              <w:t xml:space="preserve">Capital Territory </w:t>
            </w:r>
            <w:r w:rsidRPr="004E3A21">
              <w:t>Government comments</w:t>
            </w:r>
          </w:p>
        </w:tc>
        <w:tc>
          <w:tcPr>
            <w:tcW w:w="850" w:type="dxa"/>
          </w:tcPr>
          <w:p w:rsidR="00A12C8F" w:rsidRPr="00763B44" w:rsidRDefault="00A12C8F" w:rsidP="002501A2">
            <w:pPr>
              <w:pStyle w:val="BodyText"/>
              <w:spacing w:before="0" w:after="140"/>
              <w:jc w:val="left"/>
              <w:rPr>
                <w:rFonts w:ascii="Arial" w:hAnsi="Arial"/>
                <w:b/>
              </w:rPr>
            </w:pPr>
          </w:p>
        </w:tc>
      </w:tr>
      <w:tr w:rsidR="00A12C8F" w:rsidRPr="00763B44" w:rsidTr="00A12C8F">
        <w:trPr>
          <w:cantSplit/>
          <w:trHeight w:hRule="exact" w:val="12443"/>
        </w:trPr>
        <w:tc>
          <w:tcPr>
            <w:tcW w:w="993" w:type="dxa"/>
            <w:vMerge/>
          </w:tcPr>
          <w:p w:rsidR="00A12C8F" w:rsidRPr="00763B44" w:rsidRDefault="00A12C8F" w:rsidP="002501A2">
            <w:pPr>
              <w:pStyle w:val="BodyText"/>
              <w:spacing w:before="0" w:line="240" w:lineRule="auto"/>
              <w:jc w:val="right"/>
              <w:rPr>
                <w:sz w:val="132"/>
              </w:rPr>
            </w:pPr>
          </w:p>
        </w:tc>
        <w:tc>
          <w:tcPr>
            <w:tcW w:w="8789" w:type="dxa"/>
          </w:tcPr>
          <w:p w:rsidR="00D25265" w:rsidRPr="00D25265" w:rsidRDefault="00D25265" w:rsidP="00D25265">
            <w:pPr>
              <w:pStyle w:val="ListBullet"/>
              <w:spacing w:before="140" w:line="240" w:lineRule="auto"/>
              <w:rPr>
                <w:rFonts w:ascii="Arial" w:hAnsi="Arial" w:cs="Arial"/>
                <w:bCs/>
                <w:sz w:val="24"/>
                <w:szCs w:val="24"/>
              </w:rPr>
            </w:pPr>
            <w:r w:rsidRPr="00D25265">
              <w:rPr>
                <w:rFonts w:ascii="Arial" w:hAnsi="Arial" w:cs="Arial"/>
                <w:sz w:val="24"/>
                <w:szCs w:val="24"/>
              </w:rPr>
              <w:t xml:space="preserve">Older citizens and their carers continue to be the focal point of the </w:t>
            </w:r>
            <w:r w:rsidRPr="00D25265">
              <w:rPr>
                <w:rFonts w:ascii="Arial" w:hAnsi="Arial" w:cs="Arial"/>
                <w:sz w:val="24"/>
                <w:szCs w:val="24"/>
              </w:rPr>
              <w:br w:type="textWrapping" w:clear="all"/>
            </w:r>
            <w:r w:rsidRPr="00D25265">
              <w:rPr>
                <w:rFonts w:ascii="Arial" w:hAnsi="Arial" w:cs="Arial"/>
                <w:i/>
                <w:sz w:val="24"/>
                <w:szCs w:val="24"/>
              </w:rPr>
              <w:t>ACT Strategic Plan for Positive Ageing 2010</w:t>
            </w:r>
            <w:r w:rsidR="00AA68A5">
              <w:rPr>
                <w:rFonts w:ascii="Arial" w:hAnsi="Arial" w:cs="Arial"/>
                <w:i/>
                <w:sz w:val="24"/>
                <w:szCs w:val="24"/>
              </w:rPr>
              <w:noBreakHyphen/>
            </w:r>
            <w:r w:rsidRPr="00D25265">
              <w:rPr>
                <w:rFonts w:ascii="Arial" w:hAnsi="Arial" w:cs="Arial"/>
                <w:i/>
                <w:sz w:val="24"/>
                <w:szCs w:val="24"/>
              </w:rPr>
              <w:t>14: Towards an Age</w:t>
            </w:r>
            <w:r w:rsidR="00AA68A5">
              <w:rPr>
                <w:rFonts w:ascii="Arial" w:hAnsi="Arial" w:cs="Arial"/>
                <w:i/>
                <w:sz w:val="24"/>
                <w:szCs w:val="24"/>
              </w:rPr>
              <w:noBreakHyphen/>
            </w:r>
            <w:r w:rsidRPr="00D25265">
              <w:rPr>
                <w:rFonts w:ascii="Arial" w:hAnsi="Arial" w:cs="Arial"/>
                <w:i/>
                <w:sz w:val="24"/>
                <w:szCs w:val="24"/>
              </w:rPr>
              <w:t>Friendly City</w:t>
            </w:r>
            <w:r w:rsidRPr="00D25265">
              <w:rPr>
                <w:rFonts w:ascii="Arial" w:hAnsi="Arial" w:cs="Arial"/>
                <w:sz w:val="24"/>
                <w:szCs w:val="24"/>
              </w:rPr>
              <w:t>. The Plan provides a framework of social inclusion and encompasses the United Nations Principles for Older Persons: independence, participation, care, self</w:t>
            </w:r>
            <w:r w:rsidR="00AA68A5">
              <w:rPr>
                <w:rFonts w:ascii="Arial" w:hAnsi="Arial" w:cs="Arial"/>
                <w:sz w:val="24"/>
                <w:szCs w:val="24"/>
              </w:rPr>
              <w:noBreakHyphen/>
            </w:r>
            <w:r w:rsidRPr="00D25265">
              <w:rPr>
                <w:rFonts w:ascii="Arial" w:hAnsi="Arial" w:cs="Arial"/>
                <w:sz w:val="24"/>
                <w:szCs w:val="24"/>
              </w:rPr>
              <w:t xml:space="preserve">fulfilment and dignity. </w:t>
            </w:r>
          </w:p>
          <w:p w:rsidR="00D25265" w:rsidRPr="00D25265" w:rsidRDefault="00D25265" w:rsidP="00D25265">
            <w:pPr>
              <w:pStyle w:val="ListBullet"/>
              <w:spacing w:before="140" w:line="240" w:lineRule="auto"/>
              <w:rPr>
                <w:rFonts w:ascii="Arial" w:hAnsi="Arial" w:cs="Arial"/>
                <w:bCs/>
                <w:sz w:val="24"/>
                <w:szCs w:val="24"/>
              </w:rPr>
            </w:pPr>
            <w:r w:rsidRPr="00D25265">
              <w:rPr>
                <w:rFonts w:ascii="Arial" w:hAnsi="Arial" w:cs="Arial"/>
                <w:bCs/>
                <w:sz w:val="24"/>
                <w:szCs w:val="24"/>
              </w:rPr>
              <w:t xml:space="preserve">This year has seen the launch of a new </w:t>
            </w:r>
            <w:r w:rsidRPr="00D25265">
              <w:rPr>
                <w:rFonts w:ascii="Arial" w:hAnsi="Arial" w:cs="Arial"/>
                <w:bCs/>
                <w:i/>
                <w:sz w:val="24"/>
                <w:szCs w:val="24"/>
              </w:rPr>
              <w:t xml:space="preserve">Palliative Care Services Plan: </w:t>
            </w:r>
            <w:r>
              <w:rPr>
                <w:rFonts w:ascii="Arial" w:hAnsi="Arial" w:cs="Arial"/>
                <w:bCs/>
                <w:i/>
                <w:sz w:val="24"/>
                <w:szCs w:val="24"/>
              </w:rPr>
              <w:br/>
            </w:r>
            <w:r w:rsidRPr="00D25265">
              <w:rPr>
                <w:rFonts w:ascii="Arial" w:hAnsi="Arial" w:cs="Arial"/>
                <w:bCs/>
                <w:i/>
                <w:sz w:val="24"/>
                <w:szCs w:val="24"/>
              </w:rPr>
              <w:t>2013</w:t>
            </w:r>
            <w:r w:rsidR="00AA68A5">
              <w:rPr>
                <w:rFonts w:ascii="Arial" w:hAnsi="Arial" w:cs="Arial"/>
                <w:bCs/>
                <w:i/>
                <w:sz w:val="24"/>
                <w:szCs w:val="24"/>
              </w:rPr>
              <w:noBreakHyphen/>
            </w:r>
            <w:r w:rsidRPr="00D25265">
              <w:rPr>
                <w:rFonts w:ascii="Arial" w:hAnsi="Arial" w:cs="Arial"/>
                <w:bCs/>
                <w:i/>
                <w:sz w:val="24"/>
                <w:szCs w:val="24"/>
              </w:rPr>
              <w:t>17</w:t>
            </w:r>
            <w:r w:rsidRPr="00D25265">
              <w:rPr>
                <w:rFonts w:ascii="Arial" w:hAnsi="Arial" w:cs="Arial"/>
                <w:bCs/>
                <w:sz w:val="24"/>
                <w:szCs w:val="24"/>
              </w:rPr>
              <w:t xml:space="preserve">, to provide strategic direction for the development of palliative care in the </w:t>
            </w:r>
            <w:r w:rsidRPr="00D25265">
              <w:rPr>
                <w:rFonts w:ascii="Arial" w:hAnsi="Arial" w:cs="Arial"/>
                <w:sz w:val="24"/>
                <w:szCs w:val="24"/>
              </w:rPr>
              <w:t>ACT</w:t>
            </w:r>
            <w:r w:rsidRPr="00D25265">
              <w:rPr>
                <w:rFonts w:ascii="Arial" w:hAnsi="Arial" w:cs="Arial"/>
                <w:bCs/>
                <w:sz w:val="24"/>
                <w:szCs w:val="24"/>
              </w:rPr>
              <w:t xml:space="preserve"> to best meet current and projected population needs. The Plan signals the need to develop greater capacity to respond to the needs of people and their families for end of life care in the community.</w:t>
            </w:r>
          </w:p>
          <w:p w:rsidR="00D25265" w:rsidRPr="00D25265" w:rsidRDefault="00D25265" w:rsidP="00D25265">
            <w:pPr>
              <w:pStyle w:val="ListBullet"/>
              <w:spacing w:before="140" w:line="240" w:lineRule="auto"/>
              <w:rPr>
                <w:rFonts w:ascii="Arial" w:hAnsi="Arial" w:cs="Arial"/>
                <w:bCs/>
                <w:i/>
                <w:sz w:val="24"/>
                <w:szCs w:val="24"/>
              </w:rPr>
            </w:pPr>
            <w:r>
              <w:rPr>
                <w:rFonts w:ascii="Arial" w:hAnsi="Arial" w:cs="Arial"/>
                <w:bCs/>
                <w:sz w:val="24"/>
                <w:szCs w:val="24"/>
              </w:rPr>
              <w:t xml:space="preserve">The </w:t>
            </w:r>
            <w:r w:rsidRPr="00807D8F">
              <w:rPr>
                <w:rFonts w:ascii="Arial" w:hAnsi="Arial" w:cs="Arial"/>
                <w:bCs/>
                <w:i/>
                <w:sz w:val="24"/>
                <w:szCs w:val="24"/>
              </w:rPr>
              <w:t xml:space="preserve">ACT Chronic Conditions Strategy – Improving Care and Support: </w:t>
            </w:r>
            <w:r>
              <w:rPr>
                <w:rFonts w:ascii="Arial" w:hAnsi="Arial" w:cs="Arial"/>
                <w:bCs/>
                <w:i/>
                <w:sz w:val="24"/>
                <w:szCs w:val="24"/>
              </w:rPr>
              <w:br/>
            </w:r>
            <w:r w:rsidRPr="00807D8F">
              <w:rPr>
                <w:rFonts w:ascii="Arial" w:hAnsi="Arial" w:cs="Arial"/>
                <w:bCs/>
                <w:i/>
                <w:sz w:val="24"/>
                <w:szCs w:val="24"/>
              </w:rPr>
              <w:t>2013</w:t>
            </w:r>
            <w:r w:rsidR="00AA68A5">
              <w:rPr>
                <w:rFonts w:ascii="Arial" w:hAnsi="Arial" w:cs="Arial"/>
                <w:bCs/>
                <w:i/>
                <w:sz w:val="24"/>
                <w:szCs w:val="24"/>
              </w:rPr>
              <w:noBreakHyphen/>
            </w:r>
            <w:r w:rsidRPr="00807D8F">
              <w:rPr>
                <w:rFonts w:ascii="Arial" w:hAnsi="Arial" w:cs="Arial"/>
                <w:bCs/>
                <w:i/>
                <w:sz w:val="24"/>
                <w:szCs w:val="24"/>
              </w:rPr>
              <w:t>18</w:t>
            </w:r>
            <w:r>
              <w:rPr>
                <w:rFonts w:ascii="Arial" w:hAnsi="Arial" w:cs="Arial"/>
                <w:bCs/>
                <w:sz w:val="24"/>
                <w:szCs w:val="24"/>
              </w:rPr>
              <w:t xml:space="preserve">, also launched this year, sets a direction for the care and support of those living with chronic conditions in the ACT. The prevalence of chronic conditions is increasing significantly and currently accounts for nearly 80 per cent of the total burden of disease and injury in the ACT. The Strategy provides a basis for improving the quality of support and management of chronic conditions in the ACT through a person centred approach. </w:t>
            </w:r>
          </w:p>
          <w:p w:rsidR="00D25265" w:rsidRPr="00D25265" w:rsidRDefault="00D25265" w:rsidP="00D25265">
            <w:pPr>
              <w:pStyle w:val="ListBullet"/>
              <w:spacing w:before="140" w:line="240" w:lineRule="auto"/>
              <w:rPr>
                <w:rFonts w:ascii="Arial" w:hAnsi="Arial" w:cs="Arial"/>
                <w:sz w:val="24"/>
                <w:szCs w:val="24"/>
              </w:rPr>
            </w:pPr>
            <w:r w:rsidRPr="00712D20">
              <w:rPr>
                <w:rFonts w:ascii="Arial" w:hAnsi="Arial" w:cs="Arial"/>
                <w:sz w:val="24"/>
                <w:szCs w:val="24"/>
              </w:rPr>
              <w:t xml:space="preserve">The </w:t>
            </w:r>
            <w:r w:rsidRPr="00D25265">
              <w:rPr>
                <w:rFonts w:ascii="Arial" w:hAnsi="Arial" w:cs="Arial"/>
                <w:bCs/>
                <w:sz w:val="24"/>
                <w:szCs w:val="24"/>
              </w:rPr>
              <w:t>recent</w:t>
            </w:r>
            <w:r>
              <w:rPr>
                <w:rFonts w:ascii="Arial" w:hAnsi="Arial" w:cs="Arial"/>
                <w:sz w:val="24"/>
                <w:szCs w:val="24"/>
              </w:rPr>
              <w:t xml:space="preserve"> </w:t>
            </w:r>
            <w:r w:rsidRPr="00712D20">
              <w:rPr>
                <w:rFonts w:ascii="Arial" w:hAnsi="Arial" w:cs="Arial"/>
                <w:sz w:val="24"/>
                <w:szCs w:val="24"/>
              </w:rPr>
              <w:t>2012</w:t>
            </w:r>
            <w:r w:rsidR="00AA68A5">
              <w:rPr>
                <w:rFonts w:ascii="Arial" w:hAnsi="Arial" w:cs="Arial"/>
                <w:sz w:val="24"/>
                <w:szCs w:val="24"/>
              </w:rPr>
              <w:noBreakHyphen/>
            </w:r>
            <w:r w:rsidRPr="00712D20">
              <w:rPr>
                <w:rFonts w:ascii="Arial" w:hAnsi="Arial" w:cs="Arial"/>
                <w:sz w:val="24"/>
                <w:szCs w:val="24"/>
              </w:rPr>
              <w:t xml:space="preserve">13 Aged Care Approvals Round </w:t>
            </w:r>
            <w:r>
              <w:rPr>
                <w:rFonts w:ascii="Arial" w:hAnsi="Arial" w:cs="Arial"/>
                <w:sz w:val="24"/>
                <w:szCs w:val="24"/>
              </w:rPr>
              <w:t xml:space="preserve">provided the </w:t>
            </w:r>
            <w:r w:rsidRPr="00712D20">
              <w:rPr>
                <w:rFonts w:ascii="Arial" w:hAnsi="Arial" w:cs="Arial"/>
                <w:sz w:val="24"/>
                <w:szCs w:val="24"/>
              </w:rPr>
              <w:t xml:space="preserve">ACT with 180 new residential aged care places. </w:t>
            </w:r>
            <w:r>
              <w:rPr>
                <w:rFonts w:ascii="Arial" w:hAnsi="Arial" w:cs="Arial"/>
                <w:sz w:val="24"/>
                <w:szCs w:val="24"/>
              </w:rPr>
              <w:t xml:space="preserve">This allocation comprised: </w:t>
            </w:r>
            <w:r>
              <w:rPr>
                <w:rFonts w:ascii="Arial" w:hAnsi="Arial" w:cs="Arial"/>
                <w:sz w:val="24"/>
                <w:szCs w:val="24"/>
              </w:rPr>
              <w:br w:type="textWrapping" w:clear="all"/>
              <w:t xml:space="preserve">120 places (60 high care and 60 low care) for </w:t>
            </w:r>
            <w:proofErr w:type="spellStart"/>
            <w:r w:rsidRPr="00BB5274">
              <w:rPr>
                <w:rFonts w:ascii="Arial" w:hAnsi="Arial" w:cs="Arial"/>
                <w:sz w:val="24"/>
                <w:szCs w:val="24"/>
              </w:rPr>
              <w:t>Ngunnawal</w:t>
            </w:r>
            <w:proofErr w:type="spellEnd"/>
            <w:r w:rsidRPr="00BB5274">
              <w:rPr>
                <w:rFonts w:ascii="Arial" w:hAnsi="Arial" w:cs="Arial"/>
                <w:sz w:val="24"/>
                <w:szCs w:val="24"/>
              </w:rPr>
              <w:t xml:space="preserve"> Aged Care,</w:t>
            </w:r>
            <w:r>
              <w:rPr>
                <w:rFonts w:ascii="Calibri" w:hAnsi="Calibri" w:cs="Calibri"/>
                <w:sz w:val="20"/>
              </w:rPr>
              <w:t xml:space="preserve"> </w:t>
            </w:r>
            <w:r>
              <w:rPr>
                <w:rFonts w:ascii="Arial" w:hAnsi="Arial" w:cs="Arial"/>
                <w:sz w:val="24"/>
                <w:szCs w:val="24"/>
              </w:rPr>
              <w:t>a new facility planned for the north of Canberra; and 60 places (30 high care and 30 low care) for</w:t>
            </w:r>
            <w:r w:rsidRPr="00BB5274">
              <w:rPr>
                <w:rFonts w:ascii="Arial" w:hAnsi="Arial" w:cs="Arial"/>
                <w:sz w:val="24"/>
                <w:szCs w:val="24"/>
              </w:rPr>
              <w:t xml:space="preserve"> Calwell Community Aged Care</w:t>
            </w:r>
            <w:r>
              <w:rPr>
                <w:rFonts w:ascii="Arial" w:hAnsi="Arial" w:cs="Arial"/>
                <w:sz w:val="24"/>
                <w:szCs w:val="24"/>
              </w:rPr>
              <w:t>,</w:t>
            </w:r>
            <w:r w:rsidRPr="00BB5274">
              <w:rPr>
                <w:rFonts w:ascii="Arial" w:hAnsi="Arial" w:cs="Arial"/>
                <w:sz w:val="24"/>
                <w:szCs w:val="24"/>
              </w:rPr>
              <w:t xml:space="preserve"> </w:t>
            </w:r>
            <w:r>
              <w:rPr>
                <w:rFonts w:ascii="Arial" w:hAnsi="Arial" w:cs="Arial"/>
                <w:sz w:val="24"/>
                <w:szCs w:val="24"/>
              </w:rPr>
              <w:t>a new facility planned for t</w:t>
            </w:r>
            <w:r w:rsidRPr="00BB5274">
              <w:rPr>
                <w:rFonts w:ascii="Arial" w:hAnsi="Arial" w:cs="Arial"/>
                <w:sz w:val="24"/>
                <w:szCs w:val="24"/>
              </w:rPr>
              <w:t>he south of Canberra.</w:t>
            </w:r>
          </w:p>
          <w:p w:rsidR="00A12C8F" w:rsidRPr="00FC015C" w:rsidRDefault="00D25265" w:rsidP="00D25265">
            <w:pPr>
              <w:pStyle w:val="ListBullet"/>
              <w:spacing w:before="140" w:line="240" w:lineRule="auto"/>
              <w:rPr>
                <w:rFonts w:eastAsia="Calibri"/>
                <w:color w:val="000000"/>
                <w:szCs w:val="24"/>
              </w:rPr>
            </w:pPr>
            <w:r w:rsidRPr="006A3870">
              <w:rPr>
                <w:rFonts w:ascii="Arial" w:hAnsi="Arial" w:cs="Arial"/>
                <w:sz w:val="24"/>
                <w:szCs w:val="24"/>
              </w:rPr>
              <w:t xml:space="preserve">The Respecting Patient Choices Program </w:t>
            </w:r>
            <w:r>
              <w:rPr>
                <w:rFonts w:ascii="Arial" w:hAnsi="Arial" w:cs="Arial"/>
                <w:sz w:val="24"/>
                <w:szCs w:val="24"/>
              </w:rPr>
              <w:t xml:space="preserve">continues to provide </w:t>
            </w:r>
            <w:r w:rsidRPr="006A3870">
              <w:rPr>
                <w:rFonts w:ascii="Arial" w:hAnsi="Arial" w:cs="Arial"/>
                <w:sz w:val="24"/>
                <w:szCs w:val="24"/>
              </w:rPr>
              <w:t xml:space="preserve">consumers </w:t>
            </w:r>
            <w:r>
              <w:rPr>
                <w:rFonts w:ascii="Arial" w:hAnsi="Arial" w:cs="Arial"/>
                <w:sz w:val="24"/>
                <w:szCs w:val="24"/>
              </w:rPr>
              <w:t xml:space="preserve">with a means </w:t>
            </w:r>
            <w:r w:rsidRPr="006A3870">
              <w:rPr>
                <w:rFonts w:ascii="Arial" w:hAnsi="Arial" w:cs="Arial"/>
                <w:sz w:val="24"/>
                <w:szCs w:val="24"/>
              </w:rPr>
              <w:t xml:space="preserve">to discuss and record their choices around future health </w:t>
            </w:r>
            <w:r w:rsidRPr="00D25265">
              <w:rPr>
                <w:rFonts w:ascii="Arial" w:hAnsi="Arial" w:cs="Arial"/>
                <w:bCs/>
                <w:sz w:val="24"/>
                <w:szCs w:val="24"/>
              </w:rPr>
              <w:t>care</w:t>
            </w:r>
            <w:r w:rsidRPr="006A3870">
              <w:rPr>
                <w:rFonts w:ascii="Arial" w:hAnsi="Arial" w:cs="Arial"/>
                <w:sz w:val="24"/>
                <w:szCs w:val="24"/>
              </w:rPr>
              <w:t xml:space="preserve">, in the event that they can no longer make decisions for themselves. It </w:t>
            </w:r>
            <w:r w:rsidRPr="006A3870">
              <w:rPr>
                <w:rFonts w:ascii="Arial" w:hAnsi="Arial" w:cs="Arial"/>
                <w:color w:val="000000"/>
                <w:sz w:val="24"/>
                <w:szCs w:val="24"/>
              </w:rPr>
              <w:t>works closely with ACT public hospitals, the Chronic Care Program, palliative care, residential aged care facilities,</w:t>
            </w:r>
            <w:r>
              <w:rPr>
                <w:rFonts w:ascii="Arial" w:hAnsi="Arial" w:cs="Arial"/>
                <w:color w:val="000000"/>
                <w:sz w:val="24"/>
                <w:szCs w:val="24"/>
              </w:rPr>
              <w:t xml:space="preserve"> </w:t>
            </w:r>
            <w:r w:rsidRPr="006A3870">
              <w:rPr>
                <w:rFonts w:ascii="Arial" w:hAnsi="Arial" w:cs="Arial"/>
                <w:color w:val="000000"/>
                <w:sz w:val="24"/>
                <w:szCs w:val="24"/>
              </w:rPr>
              <w:t xml:space="preserve">the Public Advocate and community organisations. </w:t>
            </w:r>
          </w:p>
        </w:tc>
        <w:tc>
          <w:tcPr>
            <w:tcW w:w="850" w:type="dxa"/>
          </w:tcPr>
          <w:p w:rsidR="00A12C8F" w:rsidRPr="00751428" w:rsidRDefault="00A12C8F" w:rsidP="002501A2">
            <w:pPr>
              <w:pStyle w:val="BodyText"/>
              <w:spacing w:before="0" w:line="240" w:lineRule="auto"/>
              <w:jc w:val="left"/>
              <w:rPr>
                <w:rFonts w:ascii="Arial" w:hAnsi="Arial"/>
                <w:sz w:val="24"/>
              </w:rPr>
            </w:pP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sidRPr="00763B44">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sidR="00751428">
              <w:rPr>
                <w:rFonts w:ascii="Arial" w:hAnsi="Arial"/>
                <w:sz w:val="24"/>
              </w:rPr>
              <w:br/>
            </w:r>
            <w:r>
              <w:rPr>
                <w:rFonts w:ascii="Arial" w:hAnsi="Arial"/>
                <w:sz w:val="24"/>
              </w:rPr>
              <w:br/>
            </w:r>
            <w:r w:rsidRPr="00763B44">
              <w:rPr>
                <w:b/>
                <w:sz w:val="132"/>
              </w:rPr>
              <w:t>”</w:t>
            </w:r>
          </w:p>
        </w:tc>
      </w:tr>
      <w:tr w:rsidR="00A12C8F" w:rsidRPr="00763B44" w:rsidTr="00A12C8F">
        <w:trPr>
          <w:cantSplit/>
        </w:trPr>
        <w:tc>
          <w:tcPr>
            <w:tcW w:w="993" w:type="dxa"/>
            <w:vMerge w:val="restart"/>
          </w:tcPr>
          <w:p w:rsidR="00A12C8F" w:rsidRPr="00763B44" w:rsidRDefault="00A12C8F" w:rsidP="002501A2">
            <w:pPr>
              <w:pStyle w:val="BodyText"/>
              <w:jc w:val="right"/>
              <w:rPr>
                <w:rFonts w:ascii="Arial" w:hAnsi="Arial"/>
                <w:b/>
              </w:rPr>
            </w:pPr>
            <w:r>
              <w:lastRenderedPageBreak/>
              <w:br w:type="page"/>
            </w:r>
            <w:r w:rsidRPr="00763B44">
              <w:rPr>
                <w:b/>
                <w:sz w:val="132"/>
              </w:rPr>
              <w:t>“</w:t>
            </w:r>
          </w:p>
        </w:tc>
        <w:tc>
          <w:tcPr>
            <w:tcW w:w="8789" w:type="dxa"/>
          </w:tcPr>
          <w:p w:rsidR="00A12C8F" w:rsidRPr="00763B44" w:rsidRDefault="00A12C8F" w:rsidP="002501A2">
            <w:pPr>
              <w:pStyle w:val="Jurisdictioncommentsheading"/>
            </w:pPr>
            <w:r>
              <w:t xml:space="preserve">Northern Territory </w:t>
            </w:r>
            <w:r w:rsidRPr="004E3A21">
              <w:t>Government comments</w:t>
            </w:r>
          </w:p>
        </w:tc>
        <w:tc>
          <w:tcPr>
            <w:tcW w:w="850" w:type="dxa"/>
          </w:tcPr>
          <w:p w:rsidR="00A12C8F" w:rsidRPr="00763B44" w:rsidRDefault="00A12C8F" w:rsidP="002501A2">
            <w:pPr>
              <w:pStyle w:val="BodyText"/>
              <w:spacing w:before="0" w:after="140"/>
              <w:jc w:val="left"/>
              <w:rPr>
                <w:rFonts w:ascii="Arial" w:hAnsi="Arial"/>
                <w:b/>
              </w:rPr>
            </w:pPr>
          </w:p>
        </w:tc>
      </w:tr>
      <w:tr w:rsidR="00A12C8F" w:rsidRPr="00763B44" w:rsidTr="008A61FC">
        <w:trPr>
          <w:cantSplit/>
          <w:trHeight w:hRule="exact" w:val="12781"/>
        </w:trPr>
        <w:tc>
          <w:tcPr>
            <w:tcW w:w="993" w:type="dxa"/>
            <w:vMerge/>
          </w:tcPr>
          <w:p w:rsidR="00A12C8F" w:rsidRPr="00763B44" w:rsidRDefault="00A12C8F" w:rsidP="002501A2">
            <w:pPr>
              <w:pStyle w:val="BodyText"/>
              <w:spacing w:before="0" w:line="240" w:lineRule="auto"/>
              <w:jc w:val="right"/>
              <w:rPr>
                <w:sz w:val="132"/>
              </w:rPr>
            </w:pPr>
          </w:p>
        </w:tc>
        <w:tc>
          <w:tcPr>
            <w:tcW w:w="8789" w:type="dxa"/>
          </w:tcPr>
          <w:p w:rsidR="00292B57" w:rsidRPr="00292B57" w:rsidRDefault="00292B57" w:rsidP="00292B57">
            <w:pPr>
              <w:pStyle w:val="ListBullet"/>
              <w:spacing w:before="140" w:line="240" w:lineRule="auto"/>
              <w:rPr>
                <w:rFonts w:ascii="Arial" w:hAnsi="Arial" w:cs="Arial"/>
                <w:sz w:val="24"/>
                <w:szCs w:val="24"/>
              </w:rPr>
            </w:pPr>
            <w:r w:rsidRPr="00292B57">
              <w:rPr>
                <w:rFonts w:ascii="Arial" w:hAnsi="Arial" w:cs="Arial"/>
                <w:sz w:val="24"/>
                <w:szCs w:val="24"/>
              </w:rPr>
              <w:t>On 1</w:t>
            </w:r>
            <w:r w:rsidR="00AA68A5">
              <w:rPr>
                <w:rFonts w:ascii="Arial" w:hAnsi="Arial" w:cs="Arial"/>
                <w:sz w:val="24"/>
                <w:szCs w:val="24"/>
              </w:rPr>
              <w:t> </w:t>
            </w:r>
            <w:r w:rsidRPr="00292B57">
              <w:rPr>
                <w:rFonts w:ascii="Arial" w:hAnsi="Arial" w:cs="Arial"/>
                <w:sz w:val="24"/>
                <w:szCs w:val="24"/>
              </w:rPr>
              <w:t>July 2012, the Australian Government assumed funding and administration responsibility for the Home and Community Care (HACC) Program providing services to people 65 years of age and over and Indigenous people 50 years and over.</w:t>
            </w:r>
          </w:p>
          <w:p w:rsidR="00292B57" w:rsidRPr="00292B57" w:rsidRDefault="00292B57" w:rsidP="00292B57">
            <w:pPr>
              <w:pStyle w:val="ListBullet"/>
              <w:spacing w:before="140" w:line="240" w:lineRule="auto"/>
              <w:rPr>
                <w:rFonts w:ascii="Arial" w:hAnsi="Arial" w:cs="Arial"/>
                <w:sz w:val="24"/>
                <w:szCs w:val="24"/>
              </w:rPr>
            </w:pPr>
            <w:r w:rsidRPr="00292B57">
              <w:rPr>
                <w:rFonts w:ascii="Arial" w:hAnsi="Arial" w:cs="Arial"/>
                <w:sz w:val="24"/>
                <w:szCs w:val="24"/>
              </w:rPr>
              <w:t>The Northern Territory Department of Health was funded to continue to provide HACC dementia nurses and community care nurses as part of the transition.</w:t>
            </w:r>
            <w:r w:rsidR="00926F6B">
              <w:rPr>
                <w:rFonts w:ascii="Arial" w:hAnsi="Arial" w:cs="Arial"/>
                <w:sz w:val="24"/>
                <w:szCs w:val="24"/>
              </w:rPr>
              <w:t xml:space="preserve"> </w:t>
            </w:r>
            <w:r w:rsidRPr="00292B57">
              <w:rPr>
                <w:rFonts w:ascii="Arial" w:hAnsi="Arial" w:cs="Arial"/>
                <w:sz w:val="24"/>
                <w:szCs w:val="24"/>
              </w:rPr>
              <w:t>A new HACC program was also established, the HACC Equipment Program for Older Territorians, which is delivered by the Northern Territory Department of Health. The equipment program conducts assessments and provides equipment for eligible HACC clients.</w:t>
            </w:r>
          </w:p>
          <w:p w:rsidR="00292B57" w:rsidRPr="00292B57" w:rsidRDefault="00292B57" w:rsidP="00292B57">
            <w:pPr>
              <w:pStyle w:val="ListBullet"/>
              <w:spacing w:before="140" w:line="240" w:lineRule="auto"/>
              <w:rPr>
                <w:rFonts w:ascii="Arial" w:hAnsi="Arial" w:cs="Arial"/>
                <w:sz w:val="24"/>
                <w:szCs w:val="24"/>
              </w:rPr>
            </w:pPr>
            <w:r w:rsidRPr="00292B57">
              <w:rPr>
                <w:rFonts w:ascii="Arial" w:hAnsi="Arial" w:cs="Arial"/>
                <w:sz w:val="24"/>
                <w:szCs w:val="24"/>
              </w:rPr>
              <w:t>The Northern Territory continued to provide comprehensive aged care assessments, under the Aged Care Assessment Program (ACAP) during 2012</w:t>
            </w:r>
            <w:r w:rsidR="00AA68A5">
              <w:rPr>
                <w:rFonts w:ascii="Arial" w:hAnsi="Arial" w:cs="Arial"/>
                <w:sz w:val="24"/>
                <w:szCs w:val="24"/>
              </w:rPr>
              <w:noBreakHyphen/>
            </w:r>
            <w:r w:rsidRPr="00292B57">
              <w:rPr>
                <w:rFonts w:ascii="Arial" w:hAnsi="Arial" w:cs="Arial"/>
                <w:sz w:val="24"/>
                <w:szCs w:val="24"/>
              </w:rPr>
              <w:t>13.</w:t>
            </w:r>
            <w:r w:rsidR="00926F6B">
              <w:rPr>
                <w:rFonts w:ascii="Arial" w:hAnsi="Arial" w:cs="Arial"/>
                <w:sz w:val="24"/>
                <w:szCs w:val="24"/>
              </w:rPr>
              <w:t xml:space="preserve"> </w:t>
            </w:r>
            <w:r w:rsidRPr="00292B57">
              <w:rPr>
                <w:rFonts w:ascii="Arial" w:hAnsi="Arial" w:cs="Arial"/>
                <w:sz w:val="24"/>
                <w:szCs w:val="24"/>
              </w:rPr>
              <w:t>In the period from 1</w:t>
            </w:r>
            <w:r w:rsidR="00AA68A5">
              <w:rPr>
                <w:rFonts w:ascii="Arial" w:hAnsi="Arial" w:cs="Arial"/>
                <w:sz w:val="24"/>
                <w:szCs w:val="24"/>
              </w:rPr>
              <w:t> </w:t>
            </w:r>
            <w:r w:rsidRPr="00292B57">
              <w:rPr>
                <w:rFonts w:ascii="Arial" w:hAnsi="Arial" w:cs="Arial"/>
                <w:sz w:val="24"/>
                <w:szCs w:val="24"/>
              </w:rPr>
              <w:t>July 2012 to 30</w:t>
            </w:r>
            <w:r w:rsidR="00AA68A5">
              <w:rPr>
                <w:rFonts w:ascii="Arial" w:hAnsi="Arial" w:cs="Arial"/>
                <w:sz w:val="24"/>
                <w:szCs w:val="24"/>
              </w:rPr>
              <w:t> </w:t>
            </w:r>
            <w:r w:rsidRPr="00292B57">
              <w:rPr>
                <w:rFonts w:ascii="Arial" w:hAnsi="Arial" w:cs="Arial"/>
                <w:sz w:val="24"/>
                <w:szCs w:val="24"/>
              </w:rPr>
              <w:t>June 2013, the Northern Territory Aged Care Assessment Team (ACAT) received 1220 referrals.</w:t>
            </w:r>
            <w:r w:rsidR="00926F6B">
              <w:rPr>
                <w:rFonts w:ascii="Arial" w:hAnsi="Arial" w:cs="Arial"/>
                <w:sz w:val="24"/>
                <w:szCs w:val="24"/>
              </w:rPr>
              <w:t xml:space="preserve"> </w:t>
            </w:r>
            <w:r w:rsidRPr="00292B57">
              <w:rPr>
                <w:rFonts w:ascii="Arial" w:hAnsi="Arial" w:cs="Arial"/>
                <w:sz w:val="24"/>
                <w:szCs w:val="24"/>
              </w:rPr>
              <w:t>A total of 942 referrals resulted in delegated assessments for subsidised care.</w:t>
            </w:r>
          </w:p>
          <w:p w:rsidR="00292B57" w:rsidRPr="00292B57" w:rsidRDefault="00292B57" w:rsidP="00292B57">
            <w:pPr>
              <w:pStyle w:val="ListBullet"/>
              <w:spacing w:before="140" w:line="240" w:lineRule="auto"/>
              <w:rPr>
                <w:rFonts w:ascii="Arial" w:hAnsi="Arial" w:cs="Arial"/>
                <w:sz w:val="24"/>
                <w:szCs w:val="24"/>
              </w:rPr>
            </w:pPr>
            <w:r w:rsidRPr="00292B57">
              <w:rPr>
                <w:rFonts w:ascii="Arial" w:hAnsi="Arial" w:cs="Arial"/>
                <w:sz w:val="24"/>
                <w:szCs w:val="24"/>
              </w:rPr>
              <w:t>During 2012</w:t>
            </w:r>
            <w:r w:rsidR="00AA68A5">
              <w:rPr>
                <w:rFonts w:ascii="Arial" w:hAnsi="Arial" w:cs="Arial"/>
                <w:sz w:val="24"/>
                <w:szCs w:val="24"/>
              </w:rPr>
              <w:noBreakHyphen/>
            </w:r>
            <w:r w:rsidRPr="00292B57">
              <w:rPr>
                <w:rFonts w:ascii="Arial" w:hAnsi="Arial" w:cs="Arial"/>
                <w:sz w:val="24"/>
                <w:szCs w:val="24"/>
              </w:rPr>
              <w:t>13, work was undertaken to enable the transition of the Aged Care Units to the Health Services under the Department of Health’s New Service Framework. The transition occurred on 1</w:t>
            </w:r>
            <w:r w:rsidR="00AA68A5">
              <w:rPr>
                <w:rFonts w:ascii="Arial" w:hAnsi="Arial" w:cs="Arial"/>
                <w:sz w:val="24"/>
                <w:szCs w:val="24"/>
              </w:rPr>
              <w:t> </w:t>
            </w:r>
            <w:r w:rsidRPr="00292B57">
              <w:rPr>
                <w:rFonts w:ascii="Arial" w:hAnsi="Arial" w:cs="Arial"/>
                <w:sz w:val="24"/>
                <w:szCs w:val="24"/>
              </w:rPr>
              <w:t>July 2013.</w:t>
            </w:r>
          </w:p>
          <w:p w:rsidR="00292B57" w:rsidRPr="00292B57" w:rsidRDefault="00292B57" w:rsidP="00292B57">
            <w:pPr>
              <w:pStyle w:val="ListBullet"/>
              <w:spacing w:before="140" w:line="240" w:lineRule="auto"/>
              <w:rPr>
                <w:rFonts w:ascii="Arial" w:hAnsi="Arial" w:cs="Arial"/>
                <w:sz w:val="24"/>
                <w:szCs w:val="24"/>
              </w:rPr>
            </w:pPr>
            <w:r w:rsidRPr="00292B57">
              <w:rPr>
                <w:rFonts w:ascii="Arial" w:hAnsi="Arial" w:cs="Arial"/>
                <w:sz w:val="24"/>
                <w:szCs w:val="24"/>
              </w:rPr>
              <w:t>In May 2013 the first successful electronic transfer of the Aged Care Client Record (</w:t>
            </w:r>
            <w:proofErr w:type="spellStart"/>
            <w:r w:rsidRPr="00292B57">
              <w:rPr>
                <w:rFonts w:ascii="Arial" w:hAnsi="Arial" w:cs="Arial"/>
                <w:sz w:val="24"/>
                <w:szCs w:val="24"/>
              </w:rPr>
              <w:t>ACCR</w:t>
            </w:r>
            <w:proofErr w:type="spellEnd"/>
            <w:r w:rsidRPr="00292B57">
              <w:rPr>
                <w:rFonts w:ascii="Arial" w:hAnsi="Arial" w:cs="Arial"/>
                <w:sz w:val="24"/>
                <w:szCs w:val="24"/>
              </w:rPr>
              <w:t>) was achieved in Darwin.</w:t>
            </w:r>
            <w:r w:rsidR="00926F6B">
              <w:rPr>
                <w:rFonts w:ascii="Arial" w:hAnsi="Arial" w:cs="Arial"/>
                <w:sz w:val="24"/>
                <w:szCs w:val="24"/>
              </w:rPr>
              <w:t xml:space="preserve"> </w:t>
            </w:r>
            <w:r w:rsidRPr="00292B57">
              <w:rPr>
                <w:rFonts w:ascii="Arial" w:hAnsi="Arial" w:cs="Arial"/>
                <w:sz w:val="24"/>
                <w:szCs w:val="24"/>
              </w:rPr>
              <w:t>Considerable work and collaboration between the ACAP Section, Access Reform Branch in Canberra, La Trobe University and ACAT teams in the Northern Territory from the commencement of 2013 saw the successful installation of Aged Care Evaluation and the transition from a paper</w:t>
            </w:r>
            <w:r w:rsidR="00AA68A5">
              <w:rPr>
                <w:rFonts w:ascii="Arial" w:hAnsi="Arial" w:cs="Arial"/>
                <w:sz w:val="24"/>
                <w:szCs w:val="24"/>
              </w:rPr>
              <w:noBreakHyphen/>
            </w:r>
            <w:r w:rsidRPr="00292B57">
              <w:rPr>
                <w:rFonts w:ascii="Arial" w:hAnsi="Arial" w:cs="Arial"/>
                <w:sz w:val="24"/>
                <w:szCs w:val="24"/>
              </w:rPr>
              <w:t xml:space="preserve">based program to </w:t>
            </w:r>
            <w:proofErr w:type="spellStart"/>
            <w:r w:rsidRPr="00292B57">
              <w:rPr>
                <w:rFonts w:ascii="Arial" w:hAnsi="Arial" w:cs="Arial"/>
                <w:sz w:val="24"/>
                <w:szCs w:val="24"/>
              </w:rPr>
              <w:t>eACCR</w:t>
            </w:r>
            <w:proofErr w:type="spellEnd"/>
            <w:r w:rsidRPr="00292B57">
              <w:rPr>
                <w:rFonts w:ascii="Arial" w:hAnsi="Arial" w:cs="Arial"/>
                <w:sz w:val="24"/>
                <w:szCs w:val="24"/>
              </w:rPr>
              <w:t>.</w:t>
            </w:r>
          </w:p>
          <w:p w:rsidR="00292B57" w:rsidRPr="00292B57" w:rsidRDefault="00292B57" w:rsidP="00292B57">
            <w:pPr>
              <w:pStyle w:val="ListBullet"/>
              <w:spacing w:before="140" w:line="240" w:lineRule="auto"/>
              <w:rPr>
                <w:rFonts w:ascii="Arial" w:hAnsi="Arial" w:cs="Arial"/>
                <w:sz w:val="24"/>
                <w:szCs w:val="24"/>
              </w:rPr>
            </w:pPr>
            <w:r w:rsidRPr="00292B57">
              <w:rPr>
                <w:rFonts w:ascii="Arial" w:hAnsi="Arial" w:cs="Arial"/>
                <w:sz w:val="24"/>
                <w:szCs w:val="24"/>
              </w:rPr>
              <w:t>During 2012</w:t>
            </w:r>
            <w:r w:rsidR="00AA68A5">
              <w:rPr>
                <w:rFonts w:ascii="Arial" w:hAnsi="Arial" w:cs="Arial"/>
                <w:sz w:val="24"/>
                <w:szCs w:val="24"/>
              </w:rPr>
              <w:noBreakHyphen/>
            </w:r>
            <w:r w:rsidRPr="00292B57">
              <w:rPr>
                <w:rFonts w:ascii="Arial" w:hAnsi="Arial" w:cs="Arial"/>
                <w:sz w:val="24"/>
                <w:szCs w:val="24"/>
              </w:rPr>
              <w:t>13, the Transition Care Program provided services to frail aged persons. Transition Care Program is goal oriented, time</w:t>
            </w:r>
            <w:r w:rsidR="00AA68A5">
              <w:rPr>
                <w:rFonts w:ascii="Arial" w:hAnsi="Arial" w:cs="Arial"/>
                <w:sz w:val="24"/>
                <w:szCs w:val="24"/>
              </w:rPr>
              <w:noBreakHyphen/>
            </w:r>
            <w:r w:rsidRPr="00292B57">
              <w:rPr>
                <w:rFonts w:ascii="Arial" w:hAnsi="Arial" w:cs="Arial"/>
                <w:sz w:val="24"/>
                <w:szCs w:val="24"/>
              </w:rPr>
              <w:t xml:space="preserve">limited and therapy </w:t>
            </w:r>
            <w:proofErr w:type="spellStart"/>
            <w:r w:rsidRPr="00292B57">
              <w:rPr>
                <w:rFonts w:ascii="Arial" w:hAnsi="Arial" w:cs="Arial"/>
                <w:sz w:val="24"/>
                <w:szCs w:val="24"/>
              </w:rPr>
              <w:t>focussed</w:t>
            </w:r>
            <w:proofErr w:type="spellEnd"/>
            <w:r w:rsidRPr="00292B57">
              <w:rPr>
                <w:rFonts w:ascii="Arial" w:hAnsi="Arial" w:cs="Arial"/>
                <w:sz w:val="24"/>
                <w:szCs w:val="24"/>
              </w:rPr>
              <w:t xml:space="preserve"> care for older persons following a hospital stay. There were 29 allocated places under the Transition Care Program in the Northern Territory. Eight places were managed flexibly through a non</w:t>
            </w:r>
            <w:r w:rsidR="00AA68A5">
              <w:rPr>
                <w:rFonts w:ascii="Arial" w:hAnsi="Arial" w:cs="Arial"/>
                <w:sz w:val="24"/>
                <w:szCs w:val="24"/>
              </w:rPr>
              <w:noBreakHyphen/>
            </w:r>
            <w:r w:rsidRPr="00292B57">
              <w:rPr>
                <w:rFonts w:ascii="Arial" w:hAnsi="Arial" w:cs="Arial"/>
                <w:sz w:val="24"/>
                <w:szCs w:val="24"/>
              </w:rPr>
              <w:t>government service provider in the Katherine region as either residential or community packages depending on demand. Six residential packages were managed by a non</w:t>
            </w:r>
            <w:r w:rsidR="00AA68A5">
              <w:rPr>
                <w:rFonts w:ascii="Arial" w:hAnsi="Arial" w:cs="Arial"/>
                <w:sz w:val="24"/>
                <w:szCs w:val="24"/>
              </w:rPr>
              <w:noBreakHyphen/>
            </w:r>
            <w:r w:rsidRPr="00292B57">
              <w:rPr>
                <w:rFonts w:ascii="Arial" w:hAnsi="Arial" w:cs="Arial"/>
                <w:sz w:val="24"/>
                <w:szCs w:val="24"/>
              </w:rPr>
              <w:t>government service provider in Darwin and Alice Springs. The remaining 15 places were Northern Territory wide community based places administered by the Northern Territory Department of Health.</w:t>
            </w:r>
            <w:r w:rsidR="00926F6B">
              <w:rPr>
                <w:rFonts w:ascii="Arial" w:hAnsi="Arial" w:cs="Arial"/>
                <w:sz w:val="24"/>
                <w:szCs w:val="24"/>
              </w:rPr>
              <w:t xml:space="preserve"> </w:t>
            </w:r>
          </w:p>
          <w:p w:rsidR="008F6F60" w:rsidRPr="00292B57" w:rsidRDefault="00292B57" w:rsidP="008F6F60">
            <w:pPr>
              <w:pStyle w:val="ListBullet"/>
              <w:spacing w:before="140" w:line="240" w:lineRule="auto"/>
              <w:rPr>
                <w:rFonts w:ascii="Arial" w:hAnsi="Arial" w:cs="Arial"/>
                <w:sz w:val="24"/>
                <w:szCs w:val="24"/>
              </w:rPr>
            </w:pPr>
            <w:r w:rsidRPr="00292B57">
              <w:rPr>
                <w:rFonts w:ascii="Arial" w:hAnsi="Arial" w:cs="Arial"/>
                <w:sz w:val="24"/>
                <w:szCs w:val="24"/>
              </w:rPr>
              <w:t>Due to facility problems and reduced regional uptake, by the end of the year all packages were Department managed and could be used across the Territory. Ninety</w:t>
            </w:r>
            <w:r w:rsidR="00AA68A5">
              <w:rPr>
                <w:rFonts w:ascii="Arial" w:hAnsi="Arial" w:cs="Arial"/>
                <w:sz w:val="24"/>
                <w:szCs w:val="24"/>
              </w:rPr>
              <w:noBreakHyphen/>
            </w:r>
            <w:r w:rsidRPr="00292B57">
              <w:rPr>
                <w:rFonts w:ascii="Arial" w:hAnsi="Arial" w:cs="Arial"/>
                <w:sz w:val="24"/>
                <w:szCs w:val="24"/>
              </w:rPr>
              <w:t>three clients were managed by the Transition Care Team during 2012</w:t>
            </w:r>
            <w:r w:rsidR="00AA68A5">
              <w:rPr>
                <w:rFonts w:ascii="Arial" w:hAnsi="Arial" w:cs="Arial"/>
                <w:sz w:val="24"/>
                <w:szCs w:val="24"/>
              </w:rPr>
              <w:noBreakHyphen/>
            </w:r>
            <w:r w:rsidRPr="00292B57">
              <w:rPr>
                <w:rFonts w:ascii="Arial" w:hAnsi="Arial" w:cs="Arial"/>
                <w:sz w:val="24"/>
                <w:szCs w:val="24"/>
              </w:rPr>
              <w:t>13.</w:t>
            </w:r>
          </w:p>
          <w:p w:rsidR="00A12C8F" w:rsidRPr="008F6F60" w:rsidRDefault="00A12C8F" w:rsidP="008A61FC">
            <w:pPr>
              <w:pStyle w:val="Jurisdictioncommentsbodytext"/>
            </w:pPr>
          </w:p>
        </w:tc>
        <w:tc>
          <w:tcPr>
            <w:tcW w:w="850" w:type="dxa"/>
          </w:tcPr>
          <w:p w:rsidR="00A12C8F" w:rsidRDefault="00A12C8F" w:rsidP="002501A2">
            <w:pPr>
              <w:pStyle w:val="BodyText"/>
              <w:spacing w:before="0" w:line="240" w:lineRule="auto"/>
              <w:jc w:val="left"/>
              <w:rPr>
                <w:rFonts w:ascii="Arial" w:hAnsi="Arial"/>
                <w:sz w:val="24"/>
              </w:rPr>
            </w:pP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sidRPr="00763B44">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r>
              <w:rPr>
                <w:rFonts w:ascii="Arial" w:hAnsi="Arial"/>
                <w:sz w:val="24"/>
              </w:rPr>
              <w:br/>
            </w:r>
          </w:p>
          <w:p w:rsidR="00A12C8F" w:rsidRDefault="00A12C8F" w:rsidP="002501A2">
            <w:pPr>
              <w:pStyle w:val="BodyText"/>
              <w:spacing w:before="0" w:line="240" w:lineRule="auto"/>
              <w:jc w:val="left"/>
              <w:rPr>
                <w:rFonts w:ascii="Arial" w:hAnsi="Arial"/>
                <w:sz w:val="24"/>
              </w:rPr>
            </w:pPr>
          </w:p>
          <w:p w:rsidR="00A12C8F" w:rsidRDefault="00A12C8F" w:rsidP="002501A2">
            <w:pPr>
              <w:pStyle w:val="BodyText"/>
              <w:spacing w:before="0" w:line="240" w:lineRule="auto"/>
              <w:jc w:val="left"/>
              <w:rPr>
                <w:rFonts w:ascii="Arial" w:hAnsi="Arial"/>
                <w:sz w:val="24"/>
              </w:rPr>
            </w:pPr>
          </w:p>
          <w:p w:rsidR="00A12C8F" w:rsidRDefault="00A12C8F" w:rsidP="002501A2">
            <w:pPr>
              <w:pStyle w:val="BodyText"/>
              <w:spacing w:before="0" w:line="240" w:lineRule="auto"/>
              <w:jc w:val="left"/>
              <w:rPr>
                <w:rFonts w:ascii="Arial" w:hAnsi="Arial"/>
                <w:sz w:val="24"/>
              </w:rPr>
            </w:pPr>
          </w:p>
          <w:p w:rsidR="00751428" w:rsidRDefault="00751428" w:rsidP="002501A2">
            <w:pPr>
              <w:pStyle w:val="BodyText"/>
              <w:spacing w:before="0" w:line="240" w:lineRule="auto"/>
              <w:jc w:val="left"/>
              <w:rPr>
                <w:rFonts w:ascii="Arial" w:hAnsi="Arial"/>
                <w:sz w:val="24"/>
              </w:rPr>
            </w:pPr>
          </w:p>
          <w:p w:rsidR="00751428" w:rsidRDefault="00751428" w:rsidP="002501A2">
            <w:pPr>
              <w:pStyle w:val="BodyText"/>
              <w:spacing w:before="0" w:line="240" w:lineRule="auto"/>
              <w:jc w:val="left"/>
              <w:rPr>
                <w:rFonts w:ascii="Arial" w:hAnsi="Arial"/>
                <w:sz w:val="24"/>
              </w:rPr>
            </w:pPr>
          </w:p>
          <w:p w:rsidR="00751428" w:rsidRDefault="00751428" w:rsidP="002501A2">
            <w:pPr>
              <w:pStyle w:val="BodyText"/>
              <w:spacing w:before="0" w:line="240" w:lineRule="auto"/>
              <w:jc w:val="left"/>
              <w:rPr>
                <w:rFonts w:ascii="Arial" w:hAnsi="Arial"/>
                <w:sz w:val="24"/>
              </w:rPr>
            </w:pPr>
          </w:p>
          <w:p w:rsidR="00751428" w:rsidRDefault="00751428" w:rsidP="002501A2">
            <w:pPr>
              <w:pStyle w:val="BodyText"/>
              <w:spacing w:before="0" w:line="240" w:lineRule="auto"/>
              <w:jc w:val="left"/>
              <w:rPr>
                <w:rFonts w:ascii="Arial" w:hAnsi="Arial"/>
                <w:sz w:val="24"/>
              </w:rPr>
            </w:pPr>
          </w:p>
          <w:p w:rsidR="00A12C8F" w:rsidRDefault="00A12C8F" w:rsidP="002501A2">
            <w:pPr>
              <w:pStyle w:val="BodyText"/>
              <w:spacing w:before="0" w:line="240" w:lineRule="auto"/>
              <w:jc w:val="left"/>
              <w:rPr>
                <w:rFonts w:ascii="Arial" w:hAnsi="Arial"/>
                <w:sz w:val="24"/>
              </w:rPr>
            </w:pPr>
          </w:p>
          <w:p w:rsidR="00A12C8F" w:rsidRDefault="00A12C8F" w:rsidP="002501A2">
            <w:pPr>
              <w:pStyle w:val="BodyText"/>
              <w:spacing w:before="0" w:line="240" w:lineRule="auto"/>
              <w:jc w:val="left"/>
              <w:rPr>
                <w:rFonts w:ascii="Arial" w:hAnsi="Arial"/>
                <w:sz w:val="24"/>
              </w:rPr>
            </w:pPr>
          </w:p>
          <w:p w:rsidR="00A12C8F" w:rsidRDefault="00A12C8F" w:rsidP="002501A2">
            <w:pPr>
              <w:pStyle w:val="BodyText"/>
              <w:spacing w:before="0" w:line="240" w:lineRule="auto"/>
              <w:jc w:val="left"/>
              <w:rPr>
                <w:rFonts w:ascii="Arial" w:hAnsi="Arial"/>
                <w:sz w:val="24"/>
              </w:rPr>
            </w:pPr>
          </w:p>
          <w:p w:rsidR="00A12C8F" w:rsidRDefault="00A12C8F" w:rsidP="002501A2">
            <w:pPr>
              <w:pStyle w:val="BodyText"/>
              <w:spacing w:before="0" w:line="240" w:lineRule="auto"/>
              <w:jc w:val="left"/>
              <w:rPr>
                <w:rFonts w:ascii="Arial" w:hAnsi="Arial"/>
                <w:sz w:val="24"/>
              </w:rPr>
            </w:pPr>
          </w:p>
          <w:p w:rsidR="00A12C8F" w:rsidRPr="00763B44" w:rsidRDefault="00A12C8F" w:rsidP="002501A2">
            <w:pPr>
              <w:pStyle w:val="BodyText"/>
              <w:spacing w:before="0" w:line="240" w:lineRule="auto"/>
              <w:jc w:val="left"/>
              <w:rPr>
                <w:sz w:val="132"/>
              </w:rPr>
            </w:pPr>
            <w:r w:rsidRPr="00763B44">
              <w:rPr>
                <w:b/>
                <w:sz w:val="132"/>
              </w:rPr>
              <w:t>”</w:t>
            </w:r>
          </w:p>
        </w:tc>
      </w:tr>
    </w:tbl>
    <w:p w:rsidR="00A12C8F" w:rsidRDefault="00A12C8F" w:rsidP="00920E7F">
      <w:pPr>
        <w:pStyle w:val="Heading2"/>
        <w:spacing w:before="0"/>
        <w:ind w:left="0" w:firstLine="0"/>
      </w:pPr>
      <w:r>
        <w:br w:type="page"/>
      </w:r>
      <w:bookmarkStart w:id="160" w:name="_Toc370803130"/>
      <w:bookmarkStart w:id="161" w:name="_Toc211788427"/>
      <w:bookmarkStart w:id="162" w:name="_Toc274671085"/>
      <w:bookmarkStart w:id="163" w:name="_Toc274671158"/>
      <w:bookmarkStart w:id="164" w:name="_Toc274671270"/>
      <w:bookmarkStart w:id="165" w:name="_Toc274671354"/>
      <w:bookmarkStart w:id="166" w:name="_Toc274671840"/>
      <w:r w:rsidR="00C82353">
        <w:lastRenderedPageBreak/>
        <w:t>13.</w:t>
      </w:r>
      <w:r w:rsidR="00E4728C">
        <w:rPr>
          <w:noProof/>
        </w:rPr>
        <w:t>6</w:t>
      </w:r>
      <w:r w:rsidR="00B52210">
        <w:tab/>
      </w:r>
      <w:r>
        <w:t>Definitions of key terms</w:t>
      </w:r>
      <w:bookmarkEnd w:id="160"/>
      <w:r>
        <w:t xml:space="preserve"> </w:t>
      </w:r>
      <w:bookmarkEnd w:id="161"/>
      <w:bookmarkEnd w:id="162"/>
      <w:bookmarkEnd w:id="163"/>
      <w:bookmarkEnd w:id="164"/>
      <w:bookmarkEnd w:id="165"/>
      <w:bookmarkEnd w:id="166"/>
    </w:p>
    <w:p w:rsidR="00A12C8F" w:rsidRPr="004A67A9" w:rsidRDefault="00A12C8F" w:rsidP="002501A2">
      <w:pPr>
        <w:pStyle w:val="BodyText"/>
        <w:keepNext/>
      </w:pPr>
    </w:p>
    <w:tbl>
      <w:tblPr>
        <w:tblW w:w="0" w:type="auto"/>
        <w:tblInd w:w="108" w:type="dxa"/>
        <w:tblLook w:val="01E0" w:firstRow="1" w:lastRow="1" w:firstColumn="1" w:lastColumn="1" w:noHBand="0" w:noVBand="0"/>
      </w:tblPr>
      <w:tblGrid>
        <w:gridCol w:w="2268"/>
        <w:gridCol w:w="6521"/>
      </w:tblGrid>
      <w:tr w:rsidR="00A12C8F" w:rsidTr="003445DC">
        <w:tc>
          <w:tcPr>
            <w:tcW w:w="2268" w:type="dxa"/>
          </w:tcPr>
          <w:p w:rsidR="00A12C8F" w:rsidRPr="00923DB3" w:rsidRDefault="00A12C8F" w:rsidP="002501A2">
            <w:pPr>
              <w:pStyle w:val="TableBodyText"/>
              <w:jc w:val="left"/>
              <w:rPr>
                <w:b/>
              </w:rPr>
            </w:pPr>
            <w:r w:rsidRPr="00923DB3">
              <w:rPr>
                <w:b/>
              </w:rPr>
              <w:t>Adjusted subsidy reduction supplement</w:t>
            </w:r>
          </w:p>
        </w:tc>
        <w:tc>
          <w:tcPr>
            <w:tcW w:w="6521" w:type="dxa"/>
          </w:tcPr>
          <w:p w:rsidR="00A12C8F" w:rsidRPr="00885D52" w:rsidRDefault="00885D52" w:rsidP="002501A2">
            <w:pPr>
              <w:pStyle w:val="TableBodyText"/>
              <w:jc w:val="left"/>
            </w:pPr>
            <w:r w:rsidRPr="00885D52">
              <w:t xml:space="preserve">An adjusted subsidy reduction supplement is a payment made by State </w:t>
            </w:r>
            <w:r w:rsidR="00CB4EAD">
              <w:t>g</w:t>
            </w:r>
            <w:r w:rsidRPr="00885D52">
              <w:t>overnments to some public sector residential care operators to offset the effect of the Australian Government</w:t>
            </w:r>
            <w:r w:rsidR="00AA68A5">
              <w:t>’</w:t>
            </w:r>
            <w:r w:rsidRPr="00885D52">
              <w:t xml:space="preserve">s adjusted subsidy reduction. The adjusted subsidy reduction reduces the daily rate of Residential Care Subsidy paid by the Australian Government in respect of certain residential aged care places owned by State </w:t>
            </w:r>
            <w:r w:rsidR="00CB4EAD">
              <w:t>g</w:t>
            </w:r>
            <w:r w:rsidRPr="00885D52">
              <w:t xml:space="preserve">overnments or State public sector organisations. The rate of the reduction is determined by the </w:t>
            </w:r>
            <w:r w:rsidR="00046964">
              <w:t xml:space="preserve">relevant Commonwealth Minister </w:t>
            </w:r>
            <w:r w:rsidRPr="00885D52">
              <w:t>from 1 July each year, in accordance with section</w:t>
            </w:r>
            <w:r w:rsidR="00AA68A5">
              <w:t> </w:t>
            </w:r>
            <w:r w:rsidRPr="00885D52">
              <w:t>44</w:t>
            </w:r>
            <w:r w:rsidR="00AA68A5">
              <w:noBreakHyphen/>
            </w:r>
            <w:r w:rsidRPr="00885D52">
              <w:t xml:space="preserve">19 of the </w:t>
            </w:r>
            <w:r w:rsidRPr="00885D52">
              <w:rPr>
                <w:i/>
              </w:rPr>
              <w:t>Aged Care Act 1997</w:t>
            </w:r>
            <w:r w:rsidRPr="00885D52">
              <w:t>.</w:t>
            </w:r>
          </w:p>
        </w:tc>
      </w:tr>
      <w:tr w:rsidR="00A12C8F" w:rsidTr="003445DC">
        <w:tc>
          <w:tcPr>
            <w:tcW w:w="2268" w:type="dxa"/>
          </w:tcPr>
          <w:p w:rsidR="00A12C8F" w:rsidRPr="00AD5D3F" w:rsidRDefault="00A12C8F" w:rsidP="002501A2">
            <w:pPr>
              <w:pStyle w:val="TableBodyText"/>
              <w:jc w:val="left"/>
              <w:rPr>
                <w:b/>
              </w:rPr>
            </w:pPr>
            <w:r w:rsidRPr="00AD5D3F">
              <w:rPr>
                <w:b/>
              </w:rPr>
              <w:t xml:space="preserve">Accreditation </w:t>
            </w:r>
          </w:p>
        </w:tc>
        <w:tc>
          <w:tcPr>
            <w:tcW w:w="6521" w:type="dxa"/>
          </w:tcPr>
          <w:p w:rsidR="00A12C8F" w:rsidRDefault="00A12C8F" w:rsidP="002501A2">
            <w:pPr>
              <w:pStyle w:val="TableBodyText"/>
              <w:jc w:val="left"/>
            </w:pPr>
            <w:r>
              <w:t>Accreditation is a key component of the Australian Government’s quality framework for federally funded residential aged care and is a quality assurance system for residential aged care services — based on the principle of continuous improvement.</w:t>
            </w:r>
          </w:p>
          <w:p w:rsidR="00A12C8F" w:rsidRDefault="00A12C8F" w:rsidP="002501A2">
            <w:pPr>
              <w:pStyle w:val="TableBodyText"/>
              <w:jc w:val="left"/>
            </w:pPr>
            <w:r>
              <w:t>Accreditation requires assessment against the 44 expected outcomes used for accreditation assessment — grouped into four standards: management systems, staffing and organisational development; health and personal care; residential lifestyle; and physical environment and safety systems.</w:t>
            </w:r>
          </w:p>
        </w:tc>
      </w:tr>
      <w:tr w:rsidR="00A12C8F" w:rsidTr="00813849">
        <w:tc>
          <w:tcPr>
            <w:tcW w:w="2268" w:type="dxa"/>
          </w:tcPr>
          <w:p w:rsidR="00A12C8F" w:rsidRPr="00923DB3" w:rsidRDefault="00A12C8F" w:rsidP="002501A2">
            <w:pPr>
              <w:pStyle w:val="TableBodyText"/>
              <w:jc w:val="left"/>
              <w:rPr>
                <w:b/>
              </w:rPr>
            </w:pPr>
            <w:r w:rsidRPr="00923DB3">
              <w:rPr>
                <w:b/>
              </w:rPr>
              <w:t>Aged care</w:t>
            </w:r>
          </w:p>
        </w:tc>
        <w:tc>
          <w:tcPr>
            <w:tcW w:w="6521" w:type="dxa"/>
          </w:tcPr>
          <w:p w:rsidR="00A12C8F" w:rsidRDefault="00A12C8F" w:rsidP="002501A2">
            <w:pPr>
              <w:pStyle w:val="TableBodyText"/>
              <w:jc w:val="left"/>
            </w:pPr>
            <w:r>
              <w:t xml:space="preserve">Formal services funded and/or provided by governments that respond to the functional and social needs of older people, and the needs of their </w:t>
            </w:r>
            <w:proofErr w:type="spellStart"/>
            <w:r>
              <w:t>carers</w:t>
            </w:r>
            <w:proofErr w:type="spellEnd"/>
            <w:r>
              <w:t>. Community aged care services aim to optimise independence and to assist older people to stay in their own homes, while residential care services provide accommodation and care for those who can no longer be assisted to stay at home. Assessment of care needs is an important component of aged care.</w:t>
            </w:r>
          </w:p>
          <w:p w:rsidR="00A12C8F" w:rsidRDefault="00A12C8F" w:rsidP="002501A2">
            <w:pPr>
              <w:pStyle w:val="TableBodyText"/>
              <w:jc w:val="left"/>
            </w:pPr>
            <w:r>
              <w:t xml:space="preserve">The majority of aged care services assist in activities of daily living such as personal care (for example, bathing and dressing), housekeeping and meal provision. Other services aim to promote social participation and connectedness. These services are delivered by trained aged care workers and volunteers. However, aged care services may also be delivered by health professionals such as nurses and occupational therapists. </w:t>
            </w:r>
          </w:p>
          <w:p w:rsidR="00A12C8F" w:rsidRDefault="00A12C8F" w:rsidP="002501A2">
            <w:pPr>
              <w:pStyle w:val="TableBodyText"/>
              <w:jc w:val="left"/>
            </w:pPr>
            <w:r>
              <w:t xml:space="preserve">Aged care services generally aim to promote wellbeing and foster function rather than to treat illness. Although some aged care services such as transition care have a specific restorative role, they are distinguished from the health services described in Part E of this Report. </w:t>
            </w:r>
          </w:p>
          <w:p w:rsidR="00A12C8F" w:rsidRDefault="00A12C8F" w:rsidP="00B567F0">
            <w:pPr>
              <w:pStyle w:val="TableBodyText"/>
              <w:jc w:val="left"/>
            </w:pPr>
            <w:r>
              <w:t xml:space="preserve">Aged care services may be funded through programs specifically or mainly directed to older people, or through programs that address the needs of people of different ages. </w:t>
            </w:r>
          </w:p>
        </w:tc>
      </w:tr>
      <w:tr w:rsidR="00A21762" w:rsidTr="00813849">
        <w:tc>
          <w:tcPr>
            <w:tcW w:w="2268" w:type="dxa"/>
          </w:tcPr>
          <w:p w:rsidR="00A21762" w:rsidRPr="00923DB3" w:rsidRDefault="00A21762" w:rsidP="00B567F0">
            <w:pPr>
              <w:pStyle w:val="TableBodyText"/>
              <w:jc w:val="left"/>
              <w:rPr>
                <w:b/>
              </w:rPr>
            </w:pPr>
            <w:r>
              <w:rPr>
                <w:b/>
              </w:rPr>
              <w:t>Aged care target population</w:t>
            </w:r>
          </w:p>
        </w:tc>
        <w:tc>
          <w:tcPr>
            <w:tcW w:w="6521" w:type="dxa"/>
          </w:tcPr>
          <w:p w:rsidR="00A21762" w:rsidRDefault="006F054C" w:rsidP="006F054C">
            <w:pPr>
              <w:pStyle w:val="TableBodyText"/>
              <w:jc w:val="left"/>
            </w:pPr>
            <w:r w:rsidRPr="00813849">
              <w:rPr>
                <w:shd w:val="clear" w:color="auto" w:fill="FFFFFF" w:themeFill="background1"/>
              </w:rPr>
              <w:t>The Aged Care target population is defined as all people (Indigenous and non</w:t>
            </w:r>
            <w:r w:rsidR="00AA68A5">
              <w:rPr>
                <w:shd w:val="clear" w:color="auto" w:fill="FFFFFF" w:themeFill="background1"/>
              </w:rPr>
              <w:noBreakHyphen/>
            </w:r>
            <w:r w:rsidRPr="00813849">
              <w:rPr>
                <w:shd w:val="clear" w:color="auto" w:fill="FFFFFF" w:themeFill="background1"/>
              </w:rPr>
              <w:t>Indigenous) aged 65 year</w:t>
            </w:r>
            <w:r w:rsidR="00926F6B" w:rsidRPr="00813849">
              <w:rPr>
                <w:shd w:val="clear" w:color="auto" w:fill="FFFFFF" w:themeFill="background1"/>
              </w:rPr>
              <w:t>s</w:t>
            </w:r>
            <w:r w:rsidRPr="00813849">
              <w:rPr>
                <w:shd w:val="clear" w:color="auto" w:fill="FFFFFF" w:themeFill="background1"/>
              </w:rPr>
              <w:t xml:space="preserve"> or over and Indigenous Australians aged 50</w:t>
            </w:r>
            <w:r w:rsidRPr="00813849">
              <w:rPr>
                <w:rFonts w:cs="Arial"/>
                <w:shd w:val="clear" w:color="auto" w:fill="FFFFFF" w:themeFill="background1"/>
              </w:rPr>
              <w:t>–</w:t>
            </w:r>
            <w:r w:rsidRPr="00813849">
              <w:rPr>
                <w:shd w:val="clear" w:color="auto" w:fill="FFFFFF" w:themeFill="background1"/>
              </w:rPr>
              <w:t>64 yea</w:t>
            </w:r>
            <w:r w:rsidR="00844900" w:rsidRPr="00813849">
              <w:rPr>
                <w:shd w:val="clear" w:color="auto" w:fill="FFFFFF" w:themeFill="background1"/>
              </w:rPr>
              <w:t>r</w:t>
            </w:r>
            <w:r w:rsidRPr="00813849">
              <w:rPr>
                <w:shd w:val="clear" w:color="auto" w:fill="FFFFFF" w:themeFill="background1"/>
              </w:rPr>
              <w:t>s</w:t>
            </w:r>
            <w:r w:rsidR="00B567F0" w:rsidRPr="00813849">
              <w:rPr>
                <w:shd w:val="clear" w:color="auto" w:fill="FFFFFF" w:themeFill="background1"/>
              </w:rPr>
              <w:t>.</w:t>
            </w:r>
            <w:r w:rsidR="00B567F0">
              <w:t xml:space="preserve"> This is </w:t>
            </w:r>
            <w:r w:rsidR="00EE19D4">
              <w:t xml:space="preserve">the </w:t>
            </w:r>
            <w:r w:rsidR="00B567F0">
              <w:t xml:space="preserve">population specified </w:t>
            </w:r>
            <w:r w:rsidR="00710E53">
              <w:t>in</w:t>
            </w:r>
            <w:r w:rsidR="00B567F0">
              <w:t xml:space="preserve"> the </w:t>
            </w:r>
            <w:r w:rsidR="00B567F0">
              <w:rPr>
                <w:i/>
              </w:rPr>
              <w:t>National Health Reform Agreement</w:t>
            </w:r>
            <w:r w:rsidR="00B567F0">
              <w:t xml:space="preserve"> who are </w:t>
            </w:r>
            <w:r w:rsidR="00EE19D4">
              <w:t>within the scope of, and f</w:t>
            </w:r>
            <w:r w:rsidR="00B567F0">
              <w:t>unded for services under</w:t>
            </w:r>
            <w:r w:rsidR="00EE19D4">
              <w:t>,</w:t>
            </w:r>
            <w:r w:rsidR="00B567F0">
              <w:t xml:space="preserve"> the national aged care </w:t>
            </w:r>
            <w:r w:rsidR="00EE19D4">
              <w:t>system</w:t>
            </w:r>
            <w:r w:rsidR="00B567F0">
              <w:t xml:space="preserve"> (except in </w:t>
            </w:r>
            <w:r w:rsidR="00710E53">
              <w:t>Victoria and WA).</w:t>
            </w:r>
          </w:p>
        </w:tc>
      </w:tr>
      <w:tr w:rsidR="00142078" w:rsidTr="003445DC">
        <w:tc>
          <w:tcPr>
            <w:tcW w:w="2268" w:type="dxa"/>
          </w:tcPr>
          <w:p w:rsidR="00142078" w:rsidRDefault="00142078" w:rsidP="002501A2">
            <w:pPr>
              <w:pStyle w:val="TableBodyText"/>
              <w:jc w:val="left"/>
              <w:rPr>
                <w:b/>
              </w:rPr>
            </w:pPr>
            <w:r>
              <w:rPr>
                <w:b/>
              </w:rPr>
              <w:t>Aged care planning population</w:t>
            </w:r>
          </w:p>
        </w:tc>
        <w:tc>
          <w:tcPr>
            <w:tcW w:w="6521" w:type="dxa"/>
          </w:tcPr>
          <w:p w:rsidR="00710E53" w:rsidRDefault="00710E53" w:rsidP="00710E53">
            <w:pPr>
              <w:pStyle w:val="TableBodyText"/>
              <w:jc w:val="left"/>
            </w:pPr>
            <w:r>
              <w:t xml:space="preserve">The Aged care planning population is defined as people aged </w:t>
            </w:r>
            <w:r>
              <w:br/>
              <w:t>70 years or over. This is the population used by the Australian Government for its needs</w:t>
            </w:r>
            <w:r w:rsidR="00AA68A5">
              <w:noBreakHyphen/>
            </w:r>
            <w:r>
              <w:t>based planning framework to ensure sufficient supply of both low</w:t>
            </w:r>
            <w:r w:rsidR="00AA68A5">
              <w:noBreakHyphen/>
            </w:r>
            <w:r>
              <w:t>level and high</w:t>
            </w:r>
            <w:r w:rsidR="00AA68A5">
              <w:noBreakHyphen/>
            </w:r>
            <w:r>
              <w:t xml:space="preserve">level residential and community care places by matching the growth in the number of aged </w:t>
            </w:r>
            <w:r>
              <w:lastRenderedPageBreak/>
              <w:t>care places with growth in the aged population. It also seeks to ensure balance in the provision of services between metropolitan, regional, rural and remote areas, as well as between people needing differing levels of care (</w:t>
            </w:r>
            <w:r w:rsidRPr="00F052C2">
              <w:t>DoHA 201</w:t>
            </w:r>
            <w:r w:rsidR="00C727FD" w:rsidRPr="00F052C2">
              <w:t>2</w:t>
            </w:r>
            <w:r>
              <w:t>).</w:t>
            </w:r>
          </w:p>
          <w:p w:rsidR="00142078" w:rsidRDefault="00710E53" w:rsidP="00C727FD">
            <w:pPr>
              <w:pStyle w:val="TableBodyText"/>
              <w:jc w:val="left"/>
            </w:pPr>
            <w:r>
              <w:t xml:space="preserve">Under the framework, the Australian Government seeks to achieve and maintain a specified national provision level of subsidised operational aged care places for every 1000 people aged 70 years or over. This </w:t>
            </w:r>
            <w:r w:rsidR="00122E3F">
              <w:t xml:space="preserve">provision level </w:t>
            </w:r>
            <w:r>
              <w:t>is known as the aged care provision ratio (</w:t>
            </w:r>
            <w:r w:rsidRPr="00F052C2">
              <w:t>DoHA 201</w:t>
            </w:r>
            <w:r w:rsidR="00C727FD" w:rsidRPr="00F052C2">
              <w:t>2</w:t>
            </w:r>
            <w:r>
              <w:t>).</w:t>
            </w:r>
          </w:p>
        </w:tc>
      </w:tr>
      <w:tr w:rsidR="00A12C8F" w:rsidTr="003445DC">
        <w:trPr>
          <w:trHeight w:val="2407"/>
        </w:trPr>
        <w:tc>
          <w:tcPr>
            <w:tcW w:w="2268" w:type="dxa"/>
          </w:tcPr>
          <w:p w:rsidR="00A12C8F" w:rsidRPr="00923DB3" w:rsidRDefault="00A12C8F" w:rsidP="002501A2">
            <w:pPr>
              <w:pStyle w:val="TableBodyText"/>
              <w:jc w:val="left"/>
              <w:rPr>
                <w:b/>
              </w:rPr>
            </w:pPr>
            <w:r w:rsidRPr="00923DB3">
              <w:rPr>
                <w:b/>
              </w:rPr>
              <w:lastRenderedPageBreak/>
              <w:t>Ageing in place in residential care</w:t>
            </w:r>
          </w:p>
        </w:tc>
        <w:tc>
          <w:tcPr>
            <w:tcW w:w="6521" w:type="dxa"/>
          </w:tcPr>
          <w:p w:rsidR="00A12C8F" w:rsidRDefault="00A12C8F" w:rsidP="002501A2">
            <w:pPr>
              <w:pStyle w:val="TableBodyText"/>
              <w:jc w:val="left"/>
            </w:pPr>
            <w:r>
              <w:t>An approach that aims to provide residents with appropriate care and increased choice by allowing them to remain in the same facility regardless of changes in their level of care needs. It also allows couples with different levels of care needs to be cared for in the same facility. The main facet of ‘ageing in place’ is that funding is tied to the assessed care needs of the client rather than to the services provided by the facility.</w:t>
            </w:r>
          </w:p>
          <w:p w:rsidR="00A12C8F" w:rsidRDefault="00A12C8F" w:rsidP="002501A2">
            <w:pPr>
              <w:pStyle w:val="TableBodyText"/>
              <w:jc w:val="left"/>
            </w:pPr>
            <w:r>
              <w:t>One of the objectives of Australian Government aged care legislation is ‘to promote ageing in place through the linking of care and support services to the places where older people prefer to live’ (</w:t>
            </w:r>
            <w:r w:rsidRPr="00BD7304">
              <w:rPr>
                <w:i/>
              </w:rPr>
              <w:t xml:space="preserve">Aged Care Act 1997 </w:t>
            </w:r>
            <w:r w:rsidRPr="00EB34CC">
              <w:t>(</w:t>
            </w:r>
            <w:proofErr w:type="spellStart"/>
            <w:r w:rsidRPr="00EB34CC">
              <w:t>Cwlth</w:t>
            </w:r>
            <w:proofErr w:type="spellEnd"/>
            <w:r w:rsidRPr="00EB34CC">
              <w:t>),</w:t>
            </w:r>
            <w:r>
              <w:t xml:space="preserve"> </w:t>
            </w:r>
            <w:proofErr w:type="spellStart"/>
            <w:r>
              <w:t>s.2</w:t>
            </w:r>
            <w:proofErr w:type="spellEnd"/>
            <w:r w:rsidR="00AA68A5">
              <w:noBreakHyphen/>
            </w:r>
            <w:r>
              <w:t>1 [</w:t>
            </w:r>
            <w:proofErr w:type="spellStart"/>
            <w:r>
              <w:t>1j</w:t>
            </w:r>
            <w:proofErr w:type="spellEnd"/>
            <w:r>
              <w:t>]).</w:t>
            </w:r>
          </w:p>
        </w:tc>
      </w:tr>
      <w:tr w:rsidR="00A12C8F" w:rsidTr="007F4AE8">
        <w:tc>
          <w:tcPr>
            <w:tcW w:w="2268" w:type="dxa"/>
          </w:tcPr>
          <w:p w:rsidR="00A12C8F" w:rsidRPr="00923DB3" w:rsidRDefault="00A12C8F" w:rsidP="002501A2">
            <w:pPr>
              <w:pStyle w:val="TableBodyText"/>
              <w:jc w:val="left"/>
              <w:rPr>
                <w:b/>
              </w:rPr>
            </w:pPr>
            <w:r w:rsidRPr="00923DB3">
              <w:rPr>
                <w:b/>
              </w:rPr>
              <w:t>Capital expenditure on residential services</w:t>
            </w:r>
          </w:p>
        </w:tc>
        <w:tc>
          <w:tcPr>
            <w:tcW w:w="6521" w:type="dxa"/>
          </w:tcPr>
          <w:p w:rsidR="00A12C8F" w:rsidRDefault="00A12C8F" w:rsidP="002501A2">
            <w:pPr>
              <w:pStyle w:val="TableBodyText"/>
              <w:jc w:val="left"/>
            </w:pPr>
            <w:r>
              <w:t>Expenditure on building and other capital items, specifically for the provision of Australian government funded residential aged care.</w:t>
            </w:r>
          </w:p>
        </w:tc>
      </w:tr>
      <w:tr w:rsidR="0001569C" w:rsidTr="007F4AE8">
        <w:tc>
          <w:tcPr>
            <w:tcW w:w="2268" w:type="dxa"/>
          </w:tcPr>
          <w:p w:rsidR="0001569C" w:rsidRPr="00923DB3" w:rsidRDefault="0001569C" w:rsidP="002501A2">
            <w:pPr>
              <w:pStyle w:val="TableBodyText"/>
              <w:jc w:val="left"/>
              <w:rPr>
                <w:b/>
              </w:rPr>
            </w:pPr>
            <w:r>
              <w:rPr>
                <w:b/>
              </w:rPr>
              <w:t>Care leaver</w:t>
            </w:r>
          </w:p>
        </w:tc>
        <w:tc>
          <w:tcPr>
            <w:tcW w:w="6521" w:type="dxa"/>
          </w:tcPr>
          <w:p w:rsidR="0001569C" w:rsidRDefault="0001569C" w:rsidP="00C727FD">
            <w:pPr>
              <w:pStyle w:val="TableBodyText"/>
              <w:jc w:val="left"/>
            </w:pPr>
            <w:r w:rsidRPr="0001569C">
              <w:t>A care leaver is a person who was in institutional care (such as an orphanage or mental health facility) or other</w:t>
            </w:r>
            <w:r>
              <w:t xml:space="preserve"> </w:t>
            </w:r>
            <w:r w:rsidRPr="0001569C">
              <w:t>form of out</w:t>
            </w:r>
            <w:r w:rsidR="00AA68A5">
              <w:noBreakHyphen/>
            </w:r>
            <w:r w:rsidRPr="0001569C">
              <w:t>of</w:t>
            </w:r>
            <w:r w:rsidR="00AA68A5">
              <w:noBreakHyphen/>
            </w:r>
            <w:r w:rsidRPr="0001569C">
              <w:t xml:space="preserve">home care, including foster care, as a child or youth (or both) at </w:t>
            </w:r>
            <w:r w:rsidR="001621D4" w:rsidRPr="0001569C">
              <w:t>some time</w:t>
            </w:r>
            <w:r w:rsidRPr="0001569C">
              <w:t xml:space="preserve"> during their lifetime (</w:t>
            </w:r>
            <w:r w:rsidRPr="00F052C2">
              <w:t>DoHA 201</w:t>
            </w:r>
            <w:r w:rsidR="00C727FD" w:rsidRPr="00F052C2">
              <w:t>2</w:t>
            </w:r>
            <w:r w:rsidRPr="0001569C">
              <w:t>).</w:t>
            </w:r>
          </w:p>
        </w:tc>
      </w:tr>
      <w:tr w:rsidR="00A12C8F" w:rsidTr="007F4AE8">
        <w:tc>
          <w:tcPr>
            <w:tcW w:w="2268" w:type="dxa"/>
          </w:tcPr>
          <w:p w:rsidR="00A12C8F" w:rsidRPr="00923DB3" w:rsidRDefault="00A12C8F" w:rsidP="002501A2">
            <w:pPr>
              <w:pStyle w:val="TableBodyText"/>
              <w:jc w:val="left"/>
              <w:rPr>
                <w:b/>
              </w:rPr>
            </w:pPr>
            <w:r w:rsidRPr="00923DB3">
              <w:rPr>
                <w:b/>
              </w:rPr>
              <w:t>Centre day care</w:t>
            </w:r>
          </w:p>
        </w:tc>
        <w:tc>
          <w:tcPr>
            <w:tcW w:w="6521" w:type="dxa"/>
          </w:tcPr>
          <w:p w:rsidR="00A12C8F" w:rsidRDefault="00A12C8F" w:rsidP="002501A2">
            <w:pPr>
              <w:pStyle w:val="TableBodyText"/>
              <w:jc w:val="left"/>
            </w:pPr>
            <w:r>
              <w:t>Respite care provided from a facility such as a day care or health centre. Respite care is usually combined with social support services to maintain the functional capabilities of the person receiving care.</w:t>
            </w:r>
          </w:p>
        </w:tc>
      </w:tr>
      <w:tr w:rsidR="00A12C8F" w:rsidTr="007F4AE8">
        <w:tc>
          <w:tcPr>
            <w:tcW w:w="2268" w:type="dxa"/>
          </w:tcPr>
          <w:p w:rsidR="00A12C8F" w:rsidRPr="00923DB3" w:rsidRDefault="00A12C8F" w:rsidP="002501A2">
            <w:pPr>
              <w:pStyle w:val="TableBodyText"/>
              <w:jc w:val="left"/>
              <w:rPr>
                <w:b/>
              </w:rPr>
            </w:pPr>
            <w:r w:rsidRPr="00923DB3">
              <w:rPr>
                <w:b/>
              </w:rPr>
              <w:t>Complaint</w:t>
            </w:r>
          </w:p>
        </w:tc>
        <w:tc>
          <w:tcPr>
            <w:tcW w:w="6521" w:type="dxa"/>
          </w:tcPr>
          <w:p w:rsidR="00A12C8F" w:rsidRDefault="00A12C8F" w:rsidP="00EF47F5">
            <w:pPr>
              <w:pStyle w:val="TableBodyText"/>
              <w:jc w:val="left"/>
            </w:pPr>
            <w:r>
              <w:t xml:space="preserve">A complaint by the affected care recipient or his or her representative, or anyone else, to the Secretary of the Department of </w:t>
            </w:r>
            <w:r w:rsidR="00EF47F5">
              <w:t>Social Services</w:t>
            </w:r>
            <w:r>
              <w:t xml:space="preserve"> about </w:t>
            </w:r>
            <w:r w:rsidR="00DA1B53">
              <w:t xml:space="preserve">matters </w:t>
            </w:r>
            <w:r>
              <w:t xml:space="preserve">relevant </w:t>
            </w:r>
            <w:r w:rsidR="00DA1B53">
              <w:t xml:space="preserve">to an </w:t>
            </w:r>
            <w:r>
              <w:t xml:space="preserve">approved provider’s responsibilities under the </w:t>
            </w:r>
            <w:r w:rsidRPr="00B76037">
              <w:rPr>
                <w:i/>
              </w:rPr>
              <w:t>Aged Care Act 1997</w:t>
            </w:r>
            <w:r>
              <w:t xml:space="preserve"> or the Aged Care Principles</w:t>
            </w:r>
            <w:r w:rsidR="00DA1B53">
              <w:t xml:space="preserve"> </w:t>
            </w:r>
            <w:r w:rsidR="00DA1B53" w:rsidRPr="00DA1B53">
              <w:t>or a service provider’s responsibilities under the Commonwealth HACC funding agreement</w:t>
            </w:r>
            <w:r w:rsidR="00EA4D7E">
              <w:t>.</w:t>
            </w:r>
          </w:p>
        </w:tc>
      </w:tr>
      <w:tr w:rsidR="00A12C8F" w:rsidTr="007F4AE8">
        <w:tc>
          <w:tcPr>
            <w:tcW w:w="2268" w:type="dxa"/>
          </w:tcPr>
          <w:p w:rsidR="00A12C8F" w:rsidRPr="00923DB3" w:rsidRDefault="00A12C8F" w:rsidP="002501A2">
            <w:pPr>
              <w:pStyle w:val="TableBodyText"/>
              <w:jc w:val="left"/>
              <w:rPr>
                <w:b/>
              </w:rPr>
            </w:pPr>
            <w:r w:rsidRPr="00923DB3">
              <w:rPr>
                <w:b/>
              </w:rPr>
              <w:t>Dementia services program</w:t>
            </w:r>
          </w:p>
        </w:tc>
        <w:tc>
          <w:tcPr>
            <w:tcW w:w="6521" w:type="dxa"/>
          </w:tcPr>
          <w:p w:rsidR="00A12C8F" w:rsidRDefault="00A12C8F" w:rsidP="002501A2">
            <w:pPr>
              <w:pStyle w:val="TableBodyText"/>
              <w:jc w:val="left"/>
            </w:pPr>
            <w:r>
              <w:t>Includes flexible and innovative support, respite, counselling, information and referral services, education and leisure. The program includes meeting individual and immediate needs which cannot be met by other services, through carer respite services and other carer support agencies. Inpatient services are excluded.</w:t>
            </w:r>
          </w:p>
        </w:tc>
      </w:tr>
      <w:tr w:rsidR="00A12C8F" w:rsidTr="007F4AE8">
        <w:tc>
          <w:tcPr>
            <w:tcW w:w="2268" w:type="dxa"/>
          </w:tcPr>
          <w:p w:rsidR="00A12C8F" w:rsidRPr="00923DB3" w:rsidRDefault="00A12C8F" w:rsidP="002501A2">
            <w:pPr>
              <w:pStyle w:val="TableBodyText"/>
              <w:jc w:val="left"/>
              <w:rPr>
                <w:b/>
              </w:rPr>
            </w:pPr>
            <w:r w:rsidRPr="00923DB3">
              <w:rPr>
                <w:b/>
              </w:rPr>
              <w:t>Disability</w:t>
            </w:r>
          </w:p>
        </w:tc>
        <w:tc>
          <w:tcPr>
            <w:tcW w:w="6521" w:type="dxa"/>
          </w:tcPr>
          <w:p w:rsidR="00A12C8F" w:rsidRDefault="00A12C8F" w:rsidP="002501A2">
            <w:pPr>
              <w:pStyle w:val="TableBodyText"/>
              <w:jc w:val="left"/>
            </w:pPr>
            <w:r>
              <w:t>A limitation, restriction or impairment that has lasted, or is likely to last, for at least six months and restricts everyday activities.</w:t>
            </w:r>
          </w:p>
        </w:tc>
      </w:tr>
      <w:tr w:rsidR="00A12C8F" w:rsidTr="007F4AE8">
        <w:tc>
          <w:tcPr>
            <w:tcW w:w="2268" w:type="dxa"/>
          </w:tcPr>
          <w:p w:rsidR="00A12C8F" w:rsidRPr="00923DB3" w:rsidRDefault="00A12C8F" w:rsidP="002501A2">
            <w:pPr>
              <w:pStyle w:val="TableBodyText"/>
              <w:jc w:val="left"/>
              <w:rPr>
                <w:b/>
              </w:rPr>
            </w:pPr>
            <w:proofErr w:type="spellStart"/>
            <w:r w:rsidRPr="00923DB3">
              <w:rPr>
                <w:b/>
              </w:rPr>
              <w:t>EBA</w:t>
            </w:r>
            <w:proofErr w:type="spellEnd"/>
            <w:r w:rsidRPr="00923DB3">
              <w:rPr>
                <w:b/>
              </w:rPr>
              <w:t xml:space="preserve"> supplement</w:t>
            </w:r>
          </w:p>
        </w:tc>
        <w:tc>
          <w:tcPr>
            <w:tcW w:w="6521" w:type="dxa"/>
          </w:tcPr>
          <w:p w:rsidR="00A12C8F" w:rsidRDefault="00A12C8F" w:rsidP="002501A2">
            <w:pPr>
              <w:pStyle w:val="TableBodyText"/>
              <w:jc w:val="left"/>
            </w:pPr>
            <w:r>
              <w:t>Payments made to supplement services for the extra costs associated with public sector enterprise bargaining agreements over and above those required by other wage Awards.</w:t>
            </w:r>
          </w:p>
        </w:tc>
      </w:tr>
      <w:tr w:rsidR="0053109C" w:rsidTr="00371A08">
        <w:tc>
          <w:tcPr>
            <w:tcW w:w="2268" w:type="dxa"/>
          </w:tcPr>
          <w:p w:rsidR="0053109C" w:rsidRPr="00923DB3" w:rsidRDefault="0053109C" w:rsidP="001E2D3E">
            <w:pPr>
              <w:pStyle w:val="TableBodyText"/>
              <w:jc w:val="left"/>
              <w:rPr>
                <w:b/>
              </w:rPr>
            </w:pPr>
            <w:r>
              <w:rPr>
                <w:b/>
              </w:rPr>
              <w:t>Elapsed time</w:t>
            </w:r>
          </w:p>
        </w:tc>
        <w:tc>
          <w:tcPr>
            <w:tcW w:w="6521" w:type="dxa"/>
          </w:tcPr>
          <w:p w:rsidR="0053109C" w:rsidRDefault="0053109C" w:rsidP="00A9588F">
            <w:pPr>
              <w:pStyle w:val="TableBodyText"/>
              <w:jc w:val="left"/>
            </w:pPr>
            <w:r>
              <w:t>The measure of the time elapsed between ACA</w:t>
            </w:r>
            <w:r w:rsidR="00A9588F">
              <w:t>T</w:t>
            </w:r>
            <w:r>
              <w:t xml:space="preserve"> approval and entry into a residential care service. It has been used in past years as an indicator of access to residential care.</w:t>
            </w:r>
          </w:p>
        </w:tc>
      </w:tr>
      <w:tr w:rsidR="0053109C" w:rsidRPr="00A42D1D" w:rsidTr="00371A08">
        <w:tc>
          <w:tcPr>
            <w:tcW w:w="2268" w:type="dxa"/>
          </w:tcPr>
          <w:p w:rsidR="0053109C" w:rsidRPr="00422A3D" w:rsidRDefault="0053109C" w:rsidP="002501A2">
            <w:pPr>
              <w:pStyle w:val="TableBodyText"/>
              <w:jc w:val="left"/>
            </w:pPr>
            <w:r w:rsidRPr="003268DC">
              <w:rPr>
                <w:b/>
              </w:rPr>
              <w:t>High/low care recipient</w:t>
            </w:r>
          </w:p>
        </w:tc>
        <w:tc>
          <w:tcPr>
            <w:tcW w:w="6521" w:type="dxa"/>
          </w:tcPr>
          <w:p w:rsidR="0053109C" w:rsidRDefault="0053109C" w:rsidP="002501A2">
            <w:pPr>
              <w:pStyle w:val="TableBodyText"/>
              <w:jc w:val="left"/>
            </w:pPr>
            <w:r>
              <w:t xml:space="preserve">On entry, a resident is classified as high or low care based on their assessment </w:t>
            </w:r>
            <w:r w:rsidR="00A46C8F">
              <w:t xml:space="preserve">by an ACAT </w:t>
            </w:r>
            <w:r>
              <w:t xml:space="preserve">and their approved provider’s appraisal of their care needs under the ACFI. </w:t>
            </w:r>
          </w:p>
          <w:p w:rsidR="0053109C" w:rsidRDefault="0053109C" w:rsidP="002501A2">
            <w:pPr>
              <w:pStyle w:val="TableBodyText"/>
              <w:jc w:val="left"/>
            </w:pPr>
            <w:r>
              <w:t xml:space="preserve">Residents whose </w:t>
            </w:r>
            <w:r w:rsidRPr="00371A08">
              <w:rPr>
                <w:shd w:val="clear" w:color="auto" w:fill="FFFFFF" w:themeFill="background1"/>
              </w:rPr>
              <w:t>ACA</w:t>
            </w:r>
            <w:r w:rsidR="00EA4D7E" w:rsidRPr="00371A08">
              <w:rPr>
                <w:shd w:val="clear" w:color="auto" w:fill="FFFFFF" w:themeFill="background1"/>
              </w:rPr>
              <w:t>T</w:t>
            </w:r>
            <w:r w:rsidRPr="00371A08">
              <w:rPr>
                <w:shd w:val="clear" w:color="auto" w:fill="FFFFFF" w:themeFill="background1"/>
              </w:rPr>
              <w:t xml:space="preserve"> </w:t>
            </w:r>
            <w:r>
              <w:t xml:space="preserve">approval is not limited to low care are classified as high care if they have an ACFI appraisal of: </w:t>
            </w:r>
          </w:p>
          <w:p w:rsidR="0053109C" w:rsidRDefault="0053109C" w:rsidP="00173EE3">
            <w:pPr>
              <w:pStyle w:val="TableBullet"/>
            </w:pPr>
            <w:r>
              <w:t>high in Activities of Daily Living, or</w:t>
            </w:r>
          </w:p>
          <w:p w:rsidR="0053109C" w:rsidRDefault="0053109C" w:rsidP="00173EE3">
            <w:pPr>
              <w:pStyle w:val="TableBullet"/>
            </w:pPr>
            <w:r>
              <w:lastRenderedPageBreak/>
              <w:t xml:space="preserve">high in Complex Health Care, or </w:t>
            </w:r>
          </w:p>
          <w:p w:rsidR="0053109C" w:rsidRDefault="0053109C" w:rsidP="00173EE3">
            <w:pPr>
              <w:pStyle w:val="TableBullet"/>
            </w:pPr>
            <w:r>
              <w:t xml:space="preserve">high in Behaviour, together with low or medium in at least one of the Activities of Daily Living or Complex Health Care domain, or </w:t>
            </w:r>
          </w:p>
          <w:p w:rsidR="0053109C" w:rsidRPr="00AA5E55" w:rsidRDefault="0053109C" w:rsidP="00926F6B">
            <w:pPr>
              <w:pStyle w:val="TableBullet"/>
            </w:pPr>
            <w:r>
              <w:t xml:space="preserve">medium in at least two of the three domains. </w:t>
            </w:r>
          </w:p>
          <w:p w:rsidR="0053109C" w:rsidRDefault="0053109C" w:rsidP="000E1620">
            <w:pPr>
              <w:pStyle w:val="TableBodyText"/>
              <w:jc w:val="left"/>
            </w:pPr>
            <w:r>
              <w:t xml:space="preserve">All other </w:t>
            </w:r>
            <w:r w:rsidRPr="00371A08">
              <w:rPr>
                <w:shd w:val="clear" w:color="auto" w:fill="FFFFFF" w:themeFill="background1"/>
              </w:rPr>
              <w:t>ACA</w:t>
            </w:r>
            <w:r w:rsidR="00EA4D7E" w:rsidRPr="00371A08">
              <w:rPr>
                <w:shd w:val="clear" w:color="auto" w:fill="FFFFFF" w:themeFill="background1"/>
              </w:rPr>
              <w:t>T</w:t>
            </w:r>
            <w:r w:rsidR="00A46C8F" w:rsidRPr="00371A08">
              <w:rPr>
                <w:shd w:val="clear" w:color="auto" w:fill="FFFFFF" w:themeFill="background1"/>
              </w:rPr>
              <w:t xml:space="preserve"> </w:t>
            </w:r>
            <w:r>
              <w:t xml:space="preserve">approval and ACFI appraisal combinations result in a classification of low level care. </w:t>
            </w:r>
          </w:p>
          <w:p w:rsidR="0053109C" w:rsidRPr="003268DC" w:rsidRDefault="0053109C" w:rsidP="00173EE3">
            <w:pPr>
              <w:pStyle w:val="TableBodyText"/>
              <w:jc w:val="left"/>
            </w:pPr>
            <w:r>
              <w:t>A resident’s care needs may change over time resulting in a change in classification from low to high level care (ageing in place).</w:t>
            </w:r>
          </w:p>
        </w:tc>
      </w:tr>
      <w:tr w:rsidR="0053109C" w:rsidTr="007F4AE8">
        <w:tc>
          <w:tcPr>
            <w:tcW w:w="2268" w:type="dxa"/>
          </w:tcPr>
          <w:p w:rsidR="0053109C" w:rsidRPr="00923DB3" w:rsidRDefault="0053109C" w:rsidP="002501A2">
            <w:pPr>
              <w:pStyle w:val="TableBodyText"/>
              <w:jc w:val="left"/>
              <w:rPr>
                <w:b/>
              </w:rPr>
            </w:pPr>
            <w:r w:rsidRPr="00923DB3">
              <w:rPr>
                <w:b/>
              </w:rPr>
              <w:lastRenderedPageBreak/>
              <w:t>In</w:t>
            </w:r>
            <w:r w:rsidR="00AA68A5">
              <w:rPr>
                <w:b/>
              </w:rPr>
              <w:noBreakHyphen/>
            </w:r>
            <w:r w:rsidRPr="00923DB3">
              <w:rPr>
                <w:b/>
              </w:rPr>
              <w:t>home respite</w:t>
            </w:r>
          </w:p>
        </w:tc>
        <w:tc>
          <w:tcPr>
            <w:tcW w:w="6521" w:type="dxa"/>
          </w:tcPr>
          <w:p w:rsidR="0053109C" w:rsidRDefault="0053109C" w:rsidP="002501A2">
            <w:pPr>
              <w:pStyle w:val="TableBodyText"/>
              <w:jc w:val="left"/>
            </w:pPr>
            <w:r>
              <w:t>A short term alternative for usual care.</w:t>
            </w:r>
          </w:p>
        </w:tc>
      </w:tr>
      <w:tr w:rsidR="0053109C" w:rsidTr="007F4AE8">
        <w:tc>
          <w:tcPr>
            <w:tcW w:w="2268" w:type="dxa"/>
          </w:tcPr>
          <w:p w:rsidR="0053109C" w:rsidRPr="00923DB3" w:rsidRDefault="0053109C" w:rsidP="002501A2">
            <w:pPr>
              <w:pStyle w:val="TableBodyText"/>
              <w:jc w:val="left"/>
              <w:rPr>
                <w:b/>
              </w:rPr>
            </w:pPr>
            <w:r w:rsidRPr="00923DB3">
              <w:rPr>
                <w:b/>
              </w:rPr>
              <w:t>People from non</w:t>
            </w:r>
            <w:r>
              <w:rPr>
                <w:b/>
              </w:rPr>
              <w:noBreakHyphen/>
            </w:r>
            <w:r w:rsidRPr="00923DB3">
              <w:rPr>
                <w:b/>
              </w:rPr>
              <w:t>English speaking countries</w:t>
            </w:r>
          </w:p>
        </w:tc>
        <w:tc>
          <w:tcPr>
            <w:tcW w:w="6521" w:type="dxa"/>
          </w:tcPr>
          <w:p w:rsidR="0053109C" w:rsidRDefault="0053109C" w:rsidP="002501A2">
            <w:pPr>
              <w:pStyle w:val="TableBodyText"/>
              <w:jc w:val="left"/>
            </w:pPr>
            <w:r>
              <w:t>People who were born in non</w:t>
            </w:r>
            <w:r w:rsidR="00AA68A5">
              <w:noBreakHyphen/>
            </w:r>
            <w:r>
              <w:t>English speaking countries. English</w:t>
            </w:r>
            <w:r>
              <w:noBreakHyphen/>
              <w:t>speaking countries are defined as Australia, New Zealand, the United Kingdom, Ireland, the United States, Canada and South Africa.</w:t>
            </w:r>
          </w:p>
        </w:tc>
      </w:tr>
      <w:tr w:rsidR="0053109C" w:rsidTr="007F4AE8">
        <w:tc>
          <w:tcPr>
            <w:tcW w:w="2268" w:type="dxa"/>
          </w:tcPr>
          <w:p w:rsidR="0053109C" w:rsidRPr="00923DB3" w:rsidRDefault="0053109C" w:rsidP="002501A2">
            <w:pPr>
              <w:pStyle w:val="TableBodyText"/>
              <w:jc w:val="left"/>
              <w:rPr>
                <w:b/>
              </w:rPr>
            </w:pPr>
            <w:r w:rsidRPr="00923DB3">
              <w:rPr>
                <w:b/>
              </w:rPr>
              <w:t>People with a moderate disability</w:t>
            </w:r>
          </w:p>
        </w:tc>
        <w:tc>
          <w:tcPr>
            <w:tcW w:w="6521" w:type="dxa"/>
          </w:tcPr>
          <w:p w:rsidR="0053109C" w:rsidRDefault="0053109C" w:rsidP="002501A2">
            <w:pPr>
              <w:pStyle w:val="TableBodyText"/>
              <w:jc w:val="left"/>
            </w:pPr>
            <w:r>
              <w:t>Where a person does not need assistance, but has difficulty with self</w:t>
            </w:r>
            <w:r>
              <w:noBreakHyphen/>
              <w:t>care, mobility or communication.</w:t>
            </w:r>
          </w:p>
        </w:tc>
      </w:tr>
      <w:tr w:rsidR="0053109C" w:rsidTr="007F4AE8">
        <w:tc>
          <w:tcPr>
            <w:tcW w:w="2268" w:type="dxa"/>
          </w:tcPr>
          <w:p w:rsidR="0053109C" w:rsidRPr="00923DB3" w:rsidRDefault="0053109C" w:rsidP="002501A2">
            <w:pPr>
              <w:pStyle w:val="TableBodyText"/>
              <w:jc w:val="left"/>
              <w:rPr>
                <w:b/>
              </w:rPr>
            </w:pPr>
            <w:r w:rsidRPr="00923DB3">
              <w:rPr>
                <w:b/>
              </w:rPr>
              <w:t>People with a profound disability</w:t>
            </w:r>
          </w:p>
        </w:tc>
        <w:tc>
          <w:tcPr>
            <w:tcW w:w="6521" w:type="dxa"/>
          </w:tcPr>
          <w:p w:rsidR="0053109C" w:rsidRDefault="0053109C" w:rsidP="002501A2">
            <w:pPr>
              <w:pStyle w:val="TableBodyText"/>
              <w:jc w:val="left"/>
            </w:pPr>
            <w:r>
              <w:t>Where a person is unable to perform self</w:t>
            </w:r>
            <w:r w:rsidR="00AA68A5">
              <w:noBreakHyphen/>
            </w:r>
            <w:r>
              <w:t>care, mobility and/or communication tasks, or always needs assistance.</w:t>
            </w:r>
          </w:p>
        </w:tc>
      </w:tr>
      <w:tr w:rsidR="0053109C" w:rsidTr="007F4AE8">
        <w:tc>
          <w:tcPr>
            <w:tcW w:w="2268" w:type="dxa"/>
          </w:tcPr>
          <w:p w:rsidR="0053109C" w:rsidRPr="00923DB3" w:rsidRDefault="0053109C" w:rsidP="002501A2">
            <w:pPr>
              <w:pStyle w:val="TableBodyText"/>
              <w:jc w:val="left"/>
              <w:rPr>
                <w:b/>
              </w:rPr>
            </w:pPr>
            <w:r w:rsidRPr="00923DB3">
              <w:rPr>
                <w:b/>
              </w:rPr>
              <w:t>People with a severe disability</w:t>
            </w:r>
          </w:p>
        </w:tc>
        <w:tc>
          <w:tcPr>
            <w:tcW w:w="6521" w:type="dxa"/>
          </w:tcPr>
          <w:p w:rsidR="0053109C" w:rsidRDefault="0053109C" w:rsidP="002501A2">
            <w:pPr>
              <w:pStyle w:val="TableBodyText"/>
              <w:jc w:val="left"/>
            </w:pPr>
            <w:r>
              <w:t>Where a person sometimes needs assistance with self</w:t>
            </w:r>
            <w:r w:rsidR="00AA68A5">
              <w:noBreakHyphen/>
            </w:r>
            <w:r>
              <w:t>care, mobility or communication.</w:t>
            </w:r>
          </w:p>
        </w:tc>
      </w:tr>
      <w:tr w:rsidR="0053109C" w:rsidTr="007F4AE8">
        <w:tc>
          <w:tcPr>
            <w:tcW w:w="2268" w:type="dxa"/>
          </w:tcPr>
          <w:p w:rsidR="0053109C" w:rsidRPr="00923DB3" w:rsidRDefault="0053109C" w:rsidP="002501A2">
            <w:pPr>
              <w:pStyle w:val="TableBodyText"/>
              <w:jc w:val="left"/>
              <w:rPr>
                <w:b/>
              </w:rPr>
            </w:pPr>
            <w:r w:rsidRPr="00923DB3">
              <w:rPr>
                <w:b/>
              </w:rPr>
              <w:t>Personal care</w:t>
            </w:r>
          </w:p>
        </w:tc>
        <w:tc>
          <w:tcPr>
            <w:tcW w:w="6521" w:type="dxa"/>
          </w:tcPr>
          <w:p w:rsidR="0053109C" w:rsidRDefault="0053109C" w:rsidP="002501A2">
            <w:pPr>
              <w:pStyle w:val="TableBodyText"/>
              <w:jc w:val="left"/>
            </w:pPr>
            <w:r>
              <w:t>Assistance in undertaking personal tasks (for example, bathing).</w:t>
            </w:r>
          </w:p>
        </w:tc>
      </w:tr>
      <w:tr w:rsidR="0053109C" w:rsidTr="007F4AE8">
        <w:tc>
          <w:tcPr>
            <w:tcW w:w="2268" w:type="dxa"/>
          </w:tcPr>
          <w:p w:rsidR="0053109C" w:rsidRPr="00923DB3" w:rsidRDefault="0053109C" w:rsidP="002501A2">
            <w:pPr>
              <w:pStyle w:val="TableBodyText"/>
              <w:jc w:val="left"/>
              <w:rPr>
                <w:b/>
              </w:rPr>
            </w:pPr>
            <w:r w:rsidRPr="00923DB3">
              <w:rPr>
                <w:b/>
              </w:rPr>
              <w:t>Places</w:t>
            </w:r>
          </w:p>
        </w:tc>
        <w:tc>
          <w:tcPr>
            <w:tcW w:w="6521" w:type="dxa"/>
          </w:tcPr>
          <w:p w:rsidR="0053109C" w:rsidRDefault="0053109C" w:rsidP="002501A2">
            <w:pPr>
              <w:pStyle w:val="TableBodyText"/>
              <w:jc w:val="left"/>
            </w:pPr>
            <w:r>
              <w:t>A capacity within an aged care service for the provision of residential care, community care or flexible care in the residential care context to an individual (</w:t>
            </w:r>
            <w:r w:rsidRPr="00BD7304">
              <w:rPr>
                <w:i/>
              </w:rPr>
              <w:t>Aged Care Act 1997 (</w:t>
            </w:r>
            <w:proofErr w:type="spellStart"/>
            <w:r w:rsidRPr="00BD7304">
              <w:rPr>
                <w:i/>
              </w:rPr>
              <w:t>Cwlth</w:t>
            </w:r>
            <w:proofErr w:type="spellEnd"/>
            <w:r w:rsidRPr="00BD7304">
              <w:rPr>
                <w:i/>
              </w:rPr>
              <w:t>)</w:t>
            </w:r>
            <w:r>
              <w:t>); also refers to ‘beds’ (</w:t>
            </w:r>
            <w:r w:rsidRPr="00BD7304">
              <w:rPr>
                <w:i/>
              </w:rPr>
              <w:t>Aged Care (Consequential Provisions) Act 1997 (</w:t>
            </w:r>
            <w:proofErr w:type="spellStart"/>
            <w:r w:rsidRPr="00BD7304">
              <w:rPr>
                <w:i/>
              </w:rPr>
              <w:t>Cwlth</w:t>
            </w:r>
            <w:proofErr w:type="spellEnd"/>
            <w:r w:rsidRPr="00BD7304">
              <w:rPr>
                <w:i/>
              </w:rPr>
              <w:t>)</w:t>
            </w:r>
            <w:r>
              <w:t xml:space="preserve">, </w:t>
            </w:r>
            <w:proofErr w:type="spellStart"/>
            <w:r>
              <w:t>s.16</w:t>
            </w:r>
            <w:proofErr w:type="spellEnd"/>
            <w:r>
              <w:t>).</w:t>
            </w:r>
          </w:p>
        </w:tc>
      </w:tr>
      <w:tr w:rsidR="0053109C" w:rsidTr="007F4AE8">
        <w:tc>
          <w:tcPr>
            <w:tcW w:w="2268" w:type="dxa"/>
          </w:tcPr>
          <w:p w:rsidR="0053109C" w:rsidRPr="00923DB3" w:rsidRDefault="0053109C" w:rsidP="002501A2">
            <w:pPr>
              <w:pStyle w:val="TableBodyText"/>
              <w:jc w:val="left"/>
              <w:rPr>
                <w:b/>
              </w:rPr>
            </w:pPr>
            <w:r w:rsidRPr="00923DB3">
              <w:rPr>
                <w:b/>
              </w:rPr>
              <w:t>Real expenditure</w:t>
            </w:r>
          </w:p>
        </w:tc>
        <w:tc>
          <w:tcPr>
            <w:tcW w:w="6521" w:type="dxa"/>
          </w:tcPr>
          <w:p w:rsidR="0053109C" w:rsidRDefault="0053109C" w:rsidP="002501A2">
            <w:pPr>
              <w:pStyle w:val="TableBodyText"/>
              <w:jc w:val="left"/>
            </w:pPr>
            <w:r>
              <w:t>Actual expenditure adjusted for changes in prices, using the GDP(E) price deflator and expressed in terms of final year prices.</w:t>
            </w:r>
          </w:p>
        </w:tc>
      </w:tr>
      <w:tr w:rsidR="0053109C" w:rsidTr="00A21762">
        <w:tc>
          <w:tcPr>
            <w:tcW w:w="2268" w:type="dxa"/>
          </w:tcPr>
          <w:p w:rsidR="0053109C" w:rsidRPr="00923DB3" w:rsidRDefault="0053109C" w:rsidP="002501A2">
            <w:pPr>
              <w:pStyle w:val="TableBodyText"/>
              <w:jc w:val="left"/>
              <w:rPr>
                <w:b/>
              </w:rPr>
            </w:pPr>
            <w:r w:rsidRPr="00923DB3">
              <w:rPr>
                <w:b/>
              </w:rPr>
              <w:t>Resident</w:t>
            </w:r>
          </w:p>
        </w:tc>
        <w:tc>
          <w:tcPr>
            <w:tcW w:w="6521" w:type="dxa"/>
          </w:tcPr>
          <w:p w:rsidR="0053109C" w:rsidRDefault="0053109C" w:rsidP="002501A2">
            <w:pPr>
              <w:pStyle w:val="TableBodyText"/>
              <w:jc w:val="left"/>
            </w:pPr>
            <w:r>
              <w:t xml:space="preserve">For the purposes of the </w:t>
            </w:r>
            <w:r w:rsidRPr="00BD7304">
              <w:rPr>
                <w:i/>
              </w:rPr>
              <w:t>Aged Care Act 1997</w:t>
            </w:r>
            <w:r>
              <w:t>, a person who is being provided with residential care through an aged care service conducted by an approved provider under the Act.</w:t>
            </w:r>
          </w:p>
        </w:tc>
      </w:tr>
      <w:tr w:rsidR="0053109C" w:rsidTr="007F4AE8">
        <w:tc>
          <w:tcPr>
            <w:tcW w:w="2268" w:type="dxa"/>
          </w:tcPr>
          <w:p w:rsidR="0053109C" w:rsidRPr="00923DB3" w:rsidRDefault="0053109C" w:rsidP="002501A2">
            <w:pPr>
              <w:pStyle w:val="TableBodyText"/>
              <w:jc w:val="left"/>
              <w:rPr>
                <w:b/>
              </w:rPr>
            </w:pPr>
            <w:r w:rsidRPr="00923DB3">
              <w:rPr>
                <w:b/>
              </w:rPr>
              <w:t>Respite care</w:t>
            </w:r>
          </w:p>
        </w:tc>
        <w:tc>
          <w:tcPr>
            <w:tcW w:w="6521" w:type="dxa"/>
          </w:tcPr>
          <w:p w:rsidR="0053109C" w:rsidRDefault="0053109C" w:rsidP="00BE0E0C">
            <w:pPr>
              <w:pStyle w:val="TableBodyText"/>
              <w:jc w:val="left"/>
            </w:pPr>
            <w:r>
              <w:t xml:space="preserve">Alternative care arrangements for dependent people living in the community, with the primary purpose of giving </w:t>
            </w:r>
            <w:r w:rsidRPr="00BE0E0C">
              <w:t xml:space="preserve">a carer or a care recipient </w:t>
            </w:r>
            <w:r>
              <w:t xml:space="preserve">a short term break from their usual </w:t>
            </w:r>
            <w:r w:rsidRPr="00BE0E0C">
              <w:t>care arrangement</w:t>
            </w:r>
            <w:r>
              <w:t>.</w:t>
            </w:r>
          </w:p>
        </w:tc>
      </w:tr>
      <w:tr w:rsidR="0053109C" w:rsidTr="00371A08">
        <w:tc>
          <w:tcPr>
            <w:tcW w:w="2268" w:type="dxa"/>
          </w:tcPr>
          <w:p w:rsidR="0053109C" w:rsidRPr="00923DB3" w:rsidRDefault="0053109C" w:rsidP="002501A2">
            <w:pPr>
              <w:pStyle w:val="TableBodyText"/>
              <w:jc w:val="left"/>
              <w:rPr>
                <w:b/>
              </w:rPr>
            </w:pPr>
            <w:r w:rsidRPr="00923DB3">
              <w:rPr>
                <w:b/>
              </w:rPr>
              <w:t>Rural small nursing home supplement</w:t>
            </w:r>
          </w:p>
        </w:tc>
        <w:tc>
          <w:tcPr>
            <w:tcW w:w="6521" w:type="dxa"/>
          </w:tcPr>
          <w:p w:rsidR="0053109C" w:rsidRDefault="0053109C" w:rsidP="002501A2">
            <w:pPr>
              <w:pStyle w:val="TableBodyText"/>
              <w:jc w:val="left"/>
            </w:pPr>
            <w:r>
              <w:t>Payments made by states and territories to small sized high care public sector residential aged care facilities (up to 30 places) that are located in rural areas. Three levels of supplement are paid to facilities varying in size from 10 to 20 and 30 places.</w:t>
            </w:r>
          </w:p>
        </w:tc>
      </w:tr>
      <w:tr w:rsidR="0053109C" w:rsidTr="00371A08">
        <w:tc>
          <w:tcPr>
            <w:tcW w:w="2268" w:type="dxa"/>
          </w:tcPr>
          <w:p w:rsidR="0053109C" w:rsidRPr="00923DB3" w:rsidRDefault="0053109C" w:rsidP="002501A2">
            <w:pPr>
              <w:pStyle w:val="TableBodyText"/>
              <w:jc w:val="left"/>
              <w:rPr>
                <w:b/>
              </w:rPr>
            </w:pPr>
            <w:r w:rsidRPr="00923DB3">
              <w:rPr>
                <w:b/>
              </w:rPr>
              <w:t>Special needs groups</w:t>
            </w:r>
          </w:p>
        </w:tc>
        <w:tc>
          <w:tcPr>
            <w:tcW w:w="6521" w:type="dxa"/>
            <w:shd w:val="clear" w:color="auto" w:fill="FFFFFF" w:themeFill="background1"/>
          </w:tcPr>
          <w:p w:rsidR="0053109C" w:rsidRDefault="00E319C9" w:rsidP="002501A2">
            <w:pPr>
              <w:pStyle w:val="TableBodyText"/>
              <w:jc w:val="left"/>
            </w:pPr>
            <w:r w:rsidRPr="00E319C9">
              <w:t>Section</w:t>
            </w:r>
            <w:r w:rsidR="00AA68A5">
              <w:t> </w:t>
            </w:r>
            <w:r w:rsidRPr="00E319C9">
              <w:t>11</w:t>
            </w:r>
            <w:r w:rsidR="00AA68A5">
              <w:noBreakHyphen/>
            </w:r>
            <w:r w:rsidRPr="00E319C9">
              <w:t xml:space="preserve">3 of the </w:t>
            </w:r>
            <w:r w:rsidRPr="00E03DB9">
              <w:rPr>
                <w:i/>
              </w:rPr>
              <w:t>Aged Care Act 1997</w:t>
            </w:r>
            <w:r w:rsidRPr="00E319C9">
              <w:t>, specifies the following people as people with special needs: people from Aboriginal and Torres Strait Islander communities; people from culturally and linguistically diverse backgrounds; veterans; people who live in rural or remote areas; people who are financially or socially disadvantaged; people who are homeless or at risk of becoming homeless; care</w:t>
            </w:r>
            <w:r w:rsidR="00AA68A5">
              <w:noBreakHyphen/>
            </w:r>
            <w:r w:rsidRPr="00E319C9">
              <w:t>leavers; parents separated from their children by forced adoption or removal; and lesbian, gay, bisexual, transgender and intersex (</w:t>
            </w:r>
            <w:proofErr w:type="spellStart"/>
            <w:r w:rsidRPr="00E319C9">
              <w:t>LGBTI</w:t>
            </w:r>
            <w:proofErr w:type="spellEnd"/>
            <w:r w:rsidRPr="00E319C9">
              <w:t>) people.</w:t>
            </w:r>
          </w:p>
        </w:tc>
      </w:tr>
      <w:tr w:rsidR="0053109C" w:rsidTr="00F052C2">
        <w:tc>
          <w:tcPr>
            <w:tcW w:w="2268" w:type="dxa"/>
          </w:tcPr>
          <w:p w:rsidR="0053109C" w:rsidRPr="00923DB3" w:rsidRDefault="0053109C" w:rsidP="002501A2">
            <w:pPr>
              <w:pStyle w:val="TableBodyText"/>
              <w:jc w:val="left"/>
              <w:rPr>
                <w:b/>
              </w:rPr>
            </w:pPr>
            <w:r w:rsidRPr="00923DB3">
              <w:rPr>
                <w:b/>
              </w:rPr>
              <w:t>Veterans</w:t>
            </w:r>
          </w:p>
        </w:tc>
        <w:tc>
          <w:tcPr>
            <w:tcW w:w="6521" w:type="dxa"/>
            <w:shd w:val="clear" w:color="auto" w:fill="FFFFFF" w:themeFill="background1"/>
          </w:tcPr>
          <w:p w:rsidR="0053109C" w:rsidRDefault="0053109C" w:rsidP="002501A2">
            <w:pPr>
              <w:pStyle w:val="TableBodyText"/>
              <w:jc w:val="left"/>
            </w:pPr>
            <w:r w:rsidRPr="00BE6266">
              <w:t>Veterans, war widows, widowers and dependants who hold a Repatriation Health Card and are entitled to medical and other treatment at the Department of Veterans</w:t>
            </w:r>
            <w:r w:rsidR="00AA68A5">
              <w:t>’</w:t>
            </w:r>
            <w:r w:rsidRPr="00BE6266">
              <w:t xml:space="preserve"> Affairs</w:t>
            </w:r>
            <w:r w:rsidR="00AA68A5">
              <w:t>’</w:t>
            </w:r>
            <w:r w:rsidRPr="00BE6266">
              <w:t xml:space="preserve"> expense under the </w:t>
            </w:r>
            <w:r w:rsidRPr="00BE6266">
              <w:rPr>
                <w:i/>
              </w:rPr>
              <w:t>Veterans</w:t>
            </w:r>
            <w:r w:rsidR="00AA68A5">
              <w:rPr>
                <w:i/>
              </w:rPr>
              <w:t>’</w:t>
            </w:r>
            <w:r w:rsidRPr="00BE6266">
              <w:rPr>
                <w:i/>
              </w:rPr>
              <w:t xml:space="preserve"> Entitlement Act 1986</w:t>
            </w:r>
            <w:r w:rsidRPr="00BE6266">
              <w:t xml:space="preserve">, the </w:t>
            </w:r>
            <w:r w:rsidRPr="00BE6266">
              <w:rPr>
                <w:i/>
              </w:rPr>
              <w:t>Social Security and Veterans</w:t>
            </w:r>
            <w:r w:rsidR="00AA68A5">
              <w:rPr>
                <w:i/>
              </w:rPr>
              <w:t>’</w:t>
            </w:r>
            <w:r w:rsidRPr="00BE6266">
              <w:rPr>
                <w:i/>
              </w:rPr>
              <w:t xml:space="preserve"> Entitlements Amendment (</w:t>
            </w:r>
            <w:proofErr w:type="spellStart"/>
            <w:r w:rsidRPr="00BE6266">
              <w:rPr>
                <w:i/>
              </w:rPr>
              <w:t>No2</w:t>
            </w:r>
            <w:proofErr w:type="spellEnd"/>
            <w:r w:rsidRPr="00BE6266">
              <w:rPr>
                <w:i/>
              </w:rPr>
              <w:t>) Act 1987</w:t>
            </w:r>
            <w:r w:rsidRPr="00BE6266">
              <w:t xml:space="preserve">, the </w:t>
            </w:r>
            <w:r w:rsidRPr="00BE6266">
              <w:rPr>
                <w:i/>
              </w:rPr>
              <w:t>Veterans</w:t>
            </w:r>
            <w:r w:rsidR="00AA68A5">
              <w:rPr>
                <w:i/>
              </w:rPr>
              <w:t>’</w:t>
            </w:r>
            <w:r w:rsidRPr="00BE6266">
              <w:rPr>
                <w:i/>
              </w:rPr>
              <w:t xml:space="preserve"> Entitlement (Transitional Provisions and Consequential Amendments) Act 1986</w:t>
            </w:r>
            <w:r w:rsidRPr="00BE6266">
              <w:t xml:space="preserve"> and the </w:t>
            </w:r>
            <w:r w:rsidRPr="00BE6266">
              <w:rPr>
                <w:i/>
              </w:rPr>
              <w:t>Military Rehabilitation and Compensation Act 2004</w:t>
            </w:r>
            <w:r w:rsidRPr="00BE6266">
              <w:t>.</w:t>
            </w:r>
          </w:p>
        </w:tc>
      </w:tr>
    </w:tbl>
    <w:p w:rsidR="00A12C8F" w:rsidRDefault="00A12C8F" w:rsidP="00920E7F">
      <w:pPr>
        <w:pStyle w:val="Heading2"/>
        <w:keepLines/>
        <w:spacing w:before="0"/>
      </w:pPr>
      <w:r>
        <w:br w:type="page"/>
      </w:r>
      <w:bookmarkStart w:id="167" w:name="_Toc211788428"/>
      <w:bookmarkStart w:id="168" w:name="_Toc274671086"/>
      <w:bookmarkStart w:id="169" w:name="_Toc274671159"/>
      <w:bookmarkStart w:id="170" w:name="_Toc274671271"/>
      <w:bookmarkStart w:id="171" w:name="_Toc274671355"/>
      <w:bookmarkStart w:id="172" w:name="_Toc274671841"/>
      <w:bookmarkStart w:id="173" w:name="_Toc370803131"/>
      <w:r w:rsidR="00C82353">
        <w:lastRenderedPageBreak/>
        <w:t>13.</w:t>
      </w:r>
      <w:r w:rsidR="00E4728C">
        <w:rPr>
          <w:noProof/>
        </w:rPr>
        <w:t>7</w:t>
      </w:r>
      <w:r w:rsidR="00B52210">
        <w:tab/>
      </w:r>
      <w:bookmarkEnd w:id="167"/>
      <w:r w:rsidR="00795119" w:rsidRPr="00BD2A6C">
        <w:t>List of attachment tables</w:t>
      </w:r>
      <w:bookmarkEnd w:id="168"/>
      <w:bookmarkEnd w:id="169"/>
      <w:bookmarkEnd w:id="170"/>
      <w:bookmarkEnd w:id="171"/>
      <w:bookmarkEnd w:id="172"/>
      <w:bookmarkEnd w:id="173"/>
    </w:p>
    <w:p w:rsidR="00F54C21" w:rsidRDefault="00F54C21" w:rsidP="00F54C21">
      <w:pPr>
        <w:pStyle w:val="BodyText"/>
      </w:pPr>
      <w:r w:rsidRPr="00E6298B">
        <w:t xml:space="preserve">Attachment tables are identified in references throughout </w:t>
      </w:r>
      <w:r w:rsidRPr="00BD2A6C">
        <w:t>this chapter by a ‘</w:t>
      </w:r>
      <w:proofErr w:type="spellStart"/>
      <w:r>
        <w:t>13</w:t>
      </w:r>
      <w:r w:rsidRPr="00BD2A6C">
        <w:t>A</w:t>
      </w:r>
      <w:proofErr w:type="spellEnd"/>
      <w:r w:rsidRPr="00BD2A6C">
        <w:t xml:space="preserve">’ </w:t>
      </w:r>
      <w:r w:rsidR="008C221C">
        <w:t>pref</w:t>
      </w:r>
      <w:r w:rsidRPr="00E6298B">
        <w:t>ix (for example, table</w:t>
      </w:r>
      <w:r w:rsidR="00AA68A5">
        <w:t> </w:t>
      </w:r>
      <w:proofErr w:type="spellStart"/>
      <w:r>
        <w:t>13</w:t>
      </w:r>
      <w:r w:rsidRPr="00E6298B">
        <w:t>A.</w:t>
      </w:r>
      <w:r w:rsidR="008C221C">
        <w:t>1</w:t>
      </w:r>
      <w:proofErr w:type="spellEnd"/>
      <w:r w:rsidRPr="00E6298B">
        <w:t xml:space="preserve">). </w:t>
      </w:r>
      <w:r w:rsidR="00C25E66">
        <w:rPr>
          <w:szCs w:val="26"/>
        </w:rPr>
        <w:t>Attachment tables are available on the Review website (</w:t>
      </w:r>
      <w:proofErr w:type="spellStart"/>
      <w:r w:rsidR="00C25E66">
        <w:rPr>
          <w:szCs w:val="26"/>
        </w:rPr>
        <w:t>www.pc.gov.au</w:t>
      </w:r>
      <w:proofErr w:type="spellEnd"/>
      <w:r w:rsidR="00C25E66">
        <w:rPr>
          <w:szCs w:val="26"/>
        </w:rPr>
        <w:t>/</w:t>
      </w:r>
      <w:proofErr w:type="spellStart"/>
      <w:r w:rsidR="00C25E66">
        <w:rPr>
          <w:szCs w:val="26"/>
        </w:rPr>
        <w:t>gsp</w:t>
      </w:r>
      <w:proofErr w:type="spellEnd"/>
      <w:r w:rsidR="00C25E66">
        <w:rPr>
          <w:szCs w:val="26"/>
        </w:rPr>
        <w:t>).</w:t>
      </w:r>
    </w:p>
    <w:p w:rsidR="008B020E" w:rsidRDefault="008B020E">
      <w:bookmarkStart w:id="174" w:name="_Toc211788429"/>
      <w:bookmarkStart w:id="175" w:name="_Toc274671087"/>
      <w:bookmarkStart w:id="176" w:name="_Toc274671160"/>
      <w:bookmarkStart w:id="177" w:name="_Toc274671272"/>
      <w:bookmarkStart w:id="178" w:name="_Toc274671356"/>
    </w:p>
    <w:tbl>
      <w:tblPr>
        <w:tblW w:w="8789" w:type="dxa"/>
        <w:tblInd w:w="108" w:type="dxa"/>
        <w:tblLook w:val="04A0" w:firstRow="1" w:lastRow="0" w:firstColumn="1" w:lastColumn="0" w:noHBand="0" w:noVBand="1"/>
      </w:tblPr>
      <w:tblGrid>
        <w:gridCol w:w="1456"/>
        <w:gridCol w:w="7333"/>
      </w:tblGrid>
      <w:tr w:rsidR="001D00F7" w:rsidRPr="001D00F7" w:rsidTr="001406B8">
        <w:trPr>
          <w:trHeight w:val="357"/>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13A.1</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 xml:space="preserve">Older people as a share of the total population, by gender, June 2013 </w:t>
            </w:r>
          </w:p>
        </w:tc>
      </w:tr>
      <w:tr w:rsidR="001D00F7" w:rsidRPr="001D00F7" w:rsidTr="001406B8">
        <w:trPr>
          <w:trHeight w:val="357"/>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r w:rsidRPr="001D00F7">
              <w:rPr>
                <w:rFonts w:ascii="Arial" w:hAnsi="Arial" w:cs="Arial"/>
                <w:b/>
                <w:bCs/>
                <w:color w:val="0000FF"/>
                <w:sz w:val="20"/>
                <w:szCs w:val="20"/>
              </w:rPr>
              <w:t>13A.2</w:t>
            </w:r>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Aged care target population data, by location (</w:t>
            </w:r>
            <w:r w:rsidR="00AA68A5">
              <w:rPr>
                <w:rFonts w:ascii="Arial" w:hAnsi="Arial" w:cs="Arial"/>
                <w:sz w:val="20"/>
                <w:szCs w:val="20"/>
              </w:rPr>
              <w:t>‘</w:t>
            </w:r>
            <w:r w:rsidRPr="001D00F7">
              <w:rPr>
                <w:rFonts w:ascii="Arial" w:hAnsi="Arial" w:cs="Arial"/>
                <w:sz w:val="20"/>
                <w:szCs w:val="20"/>
              </w:rPr>
              <w:t>000)</w:t>
            </w:r>
            <w:r w:rsidR="00AA68A5">
              <w:rPr>
                <w:rFonts w:ascii="Arial" w:hAnsi="Arial" w:cs="Arial"/>
                <w:sz w:val="20"/>
                <w:szCs w:val="20"/>
              </w:rPr>
              <w:t xml:space="preserve"> </w:t>
            </w:r>
          </w:p>
        </w:tc>
      </w:tr>
      <w:tr w:rsidR="001D00F7" w:rsidRPr="001D00F7" w:rsidTr="001406B8">
        <w:trPr>
          <w:trHeight w:val="357"/>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13A.3</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 xml:space="preserve">Proportion of all people who are older, by region, June 2013 </w:t>
            </w:r>
          </w:p>
        </w:tc>
      </w:tr>
      <w:tr w:rsidR="001D00F7" w:rsidRPr="001D00F7" w:rsidTr="001406B8">
        <w:trPr>
          <w:trHeight w:val="357"/>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13A.4</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People receiving aged care services, 2012</w:t>
            </w:r>
            <w:r w:rsidR="00AA68A5">
              <w:rPr>
                <w:rFonts w:ascii="Arial" w:hAnsi="Arial" w:cs="Arial"/>
                <w:sz w:val="20"/>
                <w:szCs w:val="20"/>
              </w:rPr>
              <w:noBreakHyphen/>
            </w:r>
            <w:r w:rsidRPr="001D00F7">
              <w:rPr>
                <w:rFonts w:ascii="Arial" w:hAnsi="Arial" w:cs="Arial"/>
                <w:sz w:val="20"/>
                <w:szCs w:val="20"/>
              </w:rPr>
              <w:t>13</w:t>
            </w:r>
            <w:r w:rsidR="00AA68A5">
              <w:rPr>
                <w:rFonts w:ascii="Arial" w:hAnsi="Arial" w:cs="Arial"/>
                <w:sz w:val="20"/>
                <w:szCs w:val="20"/>
              </w:rPr>
              <w:t xml:space="preserve"> </w:t>
            </w:r>
          </w:p>
        </w:tc>
      </w:tr>
      <w:tr w:rsidR="001D00F7" w:rsidRPr="001D00F7" w:rsidTr="001406B8">
        <w:trPr>
          <w:trHeight w:val="357"/>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13A.5</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Government expenditure on aged care services, 2012</w:t>
            </w:r>
            <w:r w:rsidR="00AA68A5">
              <w:rPr>
                <w:rFonts w:ascii="Arial" w:hAnsi="Arial" w:cs="Arial"/>
                <w:sz w:val="20"/>
                <w:szCs w:val="20"/>
              </w:rPr>
              <w:noBreakHyphen/>
            </w:r>
            <w:r w:rsidRPr="001D00F7">
              <w:rPr>
                <w:rFonts w:ascii="Arial" w:hAnsi="Arial" w:cs="Arial"/>
                <w:sz w:val="20"/>
                <w:szCs w:val="20"/>
              </w:rPr>
              <w:t>13 ($ million)</w:t>
            </w:r>
          </w:p>
        </w:tc>
      </w:tr>
      <w:tr w:rsidR="001D00F7" w:rsidRPr="001D00F7" w:rsidTr="001406B8">
        <w:trPr>
          <w:trHeight w:val="357"/>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13A.6</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 xml:space="preserve">Government real expenditure on aged care services, by program type </w:t>
            </w:r>
            <w:r w:rsidR="00984D2B">
              <w:rPr>
                <w:rFonts w:ascii="Arial" w:hAnsi="Arial" w:cs="Arial"/>
                <w:sz w:val="20"/>
                <w:szCs w:val="20"/>
              </w:rPr>
              <w:br/>
            </w:r>
            <w:r w:rsidRPr="001D00F7">
              <w:rPr>
                <w:rFonts w:ascii="Arial" w:hAnsi="Arial" w:cs="Arial"/>
                <w:sz w:val="20"/>
                <w:szCs w:val="20"/>
              </w:rPr>
              <w:t>(2012</w:t>
            </w:r>
            <w:r w:rsidR="00AA68A5">
              <w:rPr>
                <w:rFonts w:ascii="Arial" w:hAnsi="Arial" w:cs="Arial"/>
                <w:sz w:val="20"/>
                <w:szCs w:val="20"/>
              </w:rPr>
              <w:noBreakHyphen/>
            </w:r>
            <w:r w:rsidRPr="001D00F7">
              <w:rPr>
                <w:rFonts w:ascii="Arial" w:hAnsi="Arial" w:cs="Arial"/>
                <w:sz w:val="20"/>
                <w:szCs w:val="20"/>
              </w:rPr>
              <w:t>13$)</w:t>
            </w:r>
            <w:r w:rsidR="00926F6B">
              <w:rPr>
                <w:rFonts w:ascii="Arial" w:hAnsi="Arial" w:cs="Arial"/>
                <w:sz w:val="20"/>
                <w:szCs w:val="20"/>
              </w:rPr>
              <w:t xml:space="preserve"> </w:t>
            </w:r>
          </w:p>
        </w:tc>
      </w:tr>
      <w:tr w:rsidR="001D00F7" w:rsidRPr="001D00F7" w:rsidTr="001406B8">
        <w:trPr>
          <w:trHeight w:val="612"/>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13A.7</w:t>
            </w:r>
            <w:proofErr w:type="spellEnd"/>
          </w:p>
        </w:tc>
        <w:tc>
          <w:tcPr>
            <w:tcW w:w="7333" w:type="dxa"/>
            <w:tcBorders>
              <w:top w:val="nil"/>
              <w:left w:val="nil"/>
              <w:bottom w:val="nil"/>
              <w:right w:val="nil"/>
            </w:tcBorders>
            <w:shd w:val="clear" w:color="auto" w:fill="auto"/>
            <w:hideMark/>
          </w:tcPr>
          <w:p w:rsidR="001D00F7" w:rsidRPr="001D00F7" w:rsidRDefault="001D00F7" w:rsidP="005153A7">
            <w:pPr>
              <w:jc w:val="both"/>
              <w:rPr>
                <w:rFonts w:ascii="Arial" w:hAnsi="Arial" w:cs="Arial"/>
                <w:sz w:val="20"/>
                <w:szCs w:val="20"/>
              </w:rPr>
            </w:pPr>
            <w:r w:rsidRPr="001D00F7">
              <w:rPr>
                <w:rFonts w:ascii="Arial" w:hAnsi="Arial" w:cs="Arial"/>
                <w:sz w:val="20"/>
                <w:szCs w:val="20"/>
              </w:rPr>
              <w:t>Australian Government (D</w:t>
            </w:r>
            <w:r w:rsidR="005153A7">
              <w:rPr>
                <w:rFonts w:ascii="Arial" w:hAnsi="Arial" w:cs="Arial"/>
                <w:sz w:val="20"/>
                <w:szCs w:val="20"/>
              </w:rPr>
              <w:t>o</w:t>
            </w:r>
            <w:r w:rsidRPr="001D00F7">
              <w:rPr>
                <w:rFonts w:ascii="Arial" w:hAnsi="Arial" w:cs="Arial"/>
                <w:sz w:val="20"/>
                <w:szCs w:val="20"/>
              </w:rPr>
              <w:t>HA) real expenditure on assessment and information services (2012</w:t>
            </w:r>
            <w:r w:rsidR="00AA68A5">
              <w:rPr>
                <w:rFonts w:ascii="Arial" w:hAnsi="Arial" w:cs="Arial"/>
                <w:sz w:val="20"/>
                <w:szCs w:val="20"/>
              </w:rPr>
              <w:noBreakHyphen/>
            </w:r>
            <w:r w:rsidRPr="001D00F7">
              <w:rPr>
                <w:rFonts w:ascii="Arial" w:hAnsi="Arial" w:cs="Arial"/>
                <w:sz w:val="20"/>
                <w:szCs w:val="20"/>
              </w:rPr>
              <w:t xml:space="preserve">13$) </w:t>
            </w:r>
          </w:p>
        </w:tc>
      </w:tr>
      <w:tr w:rsidR="001D00F7" w:rsidRPr="001D00F7" w:rsidTr="001406B8">
        <w:trPr>
          <w:trHeight w:val="612"/>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13A.8</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Government real expenditure on residential aged care services</w:t>
            </w:r>
            <w:r w:rsidR="00926F6B">
              <w:rPr>
                <w:rFonts w:ascii="Arial" w:hAnsi="Arial" w:cs="Arial"/>
                <w:sz w:val="20"/>
                <w:szCs w:val="20"/>
              </w:rPr>
              <w:t xml:space="preserve"> </w:t>
            </w:r>
            <w:r w:rsidRPr="001D00F7">
              <w:rPr>
                <w:rFonts w:ascii="Arial" w:hAnsi="Arial" w:cs="Arial"/>
                <w:sz w:val="20"/>
                <w:szCs w:val="20"/>
              </w:rPr>
              <w:br/>
              <w:t>(2012</w:t>
            </w:r>
            <w:r w:rsidR="00AA68A5">
              <w:rPr>
                <w:rFonts w:ascii="Arial" w:hAnsi="Arial" w:cs="Arial"/>
                <w:sz w:val="20"/>
                <w:szCs w:val="20"/>
              </w:rPr>
              <w:noBreakHyphen/>
            </w:r>
            <w:r w:rsidRPr="001D00F7">
              <w:rPr>
                <w:rFonts w:ascii="Arial" w:hAnsi="Arial" w:cs="Arial"/>
                <w:sz w:val="20"/>
                <w:szCs w:val="20"/>
              </w:rPr>
              <w:t xml:space="preserve">13$) </w:t>
            </w:r>
          </w:p>
        </w:tc>
      </w:tr>
      <w:tr w:rsidR="001D00F7" w:rsidRPr="001D00F7" w:rsidTr="001406B8">
        <w:trPr>
          <w:trHeight w:val="357"/>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13A.9</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Government real expenditure on community care services (2012</w:t>
            </w:r>
            <w:r w:rsidR="00AA68A5">
              <w:rPr>
                <w:rFonts w:ascii="Arial" w:hAnsi="Arial" w:cs="Arial"/>
                <w:sz w:val="20"/>
                <w:szCs w:val="20"/>
              </w:rPr>
              <w:noBreakHyphen/>
            </w:r>
            <w:r w:rsidRPr="001D00F7">
              <w:rPr>
                <w:rFonts w:ascii="Arial" w:hAnsi="Arial" w:cs="Arial"/>
                <w:sz w:val="20"/>
                <w:szCs w:val="20"/>
              </w:rPr>
              <w:t xml:space="preserve">13$) </w:t>
            </w:r>
          </w:p>
        </w:tc>
      </w:tr>
      <w:tr w:rsidR="001D00F7" w:rsidRPr="001D00F7" w:rsidTr="001406B8">
        <w:trPr>
          <w:trHeight w:val="612"/>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13A.10</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Government real expenditure on aged care services provided in mixed delivery settings</w:t>
            </w:r>
            <w:r w:rsidR="00926F6B">
              <w:rPr>
                <w:rFonts w:ascii="Arial" w:hAnsi="Arial" w:cs="Arial"/>
                <w:sz w:val="20"/>
                <w:szCs w:val="20"/>
              </w:rPr>
              <w:t xml:space="preserve"> </w:t>
            </w:r>
            <w:r w:rsidRPr="001D00F7">
              <w:rPr>
                <w:rFonts w:ascii="Arial" w:hAnsi="Arial" w:cs="Arial"/>
                <w:sz w:val="20"/>
                <w:szCs w:val="20"/>
              </w:rPr>
              <w:t>(2012</w:t>
            </w:r>
            <w:r w:rsidR="00AA68A5">
              <w:rPr>
                <w:rFonts w:ascii="Arial" w:hAnsi="Arial" w:cs="Arial"/>
                <w:sz w:val="20"/>
                <w:szCs w:val="20"/>
              </w:rPr>
              <w:noBreakHyphen/>
            </w:r>
            <w:r w:rsidRPr="001D00F7">
              <w:rPr>
                <w:rFonts w:ascii="Arial" w:hAnsi="Arial" w:cs="Arial"/>
                <w:sz w:val="20"/>
                <w:szCs w:val="20"/>
              </w:rPr>
              <w:t xml:space="preserve">13$) </w:t>
            </w:r>
          </w:p>
        </w:tc>
      </w:tr>
      <w:tr w:rsidR="001D00F7" w:rsidRPr="001D00F7" w:rsidTr="001406B8">
        <w:trPr>
          <w:trHeight w:val="612"/>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13A.11</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Australian, State and Territory governments</w:t>
            </w:r>
            <w:r w:rsidR="00AA68A5">
              <w:rPr>
                <w:rFonts w:ascii="Arial" w:hAnsi="Arial" w:cs="Arial"/>
                <w:sz w:val="20"/>
                <w:szCs w:val="20"/>
              </w:rPr>
              <w:t>’</w:t>
            </w:r>
            <w:r w:rsidRPr="001D00F7">
              <w:rPr>
                <w:rFonts w:ascii="Arial" w:hAnsi="Arial" w:cs="Arial"/>
                <w:sz w:val="20"/>
                <w:szCs w:val="20"/>
              </w:rPr>
              <w:t xml:space="preserve"> other aged care related expenditure, which are not included in Aged care services estimates 2012</w:t>
            </w:r>
            <w:r w:rsidR="00AA68A5">
              <w:rPr>
                <w:rFonts w:ascii="Arial" w:hAnsi="Arial" w:cs="Arial"/>
                <w:sz w:val="20"/>
                <w:szCs w:val="20"/>
              </w:rPr>
              <w:noBreakHyphen/>
            </w:r>
            <w:r w:rsidRPr="001D00F7">
              <w:rPr>
                <w:rFonts w:ascii="Arial" w:hAnsi="Arial" w:cs="Arial"/>
                <w:sz w:val="20"/>
                <w:szCs w:val="20"/>
              </w:rPr>
              <w:t xml:space="preserve">13 </w:t>
            </w:r>
            <w:r w:rsidR="00984D2B">
              <w:rPr>
                <w:rFonts w:ascii="Arial" w:hAnsi="Arial" w:cs="Arial"/>
                <w:sz w:val="20"/>
                <w:szCs w:val="20"/>
              </w:rPr>
              <w:br/>
            </w:r>
            <w:r w:rsidRPr="001D00F7">
              <w:rPr>
                <w:rFonts w:ascii="Arial" w:hAnsi="Arial" w:cs="Arial"/>
                <w:sz w:val="20"/>
                <w:szCs w:val="20"/>
              </w:rPr>
              <w:t xml:space="preserve">($ million) </w:t>
            </w:r>
          </w:p>
        </w:tc>
      </w:tr>
      <w:tr w:rsidR="001D00F7" w:rsidRPr="001D00F7" w:rsidTr="001406B8">
        <w:trPr>
          <w:trHeight w:val="357"/>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13A.12</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Real capital expenditure on aged care services (2012</w:t>
            </w:r>
            <w:r w:rsidR="00AA68A5">
              <w:rPr>
                <w:rFonts w:ascii="Arial" w:hAnsi="Arial" w:cs="Arial"/>
                <w:sz w:val="20"/>
                <w:szCs w:val="20"/>
              </w:rPr>
              <w:noBreakHyphen/>
            </w:r>
            <w:r w:rsidRPr="001D00F7">
              <w:rPr>
                <w:rFonts w:ascii="Arial" w:hAnsi="Arial" w:cs="Arial"/>
                <w:sz w:val="20"/>
                <w:szCs w:val="20"/>
              </w:rPr>
              <w:t xml:space="preserve">13 $million) </w:t>
            </w:r>
          </w:p>
        </w:tc>
      </w:tr>
      <w:tr w:rsidR="001D00F7" w:rsidRPr="001D00F7" w:rsidTr="001406B8">
        <w:trPr>
          <w:trHeight w:val="612"/>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13A.13</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Australian Government (DVA) Veterans</w:t>
            </w:r>
            <w:r w:rsidR="00AA68A5">
              <w:rPr>
                <w:rFonts w:ascii="Arial" w:hAnsi="Arial" w:cs="Arial"/>
                <w:sz w:val="20"/>
                <w:szCs w:val="20"/>
              </w:rPr>
              <w:t>’</w:t>
            </w:r>
            <w:r w:rsidRPr="001D00F7">
              <w:rPr>
                <w:rFonts w:ascii="Arial" w:hAnsi="Arial" w:cs="Arial"/>
                <w:sz w:val="20"/>
                <w:szCs w:val="20"/>
              </w:rPr>
              <w:t xml:space="preserve"> Home Care (VHC) and Community Nursing programs, 2012</w:t>
            </w:r>
            <w:r w:rsidR="00AA68A5">
              <w:rPr>
                <w:rFonts w:ascii="Arial" w:hAnsi="Arial" w:cs="Arial"/>
                <w:sz w:val="20"/>
                <w:szCs w:val="20"/>
              </w:rPr>
              <w:noBreakHyphen/>
            </w:r>
            <w:r w:rsidRPr="001D00F7">
              <w:rPr>
                <w:rFonts w:ascii="Arial" w:hAnsi="Arial" w:cs="Arial"/>
                <w:sz w:val="20"/>
                <w:szCs w:val="20"/>
              </w:rPr>
              <w:t>13</w:t>
            </w:r>
          </w:p>
        </w:tc>
      </w:tr>
      <w:tr w:rsidR="001D00F7" w:rsidRPr="001D00F7" w:rsidTr="001406B8">
        <w:trPr>
          <w:trHeight w:val="612"/>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13A.14</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Australian Government (Department of Veterans</w:t>
            </w:r>
            <w:r w:rsidR="00AA68A5">
              <w:rPr>
                <w:rFonts w:ascii="Arial" w:hAnsi="Arial" w:cs="Arial"/>
                <w:sz w:val="20"/>
                <w:szCs w:val="20"/>
              </w:rPr>
              <w:t>’</w:t>
            </w:r>
            <w:r w:rsidRPr="001D00F7">
              <w:rPr>
                <w:rFonts w:ascii="Arial" w:hAnsi="Arial" w:cs="Arial"/>
                <w:sz w:val="20"/>
                <w:szCs w:val="20"/>
              </w:rPr>
              <w:t xml:space="preserve"> Affairs) residential aged care clients</w:t>
            </w:r>
            <w:r w:rsidR="00AA68A5">
              <w:rPr>
                <w:rFonts w:ascii="Arial" w:hAnsi="Arial" w:cs="Arial"/>
                <w:sz w:val="20"/>
                <w:szCs w:val="20"/>
              </w:rPr>
              <w:t xml:space="preserve"> </w:t>
            </w:r>
          </w:p>
        </w:tc>
      </w:tr>
      <w:tr w:rsidR="001D00F7" w:rsidRPr="001D00F7" w:rsidTr="001406B8">
        <w:trPr>
          <w:trHeight w:val="357"/>
        </w:trPr>
        <w:tc>
          <w:tcPr>
            <w:tcW w:w="1456" w:type="dxa"/>
            <w:tcBorders>
              <w:top w:val="nil"/>
              <w:left w:val="nil"/>
              <w:bottom w:val="nil"/>
              <w:right w:val="nil"/>
            </w:tcBorders>
            <w:shd w:val="clear" w:color="auto" w:fill="auto"/>
            <w:noWrap/>
            <w:hideMark/>
          </w:tcPr>
          <w:p w:rsidR="001D00F7" w:rsidRPr="001D00F7" w:rsidRDefault="001D00F7" w:rsidP="001D00F7">
            <w:pPr>
              <w:rPr>
                <w:rFonts w:ascii="Arial" w:hAnsi="Arial" w:cs="Arial"/>
                <w:b/>
                <w:bCs/>
                <w:color w:val="0000FF"/>
                <w:sz w:val="20"/>
                <w:szCs w:val="20"/>
              </w:rPr>
            </w:pPr>
            <w:r w:rsidRPr="001D00F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1D00F7">
              <w:rPr>
                <w:rFonts w:ascii="Arial" w:hAnsi="Arial" w:cs="Arial"/>
                <w:b/>
                <w:bCs/>
                <w:color w:val="0000FF"/>
                <w:sz w:val="20"/>
                <w:szCs w:val="20"/>
              </w:rPr>
              <w:t>13A.15</w:t>
            </w:r>
            <w:proofErr w:type="spellEnd"/>
          </w:p>
        </w:tc>
        <w:tc>
          <w:tcPr>
            <w:tcW w:w="7333" w:type="dxa"/>
            <w:tcBorders>
              <w:top w:val="nil"/>
              <w:left w:val="nil"/>
              <w:bottom w:val="nil"/>
              <w:right w:val="nil"/>
            </w:tcBorders>
            <w:shd w:val="clear" w:color="auto" w:fill="auto"/>
            <w:hideMark/>
          </w:tcPr>
          <w:p w:rsidR="001D00F7" w:rsidRPr="001D00F7" w:rsidRDefault="001D00F7" w:rsidP="001D00F7">
            <w:pPr>
              <w:jc w:val="both"/>
              <w:rPr>
                <w:rFonts w:ascii="Arial" w:hAnsi="Arial" w:cs="Arial"/>
                <w:sz w:val="20"/>
                <w:szCs w:val="20"/>
              </w:rPr>
            </w:pPr>
            <w:r w:rsidRPr="001D00F7">
              <w:rPr>
                <w:rFonts w:ascii="Arial" w:hAnsi="Arial" w:cs="Arial"/>
                <w:sz w:val="20"/>
                <w:szCs w:val="20"/>
              </w:rPr>
              <w:t>Australian Government Activity Measures on selected Aged Care Programs</w:t>
            </w:r>
          </w:p>
        </w:tc>
      </w:tr>
      <w:tr w:rsidR="00023127" w:rsidRPr="00023127" w:rsidTr="001406B8">
        <w:trPr>
          <w:trHeight w:val="3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79" w:name="RANGE!A3"/>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13A.16</w:t>
            </w:r>
            <w:bookmarkEnd w:id="179"/>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180" w:name="RANGE!B3"/>
            <w:r w:rsidRPr="00023127">
              <w:rPr>
                <w:rFonts w:ascii="Arial" w:hAnsi="Arial" w:cs="Arial"/>
                <w:sz w:val="20"/>
                <w:szCs w:val="20"/>
              </w:rPr>
              <w:t xml:space="preserve">Ownership of operational residential aged care places </w:t>
            </w:r>
            <w:bookmarkEnd w:id="180"/>
          </w:p>
        </w:tc>
      </w:tr>
      <w:tr w:rsidR="00023127" w:rsidRPr="00023127" w:rsidTr="001406B8">
        <w:trPr>
          <w:trHeight w:val="72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81" w:name="RANGE!A4"/>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13A.17</w:t>
            </w:r>
            <w:bookmarkEnd w:id="181"/>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182" w:name="RANGE!B4"/>
            <w:r w:rsidRPr="00023127">
              <w:rPr>
                <w:rFonts w:ascii="Arial" w:hAnsi="Arial" w:cs="Arial"/>
                <w:sz w:val="20"/>
                <w:szCs w:val="20"/>
              </w:rPr>
              <w:t xml:space="preserve">Average annual Australian Government basic subsidy amount, including Conditional adjustment payment, per occupied place and the dependency level of aged care residents </w:t>
            </w:r>
            <w:bookmarkEnd w:id="182"/>
          </w:p>
        </w:tc>
      </w:tr>
      <w:tr w:rsidR="00023127" w:rsidRPr="00023127" w:rsidTr="001406B8">
        <w:trPr>
          <w:trHeight w:val="3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83" w:name="RANGE!A5"/>
            <w:r w:rsidRPr="00023127">
              <w:rPr>
                <w:rFonts w:ascii="Arial" w:hAnsi="Arial" w:cs="Arial"/>
                <w:b/>
                <w:bCs/>
                <w:color w:val="0000FF"/>
                <w:sz w:val="20"/>
                <w:szCs w:val="20"/>
              </w:rPr>
              <w:t>Table</w:t>
            </w:r>
            <w:r w:rsidR="00AA68A5">
              <w:rPr>
                <w:rFonts w:ascii="Arial" w:hAnsi="Arial" w:cs="Arial"/>
                <w:b/>
                <w:bCs/>
                <w:color w:val="0000FF"/>
                <w:sz w:val="20"/>
                <w:szCs w:val="20"/>
              </w:rPr>
              <w:t> </w:t>
            </w:r>
            <w:r w:rsidRPr="00023127">
              <w:rPr>
                <w:rFonts w:ascii="Arial" w:hAnsi="Arial" w:cs="Arial"/>
                <w:b/>
                <w:bCs/>
                <w:color w:val="0000FF"/>
                <w:sz w:val="20"/>
                <w:szCs w:val="20"/>
              </w:rPr>
              <w:t>13A.18</w:t>
            </w:r>
            <w:bookmarkEnd w:id="183"/>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184" w:name="RANGE!B5"/>
            <w:r w:rsidRPr="00023127">
              <w:rPr>
                <w:rFonts w:ascii="Arial" w:hAnsi="Arial" w:cs="Arial"/>
                <w:sz w:val="20"/>
                <w:szCs w:val="20"/>
              </w:rPr>
              <w:t>Size and distribution of all residential aged care services</w:t>
            </w:r>
            <w:r w:rsidR="00926F6B">
              <w:rPr>
                <w:rFonts w:ascii="Arial" w:hAnsi="Arial" w:cs="Arial"/>
                <w:sz w:val="20"/>
                <w:szCs w:val="20"/>
              </w:rPr>
              <w:t xml:space="preserve"> </w:t>
            </w:r>
            <w:r w:rsidRPr="00023127">
              <w:rPr>
                <w:rFonts w:ascii="Arial" w:hAnsi="Arial" w:cs="Arial"/>
                <w:sz w:val="20"/>
                <w:szCs w:val="20"/>
              </w:rPr>
              <w:t xml:space="preserve"> </w:t>
            </w:r>
            <w:bookmarkEnd w:id="184"/>
          </w:p>
        </w:tc>
      </w:tr>
      <w:tr w:rsidR="00023127" w:rsidRPr="00023127" w:rsidTr="001406B8">
        <w:trPr>
          <w:trHeight w:val="49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85" w:name="RANGE!A6"/>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13A.19</w:t>
            </w:r>
            <w:bookmarkEnd w:id="185"/>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186" w:name="RANGE!B6"/>
            <w:r w:rsidRPr="00023127">
              <w:rPr>
                <w:rFonts w:ascii="Arial" w:hAnsi="Arial" w:cs="Arial"/>
                <w:sz w:val="20"/>
                <w:szCs w:val="20"/>
              </w:rPr>
              <w:t>Size and distribution of residential aged care services with over 80 per cent high care residents</w:t>
            </w:r>
            <w:r w:rsidR="00926F6B">
              <w:rPr>
                <w:rFonts w:ascii="Arial" w:hAnsi="Arial" w:cs="Arial"/>
                <w:sz w:val="20"/>
                <w:szCs w:val="20"/>
              </w:rPr>
              <w:t xml:space="preserve">   </w:t>
            </w:r>
            <w:bookmarkEnd w:id="186"/>
          </w:p>
        </w:tc>
      </w:tr>
      <w:tr w:rsidR="00023127" w:rsidRPr="00023127" w:rsidTr="001406B8">
        <w:trPr>
          <w:trHeight w:val="419"/>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87" w:name="RANGE!A7"/>
            <w:r w:rsidRPr="00023127">
              <w:rPr>
                <w:rFonts w:ascii="Arial" w:hAnsi="Arial" w:cs="Arial"/>
                <w:b/>
                <w:bCs/>
                <w:color w:val="0000FF"/>
                <w:sz w:val="20"/>
                <w:szCs w:val="20"/>
              </w:rPr>
              <w:t>Table</w:t>
            </w:r>
            <w:r w:rsidR="00AA68A5">
              <w:rPr>
                <w:rFonts w:ascii="Arial" w:hAnsi="Arial" w:cs="Arial"/>
                <w:b/>
                <w:bCs/>
                <w:color w:val="0000FF"/>
                <w:sz w:val="20"/>
                <w:szCs w:val="20"/>
              </w:rPr>
              <w:t> </w:t>
            </w:r>
            <w:r w:rsidRPr="00023127">
              <w:rPr>
                <w:rFonts w:ascii="Arial" w:hAnsi="Arial" w:cs="Arial"/>
                <w:b/>
                <w:bCs/>
                <w:color w:val="0000FF"/>
                <w:sz w:val="20"/>
                <w:szCs w:val="20"/>
              </w:rPr>
              <w:t>13A.20</w:t>
            </w:r>
            <w:bookmarkEnd w:id="187"/>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188" w:name="RANGE!B7"/>
            <w:r w:rsidRPr="00023127">
              <w:rPr>
                <w:rFonts w:ascii="Arial" w:hAnsi="Arial" w:cs="Arial"/>
                <w:sz w:val="20"/>
                <w:szCs w:val="20"/>
              </w:rPr>
              <w:t>Size and distribution of residential aged care services with over 80 per cent low care residents</w:t>
            </w:r>
            <w:r w:rsidR="00926F6B">
              <w:rPr>
                <w:rFonts w:ascii="Arial" w:hAnsi="Arial" w:cs="Arial"/>
                <w:sz w:val="20"/>
                <w:szCs w:val="20"/>
              </w:rPr>
              <w:t xml:space="preserve">  </w:t>
            </w:r>
            <w:r w:rsidRPr="00023127">
              <w:rPr>
                <w:rFonts w:ascii="Arial" w:hAnsi="Arial" w:cs="Arial"/>
                <w:sz w:val="20"/>
                <w:szCs w:val="20"/>
              </w:rPr>
              <w:t xml:space="preserve"> </w:t>
            </w:r>
            <w:bookmarkEnd w:id="188"/>
          </w:p>
        </w:tc>
      </w:tr>
      <w:tr w:rsidR="00023127" w:rsidRPr="00023127" w:rsidTr="001406B8">
        <w:trPr>
          <w:trHeight w:val="5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89" w:name="RANGE!A8"/>
            <w:r w:rsidRPr="00023127">
              <w:rPr>
                <w:rFonts w:ascii="Arial" w:hAnsi="Arial" w:cs="Arial"/>
                <w:b/>
                <w:bCs/>
                <w:color w:val="0000FF"/>
                <w:sz w:val="20"/>
                <w:szCs w:val="20"/>
              </w:rPr>
              <w:t>Table</w:t>
            </w:r>
            <w:r w:rsidR="00AA68A5">
              <w:rPr>
                <w:rFonts w:ascii="Arial" w:hAnsi="Arial" w:cs="Arial"/>
                <w:b/>
                <w:bCs/>
                <w:color w:val="0000FF"/>
                <w:sz w:val="20"/>
                <w:szCs w:val="20"/>
              </w:rPr>
              <w:t> </w:t>
            </w:r>
            <w:r w:rsidRPr="00023127">
              <w:rPr>
                <w:rFonts w:ascii="Arial" w:hAnsi="Arial" w:cs="Arial"/>
                <w:b/>
                <w:bCs/>
                <w:color w:val="0000FF"/>
                <w:sz w:val="20"/>
                <w:szCs w:val="20"/>
              </w:rPr>
              <w:t>13A.21</w:t>
            </w:r>
            <w:bookmarkEnd w:id="189"/>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190" w:name="RANGE!B8"/>
            <w:r w:rsidRPr="00023127">
              <w:rPr>
                <w:rFonts w:ascii="Arial" w:hAnsi="Arial" w:cs="Arial"/>
                <w:sz w:val="20"/>
                <w:szCs w:val="20"/>
              </w:rPr>
              <w:t>Size and distribution of mixed residential aged care services with less than 80 per cent high care residents and more than 20 per cent low care residents</w:t>
            </w:r>
            <w:r w:rsidR="00926F6B">
              <w:rPr>
                <w:rFonts w:ascii="Arial" w:hAnsi="Arial" w:cs="Arial"/>
                <w:sz w:val="20"/>
                <w:szCs w:val="20"/>
              </w:rPr>
              <w:t xml:space="preserve">   </w:t>
            </w:r>
            <w:bookmarkEnd w:id="190"/>
          </w:p>
        </w:tc>
      </w:tr>
      <w:tr w:rsidR="00023127" w:rsidRPr="00023127" w:rsidTr="001406B8">
        <w:trPr>
          <w:trHeight w:val="509"/>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91" w:name="RANGE!A9"/>
            <w:r w:rsidRPr="00023127">
              <w:rPr>
                <w:rFonts w:ascii="Arial" w:hAnsi="Arial" w:cs="Arial"/>
                <w:b/>
                <w:bCs/>
                <w:color w:val="0000FF"/>
                <w:sz w:val="20"/>
                <w:szCs w:val="20"/>
              </w:rPr>
              <w:t>Table</w:t>
            </w:r>
            <w:r w:rsidR="00AA68A5">
              <w:rPr>
                <w:rFonts w:ascii="Arial" w:hAnsi="Arial" w:cs="Arial"/>
                <w:b/>
                <w:bCs/>
                <w:color w:val="0000FF"/>
                <w:sz w:val="20"/>
                <w:szCs w:val="20"/>
              </w:rPr>
              <w:t> </w:t>
            </w:r>
            <w:r w:rsidRPr="00023127">
              <w:rPr>
                <w:rFonts w:ascii="Arial" w:hAnsi="Arial" w:cs="Arial"/>
                <w:b/>
                <w:bCs/>
                <w:color w:val="0000FF"/>
                <w:sz w:val="20"/>
                <w:szCs w:val="20"/>
              </w:rPr>
              <w:t>13A.22</w:t>
            </w:r>
            <w:bookmarkEnd w:id="191"/>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192" w:name="RANGE!B9"/>
            <w:r w:rsidRPr="00023127">
              <w:rPr>
                <w:rFonts w:ascii="Arial" w:hAnsi="Arial" w:cs="Arial"/>
                <w:sz w:val="20"/>
                <w:szCs w:val="20"/>
              </w:rPr>
              <w:t>Proportion of residential aged care places in high care, low care and mixed care services, by location</w:t>
            </w:r>
            <w:r w:rsidR="00926F6B">
              <w:rPr>
                <w:rFonts w:ascii="Arial" w:hAnsi="Arial" w:cs="Arial"/>
                <w:sz w:val="20"/>
                <w:szCs w:val="20"/>
              </w:rPr>
              <w:t xml:space="preserve"> </w:t>
            </w:r>
            <w:bookmarkEnd w:id="192"/>
          </w:p>
        </w:tc>
      </w:tr>
      <w:tr w:rsidR="00023127" w:rsidRPr="00023127" w:rsidTr="001406B8">
        <w:trPr>
          <w:trHeight w:val="3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93" w:name="RANGE!A10"/>
            <w:r w:rsidRPr="00023127">
              <w:rPr>
                <w:rFonts w:ascii="Arial" w:hAnsi="Arial" w:cs="Arial"/>
                <w:b/>
                <w:bCs/>
                <w:color w:val="0000FF"/>
                <w:sz w:val="20"/>
                <w:szCs w:val="20"/>
              </w:rPr>
              <w:t>Table</w:t>
            </w:r>
            <w:r w:rsidR="00AA68A5">
              <w:rPr>
                <w:rFonts w:ascii="Arial" w:hAnsi="Arial" w:cs="Arial"/>
                <w:b/>
                <w:bCs/>
                <w:color w:val="0000FF"/>
                <w:sz w:val="20"/>
                <w:szCs w:val="20"/>
              </w:rPr>
              <w:t> </w:t>
            </w:r>
            <w:r w:rsidRPr="00023127">
              <w:rPr>
                <w:rFonts w:ascii="Arial" w:hAnsi="Arial" w:cs="Arial"/>
                <w:b/>
                <w:bCs/>
                <w:color w:val="0000FF"/>
                <w:sz w:val="20"/>
                <w:szCs w:val="20"/>
              </w:rPr>
              <w:t>13A.23</w:t>
            </w:r>
            <w:bookmarkEnd w:id="193"/>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194" w:name="RANGE!B10"/>
            <w:r w:rsidRPr="00023127">
              <w:rPr>
                <w:rFonts w:ascii="Arial" w:hAnsi="Arial" w:cs="Arial"/>
                <w:sz w:val="20"/>
                <w:szCs w:val="20"/>
              </w:rPr>
              <w:t>Operational number of aged care places, 30 June</w:t>
            </w:r>
            <w:r w:rsidR="00926F6B">
              <w:rPr>
                <w:rFonts w:ascii="Arial" w:hAnsi="Arial" w:cs="Arial"/>
                <w:sz w:val="20"/>
                <w:szCs w:val="20"/>
              </w:rPr>
              <w:t xml:space="preserve"> </w:t>
            </w:r>
            <w:r w:rsidRPr="00023127">
              <w:rPr>
                <w:rFonts w:ascii="Arial" w:hAnsi="Arial" w:cs="Arial"/>
                <w:sz w:val="20"/>
                <w:szCs w:val="20"/>
              </w:rPr>
              <w:t xml:space="preserve"> </w:t>
            </w:r>
            <w:bookmarkEnd w:id="194"/>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95" w:name="RANGE!A11"/>
            <w:r w:rsidRPr="00023127">
              <w:rPr>
                <w:rFonts w:ascii="Arial" w:hAnsi="Arial" w:cs="Arial"/>
                <w:b/>
                <w:bCs/>
                <w:color w:val="0000FF"/>
                <w:sz w:val="20"/>
                <w:szCs w:val="20"/>
              </w:rPr>
              <w:lastRenderedPageBreak/>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13A.24</w:t>
            </w:r>
            <w:bookmarkEnd w:id="195"/>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196" w:name="RANGE!B11"/>
            <w:r w:rsidRPr="00023127">
              <w:rPr>
                <w:rFonts w:ascii="Arial" w:hAnsi="Arial" w:cs="Arial"/>
                <w:sz w:val="20"/>
                <w:szCs w:val="20"/>
              </w:rPr>
              <w:t>Operational number of aged care places per 1000 people aged 70 years or over, 30 June</w:t>
            </w:r>
            <w:r w:rsidR="00926F6B">
              <w:rPr>
                <w:rFonts w:ascii="Arial" w:hAnsi="Arial" w:cs="Arial"/>
                <w:sz w:val="20"/>
                <w:szCs w:val="20"/>
              </w:rPr>
              <w:t xml:space="preserve">  </w:t>
            </w:r>
            <w:r w:rsidRPr="00023127">
              <w:rPr>
                <w:rFonts w:ascii="Arial" w:hAnsi="Arial" w:cs="Arial"/>
                <w:sz w:val="20"/>
                <w:szCs w:val="20"/>
              </w:rPr>
              <w:t xml:space="preserve"> </w:t>
            </w:r>
            <w:bookmarkEnd w:id="196"/>
          </w:p>
        </w:tc>
      </w:tr>
      <w:tr w:rsidR="00023127" w:rsidRPr="00023127" w:rsidTr="001406B8">
        <w:trPr>
          <w:trHeight w:val="591"/>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97" w:name="RANGE!A12"/>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13A.25</w:t>
            </w:r>
            <w:bookmarkEnd w:id="197"/>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198" w:name="RANGE!B12"/>
            <w:r w:rsidRPr="00023127">
              <w:rPr>
                <w:rFonts w:ascii="Arial" w:hAnsi="Arial" w:cs="Arial"/>
                <w:sz w:val="20"/>
                <w:szCs w:val="20"/>
              </w:rPr>
              <w:t>Operational number of aged care places per 1000 people aged 70 years or over and Indigenous Australians aged 50–69 years, 30 June</w:t>
            </w:r>
            <w:r w:rsidR="00926F6B">
              <w:rPr>
                <w:rFonts w:ascii="Arial" w:hAnsi="Arial" w:cs="Arial"/>
                <w:sz w:val="20"/>
                <w:szCs w:val="20"/>
              </w:rPr>
              <w:t xml:space="preserve">  </w:t>
            </w:r>
            <w:bookmarkEnd w:id="198"/>
          </w:p>
        </w:tc>
      </w:tr>
      <w:tr w:rsidR="00023127" w:rsidRPr="00023127" w:rsidTr="001406B8">
        <w:trPr>
          <w:trHeight w:val="713"/>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199" w:name="RANGE!A13"/>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13A.26</w:t>
            </w:r>
            <w:bookmarkEnd w:id="199"/>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200" w:name="RANGE!B13"/>
            <w:r w:rsidRPr="00023127">
              <w:rPr>
                <w:rFonts w:ascii="Arial" w:hAnsi="Arial" w:cs="Arial"/>
                <w:sz w:val="20"/>
                <w:szCs w:val="20"/>
              </w:rPr>
              <w:t>Operational number of residential and community aged care services per 1000 people aged 70 years or over and Indigenous Australians aged 50–69 years, by planning region (at 30 June)</w:t>
            </w:r>
            <w:r w:rsidR="00926F6B">
              <w:rPr>
                <w:rFonts w:ascii="Arial" w:hAnsi="Arial" w:cs="Arial"/>
                <w:sz w:val="20"/>
                <w:szCs w:val="20"/>
              </w:rPr>
              <w:t xml:space="preserve"> </w:t>
            </w:r>
            <w:r w:rsidRPr="00023127">
              <w:rPr>
                <w:rFonts w:ascii="Arial" w:hAnsi="Arial" w:cs="Arial"/>
                <w:sz w:val="20"/>
                <w:szCs w:val="20"/>
              </w:rPr>
              <w:t xml:space="preserve"> </w:t>
            </w:r>
            <w:bookmarkEnd w:id="200"/>
          </w:p>
        </w:tc>
      </w:tr>
      <w:tr w:rsidR="00023127" w:rsidRPr="00023127" w:rsidTr="001406B8">
        <w:trPr>
          <w:trHeight w:val="708"/>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201" w:name="RANGE!A14"/>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13A.27</w:t>
            </w:r>
            <w:bookmarkEnd w:id="201"/>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202" w:name="RANGE!B14"/>
            <w:r w:rsidRPr="00023127">
              <w:rPr>
                <w:rFonts w:ascii="Arial" w:hAnsi="Arial" w:cs="Arial"/>
                <w:sz w:val="20"/>
                <w:szCs w:val="20"/>
              </w:rPr>
              <w:t xml:space="preserve">Operational number of residential and community aged care services per 1000 people aged 70 years or over and Indigenous Australians aged 50–69 years, by remoteness (at 30 June) </w:t>
            </w:r>
            <w:bookmarkEnd w:id="202"/>
          </w:p>
        </w:tc>
      </w:tr>
      <w:tr w:rsidR="00023127" w:rsidRPr="00023127" w:rsidTr="001406B8">
        <w:trPr>
          <w:trHeight w:val="3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203" w:name="RANGE!A15"/>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13A.28</w:t>
            </w:r>
            <w:bookmarkEnd w:id="203"/>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204" w:name="RANGE!B15"/>
            <w:r w:rsidRPr="00023127">
              <w:rPr>
                <w:rFonts w:ascii="Arial" w:hAnsi="Arial" w:cs="Arial"/>
                <w:sz w:val="20"/>
                <w:szCs w:val="20"/>
              </w:rPr>
              <w:t>Aged care recipients per 1000 older people, 30 June</w:t>
            </w:r>
            <w:r w:rsidR="00926F6B">
              <w:rPr>
                <w:rFonts w:ascii="Arial" w:hAnsi="Arial" w:cs="Arial"/>
                <w:sz w:val="20"/>
                <w:szCs w:val="20"/>
              </w:rPr>
              <w:t xml:space="preserve">   </w:t>
            </w:r>
            <w:bookmarkEnd w:id="204"/>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205" w:name="RANGE!A16"/>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13A.29</w:t>
            </w:r>
            <w:bookmarkEnd w:id="205"/>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206" w:name="RANGE!B16"/>
            <w:r w:rsidRPr="00023127">
              <w:rPr>
                <w:rFonts w:ascii="Arial" w:hAnsi="Arial" w:cs="Arial"/>
                <w:sz w:val="20"/>
                <w:szCs w:val="20"/>
              </w:rPr>
              <w:t>Aged care recipients per 1000 people aged 65 years or over and Indigenous Australians aged 50–64 years by location, 30 June</w:t>
            </w:r>
            <w:r w:rsidR="00926F6B">
              <w:rPr>
                <w:rFonts w:ascii="Arial" w:hAnsi="Arial" w:cs="Arial"/>
                <w:sz w:val="20"/>
                <w:szCs w:val="20"/>
              </w:rPr>
              <w:t xml:space="preserve">   </w:t>
            </w:r>
            <w:bookmarkEnd w:id="206"/>
          </w:p>
        </w:tc>
      </w:tr>
      <w:tr w:rsidR="00023127" w:rsidRPr="00023127" w:rsidTr="001406B8">
        <w:trPr>
          <w:trHeight w:val="3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207" w:name="RANGE!A17"/>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13A.30</w:t>
            </w:r>
            <w:bookmarkEnd w:id="207"/>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208" w:name="RANGE!B17"/>
            <w:r w:rsidRPr="00023127">
              <w:rPr>
                <w:rFonts w:ascii="Arial" w:hAnsi="Arial" w:cs="Arial"/>
                <w:sz w:val="20"/>
                <w:szCs w:val="20"/>
              </w:rPr>
              <w:t>HACC recipients per 1000 people in a special needs group</w:t>
            </w:r>
            <w:r w:rsidR="00926F6B">
              <w:rPr>
                <w:rFonts w:ascii="Arial" w:hAnsi="Arial" w:cs="Arial"/>
                <w:sz w:val="20"/>
                <w:szCs w:val="20"/>
              </w:rPr>
              <w:t xml:space="preserve"> </w:t>
            </w:r>
            <w:bookmarkEnd w:id="208"/>
          </w:p>
        </w:tc>
      </w:tr>
      <w:tr w:rsidR="00023127" w:rsidRPr="00023127" w:rsidTr="001406B8">
        <w:trPr>
          <w:trHeight w:val="3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209" w:name="RANGE!A18"/>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13A.31</w:t>
            </w:r>
            <w:bookmarkEnd w:id="209"/>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210" w:name="RANGE!B18"/>
            <w:r w:rsidRPr="00023127">
              <w:rPr>
                <w:rFonts w:ascii="Arial" w:hAnsi="Arial" w:cs="Arial"/>
                <w:sz w:val="20"/>
                <w:szCs w:val="20"/>
              </w:rPr>
              <w:t>Aged care recipients from a non</w:t>
            </w:r>
            <w:r w:rsidR="00AA68A5">
              <w:rPr>
                <w:rFonts w:ascii="Arial" w:hAnsi="Arial" w:cs="Arial"/>
                <w:sz w:val="20"/>
                <w:szCs w:val="20"/>
              </w:rPr>
              <w:noBreakHyphen/>
            </w:r>
            <w:r w:rsidRPr="00023127">
              <w:rPr>
                <w:rFonts w:ascii="Arial" w:hAnsi="Arial" w:cs="Arial"/>
                <w:sz w:val="20"/>
                <w:szCs w:val="20"/>
              </w:rPr>
              <w:t>English speaking country, 30 June</w:t>
            </w:r>
            <w:r w:rsidR="00926F6B">
              <w:rPr>
                <w:rFonts w:ascii="Arial" w:hAnsi="Arial" w:cs="Arial"/>
                <w:sz w:val="20"/>
                <w:szCs w:val="20"/>
              </w:rPr>
              <w:t xml:space="preserve">   </w:t>
            </w:r>
            <w:bookmarkEnd w:id="210"/>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211" w:name="RANGE!A19"/>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13A.32</w:t>
            </w:r>
            <w:bookmarkEnd w:id="211"/>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212" w:name="RANGE!B19"/>
            <w:r w:rsidRPr="00023127">
              <w:rPr>
                <w:rFonts w:ascii="Arial" w:hAnsi="Arial" w:cs="Arial"/>
                <w:sz w:val="20"/>
                <w:szCs w:val="20"/>
              </w:rPr>
              <w:t>Aged care recipients from a non</w:t>
            </w:r>
            <w:r w:rsidR="00AA68A5">
              <w:rPr>
                <w:rFonts w:ascii="Arial" w:hAnsi="Arial" w:cs="Arial"/>
                <w:sz w:val="20"/>
                <w:szCs w:val="20"/>
              </w:rPr>
              <w:noBreakHyphen/>
            </w:r>
            <w:r w:rsidRPr="00023127">
              <w:rPr>
                <w:rFonts w:ascii="Arial" w:hAnsi="Arial" w:cs="Arial"/>
                <w:sz w:val="20"/>
                <w:szCs w:val="20"/>
              </w:rPr>
              <w:t>English speaking country per 1000 people from a non</w:t>
            </w:r>
            <w:r w:rsidR="00AA68A5">
              <w:rPr>
                <w:rFonts w:ascii="Arial" w:hAnsi="Arial" w:cs="Arial"/>
                <w:sz w:val="20"/>
                <w:szCs w:val="20"/>
              </w:rPr>
              <w:noBreakHyphen/>
            </w:r>
            <w:r w:rsidRPr="00023127">
              <w:rPr>
                <w:rFonts w:ascii="Arial" w:hAnsi="Arial" w:cs="Arial"/>
                <w:sz w:val="20"/>
                <w:szCs w:val="20"/>
              </w:rPr>
              <w:t xml:space="preserve">English speaking country aged 65 years and over by </w:t>
            </w:r>
            <w:r w:rsidR="00FB07DB">
              <w:rPr>
                <w:rFonts w:ascii="Arial" w:hAnsi="Arial" w:cs="Arial"/>
                <w:sz w:val="20"/>
                <w:szCs w:val="20"/>
              </w:rPr>
              <w:t>location</w:t>
            </w:r>
            <w:r w:rsidRPr="00023127">
              <w:rPr>
                <w:rFonts w:ascii="Arial" w:hAnsi="Arial" w:cs="Arial"/>
                <w:sz w:val="20"/>
                <w:szCs w:val="20"/>
              </w:rPr>
              <w:t>, 30 June</w:t>
            </w:r>
            <w:r w:rsidR="00926F6B">
              <w:rPr>
                <w:rFonts w:ascii="Arial" w:hAnsi="Arial" w:cs="Arial"/>
                <w:sz w:val="20"/>
                <w:szCs w:val="20"/>
              </w:rPr>
              <w:t xml:space="preserve">    </w:t>
            </w:r>
            <w:bookmarkEnd w:id="212"/>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213" w:name="RANGE!A20"/>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13A.33</w:t>
            </w:r>
            <w:bookmarkEnd w:id="213"/>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214" w:name="RANGE!B20"/>
            <w:r w:rsidRPr="00023127">
              <w:rPr>
                <w:rFonts w:ascii="Arial" w:hAnsi="Arial" w:cs="Arial"/>
                <w:sz w:val="20"/>
                <w:szCs w:val="20"/>
              </w:rPr>
              <w:t>Indigenous aged care recipients per 1000 Indigenous Australians aged 50 years or over and as a proportion of all recipients, 30 June</w:t>
            </w:r>
            <w:r w:rsidR="00926F6B">
              <w:rPr>
                <w:rFonts w:ascii="Arial" w:hAnsi="Arial" w:cs="Arial"/>
                <w:sz w:val="20"/>
                <w:szCs w:val="20"/>
              </w:rPr>
              <w:t xml:space="preserve">   </w:t>
            </w:r>
            <w:bookmarkEnd w:id="214"/>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bookmarkStart w:id="215" w:name="RANGE!A21"/>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13A.34</w:t>
            </w:r>
            <w:bookmarkEnd w:id="215"/>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bookmarkStart w:id="216" w:name="RANGE!B21"/>
            <w:r w:rsidRPr="00023127">
              <w:rPr>
                <w:rFonts w:ascii="Arial" w:hAnsi="Arial" w:cs="Arial"/>
                <w:sz w:val="20"/>
                <w:szCs w:val="20"/>
              </w:rPr>
              <w:t xml:space="preserve">Indigenous aged care recipients per 1000 Indigenous Australians aged 50 years or over by </w:t>
            </w:r>
            <w:r w:rsidR="00FB07DB">
              <w:rPr>
                <w:rFonts w:ascii="Arial" w:hAnsi="Arial" w:cs="Arial"/>
                <w:sz w:val="20"/>
                <w:szCs w:val="20"/>
              </w:rPr>
              <w:t>location</w:t>
            </w:r>
            <w:r w:rsidRPr="00023127">
              <w:rPr>
                <w:rFonts w:ascii="Arial" w:hAnsi="Arial" w:cs="Arial"/>
                <w:sz w:val="20"/>
                <w:szCs w:val="20"/>
              </w:rPr>
              <w:t>, 30 June</w:t>
            </w:r>
            <w:r w:rsidR="00926F6B">
              <w:rPr>
                <w:rFonts w:ascii="Arial" w:hAnsi="Arial" w:cs="Arial"/>
                <w:sz w:val="20"/>
                <w:szCs w:val="20"/>
              </w:rPr>
              <w:t xml:space="preserve">   </w:t>
            </w:r>
            <w:r w:rsidRPr="00023127">
              <w:rPr>
                <w:rFonts w:ascii="Arial" w:hAnsi="Arial" w:cs="Arial"/>
                <w:sz w:val="20"/>
                <w:szCs w:val="20"/>
              </w:rPr>
              <w:t xml:space="preserve"> </w:t>
            </w:r>
            <w:bookmarkEnd w:id="216"/>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13A.35</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Permanent aged care residents at June 2013: age</w:t>
            </w:r>
            <w:r w:rsidR="00AA68A5">
              <w:rPr>
                <w:rFonts w:ascii="Arial" w:hAnsi="Arial" w:cs="Arial"/>
                <w:sz w:val="20"/>
                <w:szCs w:val="20"/>
              </w:rPr>
              <w:noBreakHyphen/>
            </w:r>
            <w:r w:rsidRPr="00023127">
              <w:rPr>
                <w:rFonts w:ascii="Arial" w:hAnsi="Arial" w:cs="Arial"/>
                <w:sz w:val="20"/>
                <w:szCs w:val="20"/>
              </w:rPr>
              <w:t>sex specific usage rates per 1000 people</w:t>
            </w:r>
            <w:r w:rsidR="00926F6B">
              <w:rPr>
                <w:rFonts w:ascii="Arial" w:hAnsi="Arial" w:cs="Arial"/>
                <w:sz w:val="20"/>
                <w:szCs w:val="20"/>
              </w:rPr>
              <w:t xml:space="preserve"> </w:t>
            </w:r>
            <w:r w:rsidRPr="00023127">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13A.36</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 xml:space="preserve">Proportion of permanent residents/resident care days classified as concessional, assisted or supported (per cent)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13A.37</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Ageing in place: residents changing from low care to high care in the same facility</w:t>
            </w:r>
            <w:r w:rsidR="00926F6B">
              <w:rPr>
                <w:rFonts w:ascii="Arial" w:hAnsi="Arial" w:cs="Arial"/>
                <w:sz w:val="20"/>
                <w:szCs w:val="20"/>
              </w:rPr>
              <w:t xml:space="preserve"> </w:t>
            </w:r>
            <w:r w:rsidRPr="00023127">
              <w:rPr>
                <w:rFonts w:ascii="Arial" w:hAnsi="Arial" w:cs="Arial"/>
                <w:sz w:val="20"/>
                <w:szCs w:val="20"/>
              </w:rPr>
              <w:t xml:space="preserve"> </w:t>
            </w:r>
          </w:p>
        </w:tc>
      </w:tr>
      <w:tr w:rsidR="00023127" w:rsidRPr="00023127" w:rsidTr="001406B8">
        <w:trPr>
          <w:trHeight w:val="3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13A.38</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Utilisation of residential aged care places, by remoteness category, June 2013</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13A.39</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CACP EACH and EACH</w:t>
            </w:r>
            <w:r w:rsidR="00AA68A5">
              <w:rPr>
                <w:rFonts w:ascii="Arial" w:hAnsi="Arial" w:cs="Arial"/>
                <w:sz w:val="20"/>
                <w:szCs w:val="20"/>
              </w:rPr>
              <w:noBreakHyphen/>
            </w:r>
            <w:r w:rsidRPr="00023127">
              <w:rPr>
                <w:rFonts w:ascii="Arial" w:hAnsi="Arial" w:cs="Arial"/>
                <w:sz w:val="20"/>
                <w:szCs w:val="20"/>
              </w:rPr>
              <w:t>D recipients at June 2013: age</w:t>
            </w:r>
            <w:r w:rsidR="00AA68A5">
              <w:rPr>
                <w:rFonts w:ascii="Arial" w:hAnsi="Arial" w:cs="Arial"/>
                <w:sz w:val="20"/>
                <w:szCs w:val="20"/>
              </w:rPr>
              <w:noBreakHyphen/>
            </w:r>
            <w:r w:rsidRPr="00023127">
              <w:rPr>
                <w:rFonts w:ascii="Arial" w:hAnsi="Arial" w:cs="Arial"/>
                <w:sz w:val="20"/>
                <w:szCs w:val="20"/>
              </w:rPr>
              <w:t>sex specific usage rates per 1000 people</w:t>
            </w:r>
            <w:r w:rsidR="00926F6B">
              <w:rPr>
                <w:rFonts w:ascii="Arial" w:hAnsi="Arial" w:cs="Arial"/>
                <w:sz w:val="20"/>
                <w:szCs w:val="20"/>
              </w:rPr>
              <w:t xml:space="preserve"> </w:t>
            </w:r>
            <w:r w:rsidRPr="00023127">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13A.40</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Permanent</w:t>
            </w:r>
            <w:r w:rsidR="00926F6B">
              <w:rPr>
                <w:rFonts w:ascii="Arial" w:hAnsi="Arial" w:cs="Arial"/>
                <w:sz w:val="20"/>
                <w:szCs w:val="20"/>
              </w:rPr>
              <w:t xml:space="preserve"> </w:t>
            </w:r>
            <w:r w:rsidRPr="00023127">
              <w:rPr>
                <w:rFonts w:ascii="Arial" w:hAnsi="Arial" w:cs="Arial"/>
                <w:sz w:val="20"/>
                <w:szCs w:val="20"/>
              </w:rPr>
              <w:t>aged</w:t>
            </w:r>
            <w:r w:rsidR="00926F6B">
              <w:rPr>
                <w:rFonts w:ascii="Arial" w:hAnsi="Arial" w:cs="Arial"/>
                <w:sz w:val="20"/>
                <w:szCs w:val="20"/>
              </w:rPr>
              <w:t xml:space="preserve"> </w:t>
            </w:r>
            <w:r w:rsidRPr="00023127">
              <w:rPr>
                <w:rFonts w:ascii="Arial" w:hAnsi="Arial" w:cs="Arial"/>
                <w:sz w:val="20"/>
                <w:szCs w:val="20"/>
              </w:rPr>
              <w:t>care</w:t>
            </w:r>
            <w:r w:rsidR="00926F6B">
              <w:rPr>
                <w:rFonts w:ascii="Arial" w:hAnsi="Arial" w:cs="Arial"/>
                <w:sz w:val="20"/>
                <w:szCs w:val="20"/>
              </w:rPr>
              <w:t xml:space="preserve"> </w:t>
            </w:r>
            <w:r w:rsidRPr="00023127">
              <w:rPr>
                <w:rFonts w:ascii="Arial" w:hAnsi="Arial" w:cs="Arial"/>
                <w:sz w:val="20"/>
                <w:szCs w:val="20"/>
              </w:rPr>
              <w:t>residents, CACP,</w:t>
            </w:r>
            <w:r w:rsidR="00926F6B">
              <w:rPr>
                <w:rFonts w:ascii="Arial" w:hAnsi="Arial" w:cs="Arial"/>
                <w:sz w:val="20"/>
                <w:szCs w:val="20"/>
              </w:rPr>
              <w:t xml:space="preserve"> </w:t>
            </w:r>
            <w:r w:rsidRPr="00023127">
              <w:rPr>
                <w:rFonts w:ascii="Arial" w:hAnsi="Arial" w:cs="Arial"/>
                <w:sz w:val="20"/>
                <w:szCs w:val="20"/>
              </w:rPr>
              <w:t>EACH and EACH</w:t>
            </w:r>
            <w:r w:rsidR="00AA68A5">
              <w:rPr>
                <w:rFonts w:ascii="Arial" w:hAnsi="Arial" w:cs="Arial"/>
                <w:sz w:val="20"/>
                <w:szCs w:val="20"/>
              </w:rPr>
              <w:noBreakHyphen/>
            </w:r>
            <w:r w:rsidRPr="00023127">
              <w:rPr>
                <w:rFonts w:ascii="Arial" w:hAnsi="Arial" w:cs="Arial"/>
                <w:sz w:val="20"/>
                <w:szCs w:val="20"/>
              </w:rPr>
              <w:t>D recipients at June 2013: age</w:t>
            </w:r>
            <w:r w:rsidR="00AA68A5">
              <w:rPr>
                <w:rFonts w:ascii="Arial" w:hAnsi="Arial" w:cs="Arial"/>
                <w:sz w:val="20"/>
                <w:szCs w:val="20"/>
              </w:rPr>
              <w:noBreakHyphen/>
            </w:r>
            <w:r w:rsidRPr="00023127">
              <w:rPr>
                <w:rFonts w:ascii="Arial" w:hAnsi="Arial" w:cs="Arial"/>
                <w:sz w:val="20"/>
                <w:szCs w:val="20"/>
              </w:rPr>
              <w:t>sex specific usage rates per 1000 people by jurisdiction</w:t>
            </w:r>
            <w:r w:rsidR="00926F6B">
              <w:rPr>
                <w:rFonts w:ascii="Arial" w:hAnsi="Arial" w:cs="Arial"/>
                <w:sz w:val="20"/>
                <w:szCs w:val="20"/>
              </w:rPr>
              <w:t xml:space="preserve"> </w:t>
            </w:r>
            <w:r w:rsidRPr="00023127">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13A.41</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Number of younger people using residential, CACP, EACH and EACH</w:t>
            </w:r>
            <w:r w:rsidR="00AA68A5">
              <w:rPr>
                <w:rFonts w:ascii="Arial" w:hAnsi="Arial" w:cs="Arial"/>
                <w:sz w:val="20"/>
                <w:szCs w:val="20"/>
              </w:rPr>
              <w:noBreakHyphen/>
            </w:r>
            <w:r w:rsidRPr="00023127">
              <w:rPr>
                <w:rFonts w:ascii="Arial" w:hAnsi="Arial" w:cs="Arial"/>
                <w:sz w:val="20"/>
                <w:szCs w:val="20"/>
              </w:rPr>
              <w:t xml:space="preserve">D aged care services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13A.42</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Permanent aged care residents at June 2013: age</w:t>
            </w:r>
            <w:r w:rsidR="00AA68A5">
              <w:rPr>
                <w:rFonts w:ascii="Arial" w:hAnsi="Arial" w:cs="Arial"/>
                <w:sz w:val="20"/>
                <w:szCs w:val="20"/>
              </w:rPr>
              <w:noBreakHyphen/>
            </w:r>
            <w:r w:rsidRPr="00023127">
              <w:rPr>
                <w:rFonts w:ascii="Arial" w:hAnsi="Arial" w:cs="Arial"/>
                <w:sz w:val="20"/>
                <w:szCs w:val="20"/>
              </w:rPr>
              <w:t>sex specific usage rates per 1000 people by remoteness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13A.43</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CACP, EACH and EACH</w:t>
            </w:r>
            <w:r w:rsidR="00AA68A5">
              <w:rPr>
                <w:rFonts w:ascii="Arial" w:hAnsi="Arial" w:cs="Arial"/>
                <w:sz w:val="20"/>
                <w:szCs w:val="20"/>
              </w:rPr>
              <w:noBreakHyphen/>
            </w:r>
            <w:r w:rsidRPr="00023127">
              <w:rPr>
                <w:rFonts w:ascii="Arial" w:hAnsi="Arial" w:cs="Arial"/>
                <w:sz w:val="20"/>
                <w:szCs w:val="20"/>
              </w:rPr>
              <w:t>D recipients at June 2013: age</w:t>
            </w:r>
            <w:r w:rsidR="00AA68A5">
              <w:rPr>
                <w:rFonts w:ascii="Arial" w:hAnsi="Arial" w:cs="Arial"/>
                <w:sz w:val="20"/>
                <w:szCs w:val="20"/>
              </w:rPr>
              <w:noBreakHyphen/>
            </w:r>
            <w:r w:rsidRPr="00023127">
              <w:rPr>
                <w:rFonts w:ascii="Arial" w:hAnsi="Arial" w:cs="Arial"/>
                <w:sz w:val="20"/>
                <w:szCs w:val="20"/>
              </w:rPr>
              <w:t>sex specific usage rates per 1000 people by remoteness</w:t>
            </w:r>
            <w:r w:rsidR="00926F6B">
              <w:rPr>
                <w:rFonts w:ascii="Arial" w:hAnsi="Arial" w:cs="Arial"/>
                <w:sz w:val="20"/>
                <w:szCs w:val="20"/>
              </w:rPr>
              <w:t xml:space="preserve"> </w:t>
            </w:r>
            <w:r w:rsidRPr="00023127">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13A.44</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Permanent aged care residents, CACP,</w:t>
            </w:r>
            <w:r w:rsidR="00926F6B">
              <w:rPr>
                <w:rFonts w:ascii="Arial" w:hAnsi="Arial" w:cs="Arial"/>
                <w:sz w:val="20"/>
                <w:szCs w:val="20"/>
              </w:rPr>
              <w:t xml:space="preserve"> </w:t>
            </w:r>
            <w:r w:rsidRPr="00023127">
              <w:rPr>
                <w:rFonts w:ascii="Arial" w:hAnsi="Arial" w:cs="Arial"/>
                <w:sz w:val="20"/>
                <w:szCs w:val="20"/>
              </w:rPr>
              <w:t>EACH and EACH</w:t>
            </w:r>
            <w:r w:rsidR="00AA68A5">
              <w:rPr>
                <w:rFonts w:ascii="Arial" w:hAnsi="Arial" w:cs="Arial"/>
                <w:sz w:val="20"/>
                <w:szCs w:val="20"/>
              </w:rPr>
              <w:noBreakHyphen/>
            </w:r>
            <w:r w:rsidRPr="00023127">
              <w:rPr>
                <w:rFonts w:ascii="Arial" w:hAnsi="Arial" w:cs="Arial"/>
                <w:sz w:val="20"/>
                <w:szCs w:val="20"/>
              </w:rPr>
              <w:t>D recipients at June 2013: age</w:t>
            </w:r>
            <w:r w:rsidR="00AA68A5">
              <w:rPr>
                <w:rFonts w:ascii="Arial" w:hAnsi="Arial" w:cs="Arial"/>
                <w:sz w:val="20"/>
                <w:szCs w:val="20"/>
              </w:rPr>
              <w:noBreakHyphen/>
            </w:r>
            <w:r w:rsidRPr="00023127">
              <w:rPr>
                <w:rFonts w:ascii="Arial" w:hAnsi="Arial" w:cs="Arial"/>
                <w:sz w:val="20"/>
                <w:szCs w:val="20"/>
              </w:rPr>
              <w:t>sex specific usage rates per 1000 people, by remoteness</w:t>
            </w:r>
            <w:r w:rsidR="00926F6B">
              <w:rPr>
                <w:rFonts w:ascii="Arial" w:hAnsi="Arial" w:cs="Arial"/>
                <w:sz w:val="20"/>
                <w:szCs w:val="20"/>
              </w:rPr>
              <w:t xml:space="preserve"> </w:t>
            </w:r>
          </w:p>
        </w:tc>
      </w:tr>
      <w:tr w:rsidR="00023127" w:rsidRPr="00023127" w:rsidTr="001406B8">
        <w:trPr>
          <w:trHeight w:val="811"/>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13A.45</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Indigenous permanent residents classified as high or low care and Indigenous CACP, EACH and EACH</w:t>
            </w:r>
            <w:r w:rsidR="00AA68A5">
              <w:rPr>
                <w:rFonts w:ascii="Arial" w:hAnsi="Arial" w:cs="Arial"/>
                <w:sz w:val="20"/>
                <w:szCs w:val="20"/>
              </w:rPr>
              <w:noBreakHyphen/>
            </w:r>
            <w:r w:rsidRPr="00023127">
              <w:rPr>
                <w:rFonts w:ascii="Arial" w:hAnsi="Arial" w:cs="Arial"/>
                <w:sz w:val="20"/>
                <w:szCs w:val="20"/>
              </w:rPr>
              <w:t>D at June 2013: age</w:t>
            </w:r>
            <w:r w:rsidR="00AA68A5">
              <w:rPr>
                <w:rFonts w:ascii="Arial" w:hAnsi="Arial" w:cs="Arial"/>
                <w:sz w:val="20"/>
                <w:szCs w:val="20"/>
              </w:rPr>
              <w:noBreakHyphen/>
            </w:r>
            <w:r w:rsidRPr="00023127">
              <w:rPr>
                <w:rFonts w:ascii="Arial" w:hAnsi="Arial" w:cs="Arial"/>
                <w:sz w:val="20"/>
                <w:szCs w:val="20"/>
              </w:rPr>
              <w:t>sex specific usage rates per 1000 people by remoteness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lastRenderedPageBreak/>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13A.46</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per 1000 people aged 65 years or over and Indigenous Australians aged 50–64 years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13A.47</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per 1000 people aged 70 years or over and Indigenous Australians aged 50–69 years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13A.48</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within major cities per 1000 people aged 65 years or over and Indigenous Australians aged 50–64 years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13A.49</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within inner regional areas per 1000 people aged 65 years or over and Indigenous Australians aged 50–64 years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13A.50</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within outer regional areas per 1000 people aged 65 years or over and Indigenous Australians aged 50–64 years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13A.51</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within remote areas per 1000 people aged 65 years or over and Indigenous Australians aged 50–64 years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13A.52</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within very remote areas per 1000 people aged 65 years or over and Indigenous Australians aged 50–64 years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13A.53</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target population aged 65 years or over and Indigenous Australians aged 50–64 years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13A.54</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per 1000 HACC target population aged 65 years or over and Indigenous Australians aged 50–64 years</w:t>
            </w:r>
            <w:r w:rsidR="00926F6B">
              <w:rPr>
                <w:rFonts w:ascii="Arial" w:hAnsi="Arial" w:cs="Arial"/>
                <w:sz w:val="20"/>
                <w:szCs w:val="20"/>
              </w:rPr>
              <w:t xml:space="preserve"> </w:t>
            </w:r>
            <w:r w:rsidRPr="00023127">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13A.55</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within major cities per 1000 HACC target population aged 65 years or over and Indigenous Australians aged 50–64 years</w:t>
            </w:r>
            <w:r w:rsidR="00926F6B">
              <w:rPr>
                <w:rFonts w:ascii="Arial" w:hAnsi="Arial" w:cs="Arial"/>
                <w:sz w:val="20"/>
                <w:szCs w:val="20"/>
              </w:rPr>
              <w:t xml:space="preserve"> </w:t>
            </w:r>
            <w:r w:rsidRPr="00023127">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13A.56</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within inner regional areas</w:t>
            </w:r>
            <w:r w:rsidR="00926F6B">
              <w:rPr>
                <w:rFonts w:ascii="Arial" w:hAnsi="Arial" w:cs="Arial"/>
                <w:sz w:val="20"/>
                <w:szCs w:val="20"/>
              </w:rPr>
              <w:t xml:space="preserve"> </w:t>
            </w:r>
            <w:r w:rsidRPr="00023127">
              <w:rPr>
                <w:rFonts w:ascii="Arial" w:hAnsi="Arial" w:cs="Arial"/>
                <w:sz w:val="20"/>
                <w:szCs w:val="20"/>
              </w:rPr>
              <w:t>per 1000 HACC target population aged 65 years or over and Indigenous Australians aged 50–64 years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13A.57</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within outer regional areas per 1000 HACC target population aged 65 years or over and Indigenous Australians aged 50–64 years</w:t>
            </w:r>
            <w:r w:rsidR="00926F6B">
              <w:rPr>
                <w:rFonts w:ascii="Arial" w:hAnsi="Arial" w:cs="Arial"/>
                <w:sz w:val="20"/>
                <w:szCs w:val="20"/>
              </w:rPr>
              <w:t xml:space="preserve"> </w:t>
            </w:r>
            <w:r w:rsidRPr="00023127">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13A.58</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within remote areas per 1000 HACC target population aged 65 years or over and Indigenous Australians aged 50</w:t>
            </w:r>
            <w:r w:rsidR="00AA68A5">
              <w:rPr>
                <w:rFonts w:ascii="Arial" w:hAnsi="Arial" w:cs="Arial"/>
                <w:sz w:val="20"/>
                <w:szCs w:val="20"/>
              </w:rPr>
              <w:noBreakHyphen/>
            </w:r>
            <w:r w:rsidRPr="00023127">
              <w:rPr>
                <w:rFonts w:ascii="Arial" w:hAnsi="Arial" w:cs="Arial"/>
                <w:sz w:val="20"/>
                <w:szCs w:val="20"/>
              </w:rPr>
              <w:t>64 years</w:t>
            </w:r>
            <w:r w:rsidR="00926F6B">
              <w:rPr>
                <w:rFonts w:ascii="Arial" w:hAnsi="Arial" w:cs="Arial"/>
                <w:sz w:val="20"/>
                <w:szCs w:val="20"/>
              </w:rPr>
              <w:t xml:space="preserve">  </w:t>
            </w:r>
          </w:p>
        </w:tc>
      </w:tr>
      <w:tr w:rsidR="00023127" w:rsidRPr="00023127" w:rsidTr="001406B8">
        <w:trPr>
          <w:trHeight w:val="612"/>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13A.59</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HACC services received within very remote areas per 1000 HACC target population aged 65 years or over and Indigenous Australians aged 50–64 years</w:t>
            </w:r>
            <w:r w:rsidR="00926F6B">
              <w:rPr>
                <w:rFonts w:ascii="Arial" w:hAnsi="Arial" w:cs="Arial"/>
                <w:sz w:val="20"/>
                <w:szCs w:val="20"/>
              </w:rPr>
              <w:t xml:space="preserve">  </w:t>
            </w:r>
          </w:p>
        </w:tc>
      </w:tr>
      <w:tr w:rsidR="00023127" w:rsidRPr="00023127" w:rsidTr="001406B8">
        <w:trPr>
          <w:trHeight w:val="3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13A.60</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Older HACC client characteristics</w:t>
            </w:r>
            <w:r w:rsidR="00926F6B">
              <w:rPr>
                <w:rFonts w:ascii="Arial" w:hAnsi="Arial" w:cs="Arial"/>
                <w:sz w:val="20"/>
                <w:szCs w:val="20"/>
              </w:rPr>
              <w:t xml:space="preserve"> </w:t>
            </w:r>
          </w:p>
        </w:tc>
      </w:tr>
      <w:tr w:rsidR="00023127" w:rsidRPr="00023127" w:rsidTr="001406B8">
        <w:trPr>
          <w:trHeight w:val="3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13A.61</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Distribution of older HACC clients, by age and Indigenous status (per cent)</w:t>
            </w:r>
            <w:r w:rsidR="00926F6B">
              <w:rPr>
                <w:rFonts w:ascii="Arial" w:hAnsi="Arial" w:cs="Arial"/>
                <w:sz w:val="20"/>
                <w:szCs w:val="20"/>
              </w:rPr>
              <w:t xml:space="preserve">  </w:t>
            </w:r>
          </w:p>
        </w:tc>
      </w:tr>
      <w:tr w:rsidR="00023127" w:rsidRPr="00023127" w:rsidTr="001406B8">
        <w:trPr>
          <w:trHeight w:val="357"/>
        </w:trPr>
        <w:tc>
          <w:tcPr>
            <w:tcW w:w="1456" w:type="dxa"/>
            <w:tcBorders>
              <w:top w:val="nil"/>
              <w:left w:val="nil"/>
              <w:bottom w:val="nil"/>
              <w:right w:val="nil"/>
            </w:tcBorders>
            <w:shd w:val="clear" w:color="auto" w:fill="auto"/>
            <w:noWrap/>
            <w:hideMark/>
          </w:tcPr>
          <w:p w:rsidR="00023127" w:rsidRPr="00023127" w:rsidRDefault="00023127" w:rsidP="00023127">
            <w:pPr>
              <w:rPr>
                <w:rFonts w:ascii="Arial" w:hAnsi="Arial" w:cs="Arial"/>
                <w:b/>
                <w:bCs/>
                <w:color w:val="0000FF"/>
                <w:sz w:val="20"/>
                <w:szCs w:val="20"/>
              </w:rPr>
            </w:pPr>
            <w:r w:rsidRPr="00023127">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023127">
              <w:rPr>
                <w:rFonts w:ascii="Arial" w:hAnsi="Arial" w:cs="Arial"/>
                <w:b/>
                <w:bCs/>
                <w:color w:val="0000FF"/>
                <w:sz w:val="20"/>
                <w:szCs w:val="20"/>
              </w:rPr>
              <w:t>13A.62</w:t>
            </w:r>
            <w:proofErr w:type="spellEnd"/>
          </w:p>
        </w:tc>
        <w:tc>
          <w:tcPr>
            <w:tcW w:w="7333" w:type="dxa"/>
            <w:tcBorders>
              <w:top w:val="nil"/>
              <w:left w:val="nil"/>
              <w:bottom w:val="nil"/>
              <w:right w:val="nil"/>
            </w:tcBorders>
            <w:shd w:val="clear" w:color="auto" w:fill="auto"/>
            <w:hideMark/>
          </w:tcPr>
          <w:p w:rsidR="00023127" w:rsidRPr="00023127" w:rsidRDefault="00023127" w:rsidP="00023127">
            <w:pPr>
              <w:jc w:val="both"/>
              <w:rPr>
                <w:rFonts w:ascii="Arial" w:hAnsi="Arial" w:cs="Arial"/>
                <w:sz w:val="20"/>
                <w:szCs w:val="20"/>
              </w:rPr>
            </w:pPr>
            <w:r w:rsidRPr="00023127">
              <w:rPr>
                <w:rFonts w:ascii="Arial" w:hAnsi="Arial" w:cs="Arial"/>
                <w:sz w:val="20"/>
                <w:szCs w:val="20"/>
              </w:rPr>
              <w:t>Comparative characteristics of Indigenous HACC clients</w:t>
            </w:r>
            <w:r w:rsidR="00926F6B">
              <w:rPr>
                <w:rFonts w:ascii="Arial" w:hAnsi="Arial" w:cs="Arial"/>
                <w:sz w:val="20"/>
                <w:szCs w:val="20"/>
              </w:rPr>
              <w:t xml:space="preserve">    </w:t>
            </w:r>
            <w:r w:rsidRPr="00023127">
              <w:rPr>
                <w:rFonts w:ascii="Arial" w:hAnsi="Arial" w:cs="Arial"/>
                <w:sz w:val="20"/>
                <w:szCs w:val="20"/>
              </w:rPr>
              <w:t xml:space="preserve"> </w:t>
            </w:r>
          </w:p>
        </w:tc>
      </w:tr>
      <w:tr w:rsidR="00FB07DB" w:rsidRPr="00FB07DB" w:rsidTr="001406B8">
        <w:trPr>
          <w:trHeight w:val="357"/>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13A.63</w:t>
            </w:r>
            <w:proofErr w:type="spellEnd"/>
          </w:p>
        </w:tc>
        <w:tc>
          <w:tcPr>
            <w:tcW w:w="7333" w:type="dxa"/>
            <w:tcBorders>
              <w:top w:val="nil"/>
              <w:left w:val="nil"/>
              <w:bottom w:val="nil"/>
              <w:right w:val="nil"/>
            </w:tcBorders>
            <w:shd w:val="clear" w:color="auto" w:fill="auto"/>
            <w:hideMark/>
          </w:tcPr>
          <w:p w:rsidR="00FB07DB" w:rsidRPr="00FB07DB" w:rsidRDefault="00FB07DB" w:rsidP="00FB07DB">
            <w:pPr>
              <w:jc w:val="both"/>
              <w:rPr>
                <w:rFonts w:ascii="Arial" w:hAnsi="Arial" w:cs="Arial"/>
                <w:sz w:val="20"/>
                <w:szCs w:val="20"/>
              </w:rPr>
            </w:pPr>
            <w:r w:rsidRPr="00FB07DB">
              <w:rPr>
                <w:rFonts w:ascii="Arial" w:hAnsi="Arial" w:cs="Arial"/>
                <w:sz w:val="20"/>
                <w:szCs w:val="20"/>
              </w:rPr>
              <w:t>Access to Commonwealth Respite and Carelink Centres, 2012</w:t>
            </w:r>
            <w:r w:rsidR="00AA68A5">
              <w:rPr>
                <w:rFonts w:ascii="Arial" w:hAnsi="Arial" w:cs="Arial"/>
                <w:sz w:val="20"/>
                <w:szCs w:val="20"/>
              </w:rPr>
              <w:noBreakHyphen/>
            </w:r>
            <w:r w:rsidRPr="00FB07DB">
              <w:rPr>
                <w:rFonts w:ascii="Arial" w:hAnsi="Arial" w:cs="Arial"/>
                <w:sz w:val="20"/>
                <w:szCs w:val="20"/>
              </w:rPr>
              <w:t xml:space="preserve">13 </w:t>
            </w:r>
          </w:p>
        </w:tc>
      </w:tr>
      <w:tr w:rsidR="00FB07DB" w:rsidRPr="00FB07DB" w:rsidTr="001406B8">
        <w:trPr>
          <w:trHeight w:val="357"/>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13A.64</w:t>
            </w:r>
            <w:proofErr w:type="spellEnd"/>
          </w:p>
        </w:tc>
        <w:tc>
          <w:tcPr>
            <w:tcW w:w="7333" w:type="dxa"/>
            <w:tcBorders>
              <w:top w:val="nil"/>
              <w:left w:val="nil"/>
              <w:bottom w:val="nil"/>
              <w:right w:val="nil"/>
            </w:tcBorders>
            <w:shd w:val="clear" w:color="auto" w:fill="auto"/>
            <w:hideMark/>
          </w:tcPr>
          <w:p w:rsidR="00FB07DB" w:rsidRPr="00FB07DB" w:rsidRDefault="00FB07DB" w:rsidP="00FB07DB">
            <w:pPr>
              <w:jc w:val="both"/>
              <w:rPr>
                <w:rFonts w:ascii="Arial" w:hAnsi="Arial" w:cs="Arial"/>
                <w:sz w:val="20"/>
                <w:szCs w:val="20"/>
              </w:rPr>
            </w:pPr>
            <w:r w:rsidRPr="00FB07DB">
              <w:rPr>
                <w:rFonts w:ascii="Arial" w:hAnsi="Arial" w:cs="Arial"/>
                <w:sz w:val="20"/>
                <w:szCs w:val="20"/>
              </w:rPr>
              <w:t>Aged care assessments</w:t>
            </w:r>
            <w:r w:rsidR="00926F6B">
              <w:rPr>
                <w:rFonts w:ascii="Arial" w:hAnsi="Arial" w:cs="Arial"/>
                <w:sz w:val="20"/>
                <w:szCs w:val="20"/>
              </w:rPr>
              <w:t xml:space="preserve">  </w:t>
            </w:r>
          </w:p>
        </w:tc>
      </w:tr>
      <w:tr w:rsidR="00FB07DB" w:rsidRPr="00FB07DB" w:rsidTr="001406B8">
        <w:trPr>
          <w:trHeight w:val="357"/>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13A.65</w:t>
            </w:r>
            <w:proofErr w:type="spellEnd"/>
          </w:p>
        </w:tc>
        <w:tc>
          <w:tcPr>
            <w:tcW w:w="7333" w:type="dxa"/>
            <w:tcBorders>
              <w:top w:val="nil"/>
              <w:left w:val="nil"/>
              <w:bottom w:val="nil"/>
              <w:right w:val="nil"/>
            </w:tcBorders>
            <w:shd w:val="clear" w:color="auto" w:fill="auto"/>
            <w:hideMark/>
          </w:tcPr>
          <w:p w:rsidR="00FB07DB" w:rsidRPr="00FB07DB" w:rsidRDefault="00FB07DB" w:rsidP="00FB07DB">
            <w:pPr>
              <w:jc w:val="both"/>
              <w:rPr>
                <w:rFonts w:ascii="Arial" w:hAnsi="Arial" w:cs="Arial"/>
                <w:sz w:val="20"/>
                <w:szCs w:val="20"/>
              </w:rPr>
            </w:pPr>
            <w:r w:rsidRPr="00FB07DB">
              <w:rPr>
                <w:rFonts w:ascii="Arial" w:hAnsi="Arial" w:cs="Arial"/>
                <w:sz w:val="20"/>
                <w:szCs w:val="20"/>
              </w:rPr>
              <w:t xml:space="preserve">Aged care assessments per 1000 people – age specific approvals </w:t>
            </w:r>
          </w:p>
        </w:tc>
      </w:tr>
      <w:tr w:rsidR="00FB07DB" w:rsidRPr="00FB07DB" w:rsidTr="001406B8">
        <w:trPr>
          <w:trHeight w:val="612"/>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13A.66</w:t>
            </w:r>
            <w:proofErr w:type="spellEnd"/>
          </w:p>
        </w:tc>
        <w:tc>
          <w:tcPr>
            <w:tcW w:w="7333" w:type="dxa"/>
            <w:tcBorders>
              <w:top w:val="nil"/>
              <w:left w:val="nil"/>
              <w:bottom w:val="nil"/>
              <w:right w:val="nil"/>
            </w:tcBorders>
            <w:shd w:val="clear" w:color="auto" w:fill="auto"/>
            <w:hideMark/>
          </w:tcPr>
          <w:p w:rsidR="00FB07DB" w:rsidRPr="00FB07DB" w:rsidRDefault="00FB07DB" w:rsidP="00A9588F">
            <w:pPr>
              <w:jc w:val="both"/>
              <w:rPr>
                <w:rFonts w:ascii="Arial" w:hAnsi="Arial" w:cs="Arial"/>
                <w:sz w:val="20"/>
                <w:szCs w:val="20"/>
              </w:rPr>
            </w:pPr>
            <w:r w:rsidRPr="00FB07DB">
              <w:rPr>
                <w:rFonts w:ascii="Arial" w:hAnsi="Arial" w:cs="Arial"/>
                <w:sz w:val="20"/>
                <w:szCs w:val="20"/>
              </w:rPr>
              <w:t>Elapsed time between ACA</w:t>
            </w:r>
            <w:r w:rsidR="00A9588F">
              <w:rPr>
                <w:rFonts w:ascii="Arial" w:hAnsi="Arial" w:cs="Arial"/>
                <w:sz w:val="20"/>
                <w:szCs w:val="20"/>
              </w:rPr>
              <w:t>T</w:t>
            </w:r>
            <w:r w:rsidRPr="00FB07DB">
              <w:rPr>
                <w:rFonts w:ascii="Arial" w:hAnsi="Arial" w:cs="Arial"/>
                <w:sz w:val="20"/>
                <w:szCs w:val="20"/>
              </w:rPr>
              <w:t xml:space="preserve"> approval and entry into permanent residential care, EACH, EACH</w:t>
            </w:r>
            <w:r w:rsidR="00AA68A5">
              <w:rPr>
                <w:rFonts w:ascii="Arial" w:hAnsi="Arial" w:cs="Arial"/>
                <w:sz w:val="20"/>
                <w:szCs w:val="20"/>
              </w:rPr>
              <w:noBreakHyphen/>
            </w:r>
            <w:r w:rsidRPr="00FB07DB">
              <w:rPr>
                <w:rFonts w:ascii="Arial" w:hAnsi="Arial" w:cs="Arial"/>
                <w:sz w:val="20"/>
                <w:szCs w:val="20"/>
              </w:rPr>
              <w:t>D or CACP service</w:t>
            </w:r>
            <w:r w:rsidR="00926F6B">
              <w:rPr>
                <w:rFonts w:ascii="Arial" w:hAnsi="Arial" w:cs="Arial"/>
                <w:sz w:val="20"/>
                <w:szCs w:val="20"/>
              </w:rPr>
              <w:t xml:space="preserve">  </w:t>
            </w:r>
          </w:p>
        </w:tc>
      </w:tr>
      <w:tr w:rsidR="00FB07DB" w:rsidRPr="00FB07DB" w:rsidTr="001406B8">
        <w:trPr>
          <w:trHeight w:val="357"/>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13A.67</w:t>
            </w:r>
            <w:proofErr w:type="spellEnd"/>
          </w:p>
        </w:tc>
        <w:tc>
          <w:tcPr>
            <w:tcW w:w="7333" w:type="dxa"/>
            <w:tcBorders>
              <w:top w:val="nil"/>
              <w:left w:val="nil"/>
              <w:bottom w:val="nil"/>
              <w:right w:val="nil"/>
            </w:tcBorders>
            <w:shd w:val="clear" w:color="auto" w:fill="auto"/>
            <w:hideMark/>
          </w:tcPr>
          <w:p w:rsidR="00FB07DB" w:rsidRPr="00FB07DB" w:rsidRDefault="00FB07DB" w:rsidP="00FB07DB">
            <w:pPr>
              <w:jc w:val="both"/>
              <w:rPr>
                <w:rFonts w:ascii="Arial" w:hAnsi="Arial" w:cs="Arial"/>
                <w:sz w:val="20"/>
                <w:szCs w:val="20"/>
              </w:rPr>
            </w:pPr>
            <w:r w:rsidRPr="00FB07DB">
              <w:rPr>
                <w:rFonts w:ascii="Arial" w:hAnsi="Arial" w:cs="Arial"/>
                <w:sz w:val="20"/>
                <w:szCs w:val="20"/>
              </w:rPr>
              <w:t>Elapsed times for aged care services, by remoteness</w:t>
            </w:r>
            <w:r w:rsidR="00926F6B">
              <w:rPr>
                <w:rFonts w:ascii="Arial" w:hAnsi="Arial" w:cs="Arial"/>
                <w:sz w:val="20"/>
                <w:szCs w:val="20"/>
              </w:rPr>
              <w:t xml:space="preserve">  </w:t>
            </w:r>
          </w:p>
        </w:tc>
      </w:tr>
      <w:tr w:rsidR="00FB07DB" w:rsidRPr="00FB07DB" w:rsidTr="001406B8">
        <w:trPr>
          <w:trHeight w:val="357"/>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13A.68</w:t>
            </w:r>
            <w:proofErr w:type="spellEnd"/>
          </w:p>
        </w:tc>
        <w:tc>
          <w:tcPr>
            <w:tcW w:w="7333" w:type="dxa"/>
            <w:tcBorders>
              <w:top w:val="nil"/>
              <w:left w:val="nil"/>
              <w:bottom w:val="nil"/>
              <w:right w:val="nil"/>
            </w:tcBorders>
            <w:shd w:val="clear" w:color="auto" w:fill="auto"/>
            <w:hideMark/>
          </w:tcPr>
          <w:p w:rsidR="00FB07DB" w:rsidRPr="00FB07DB" w:rsidRDefault="00FB07DB" w:rsidP="00FB07DB">
            <w:pPr>
              <w:jc w:val="both"/>
              <w:rPr>
                <w:rFonts w:ascii="Arial" w:hAnsi="Arial" w:cs="Arial"/>
                <w:sz w:val="20"/>
                <w:szCs w:val="20"/>
              </w:rPr>
            </w:pPr>
            <w:r w:rsidRPr="00FB07DB">
              <w:rPr>
                <w:rFonts w:ascii="Arial" w:hAnsi="Arial" w:cs="Arial"/>
                <w:sz w:val="20"/>
                <w:szCs w:val="20"/>
              </w:rPr>
              <w:t xml:space="preserve">Elapsed times for aged care services, by </w:t>
            </w:r>
            <w:proofErr w:type="spellStart"/>
            <w:r w:rsidRPr="00FB07DB">
              <w:rPr>
                <w:rFonts w:ascii="Arial" w:hAnsi="Arial" w:cs="Arial"/>
                <w:sz w:val="20"/>
                <w:szCs w:val="20"/>
              </w:rPr>
              <w:t>SEIFA</w:t>
            </w:r>
            <w:proofErr w:type="spellEnd"/>
            <w:r w:rsidRPr="00FB07DB">
              <w:rPr>
                <w:rFonts w:ascii="Arial" w:hAnsi="Arial" w:cs="Arial"/>
                <w:sz w:val="20"/>
                <w:szCs w:val="20"/>
              </w:rPr>
              <w:t xml:space="preserve"> </w:t>
            </w:r>
            <w:proofErr w:type="spellStart"/>
            <w:r w:rsidRPr="00FB07DB">
              <w:rPr>
                <w:rFonts w:ascii="Arial" w:hAnsi="Arial" w:cs="Arial"/>
                <w:sz w:val="20"/>
                <w:szCs w:val="20"/>
              </w:rPr>
              <w:t>IRSD</w:t>
            </w:r>
            <w:proofErr w:type="spellEnd"/>
            <w:r w:rsidRPr="00FB07DB">
              <w:rPr>
                <w:rFonts w:ascii="Arial" w:hAnsi="Arial" w:cs="Arial"/>
                <w:sz w:val="20"/>
                <w:szCs w:val="20"/>
              </w:rPr>
              <w:t xml:space="preserve"> quintiles</w:t>
            </w:r>
            <w:r w:rsidR="00926F6B">
              <w:rPr>
                <w:rFonts w:ascii="Arial" w:hAnsi="Arial" w:cs="Arial"/>
                <w:sz w:val="20"/>
                <w:szCs w:val="20"/>
              </w:rPr>
              <w:t xml:space="preserve"> </w:t>
            </w:r>
            <w:r w:rsidRPr="00FB07DB">
              <w:rPr>
                <w:rFonts w:ascii="Arial" w:hAnsi="Arial" w:cs="Arial"/>
                <w:sz w:val="20"/>
                <w:szCs w:val="20"/>
              </w:rPr>
              <w:t xml:space="preserve"> </w:t>
            </w:r>
          </w:p>
        </w:tc>
      </w:tr>
      <w:tr w:rsidR="00FB07DB" w:rsidRPr="00FB07DB" w:rsidTr="001406B8">
        <w:trPr>
          <w:trHeight w:val="612"/>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13A.69</w:t>
            </w:r>
            <w:proofErr w:type="spellEnd"/>
          </w:p>
        </w:tc>
        <w:tc>
          <w:tcPr>
            <w:tcW w:w="7333" w:type="dxa"/>
            <w:tcBorders>
              <w:top w:val="nil"/>
              <w:left w:val="nil"/>
              <w:bottom w:val="nil"/>
              <w:right w:val="nil"/>
            </w:tcBorders>
            <w:shd w:val="clear" w:color="auto" w:fill="auto"/>
            <w:hideMark/>
          </w:tcPr>
          <w:p w:rsidR="00FB07DB" w:rsidRPr="00FB07DB" w:rsidRDefault="00FB07DB" w:rsidP="00FB07DB">
            <w:pPr>
              <w:jc w:val="both"/>
              <w:rPr>
                <w:rFonts w:ascii="Arial" w:hAnsi="Arial" w:cs="Arial"/>
                <w:sz w:val="20"/>
                <w:szCs w:val="20"/>
              </w:rPr>
            </w:pPr>
            <w:r w:rsidRPr="00FB07DB">
              <w:rPr>
                <w:rFonts w:ascii="Arial" w:hAnsi="Arial" w:cs="Arial"/>
                <w:sz w:val="20"/>
                <w:szCs w:val="20"/>
              </w:rPr>
              <w:t>Elapsed times for aged care services, by State and Territory, by Indigenous status, 2011</w:t>
            </w:r>
            <w:r w:rsidR="00AA68A5">
              <w:rPr>
                <w:rFonts w:ascii="Arial" w:hAnsi="Arial" w:cs="Arial"/>
                <w:sz w:val="20"/>
                <w:szCs w:val="20"/>
              </w:rPr>
              <w:noBreakHyphen/>
            </w:r>
            <w:r w:rsidRPr="00FB07DB">
              <w:rPr>
                <w:rFonts w:ascii="Arial" w:hAnsi="Arial" w:cs="Arial"/>
                <w:sz w:val="20"/>
                <w:szCs w:val="20"/>
              </w:rPr>
              <w:t>12</w:t>
            </w:r>
            <w:r w:rsidR="00926F6B">
              <w:rPr>
                <w:rFonts w:ascii="Arial" w:hAnsi="Arial" w:cs="Arial"/>
                <w:sz w:val="20"/>
                <w:szCs w:val="20"/>
              </w:rPr>
              <w:t xml:space="preserve">  </w:t>
            </w:r>
          </w:p>
        </w:tc>
      </w:tr>
      <w:tr w:rsidR="00FB07DB" w:rsidRPr="00FB07DB" w:rsidTr="001406B8">
        <w:trPr>
          <w:trHeight w:val="612"/>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13A.70</w:t>
            </w:r>
            <w:proofErr w:type="spellEnd"/>
          </w:p>
        </w:tc>
        <w:tc>
          <w:tcPr>
            <w:tcW w:w="7333" w:type="dxa"/>
            <w:tcBorders>
              <w:top w:val="nil"/>
              <w:left w:val="nil"/>
              <w:bottom w:val="nil"/>
              <w:right w:val="nil"/>
            </w:tcBorders>
            <w:shd w:val="clear" w:color="auto" w:fill="auto"/>
            <w:hideMark/>
          </w:tcPr>
          <w:p w:rsidR="00FB07DB" w:rsidRPr="00FB07DB" w:rsidRDefault="00FB07DB" w:rsidP="00A9588F">
            <w:pPr>
              <w:jc w:val="both"/>
              <w:rPr>
                <w:rFonts w:ascii="Arial" w:hAnsi="Arial" w:cs="Arial"/>
                <w:sz w:val="20"/>
                <w:szCs w:val="20"/>
              </w:rPr>
            </w:pPr>
            <w:r w:rsidRPr="00FB07DB">
              <w:rPr>
                <w:rFonts w:ascii="Arial" w:hAnsi="Arial" w:cs="Arial"/>
                <w:sz w:val="20"/>
                <w:szCs w:val="20"/>
              </w:rPr>
              <w:t>Recommended location of longer term living arrangements of Aged Care Assessment Program (ACA</w:t>
            </w:r>
            <w:r w:rsidR="00A9588F">
              <w:rPr>
                <w:rFonts w:ascii="Arial" w:hAnsi="Arial" w:cs="Arial"/>
                <w:sz w:val="20"/>
                <w:szCs w:val="20"/>
              </w:rPr>
              <w:t>T</w:t>
            </w:r>
            <w:r w:rsidRPr="00FB07DB">
              <w:rPr>
                <w:rFonts w:ascii="Arial" w:hAnsi="Arial" w:cs="Arial"/>
                <w:sz w:val="20"/>
                <w:szCs w:val="20"/>
              </w:rPr>
              <w:t>) clients</w:t>
            </w:r>
            <w:r w:rsidR="00926F6B">
              <w:rPr>
                <w:rFonts w:ascii="Arial" w:hAnsi="Arial" w:cs="Arial"/>
                <w:sz w:val="20"/>
                <w:szCs w:val="20"/>
              </w:rPr>
              <w:t xml:space="preserve"> </w:t>
            </w:r>
            <w:r w:rsidRPr="00FB07DB">
              <w:rPr>
                <w:rFonts w:ascii="Arial" w:hAnsi="Arial" w:cs="Arial"/>
                <w:sz w:val="20"/>
                <w:szCs w:val="20"/>
              </w:rPr>
              <w:t xml:space="preserve"> </w:t>
            </w:r>
          </w:p>
        </w:tc>
      </w:tr>
      <w:tr w:rsidR="00FB07DB" w:rsidRPr="00FB07DB" w:rsidTr="00984D2B">
        <w:trPr>
          <w:trHeight w:val="463"/>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lastRenderedPageBreak/>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13A.71</w:t>
            </w:r>
            <w:proofErr w:type="spellEnd"/>
          </w:p>
        </w:tc>
        <w:tc>
          <w:tcPr>
            <w:tcW w:w="7333" w:type="dxa"/>
            <w:tcBorders>
              <w:top w:val="nil"/>
              <w:left w:val="nil"/>
              <w:bottom w:val="nil"/>
              <w:right w:val="nil"/>
            </w:tcBorders>
            <w:shd w:val="clear" w:color="auto" w:fill="auto"/>
            <w:hideMark/>
          </w:tcPr>
          <w:p w:rsidR="00FB07DB" w:rsidRPr="00FB07DB" w:rsidRDefault="00FB07DB" w:rsidP="00FB07DB">
            <w:pPr>
              <w:jc w:val="both"/>
              <w:rPr>
                <w:rFonts w:ascii="Arial" w:hAnsi="Arial" w:cs="Arial"/>
                <w:sz w:val="20"/>
                <w:szCs w:val="20"/>
              </w:rPr>
            </w:pPr>
            <w:r w:rsidRPr="00FB07DB">
              <w:rPr>
                <w:rFonts w:ascii="Arial" w:hAnsi="Arial" w:cs="Arial"/>
                <w:sz w:val="20"/>
                <w:szCs w:val="20"/>
              </w:rPr>
              <w:t>Older people needing assistance with at least one everyday activity: extent to which need was met, 2009</w:t>
            </w:r>
            <w:r w:rsidR="00926F6B">
              <w:rPr>
                <w:rFonts w:ascii="Arial" w:hAnsi="Arial" w:cs="Arial"/>
                <w:sz w:val="20"/>
                <w:szCs w:val="20"/>
              </w:rPr>
              <w:t xml:space="preserve"> </w:t>
            </w:r>
          </w:p>
        </w:tc>
      </w:tr>
      <w:tr w:rsidR="00FB07DB" w:rsidRPr="00FB07DB" w:rsidTr="001406B8">
        <w:trPr>
          <w:trHeight w:val="357"/>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13A.72</w:t>
            </w:r>
            <w:proofErr w:type="spellEnd"/>
          </w:p>
        </w:tc>
        <w:tc>
          <w:tcPr>
            <w:tcW w:w="7333" w:type="dxa"/>
            <w:tcBorders>
              <w:top w:val="nil"/>
              <w:left w:val="nil"/>
              <w:bottom w:val="nil"/>
              <w:right w:val="nil"/>
            </w:tcBorders>
            <w:shd w:val="clear" w:color="auto" w:fill="auto"/>
            <w:hideMark/>
          </w:tcPr>
          <w:p w:rsidR="00FB07DB" w:rsidRPr="00FB07DB" w:rsidRDefault="00FB07DB" w:rsidP="00FB07DB">
            <w:pPr>
              <w:jc w:val="both"/>
              <w:rPr>
                <w:rFonts w:ascii="Arial" w:hAnsi="Arial" w:cs="Arial"/>
                <w:sz w:val="20"/>
                <w:szCs w:val="20"/>
              </w:rPr>
            </w:pPr>
            <w:r w:rsidRPr="00FB07DB">
              <w:rPr>
                <w:rFonts w:ascii="Arial" w:hAnsi="Arial" w:cs="Arial"/>
                <w:sz w:val="20"/>
                <w:szCs w:val="20"/>
              </w:rPr>
              <w:t xml:space="preserve">Public hospital separations for care type </w:t>
            </w:r>
            <w:r w:rsidR="00AA68A5">
              <w:rPr>
                <w:rFonts w:ascii="Arial" w:hAnsi="Arial" w:cs="Arial"/>
                <w:sz w:val="20"/>
                <w:szCs w:val="20"/>
              </w:rPr>
              <w:t>“</w:t>
            </w:r>
            <w:r w:rsidRPr="00FB07DB">
              <w:rPr>
                <w:rFonts w:ascii="Arial" w:hAnsi="Arial" w:cs="Arial"/>
                <w:sz w:val="20"/>
                <w:szCs w:val="20"/>
              </w:rPr>
              <w:t>maintenance</w:t>
            </w:r>
            <w:r w:rsidR="00AA68A5">
              <w:rPr>
                <w:rFonts w:ascii="Arial" w:hAnsi="Arial" w:cs="Arial"/>
                <w:sz w:val="20"/>
                <w:szCs w:val="20"/>
              </w:rPr>
              <w:t>”</w:t>
            </w:r>
            <w:r w:rsidRPr="00FB07DB">
              <w:rPr>
                <w:rFonts w:ascii="Arial" w:hAnsi="Arial" w:cs="Arial"/>
                <w:sz w:val="20"/>
                <w:szCs w:val="20"/>
              </w:rPr>
              <w:t xml:space="preserve"> for older people</w:t>
            </w:r>
            <w:r w:rsidR="00926F6B">
              <w:rPr>
                <w:rFonts w:ascii="Arial" w:hAnsi="Arial" w:cs="Arial"/>
                <w:sz w:val="20"/>
                <w:szCs w:val="20"/>
              </w:rPr>
              <w:t xml:space="preserve">  </w:t>
            </w:r>
            <w:r w:rsidRPr="00FB07DB">
              <w:rPr>
                <w:rFonts w:ascii="Arial" w:hAnsi="Arial" w:cs="Arial"/>
                <w:sz w:val="20"/>
                <w:szCs w:val="20"/>
              </w:rPr>
              <w:t xml:space="preserve"> </w:t>
            </w:r>
          </w:p>
        </w:tc>
      </w:tr>
      <w:tr w:rsidR="00FB07DB" w:rsidRPr="00FB07DB" w:rsidTr="001406B8">
        <w:trPr>
          <w:trHeight w:val="357"/>
        </w:trPr>
        <w:tc>
          <w:tcPr>
            <w:tcW w:w="1456" w:type="dxa"/>
            <w:tcBorders>
              <w:top w:val="nil"/>
              <w:left w:val="nil"/>
              <w:bottom w:val="nil"/>
              <w:right w:val="nil"/>
            </w:tcBorders>
            <w:shd w:val="clear" w:color="auto" w:fill="auto"/>
            <w:noWrap/>
            <w:hideMark/>
          </w:tcPr>
          <w:p w:rsidR="00FB07DB" w:rsidRPr="00FB07DB" w:rsidRDefault="00FB07DB" w:rsidP="00FB07DB">
            <w:pPr>
              <w:rPr>
                <w:rFonts w:ascii="Arial" w:hAnsi="Arial" w:cs="Arial"/>
                <w:b/>
                <w:bCs/>
                <w:color w:val="0000FF"/>
                <w:sz w:val="20"/>
                <w:szCs w:val="20"/>
              </w:rPr>
            </w:pPr>
            <w:r w:rsidRPr="00FB07DB">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FB07DB">
              <w:rPr>
                <w:rFonts w:ascii="Arial" w:hAnsi="Arial" w:cs="Arial"/>
                <w:b/>
                <w:bCs/>
                <w:color w:val="0000FF"/>
                <w:sz w:val="20"/>
                <w:szCs w:val="20"/>
              </w:rPr>
              <w:t>13A.73</w:t>
            </w:r>
            <w:proofErr w:type="spellEnd"/>
          </w:p>
        </w:tc>
        <w:tc>
          <w:tcPr>
            <w:tcW w:w="7333" w:type="dxa"/>
            <w:tcBorders>
              <w:top w:val="nil"/>
              <w:left w:val="nil"/>
              <w:bottom w:val="nil"/>
              <w:right w:val="nil"/>
            </w:tcBorders>
            <w:shd w:val="clear" w:color="auto" w:fill="auto"/>
            <w:hideMark/>
          </w:tcPr>
          <w:p w:rsidR="00FB07DB" w:rsidRPr="00FB07DB" w:rsidRDefault="00FB07DB" w:rsidP="00FB07DB">
            <w:pPr>
              <w:jc w:val="both"/>
              <w:rPr>
                <w:rFonts w:ascii="Arial" w:hAnsi="Arial" w:cs="Arial"/>
                <w:sz w:val="20"/>
                <w:szCs w:val="20"/>
              </w:rPr>
            </w:pPr>
            <w:r w:rsidRPr="00FB07DB">
              <w:rPr>
                <w:rFonts w:ascii="Arial" w:hAnsi="Arial" w:cs="Arial"/>
                <w:sz w:val="20"/>
                <w:szCs w:val="20"/>
              </w:rPr>
              <w:t xml:space="preserve">Hospital patient days used by those eligible and waiting for residential aged care </w:t>
            </w:r>
          </w:p>
        </w:tc>
      </w:tr>
      <w:tr w:rsidR="009D7EC1" w:rsidRPr="009D7EC1" w:rsidTr="001406B8">
        <w:trPr>
          <w:trHeight w:val="459"/>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13A.74</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Re</w:t>
            </w:r>
            <w:r w:rsidR="00AA68A5">
              <w:rPr>
                <w:rFonts w:ascii="Arial" w:hAnsi="Arial" w:cs="Arial"/>
                <w:sz w:val="20"/>
                <w:szCs w:val="20"/>
              </w:rPr>
              <w:noBreakHyphen/>
            </w:r>
            <w:r w:rsidRPr="009D7EC1">
              <w:rPr>
                <w:rFonts w:ascii="Arial" w:hAnsi="Arial" w:cs="Arial"/>
                <w:sz w:val="20"/>
                <w:szCs w:val="20"/>
              </w:rPr>
              <w:t xml:space="preserve">accreditation decisions on residential aged care services in effect as at </w:t>
            </w:r>
            <w:r w:rsidR="009E7EB1">
              <w:rPr>
                <w:rFonts w:ascii="Arial" w:hAnsi="Arial" w:cs="Arial"/>
                <w:sz w:val="20"/>
                <w:szCs w:val="20"/>
              </w:rPr>
              <w:br/>
            </w:r>
            <w:r w:rsidRPr="009D7EC1">
              <w:rPr>
                <w:rFonts w:ascii="Arial" w:hAnsi="Arial" w:cs="Arial"/>
                <w:sz w:val="20"/>
                <w:szCs w:val="20"/>
              </w:rPr>
              <w:t>30</w:t>
            </w:r>
            <w:r w:rsidR="00AA68A5">
              <w:rPr>
                <w:rFonts w:ascii="Arial" w:hAnsi="Arial" w:cs="Arial"/>
                <w:sz w:val="20"/>
                <w:szCs w:val="20"/>
              </w:rPr>
              <w:t> </w:t>
            </w:r>
            <w:r w:rsidRPr="009D7EC1">
              <w:rPr>
                <w:rFonts w:ascii="Arial" w:hAnsi="Arial" w:cs="Arial"/>
                <w:sz w:val="20"/>
                <w:szCs w:val="20"/>
              </w:rPr>
              <w:t xml:space="preserve">June 2013 </w:t>
            </w:r>
          </w:p>
        </w:tc>
      </w:tr>
      <w:tr w:rsidR="009D7EC1" w:rsidRPr="009D7EC1" w:rsidTr="001406B8">
        <w:trPr>
          <w:trHeight w:val="465"/>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13A.75</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Proportion of residential aged care services that are three year re</w:t>
            </w:r>
            <w:r w:rsidR="00AA68A5">
              <w:rPr>
                <w:rFonts w:ascii="Arial" w:hAnsi="Arial" w:cs="Arial"/>
                <w:sz w:val="20"/>
                <w:szCs w:val="20"/>
              </w:rPr>
              <w:noBreakHyphen/>
            </w:r>
            <w:r w:rsidRPr="009D7EC1">
              <w:rPr>
                <w:rFonts w:ascii="Arial" w:hAnsi="Arial" w:cs="Arial"/>
                <w:sz w:val="20"/>
                <w:szCs w:val="20"/>
              </w:rPr>
              <w:t>accredited, 2012</w:t>
            </w:r>
            <w:r w:rsidR="00AA68A5">
              <w:rPr>
                <w:rFonts w:ascii="Arial" w:hAnsi="Arial" w:cs="Arial"/>
                <w:sz w:val="20"/>
                <w:szCs w:val="20"/>
              </w:rPr>
              <w:noBreakHyphen/>
            </w:r>
            <w:r w:rsidRPr="009D7EC1">
              <w:rPr>
                <w:rFonts w:ascii="Arial" w:hAnsi="Arial" w:cs="Arial"/>
                <w:sz w:val="20"/>
                <w:szCs w:val="20"/>
              </w:rPr>
              <w:t>13</w:t>
            </w:r>
            <w:r w:rsidR="00926F6B">
              <w:rPr>
                <w:rFonts w:ascii="Arial" w:hAnsi="Arial" w:cs="Arial"/>
                <w:sz w:val="20"/>
                <w:szCs w:val="20"/>
              </w:rPr>
              <w:t xml:space="preserve">  </w:t>
            </w:r>
          </w:p>
        </w:tc>
      </w:tr>
      <w:tr w:rsidR="009D7EC1" w:rsidRPr="009D7EC1" w:rsidTr="001406B8">
        <w:trPr>
          <w:trHeight w:val="503"/>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13A.76</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Proportion of residential aged care services that are three year re</w:t>
            </w:r>
            <w:r w:rsidR="00AA68A5">
              <w:rPr>
                <w:rFonts w:ascii="Arial" w:hAnsi="Arial" w:cs="Arial"/>
                <w:sz w:val="20"/>
                <w:szCs w:val="20"/>
              </w:rPr>
              <w:noBreakHyphen/>
            </w:r>
            <w:r w:rsidRPr="009D7EC1">
              <w:rPr>
                <w:rFonts w:ascii="Arial" w:hAnsi="Arial" w:cs="Arial"/>
                <w:sz w:val="20"/>
                <w:szCs w:val="20"/>
              </w:rPr>
              <w:t>accredited, by remoteness, 2012</w:t>
            </w:r>
            <w:r w:rsidR="00AA68A5">
              <w:rPr>
                <w:rFonts w:ascii="Arial" w:hAnsi="Arial" w:cs="Arial"/>
                <w:sz w:val="20"/>
                <w:szCs w:val="20"/>
              </w:rPr>
              <w:noBreakHyphen/>
            </w:r>
            <w:r w:rsidRPr="009D7EC1">
              <w:rPr>
                <w:rFonts w:ascii="Arial" w:hAnsi="Arial" w:cs="Arial"/>
                <w:sz w:val="20"/>
                <w:szCs w:val="20"/>
              </w:rPr>
              <w:t xml:space="preserve">13 </w:t>
            </w:r>
          </w:p>
        </w:tc>
      </w:tr>
      <w:tr w:rsidR="009D7EC1" w:rsidRPr="009D7EC1" w:rsidTr="001406B8">
        <w:trPr>
          <w:trHeight w:val="570"/>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13A.77</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Proportion of residential aged care services that are three year re</w:t>
            </w:r>
            <w:r w:rsidR="00AA68A5">
              <w:rPr>
                <w:rFonts w:ascii="Arial" w:hAnsi="Arial" w:cs="Arial"/>
                <w:sz w:val="20"/>
                <w:szCs w:val="20"/>
              </w:rPr>
              <w:noBreakHyphen/>
            </w:r>
            <w:r w:rsidRPr="009D7EC1">
              <w:rPr>
                <w:rFonts w:ascii="Arial" w:hAnsi="Arial" w:cs="Arial"/>
                <w:sz w:val="20"/>
                <w:szCs w:val="20"/>
              </w:rPr>
              <w:t>accredited, by State and Territory, by size of facility (places), 2012</w:t>
            </w:r>
            <w:r w:rsidR="00AA68A5">
              <w:rPr>
                <w:rFonts w:ascii="Arial" w:hAnsi="Arial" w:cs="Arial"/>
                <w:sz w:val="20"/>
                <w:szCs w:val="20"/>
              </w:rPr>
              <w:noBreakHyphen/>
            </w:r>
            <w:r w:rsidRPr="009D7EC1">
              <w:rPr>
                <w:rFonts w:ascii="Arial" w:hAnsi="Arial" w:cs="Arial"/>
                <w:sz w:val="20"/>
                <w:szCs w:val="20"/>
              </w:rPr>
              <w:t xml:space="preserve">13 </w:t>
            </w:r>
          </w:p>
        </w:tc>
      </w:tr>
      <w:tr w:rsidR="009D7EC1" w:rsidRPr="009D7EC1" w:rsidTr="001406B8">
        <w:trPr>
          <w:trHeight w:val="555"/>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13A.78</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Re</w:t>
            </w:r>
            <w:r w:rsidR="00AA68A5">
              <w:rPr>
                <w:rFonts w:ascii="Arial" w:hAnsi="Arial" w:cs="Arial"/>
                <w:sz w:val="20"/>
                <w:szCs w:val="20"/>
              </w:rPr>
              <w:noBreakHyphen/>
            </w:r>
            <w:r w:rsidRPr="009D7EC1">
              <w:rPr>
                <w:rFonts w:ascii="Arial" w:hAnsi="Arial" w:cs="Arial"/>
                <w:sz w:val="20"/>
                <w:szCs w:val="20"/>
              </w:rPr>
              <w:t xml:space="preserve">accreditation decisions on all residential aged care services in effect as at </w:t>
            </w:r>
            <w:r w:rsidR="009E7EB1">
              <w:rPr>
                <w:rFonts w:ascii="Arial" w:hAnsi="Arial" w:cs="Arial"/>
                <w:sz w:val="20"/>
                <w:szCs w:val="20"/>
              </w:rPr>
              <w:br/>
            </w:r>
            <w:r w:rsidRPr="009D7EC1">
              <w:rPr>
                <w:rFonts w:ascii="Arial" w:hAnsi="Arial" w:cs="Arial"/>
                <w:sz w:val="20"/>
                <w:szCs w:val="20"/>
              </w:rPr>
              <w:t>30</w:t>
            </w:r>
            <w:r w:rsidR="00AA68A5">
              <w:rPr>
                <w:rFonts w:ascii="Arial" w:hAnsi="Arial" w:cs="Arial"/>
                <w:sz w:val="20"/>
                <w:szCs w:val="20"/>
              </w:rPr>
              <w:t> </w:t>
            </w:r>
            <w:r w:rsidRPr="009D7EC1">
              <w:rPr>
                <w:rFonts w:ascii="Arial" w:hAnsi="Arial" w:cs="Arial"/>
                <w:sz w:val="20"/>
                <w:szCs w:val="20"/>
              </w:rPr>
              <w:t xml:space="preserve">June 2013 </w:t>
            </w:r>
          </w:p>
        </w:tc>
      </w:tr>
      <w:tr w:rsidR="009D7EC1" w:rsidRPr="009D7EC1" w:rsidTr="001406B8">
        <w:trPr>
          <w:trHeight w:val="357"/>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13A.79</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Aged Care Complaints Scheme</w:t>
            </w:r>
            <w:r w:rsidR="00926F6B">
              <w:rPr>
                <w:rFonts w:ascii="Arial" w:hAnsi="Arial" w:cs="Arial"/>
                <w:sz w:val="20"/>
                <w:szCs w:val="20"/>
              </w:rPr>
              <w:t xml:space="preserve"> </w:t>
            </w:r>
            <w:r w:rsidRPr="009D7EC1">
              <w:rPr>
                <w:rFonts w:ascii="Arial" w:hAnsi="Arial" w:cs="Arial"/>
                <w:sz w:val="20"/>
                <w:szCs w:val="20"/>
              </w:rPr>
              <w:t xml:space="preserve"> </w:t>
            </w:r>
          </w:p>
        </w:tc>
      </w:tr>
      <w:tr w:rsidR="009D7EC1" w:rsidRPr="009D7EC1" w:rsidTr="001406B8">
        <w:trPr>
          <w:trHeight w:val="612"/>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13A.80</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Compliance with service standards for community aged care services — CACP, EACH, EACH</w:t>
            </w:r>
            <w:r w:rsidR="00AA68A5">
              <w:rPr>
                <w:rFonts w:ascii="Arial" w:hAnsi="Arial" w:cs="Arial"/>
                <w:sz w:val="20"/>
                <w:szCs w:val="20"/>
              </w:rPr>
              <w:noBreakHyphen/>
            </w:r>
            <w:r w:rsidRPr="009D7EC1">
              <w:rPr>
                <w:rFonts w:ascii="Arial" w:hAnsi="Arial" w:cs="Arial"/>
                <w:sz w:val="20"/>
                <w:szCs w:val="20"/>
              </w:rPr>
              <w:t>D and National Respite for Carers Program</w:t>
            </w:r>
          </w:p>
        </w:tc>
      </w:tr>
      <w:tr w:rsidR="009D7EC1" w:rsidRPr="009D7EC1" w:rsidTr="001406B8">
        <w:trPr>
          <w:trHeight w:val="612"/>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13A.81</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Outcomes for community aged care services — CACP, EACH, EACH</w:t>
            </w:r>
            <w:r w:rsidR="00AA68A5">
              <w:rPr>
                <w:rFonts w:ascii="Arial" w:hAnsi="Arial" w:cs="Arial"/>
                <w:sz w:val="20"/>
                <w:szCs w:val="20"/>
              </w:rPr>
              <w:noBreakHyphen/>
            </w:r>
            <w:r w:rsidRPr="009D7EC1">
              <w:rPr>
                <w:rFonts w:ascii="Arial" w:hAnsi="Arial" w:cs="Arial"/>
                <w:sz w:val="20"/>
                <w:szCs w:val="20"/>
              </w:rPr>
              <w:t>D and National Respite for Carers Program — reviewed against standards</w:t>
            </w:r>
          </w:p>
        </w:tc>
      </w:tr>
      <w:tr w:rsidR="009D7EC1" w:rsidRPr="009D7EC1" w:rsidTr="001406B8">
        <w:trPr>
          <w:trHeight w:val="357"/>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13A.82</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Compliance with service standards for community aged care services — HACC</w:t>
            </w:r>
            <w:r w:rsidR="00926F6B">
              <w:rPr>
                <w:rFonts w:ascii="Arial" w:hAnsi="Arial" w:cs="Arial"/>
                <w:sz w:val="20"/>
                <w:szCs w:val="20"/>
              </w:rPr>
              <w:t xml:space="preserve"> </w:t>
            </w:r>
          </w:p>
        </w:tc>
      </w:tr>
      <w:tr w:rsidR="009D7EC1" w:rsidRPr="009D7EC1" w:rsidTr="001406B8">
        <w:trPr>
          <w:trHeight w:val="612"/>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13A.83</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Outcomes for community aged care services — HACC — reviewed against standards</w:t>
            </w:r>
          </w:p>
        </w:tc>
      </w:tr>
      <w:tr w:rsidR="009D7EC1" w:rsidRPr="009D7EC1" w:rsidTr="001406B8">
        <w:trPr>
          <w:trHeight w:val="357"/>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13A.84</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Aged care assessment program — activity and costs</w:t>
            </w:r>
          </w:p>
        </w:tc>
      </w:tr>
      <w:tr w:rsidR="009D7EC1" w:rsidRPr="009D7EC1" w:rsidTr="001406B8">
        <w:trPr>
          <w:trHeight w:val="301"/>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13A.85</w:t>
            </w:r>
            <w:proofErr w:type="spellEnd"/>
          </w:p>
        </w:tc>
        <w:tc>
          <w:tcPr>
            <w:tcW w:w="7333" w:type="dxa"/>
            <w:tcBorders>
              <w:top w:val="nil"/>
              <w:left w:val="nil"/>
              <w:bottom w:val="nil"/>
              <w:right w:val="nil"/>
            </w:tcBorders>
            <w:shd w:val="clear" w:color="auto" w:fill="auto"/>
            <w:hideMark/>
          </w:tcPr>
          <w:p w:rsidR="009D7EC1" w:rsidRPr="009D7EC1" w:rsidRDefault="009D7EC1" w:rsidP="00D20A76">
            <w:pPr>
              <w:jc w:val="both"/>
              <w:rPr>
                <w:rFonts w:ascii="Arial" w:hAnsi="Arial" w:cs="Arial"/>
                <w:sz w:val="20"/>
                <w:szCs w:val="20"/>
              </w:rPr>
            </w:pPr>
            <w:r w:rsidRPr="009D7EC1">
              <w:rPr>
                <w:rFonts w:ascii="Arial" w:hAnsi="Arial" w:cs="Arial"/>
                <w:sz w:val="20"/>
                <w:szCs w:val="20"/>
              </w:rPr>
              <w:t>Home and Community Care — cost per hour of service (2010</w:t>
            </w:r>
            <w:r w:rsidR="00AA68A5">
              <w:rPr>
                <w:rFonts w:ascii="Arial" w:hAnsi="Arial" w:cs="Arial"/>
                <w:sz w:val="20"/>
                <w:szCs w:val="20"/>
              </w:rPr>
              <w:noBreakHyphen/>
            </w:r>
            <w:r w:rsidRPr="009D7EC1">
              <w:rPr>
                <w:rFonts w:ascii="Arial" w:hAnsi="Arial" w:cs="Arial"/>
                <w:sz w:val="20"/>
                <w:szCs w:val="20"/>
              </w:rPr>
              <w:t>11 $)</w:t>
            </w:r>
            <w:r w:rsidR="00926F6B">
              <w:rPr>
                <w:rFonts w:ascii="Arial" w:hAnsi="Arial" w:cs="Arial"/>
                <w:sz w:val="20"/>
                <w:szCs w:val="20"/>
              </w:rPr>
              <w:t xml:space="preserve"> </w:t>
            </w:r>
          </w:p>
        </w:tc>
      </w:tr>
      <w:tr w:rsidR="009D7EC1" w:rsidRPr="009D7EC1" w:rsidTr="001406B8">
        <w:trPr>
          <w:trHeight w:val="867"/>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13A.86</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Australian Government (DoHA and DVA) real expenditure on residential services, per person aged 65 years or over and Indigenous Australians aged 50–64 years (2012</w:t>
            </w:r>
            <w:r w:rsidR="00AA68A5">
              <w:rPr>
                <w:rFonts w:ascii="Arial" w:hAnsi="Arial" w:cs="Arial"/>
                <w:sz w:val="20"/>
                <w:szCs w:val="20"/>
              </w:rPr>
              <w:noBreakHyphen/>
            </w:r>
            <w:r w:rsidRPr="009D7EC1">
              <w:rPr>
                <w:rFonts w:ascii="Arial" w:hAnsi="Arial" w:cs="Arial"/>
                <w:sz w:val="20"/>
                <w:szCs w:val="20"/>
              </w:rPr>
              <w:t>13 dollars)</w:t>
            </w:r>
            <w:r w:rsidR="00926F6B">
              <w:rPr>
                <w:rFonts w:ascii="Arial" w:hAnsi="Arial" w:cs="Arial"/>
                <w:sz w:val="20"/>
                <w:szCs w:val="20"/>
              </w:rPr>
              <w:t xml:space="preserve">  </w:t>
            </w:r>
          </w:p>
        </w:tc>
      </w:tr>
      <w:tr w:rsidR="009D7EC1" w:rsidRPr="009D7EC1" w:rsidTr="001406B8">
        <w:trPr>
          <w:trHeight w:val="867"/>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13A.87</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Australian, State and Territory governments</w:t>
            </w:r>
            <w:r w:rsidR="00AA68A5">
              <w:rPr>
                <w:rFonts w:ascii="Arial" w:hAnsi="Arial" w:cs="Arial"/>
                <w:sz w:val="20"/>
                <w:szCs w:val="20"/>
              </w:rPr>
              <w:t>’</w:t>
            </w:r>
            <w:r w:rsidRPr="009D7EC1">
              <w:rPr>
                <w:rFonts w:ascii="Arial" w:hAnsi="Arial" w:cs="Arial"/>
                <w:sz w:val="20"/>
                <w:szCs w:val="20"/>
              </w:rPr>
              <w:t xml:space="preserve"> real expenditure on HACC services per person in the HACC target population aged 65 years or over and Indigenous Australians aged 50–64 years (2012</w:t>
            </w:r>
            <w:r w:rsidR="00AA68A5">
              <w:rPr>
                <w:rFonts w:ascii="Arial" w:hAnsi="Arial" w:cs="Arial"/>
                <w:sz w:val="20"/>
                <w:szCs w:val="20"/>
              </w:rPr>
              <w:noBreakHyphen/>
            </w:r>
            <w:r w:rsidRPr="009D7EC1">
              <w:rPr>
                <w:rFonts w:ascii="Arial" w:hAnsi="Arial" w:cs="Arial"/>
                <w:sz w:val="20"/>
                <w:szCs w:val="20"/>
              </w:rPr>
              <w:t>13 dollars)</w:t>
            </w:r>
            <w:r w:rsidR="00926F6B">
              <w:rPr>
                <w:rFonts w:ascii="Arial" w:hAnsi="Arial" w:cs="Arial"/>
                <w:sz w:val="20"/>
                <w:szCs w:val="20"/>
              </w:rPr>
              <w:t xml:space="preserve">   </w:t>
            </w:r>
          </w:p>
        </w:tc>
      </w:tr>
      <w:tr w:rsidR="009D7EC1" w:rsidRPr="009D7EC1" w:rsidTr="001406B8">
        <w:trPr>
          <w:trHeight w:val="867"/>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13A.88</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Australian, State and Territory government total real expenditure on HACC services, per person aged 65 years or over and Indigenous Australians aged 50–64 years (2012</w:t>
            </w:r>
            <w:r w:rsidR="00AA68A5">
              <w:rPr>
                <w:rFonts w:ascii="Arial" w:hAnsi="Arial" w:cs="Arial"/>
                <w:sz w:val="20"/>
                <w:szCs w:val="20"/>
              </w:rPr>
              <w:noBreakHyphen/>
            </w:r>
            <w:r w:rsidRPr="009D7EC1">
              <w:rPr>
                <w:rFonts w:ascii="Arial" w:hAnsi="Arial" w:cs="Arial"/>
                <w:sz w:val="20"/>
                <w:szCs w:val="20"/>
              </w:rPr>
              <w:t>13 dollars)</w:t>
            </w:r>
            <w:r w:rsidR="00926F6B">
              <w:rPr>
                <w:rFonts w:ascii="Arial" w:hAnsi="Arial" w:cs="Arial"/>
                <w:sz w:val="20"/>
                <w:szCs w:val="20"/>
              </w:rPr>
              <w:t xml:space="preserve">  </w:t>
            </w:r>
          </w:p>
        </w:tc>
      </w:tr>
      <w:tr w:rsidR="009D7EC1" w:rsidRPr="009D7EC1" w:rsidTr="001406B8">
        <w:trPr>
          <w:trHeight w:val="612"/>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13A.89</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Australian Government real expenditure on CACPs, per person aged 65 years or over and Indigenous Australians aged 50–64 years (2012</w:t>
            </w:r>
            <w:r w:rsidR="00AA68A5">
              <w:rPr>
                <w:rFonts w:ascii="Arial" w:hAnsi="Arial" w:cs="Arial"/>
                <w:sz w:val="20"/>
                <w:szCs w:val="20"/>
              </w:rPr>
              <w:noBreakHyphen/>
            </w:r>
            <w:r w:rsidRPr="009D7EC1">
              <w:rPr>
                <w:rFonts w:ascii="Arial" w:hAnsi="Arial" w:cs="Arial"/>
                <w:sz w:val="20"/>
                <w:szCs w:val="20"/>
              </w:rPr>
              <w:t>13 dollars)</w:t>
            </w:r>
            <w:r w:rsidR="00926F6B">
              <w:rPr>
                <w:rFonts w:ascii="Arial" w:hAnsi="Arial" w:cs="Arial"/>
                <w:sz w:val="20"/>
                <w:szCs w:val="20"/>
              </w:rPr>
              <w:t xml:space="preserve"> </w:t>
            </w:r>
            <w:r w:rsidRPr="009D7EC1">
              <w:rPr>
                <w:rFonts w:ascii="Arial" w:hAnsi="Arial" w:cs="Arial"/>
                <w:sz w:val="20"/>
                <w:szCs w:val="20"/>
              </w:rPr>
              <w:t xml:space="preserve"> </w:t>
            </w:r>
          </w:p>
        </w:tc>
      </w:tr>
      <w:tr w:rsidR="009D7EC1" w:rsidRPr="009D7EC1" w:rsidTr="001406B8">
        <w:trPr>
          <w:trHeight w:val="357"/>
        </w:trPr>
        <w:tc>
          <w:tcPr>
            <w:tcW w:w="1456" w:type="dxa"/>
            <w:tcBorders>
              <w:top w:val="nil"/>
              <w:left w:val="nil"/>
              <w:bottom w:val="nil"/>
              <w:right w:val="nil"/>
            </w:tcBorders>
            <w:shd w:val="clear" w:color="auto" w:fill="auto"/>
            <w:noWrap/>
            <w:hideMark/>
          </w:tcPr>
          <w:p w:rsidR="009D7EC1" w:rsidRPr="009D7EC1" w:rsidRDefault="009D7EC1" w:rsidP="009D7EC1">
            <w:pPr>
              <w:rPr>
                <w:rFonts w:ascii="Arial" w:hAnsi="Arial" w:cs="Arial"/>
                <w:b/>
                <w:bCs/>
                <w:color w:val="0000FF"/>
                <w:sz w:val="20"/>
                <w:szCs w:val="20"/>
              </w:rPr>
            </w:pPr>
            <w:r w:rsidRPr="009D7EC1">
              <w:rPr>
                <w:rFonts w:ascii="Arial" w:hAnsi="Arial" w:cs="Arial"/>
                <w:b/>
                <w:bCs/>
                <w:color w:val="0000FF"/>
                <w:sz w:val="20"/>
                <w:szCs w:val="20"/>
              </w:rPr>
              <w:t>Table</w:t>
            </w:r>
            <w:r w:rsidR="00AA68A5">
              <w:rPr>
                <w:rFonts w:ascii="Arial" w:hAnsi="Arial" w:cs="Arial"/>
                <w:b/>
                <w:bCs/>
                <w:color w:val="0000FF"/>
                <w:sz w:val="20"/>
                <w:szCs w:val="20"/>
              </w:rPr>
              <w:t> </w:t>
            </w:r>
            <w:proofErr w:type="spellStart"/>
            <w:r w:rsidRPr="009D7EC1">
              <w:rPr>
                <w:rFonts w:ascii="Arial" w:hAnsi="Arial" w:cs="Arial"/>
                <w:b/>
                <w:bCs/>
                <w:color w:val="0000FF"/>
                <w:sz w:val="20"/>
                <w:szCs w:val="20"/>
              </w:rPr>
              <w:t>13A.90</w:t>
            </w:r>
            <w:proofErr w:type="spellEnd"/>
          </w:p>
        </w:tc>
        <w:tc>
          <w:tcPr>
            <w:tcW w:w="7333" w:type="dxa"/>
            <w:tcBorders>
              <w:top w:val="nil"/>
              <w:left w:val="nil"/>
              <w:bottom w:val="nil"/>
              <w:right w:val="nil"/>
            </w:tcBorders>
            <w:shd w:val="clear" w:color="auto" w:fill="auto"/>
            <w:hideMark/>
          </w:tcPr>
          <w:p w:rsidR="009D7EC1" w:rsidRPr="009D7EC1" w:rsidRDefault="009D7EC1" w:rsidP="009D7EC1">
            <w:pPr>
              <w:jc w:val="both"/>
              <w:rPr>
                <w:rFonts w:ascii="Arial" w:hAnsi="Arial" w:cs="Arial"/>
                <w:sz w:val="20"/>
                <w:szCs w:val="20"/>
              </w:rPr>
            </w:pPr>
            <w:r w:rsidRPr="009D7EC1">
              <w:rPr>
                <w:rFonts w:ascii="Arial" w:hAnsi="Arial" w:cs="Arial"/>
                <w:sz w:val="20"/>
                <w:szCs w:val="20"/>
              </w:rPr>
              <w:t>Transition care program, summary measures</w:t>
            </w:r>
          </w:p>
        </w:tc>
      </w:tr>
    </w:tbl>
    <w:p w:rsidR="001D00F7" w:rsidRDefault="001D00F7"/>
    <w:p w:rsidR="001D00F7" w:rsidRDefault="001D00F7"/>
    <w:p w:rsidR="001632CD" w:rsidRDefault="001632CD">
      <w:pPr>
        <w:rPr>
          <w:rFonts w:ascii="Arial" w:hAnsi="Arial"/>
          <w:b/>
          <w:sz w:val="32"/>
          <w:szCs w:val="20"/>
        </w:rPr>
      </w:pPr>
      <w:r>
        <w:br w:type="page"/>
      </w:r>
    </w:p>
    <w:p w:rsidR="00A12C8F" w:rsidRPr="00226CB6" w:rsidRDefault="00C82353" w:rsidP="004B7101">
      <w:pPr>
        <w:pStyle w:val="Heading2"/>
        <w:spacing w:before="120"/>
        <w:ind w:left="0" w:firstLine="0"/>
      </w:pPr>
      <w:bookmarkStart w:id="217" w:name="_Toc274671842"/>
      <w:bookmarkStart w:id="218" w:name="_Toc370803132"/>
      <w:r w:rsidRPr="00EB3DDC">
        <w:lastRenderedPageBreak/>
        <w:t>13.</w:t>
      </w:r>
      <w:r w:rsidR="00E4728C">
        <w:rPr>
          <w:noProof/>
        </w:rPr>
        <w:t>8</w:t>
      </w:r>
      <w:r w:rsidR="00B52210" w:rsidRPr="00EB3DDC">
        <w:tab/>
      </w:r>
      <w:r w:rsidR="00A12C8F" w:rsidRPr="00226CB6">
        <w:t>References</w:t>
      </w:r>
      <w:bookmarkEnd w:id="174"/>
      <w:bookmarkEnd w:id="175"/>
      <w:bookmarkEnd w:id="176"/>
      <w:bookmarkEnd w:id="177"/>
      <w:bookmarkEnd w:id="178"/>
      <w:bookmarkEnd w:id="217"/>
      <w:bookmarkEnd w:id="218"/>
    </w:p>
    <w:p w:rsidR="0035405A" w:rsidRDefault="00A12C8F" w:rsidP="009C5E21">
      <w:pPr>
        <w:pStyle w:val="Reference"/>
        <w:shd w:val="clear" w:color="auto" w:fill="FFFFFF" w:themeFill="background1"/>
      </w:pPr>
      <w:r w:rsidRPr="003B639B">
        <w:t>ABS</w:t>
      </w:r>
      <w:r w:rsidR="00161FD3">
        <w:t xml:space="preserve"> </w:t>
      </w:r>
      <w:r w:rsidR="00BD413A" w:rsidRPr="00BD413A">
        <w:t xml:space="preserve">2013, </w:t>
      </w:r>
      <w:r w:rsidR="00BD413A" w:rsidRPr="004916A6">
        <w:rPr>
          <w:i/>
        </w:rPr>
        <w:t>Experimental Life Tables for Aboriginal and Torres Strait Islander Australians, Australia, 2010</w:t>
      </w:r>
      <w:r w:rsidR="00AA68A5">
        <w:rPr>
          <w:i/>
        </w:rPr>
        <w:t>–</w:t>
      </w:r>
      <w:r w:rsidR="00BD413A" w:rsidRPr="004916A6">
        <w:rPr>
          <w:i/>
        </w:rPr>
        <w:t>2012</w:t>
      </w:r>
      <w:r w:rsidR="00BD413A" w:rsidRPr="00BD413A">
        <w:t>, Cat. no. 3302.0.55.003, Canberra</w:t>
      </w:r>
      <w:r w:rsidRPr="00EB642E">
        <w:t>.</w:t>
      </w:r>
      <w:r w:rsidR="0035405A" w:rsidRPr="0035405A">
        <w:t xml:space="preserve"> </w:t>
      </w:r>
    </w:p>
    <w:p w:rsidR="00A12C8F" w:rsidRDefault="00A12C8F" w:rsidP="002501A2">
      <w:pPr>
        <w:pStyle w:val="Reference"/>
      </w:pPr>
      <w:proofErr w:type="spellStart"/>
      <w:r>
        <w:t>ACSAA</w:t>
      </w:r>
      <w:proofErr w:type="spellEnd"/>
      <w:r>
        <w:t xml:space="preserve"> (Aged Care Standards and Accreditation Agency Ltd) 2009, </w:t>
      </w:r>
      <w:proofErr w:type="spellStart"/>
      <w:r w:rsidRPr="001E7B81">
        <w:t>www.accr</w:t>
      </w:r>
      <w:r>
        <w:t>editation.org.au</w:t>
      </w:r>
      <w:proofErr w:type="spellEnd"/>
      <w:r>
        <w:t>/accreditation/</w:t>
      </w:r>
      <w:r w:rsidRPr="001E7B81">
        <w:t xml:space="preserve"> (accessed 12</w:t>
      </w:r>
      <w:r w:rsidR="00AA68A5">
        <w:t> </w:t>
      </w:r>
      <w:r w:rsidRPr="001E7B81">
        <w:t>October 2009).</w:t>
      </w:r>
    </w:p>
    <w:p w:rsidR="0038266F" w:rsidRDefault="00A12C8F" w:rsidP="002501A2">
      <w:pPr>
        <w:pStyle w:val="Reference"/>
      </w:pPr>
      <w:r w:rsidRPr="002B2DE4">
        <w:t>AIHW (Australian Institute of</w:t>
      </w:r>
      <w:r w:rsidR="0038266F">
        <w:t xml:space="preserve"> Health and Welfare) </w:t>
      </w:r>
      <w:r w:rsidR="0038266F" w:rsidRPr="0038266F">
        <w:t xml:space="preserve">2013, </w:t>
      </w:r>
      <w:r w:rsidR="0038266F" w:rsidRPr="0038266F">
        <w:rPr>
          <w:i/>
        </w:rPr>
        <w:t xml:space="preserve">Australian </w:t>
      </w:r>
      <w:r w:rsidR="0038266F">
        <w:rPr>
          <w:i/>
        </w:rPr>
        <w:t>H</w:t>
      </w:r>
      <w:r w:rsidR="0038266F" w:rsidRPr="0038266F">
        <w:rPr>
          <w:i/>
        </w:rPr>
        <w:t xml:space="preserve">ospital </w:t>
      </w:r>
      <w:r w:rsidR="0038266F">
        <w:rPr>
          <w:i/>
        </w:rPr>
        <w:t>S</w:t>
      </w:r>
      <w:r w:rsidR="0038266F" w:rsidRPr="0038266F">
        <w:rPr>
          <w:i/>
        </w:rPr>
        <w:t>tatistics 2011</w:t>
      </w:r>
      <w:r w:rsidR="00AA68A5">
        <w:rPr>
          <w:i/>
        </w:rPr>
        <w:noBreakHyphen/>
      </w:r>
      <w:r w:rsidR="0038266F" w:rsidRPr="0038266F">
        <w:rPr>
          <w:i/>
        </w:rPr>
        <w:t>12</w:t>
      </w:r>
      <w:r w:rsidR="0038266F">
        <w:t>,</w:t>
      </w:r>
      <w:r w:rsidR="0038266F" w:rsidRPr="0038266F">
        <w:t xml:space="preserve"> Health services series</w:t>
      </w:r>
      <w:r w:rsidR="0038266F">
        <w:t xml:space="preserve"> 50, Cat. no. </w:t>
      </w:r>
      <w:proofErr w:type="spellStart"/>
      <w:r w:rsidR="0038266F">
        <w:t>HSE</w:t>
      </w:r>
      <w:proofErr w:type="spellEnd"/>
      <w:r w:rsidR="0038266F">
        <w:t xml:space="preserve"> 134, Canberra</w:t>
      </w:r>
      <w:r w:rsidR="0038266F" w:rsidRPr="0038266F">
        <w:t>.</w:t>
      </w:r>
    </w:p>
    <w:p w:rsidR="003506A3" w:rsidRPr="004A67A9" w:rsidRDefault="00A12C8F" w:rsidP="003506A3">
      <w:pPr>
        <w:pStyle w:val="Reference"/>
      </w:pPr>
      <w:r w:rsidRPr="001D3F43">
        <w:t>COAG (Cou</w:t>
      </w:r>
      <w:r w:rsidR="0035405A">
        <w:t>ncil of Australian Governments)</w:t>
      </w:r>
      <w:r w:rsidRPr="001D3F43">
        <w:t xml:space="preserve"> </w:t>
      </w:r>
      <w:r w:rsidR="003506A3" w:rsidRPr="00F20D73">
        <w:t>2009</w:t>
      </w:r>
      <w:r w:rsidR="003506A3">
        <w:t xml:space="preserve">, </w:t>
      </w:r>
      <w:r w:rsidR="003506A3" w:rsidRPr="003506A3">
        <w:rPr>
          <w:i/>
          <w:iCs/>
        </w:rPr>
        <w:t>National Healthcare Agreement,</w:t>
      </w:r>
      <w:r w:rsidR="003506A3">
        <w:rPr>
          <w:i/>
          <w:iCs/>
        </w:rPr>
        <w:t xml:space="preserve"> </w:t>
      </w:r>
      <w:r w:rsidR="003506A3" w:rsidRPr="003506A3">
        <w:t xml:space="preserve">www.coag.gov.au/intergov_agreements/federal_financial_relations/docs/IGA_FFR_ScheduleF_National_Healthcare_Agreement.rtf (accessed </w:t>
      </w:r>
      <w:r w:rsidR="00FF798E">
        <w:t>15</w:t>
      </w:r>
      <w:r w:rsidR="00AA68A5">
        <w:t> </w:t>
      </w:r>
      <w:r w:rsidR="003506A3" w:rsidRPr="003506A3">
        <w:t>October 20</w:t>
      </w:r>
      <w:r w:rsidR="00FF798E">
        <w:t>10</w:t>
      </w:r>
      <w:r w:rsidR="003506A3" w:rsidRPr="003506A3">
        <w:t>).</w:t>
      </w:r>
    </w:p>
    <w:p w:rsidR="00820A76" w:rsidRDefault="00A12C8F" w:rsidP="00820A76">
      <w:pPr>
        <w:pStyle w:val="Reference"/>
      </w:pPr>
      <w:r w:rsidRPr="000034EA">
        <w:t xml:space="preserve">DoHA (Department of Health and Ageing) </w:t>
      </w:r>
      <w:r w:rsidR="00820A76" w:rsidRPr="007F4AE8">
        <w:t>201</w:t>
      </w:r>
      <w:r w:rsidR="00820A76">
        <w:t>2</w:t>
      </w:r>
      <w:r w:rsidR="00820A76" w:rsidRPr="007F4AE8">
        <w:t>,</w:t>
      </w:r>
      <w:r w:rsidR="00820A76" w:rsidRPr="008C221C">
        <w:rPr>
          <w:i/>
        </w:rPr>
        <w:t xml:space="preserve"> </w:t>
      </w:r>
      <w:r w:rsidR="00820A76" w:rsidRPr="0004512E">
        <w:rPr>
          <w:i/>
        </w:rPr>
        <w:t xml:space="preserve">Report on the Operation of the Aged Care Act </w:t>
      </w:r>
      <w:r w:rsidR="00820A76">
        <w:rPr>
          <w:i/>
        </w:rPr>
        <w:t>1997</w:t>
      </w:r>
      <w:r w:rsidR="00820A76" w:rsidRPr="0004512E">
        <w:rPr>
          <w:i/>
        </w:rPr>
        <w:t xml:space="preserve">, </w:t>
      </w:r>
      <w:r w:rsidR="00820A76" w:rsidRPr="00E05EC8">
        <w:rPr>
          <w:i/>
        </w:rPr>
        <w:t>1</w:t>
      </w:r>
      <w:r w:rsidR="00AA68A5">
        <w:rPr>
          <w:i/>
        </w:rPr>
        <w:t> </w:t>
      </w:r>
      <w:r w:rsidR="00820A76" w:rsidRPr="00E05EC8">
        <w:rPr>
          <w:i/>
        </w:rPr>
        <w:t>July 20</w:t>
      </w:r>
      <w:r w:rsidR="00820A76">
        <w:rPr>
          <w:i/>
        </w:rPr>
        <w:t>11</w:t>
      </w:r>
      <w:r w:rsidR="00820A76" w:rsidRPr="00E05EC8">
        <w:rPr>
          <w:i/>
        </w:rPr>
        <w:t xml:space="preserve"> </w:t>
      </w:r>
      <w:r w:rsidR="00820A76">
        <w:rPr>
          <w:i/>
        </w:rPr>
        <w:t>—</w:t>
      </w:r>
      <w:r w:rsidR="00820A76" w:rsidRPr="00E05EC8">
        <w:rPr>
          <w:i/>
        </w:rPr>
        <w:t xml:space="preserve"> 30</w:t>
      </w:r>
      <w:r w:rsidR="00AA68A5">
        <w:rPr>
          <w:i/>
        </w:rPr>
        <w:t> </w:t>
      </w:r>
      <w:r w:rsidR="00820A76" w:rsidRPr="00E05EC8">
        <w:rPr>
          <w:i/>
        </w:rPr>
        <w:t>June 201</w:t>
      </w:r>
      <w:r w:rsidR="00820A76">
        <w:rPr>
          <w:i/>
        </w:rPr>
        <w:t>2</w:t>
      </w:r>
      <w:r w:rsidR="00820A76" w:rsidRPr="008C221C">
        <w:rPr>
          <w:i/>
        </w:rPr>
        <w:t>, Canberra</w:t>
      </w:r>
      <w:r w:rsidR="00820A76" w:rsidRPr="0014094A">
        <w:rPr>
          <w:i/>
        </w:rPr>
        <w:t xml:space="preserve">, </w:t>
      </w:r>
      <w:r w:rsidR="00DE59A5" w:rsidRPr="00DE59A5">
        <w:t>www.health.gov.au/internet/main/publishing.nsf/Content/ageing</w:t>
      </w:r>
      <w:r w:rsidR="00AA68A5">
        <w:noBreakHyphen/>
      </w:r>
      <w:r w:rsidR="00DE59A5" w:rsidRPr="00DE59A5">
        <w:t>reports</w:t>
      </w:r>
      <w:r w:rsidR="00AA68A5">
        <w:noBreakHyphen/>
      </w:r>
      <w:r w:rsidR="00DE59A5" w:rsidRPr="00DE59A5">
        <w:t>acarep</w:t>
      </w:r>
      <w:r w:rsidR="00AA68A5">
        <w:noBreakHyphen/>
      </w:r>
      <w:r w:rsidR="00DE59A5" w:rsidRPr="00DE59A5">
        <w:t xml:space="preserve">2012.htm </w:t>
      </w:r>
      <w:r w:rsidR="00820A76" w:rsidRPr="000B5CFF">
        <w:t xml:space="preserve">(accessed </w:t>
      </w:r>
      <w:r w:rsidR="00DE59A5" w:rsidRPr="00DE59A5">
        <w:t>10</w:t>
      </w:r>
      <w:r w:rsidR="00AA68A5">
        <w:t> </w:t>
      </w:r>
      <w:r w:rsidR="00820A76" w:rsidRPr="000B5CFF">
        <w:t>December 2012)</w:t>
      </w:r>
      <w:r w:rsidR="000B5CFF">
        <w:t>.</w:t>
      </w:r>
    </w:p>
    <w:p w:rsidR="00B25B6C" w:rsidRPr="000B5CFF" w:rsidRDefault="00B25B6C" w:rsidP="009C5E21">
      <w:pPr>
        <w:pStyle w:val="Reference"/>
      </w:pPr>
      <w:r w:rsidRPr="009C5E21">
        <w:rPr>
          <w:shd w:val="clear" w:color="auto" w:fill="FFFFFF" w:themeFill="background1"/>
        </w:rPr>
        <w:t xml:space="preserve">DSS (Department of Social Services) 2013, </w:t>
      </w:r>
      <w:r w:rsidR="009C5E21" w:rsidRPr="009C5E21">
        <w:rPr>
          <w:i/>
          <w:shd w:val="clear" w:color="auto" w:fill="FFFFFF" w:themeFill="background1"/>
        </w:rPr>
        <w:t xml:space="preserve">Report </w:t>
      </w:r>
      <w:r w:rsidR="009C5E21" w:rsidRPr="0004512E">
        <w:rPr>
          <w:i/>
        </w:rPr>
        <w:t xml:space="preserve">on the Operation of the Aged Care Act </w:t>
      </w:r>
      <w:r w:rsidR="009C5E21">
        <w:rPr>
          <w:i/>
        </w:rPr>
        <w:t>1997</w:t>
      </w:r>
      <w:r w:rsidR="009C5E21" w:rsidRPr="0004512E">
        <w:rPr>
          <w:i/>
        </w:rPr>
        <w:t xml:space="preserve">, </w:t>
      </w:r>
      <w:r w:rsidR="009C5E21" w:rsidRPr="00E05EC8">
        <w:rPr>
          <w:i/>
        </w:rPr>
        <w:t>1</w:t>
      </w:r>
      <w:r w:rsidR="00AA68A5">
        <w:rPr>
          <w:i/>
        </w:rPr>
        <w:t> </w:t>
      </w:r>
      <w:r w:rsidR="009C5E21" w:rsidRPr="00E05EC8">
        <w:rPr>
          <w:i/>
        </w:rPr>
        <w:t>July 20</w:t>
      </w:r>
      <w:r w:rsidR="009C5E21">
        <w:rPr>
          <w:i/>
        </w:rPr>
        <w:t>12</w:t>
      </w:r>
      <w:r w:rsidR="009C5E21" w:rsidRPr="00E05EC8">
        <w:rPr>
          <w:i/>
        </w:rPr>
        <w:t xml:space="preserve"> </w:t>
      </w:r>
      <w:r w:rsidR="009C5E21">
        <w:rPr>
          <w:i/>
        </w:rPr>
        <w:t>—</w:t>
      </w:r>
      <w:r w:rsidR="009C5E21" w:rsidRPr="00E05EC8">
        <w:rPr>
          <w:i/>
        </w:rPr>
        <w:t xml:space="preserve"> 30</w:t>
      </w:r>
      <w:r w:rsidR="00AA68A5">
        <w:rPr>
          <w:i/>
        </w:rPr>
        <w:t> </w:t>
      </w:r>
      <w:r w:rsidR="009C5E21" w:rsidRPr="00E05EC8">
        <w:rPr>
          <w:i/>
        </w:rPr>
        <w:t>June 201</w:t>
      </w:r>
      <w:r w:rsidR="009C5E21">
        <w:rPr>
          <w:i/>
        </w:rPr>
        <w:t>3</w:t>
      </w:r>
      <w:r w:rsidR="009C5E21" w:rsidRPr="008C221C">
        <w:rPr>
          <w:i/>
        </w:rPr>
        <w:t xml:space="preserve">, </w:t>
      </w:r>
      <w:r w:rsidR="009C5E21" w:rsidRPr="009F34AB">
        <w:t>Canberra,</w:t>
      </w:r>
      <w:r w:rsidR="009C5E21">
        <w:rPr>
          <w:i/>
        </w:rPr>
        <w:t xml:space="preserve"> </w:t>
      </w:r>
      <w:proofErr w:type="spellStart"/>
      <w:r w:rsidR="009C5E21" w:rsidRPr="009C5E21">
        <w:t>www.health</w:t>
      </w:r>
      <w:proofErr w:type="spellEnd"/>
      <w:r w:rsidR="009C5E21" w:rsidRPr="009C5E21">
        <w:t>.</w:t>
      </w:r>
      <w:r w:rsidR="009C5E21" w:rsidRPr="009C5E21">
        <w:br/>
        <w:t>gov.au/</w:t>
      </w:r>
      <w:r w:rsidR="009C5E21" w:rsidRPr="0079479E">
        <w:t>internet/main/publishing.nsf/Content/ageing</w:t>
      </w:r>
      <w:r w:rsidR="00AA68A5">
        <w:noBreakHyphen/>
      </w:r>
      <w:r w:rsidR="009C5E21" w:rsidRPr="0079479E">
        <w:t>reports</w:t>
      </w:r>
      <w:r w:rsidR="00AA68A5">
        <w:noBreakHyphen/>
      </w:r>
      <w:r w:rsidR="009C5E21" w:rsidRPr="0079479E">
        <w:t>acarep</w:t>
      </w:r>
      <w:r w:rsidR="00AA68A5">
        <w:noBreakHyphen/>
      </w:r>
      <w:r w:rsidR="009C5E21" w:rsidRPr="0079479E">
        <w:t>2013.htm (accessed 18</w:t>
      </w:r>
      <w:r w:rsidR="00AA68A5">
        <w:rPr>
          <w:b/>
        </w:rPr>
        <w:t> </w:t>
      </w:r>
      <w:r w:rsidR="009C5E21" w:rsidRPr="0079479E">
        <w:t>December 2013)</w:t>
      </w:r>
      <w:r w:rsidR="009C5E21">
        <w:t>.</w:t>
      </w:r>
    </w:p>
    <w:p w:rsidR="004B3AB7" w:rsidRPr="004B3AB7" w:rsidRDefault="004B3AB7" w:rsidP="004B3AB7">
      <w:pPr>
        <w:pStyle w:val="Reference"/>
      </w:pPr>
      <w:r>
        <w:t xml:space="preserve">Productivity Commission 2010, </w:t>
      </w:r>
      <w:r w:rsidRPr="004B3AB7">
        <w:rPr>
          <w:i/>
        </w:rPr>
        <w:t>Caring for Older Australians: Issues Paper</w:t>
      </w:r>
      <w:r w:rsidRPr="00C7754C">
        <w:t>,</w:t>
      </w:r>
      <w:r w:rsidR="00AB0BC6">
        <w:t> </w:t>
      </w:r>
      <w:r w:rsidR="00AB0BC6" w:rsidRPr="00AB0BC6">
        <w:t>www.pc.gov.au/__data/assets/pdf_file/0003/98283/aged</w:t>
      </w:r>
      <w:r w:rsidR="00AA68A5">
        <w:noBreakHyphen/>
      </w:r>
      <w:r w:rsidR="00AB0BC6" w:rsidRPr="00AB0BC6">
        <w:t>care</w:t>
      </w:r>
      <w:r w:rsidR="00AA68A5">
        <w:noBreakHyphen/>
      </w:r>
      <w:r w:rsidR="00AB0BC6" w:rsidRPr="00AB0BC6">
        <w:t>issues.</w:t>
      </w:r>
      <w:r w:rsidR="00AB0BC6">
        <w:br/>
      </w:r>
      <w:proofErr w:type="spellStart"/>
      <w:r w:rsidR="00AB0BC6" w:rsidRPr="00AB0BC6">
        <w:t>pdf</w:t>
      </w:r>
      <w:proofErr w:type="spellEnd"/>
      <w:r w:rsidR="00AB0BC6">
        <w:t xml:space="preserve"> (accessed 4</w:t>
      </w:r>
      <w:r w:rsidR="00AA68A5">
        <w:t> </w:t>
      </w:r>
      <w:r w:rsidR="00AB0BC6">
        <w:t>January 2010).</w:t>
      </w:r>
      <w:bookmarkEnd w:id="5"/>
    </w:p>
    <w:sectPr w:rsidR="004B3AB7" w:rsidRPr="004B3AB7" w:rsidSect="00400378">
      <w:headerReference w:type="even" r:id="rId46"/>
      <w:headerReference w:type="default" r:id="rId47"/>
      <w:footerReference w:type="even" r:id="rId48"/>
      <w:footerReference w:type="default" r:id="rId49"/>
      <w:pgSz w:w="11907" w:h="16840" w:code="9"/>
      <w:pgMar w:top="709" w:right="1275" w:bottom="1417" w:left="1814" w:header="1701" w:footer="567" w:gutter="0"/>
      <w:pgNumType w:start="1"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8D4" w:rsidRDefault="008018D4">
      <w:r>
        <w:separator/>
      </w:r>
    </w:p>
  </w:endnote>
  <w:endnote w:type="continuationSeparator" w:id="0">
    <w:p w:rsidR="008018D4" w:rsidRDefault="00801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ArialMT">
    <w:panose1 w:val="00000000000000000000"/>
    <w:charset w:val="00"/>
    <w:family w:val="swiss"/>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018D4">
      <w:trPr>
        <w:trHeight w:hRule="exact" w:val="740"/>
      </w:trPr>
      <w:tc>
        <w:tcPr>
          <w:tcW w:w="510" w:type="dxa"/>
          <w:tcBorders>
            <w:top w:val="single" w:sz="6" w:space="0" w:color="auto"/>
          </w:tcBorders>
        </w:tcPr>
        <w:p w:rsidR="008018D4" w:rsidRDefault="008018D4">
          <w:pPr>
            <w:pStyle w:val="Footer"/>
            <w:tabs>
              <w:tab w:val="left" w:pos="0"/>
            </w:tabs>
            <w:ind w:right="0"/>
            <w:rPr>
              <w:rStyle w:val="PageNumber"/>
            </w:rPr>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13.</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ED129F">
            <w:rPr>
              <w:rStyle w:val="PageNumber"/>
              <w:noProof/>
            </w:rPr>
            <w:t>2</w:t>
          </w:r>
          <w:r>
            <w:rPr>
              <w:rStyle w:val="PageNumber"/>
            </w:rPr>
            <w:fldChar w:fldCharType="end"/>
          </w:r>
        </w:p>
      </w:tc>
      <w:tc>
        <w:tcPr>
          <w:tcW w:w="1644" w:type="dxa"/>
          <w:tcBorders>
            <w:top w:val="single" w:sz="6" w:space="0" w:color="auto"/>
          </w:tcBorders>
        </w:tcPr>
        <w:p w:rsidR="008018D4" w:rsidRDefault="008018D4" w:rsidP="00190A14">
          <w:pPr>
            <w:pStyle w:val="Footer"/>
          </w:pPr>
          <w:r w:rsidRPr="00887297">
            <w:t>REPORT ON GOVERNMENT SERVICES 201</w:t>
          </w:r>
          <w:r>
            <w:t>4</w:t>
          </w:r>
        </w:p>
      </w:tc>
      <w:tc>
        <w:tcPr>
          <w:tcW w:w="6634" w:type="dxa"/>
        </w:tcPr>
        <w:p w:rsidR="008018D4" w:rsidRDefault="008018D4">
          <w:pPr>
            <w:pStyle w:val="Footer"/>
          </w:pPr>
        </w:p>
      </w:tc>
    </w:tr>
  </w:tbl>
  <w:p w:rsidR="008018D4" w:rsidRDefault="008018D4">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9" w:type="dxa"/>
      <w:tblLayout w:type="fixed"/>
      <w:tblCellMar>
        <w:left w:w="0" w:type="dxa"/>
        <w:right w:w="0" w:type="dxa"/>
      </w:tblCellMar>
      <w:tblLook w:val="0000" w:firstRow="0" w:lastRow="0" w:firstColumn="0" w:lastColumn="0" w:noHBand="0" w:noVBand="0"/>
    </w:tblPr>
    <w:tblGrid>
      <w:gridCol w:w="6634"/>
      <w:gridCol w:w="1644"/>
      <w:gridCol w:w="511"/>
    </w:tblGrid>
    <w:tr w:rsidR="008018D4" w:rsidTr="0029519F">
      <w:trPr>
        <w:trHeight w:hRule="exact" w:val="740"/>
      </w:trPr>
      <w:tc>
        <w:tcPr>
          <w:tcW w:w="6634" w:type="dxa"/>
        </w:tcPr>
        <w:p w:rsidR="008018D4" w:rsidRDefault="008018D4">
          <w:pPr>
            <w:pStyle w:val="Footer"/>
            <w:ind w:right="360" w:firstLine="360"/>
          </w:pPr>
          <w:bookmarkStart w:id="219" w:name="_Chapter"/>
          <w:bookmarkEnd w:id="219"/>
        </w:p>
      </w:tc>
      <w:tc>
        <w:tcPr>
          <w:tcW w:w="1644" w:type="dxa"/>
          <w:tcBorders>
            <w:top w:val="single" w:sz="6" w:space="0" w:color="auto"/>
          </w:tcBorders>
        </w:tcPr>
        <w:p w:rsidR="008018D4" w:rsidRDefault="00FD5C6E">
          <w:pPr>
            <w:pStyle w:val="Footer"/>
          </w:pPr>
          <w:fldSimple w:instr=" TITLE  \* MERGEFORMAT ">
            <w:r w:rsidR="008018D4">
              <w:t>Aged care services</w:t>
            </w:r>
          </w:fldSimple>
        </w:p>
      </w:tc>
      <w:tc>
        <w:tcPr>
          <w:tcW w:w="511" w:type="dxa"/>
          <w:tcBorders>
            <w:top w:val="single" w:sz="6" w:space="0" w:color="auto"/>
          </w:tcBorders>
        </w:tcPr>
        <w:p w:rsidR="008018D4" w:rsidRDefault="008018D4" w:rsidP="009764BC">
          <w:pPr>
            <w:pStyle w:val="Footer"/>
            <w:jc w:val="right"/>
          </w:pPr>
          <w:r>
            <w:rPr>
              <w:rStyle w:val="PageNumber"/>
            </w:rPr>
            <w:fldChar w:fldCharType="begin"/>
          </w:r>
          <w:r>
            <w:rPr>
              <w:rStyle w:val="PageNumber"/>
            </w:rPr>
            <w:instrText xml:space="preserve"> COMMENTS  \* MERGEFORMAT </w:instrText>
          </w:r>
          <w:r>
            <w:rPr>
              <w:rStyle w:val="PageNumber"/>
            </w:rPr>
            <w:fldChar w:fldCharType="separate"/>
          </w:r>
          <w:r>
            <w:rPr>
              <w:rStyle w:val="PageNumber"/>
            </w:rPr>
            <w:t>13.</w:t>
          </w:r>
          <w:r>
            <w:rPr>
              <w:rStyle w:val="PageNumber"/>
            </w:rPr>
            <w:fldChar w:fldCharType="end"/>
          </w:r>
          <w:r>
            <w:rPr>
              <w:rStyle w:val="PageNumber"/>
            </w:rPr>
            <w:fldChar w:fldCharType="begin"/>
          </w:r>
          <w:r>
            <w:rPr>
              <w:rStyle w:val="PageNumber"/>
            </w:rPr>
            <w:instrText xml:space="preserve">PAGE  </w:instrText>
          </w:r>
          <w:r>
            <w:rPr>
              <w:rStyle w:val="PageNumber"/>
            </w:rPr>
            <w:fldChar w:fldCharType="separate"/>
          </w:r>
          <w:r w:rsidR="00ED129F">
            <w:rPr>
              <w:rStyle w:val="PageNumber"/>
              <w:noProof/>
            </w:rPr>
            <w:t>1</w:t>
          </w:r>
          <w:r>
            <w:rPr>
              <w:rStyle w:val="PageNumber"/>
            </w:rPr>
            <w:fldChar w:fldCharType="end"/>
          </w:r>
        </w:p>
      </w:tc>
    </w:tr>
  </w:tbl>
  <w:p w:rsidR="008018D4" w:rsidRDefault="008018D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8D4" w:rsidRDefault="008018D4">
      <w:r>
        <w:separator/>
      </w:r>
    </w:p>
  </w:footnote>
  <w:footnote w:type="continuationSeparator" w:id="0">
    <w:p w:rsidR="008018D4" w:rsidRDefault="008018D4">
      <w:r>
        <w:continuationSeparator/>
      </w:r>
    </w:p>
  </w:footnote>
  <w:footnote w:id="1">
    <w:p w:rsidR="008018D4" w:rsidRDefault="008018D4" w:rsidP="00056221">
      <w:pPr>
        <w:pStyle w:val="FootnoteText"/>
      </w:pPr>
      <w:r>
        <w:rPr>
          <w:rStyle w:val="FootnoteReference"/>
        </w:rPr>
        <w:footnoteRef/>
      </w:r>
      <w:r>
        <w:t xml:space="preserve"> Unless otherwise stated, HACC expenditure excludes the DVA expenditure on VHC.</w:t>
      </w:r>
    </w:p>
  </w:footnote>
  <w:footnote w:id="2">
    <w:p w:rsidR="008018D4" w:rsidRPr="00D43AEC" w:rsidRDefault="008018D4" w:rsidP="008625F4">
      <w:pPr>
        <w:shd w:val="clear" w:color="auto" w:fill="FFFFFF" w:themeFill="background1"/>
        <w:rPr>
          <w:sz w:val="22"/>
          <w:szCs w:val="20"/>
        </w:rPr>
      </w:pPr>
      <w:r>
        <w:rPr>
          <w:rStyle w:val="FootnoteReference"/>
        </w:rPr>
        <w:footnoteRef/>
      </w:r>
      <w:r>
        <w:t xml:space="preserve"> </w:t>
      </w:r>
      <w:r>
        <w:rPr>
          <w:sz w:val="22"/>
          <w:szCs w:val="20"/>
        </w:rPr>
        <w:t>In Victoria, a</w:t>
      </w:r>
      <w:r w:rsidRPr="00D43AEC">
        <w:rPr>
          <w:sz w:val="22"/>
          <w:szCs w:val="20"/>
        </w:rPr>
        <w:t xml:space="preserve">n </w:t>
      </w:r>
      <w:r>
        <w:rPr>
          <w:sz w:val="22"/>
          <w:szCs w:val="20"/>
        </w:rPr>
        <w:t>ACAT</w:t>
      </w:r>
      <w:r w:rsidRPr="00D43AEC">
        <w:rPr>
          <w:sz w:val="22"/>
          <w:szCs w:val="20"/>
        </w:rPr>
        <w:t xml:space="preserve"> is referred to as an Aged Care Assessment </w:t>
      </w:r>
      <w:r>
        <w:rPr>
          <w:sz w:val="22"/>
          <w:szCs w:val="20"/>
        </w:rPr>
        <w:t>Service (ACAS). Where this Report</w:t>
      </w:r>
      <w:r w:rsidRPr="00D43AEC">
        <w:rPr>
          <w:sz w:val="22"/>
          <w:szCs w:val="20"/>
        </w:rPr>
        <w:t xml:space="preserve"> refers to an ACAT, it intends the Victorian t</w:t>
      </w:r>
      <w:r>
        <w:rPr>
          <w:sz w:val="22"/>
          <w:szCs w:val="20"/>
        </w:rPr>
        <w:t>erm ACAS to be read as interchangeable.</w:t>
      </w:r>
    </w:p>
  </w:footnote>
  <w:footnote w:id="3">
    <w:p w:rsidR="008018D4" w:rsidRDefault="008018D4" w:rsidP="00E02123">
      <w:pPr>
        <w:pStyle w:val="FootnoteText"/>
      </w:pPr>
      <w:r>
        <w:rPr>
          <w:rStyle w:val="FootnoteReference"/>
        </w:rPr>
        <w:footnoteRef/>
      </w:r>
      <w:r>
        <w:tab/>
      </w:r>
      <w:r>
        <w:rPr>
          <w:rFonts w:cs="Arial"/>
          <w:sz w:val="20"/>
        </w:rPr>
        <w:t>DVA data include veterans of all ages.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018D4">
      <w:tc>
        <w:tcPr>
          <w:tcW w:w="2155" w:type="dxa"/>
          <w:tcBorders>
            <w:top w:val="single" w:sz="24" w:space="0" w:color="auto"/>
          </w:tcBorders>
        </w:tcPr>
        <w:p w:rsidR="008018D4" w:rsidRDefault="008018D4">
          <w:pPr>
            <w:pStyle w:val="HeaderEven"/>
          </w:pPr>
        </w:p>
      </w:tc>
      <w:tc>
        <w:tcPr>
          <w:tcW w:w="6634" w:type="dxa"/>
          <w:tcBorders>
            <w:top w:val="single" w:sz="6" w:space="0" w:color="auto"/>
          </w:tcBorders>
        </w:tcPr>
        <w:p w:rsidR="008018D4" w:rsidRPr="00DF5BD7" w:rsidRDefault="008018D4" w:rsidP="00CC40E3">
          <w:pPr>
            <w:pStyle w:val="HeaderEven"/>
            <w:tabs>
              <w:tab w:val="left" w:pos="780"/>
            </w:tabs>
            <w:ind w:firstLine="340"/>
            <w:jc w:val="right"/>
            <w:rPr>
              <w:sz w:val="24"/>
              <w:szCs w:val="24"/>
            </w:rPr>
          </w:pPr>
        </w:p>
      </w:tc>
    </w:tr>
  </w:tbl>
  <w:p w:rsidR="008018D4" w:rsidRDefault="008018D4">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018D4">
      <w:tc>
        <w:tcPr>
          <w:tcW w:w="6634" w:type="dxa"/>
          <w:tcBorders>
            <w:top w:val="single" w:sz="6" w:space="0" w:color="auto"/>
          </w:tcBorders>
        </w:tcPr>
        <w:p w:rsidR="008018D4" w:rsidRDefault="008018D4" w:rsidP="00ED129F">
          <w:pPr>
            <w:pStyle w:val="HeaderOdd"/>
          </w:pPr>
        </w:p>
      </w:tc>
      <w:tc>
        <w:tcPr>
          <w:tcW w:w="2155" w:type="dxa"/>
          <w:tcBorders>
            <w:top w:val="single" w:sz="24" w:space="0" w:color="auto"/>
          </w:tcBorders>
        </w:tcPr>
        <w:p w:rsidR="008018D4" w:rsidRDefault="008018D4">
          <w:pPr>
            <w:pStyle w:val="HeaderOdd"/>
          </w:pPr>
        </w:p>
      </w:tc>
    </w:tr>
  </w:tbl>
  <w:p w:rsidR="008018D4" w:rsidRDefault="008018D4">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pStyle w:val="Boxdotpoint"/>
      <w:lvlText w:val=""/>
      <w:lvlJc w:val="left"/>
      <w:pPr>
        <w:tabs>
          <w:tab w:val="num" w:pos="643"/>
        </w:tabs>
        <w:ind w:left="643" w:hanging="360"/>
      </w:pPr>
      <w:rPr>
        <w:rFonts w:ascii="Symbol" w:hAnsi="Symbol" w:hint="default"/>
      </w:rPr>
    </w:lvl>
  </w:abstractNum>
  <w:abstractNum w:abstractNumId="1">
    <w:nsid w:val="047A7C39"/>
    <w:multiLevelType w:val="singleLevel"/>
    <w:tmpl w:val="080ADBB6"/>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C8870CE"/>
    <w:multiLevelType w:val="multilevel"/>
    <w:tmpl w:val="4DD2E5BA"/>
    <w:lvl w:ilvl="0">
      <w:start w:val="1"/>
      <w:numFmt w:val="bullet"/>
      <w:pStyle w:val="Response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Arial" w:hAnsi="Arial"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5743D8F"/>
    <w:multiLevelType w:val="multilevel"/>
    <w:tmpl w:val="8C9E2EC8"/>
    <w:lvl w:ilvl="0">
      <w:start w:val="1"/>
      <w:numFmt w:val="bullet"/>
      <w:pStyle w:val="BulletedListLevel1"/>
      <w:lvlText w:val=""/>
      <w:lvlJc w:val="left"/>
      <w:pPr>
        <w:tabs>
          <w:tab w:val="num" w:pos="567"/>
        </w:tabs>
        <w:ind w:left="567" w:hanging="567"/>
      </w:pPr>
      <w:rPr>
        <w:rFonts w:ascii="Symbol" w:hAnsi="Symbol" w:hint="default"/>
        <w:color w:val="auto"/>
      </w:rPr>
    </w:lvl>
    <w:lvl w:ilvl="1">
      <w:start w:val="1"/>
      <w:numFmt w:val="bullet"/>
      <w:lvlText w:val="o"/>
      <w:lvlJc w:val="left"/>
      <w:pPr>
        <w:tabs>
          <w:tab w:val="num" w:pos="1134"/>
        </w:tabs>
        <w:ind w:left="1134" w:hanging="567"/>
      </w:pPr>
      <w:rPr>
        <w:rFonts w:ascii="Courier New" w:hAnsi="Courier New" w:hint="default"/>
      </w:rPr>
    </w:lvl>
    <w:lvl w:ilvl="2">
      <w:start w:val="1"/>
      <w:numFmt w:val="bullet"/>
      <w:lvlText w:val=""/>
      <w:lvlJc w:val="left"/>
      <w:pPr>
        <w:tabs>
          <w:tab w:val="num" w:pos="1701"/>
        </w:tabs>
        <w:ind w:left="1701" w:hanging="567"/>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3FF358D"/>
    <w:multiLevelType w:val="singleLevel"/>
    <w:tmpl w:val="2278E24C"/>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643516F3"/>
    <w:multiLevelType w:val="singleLevel"/>
    <w:tmpl w:val="96689D62"/>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4">
    <w:nsid w:val="757E392E"/>
    <w:multiLevelType w:val="hybridMultilevel"/>
    <w:tmpl w:val="CC44E6A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1"/>
  </w:num>
  <w:num w:numId="3">
    <w:abstractNumId w:val="2"/>
  </w:num>
  <w:num w:numId="4">
    <w:abstractNumId w:val="6"/>
  </w:num>
  <w:num w:numId="5">
    <w:abstractNumId w:val="10"/>
  </w:num>
  <w:num w:numId="6">
    <w:abstractNumId w:val="9"/>
  </w:num>
  <w:num w:numId="7">
    <w:abstractNumId w:val="15"/>
  </w:num>
  <w:num w:numId="8">
    <w:abstractNumId w:val="16"/>
  </w:num>
  <w:num w:numId="9">
    <w:abstractNumId w:val="8"/>
  </w:num>
  <w:num w:numId="10">
    <w:abstractNumId w:val="11"/>
  </w:num>
  <w:num w:numId="11">
    <w:abstractNumId w:val="12"/>
  </w:num>
  <w:num w:numId="12">
    <w:abstractNumId w:val="5"/>
  </w:num>
  <w:num w:numId="13">
    <w:abstractNumId w:val="4"/>
  </w:num>
  <w:num w:numId="14">
    <w:abstractNumId w:val="0"/>
  </w:num>
  <w:num w:numId="15">
    <w:abstractNumId w:val="3"/>
  </w:num>
  <w:num w:numId="16">
    <w:abstractNumId w:val="7"/>
  </w:num>
  <w:num w:numId="17">
    <w:abstractNumId w:val="14"/>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ctiveWritingStyle w:appName="MSWord" w:lang="en-AU"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n-AU" w:vendorID="8" w:dllVersion="513"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340"/>
  <w:evenAndOddHeaders/>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EvenFooter" w:val="0"/>
    <w:docVar w:name="_HasChapterNumber" w:val="1"/>
    <w:docVar w:name="_NumberByChapter" w:val="0"/>
    <w:docVar w:name="_Separator" w:val="."/>
    <w:docVar w:name="AppendixNumber" w:val="B"/>
    <w:docVar w:name="DocType" w:val="0"/>
    <w:docVar w:name="FindingOptions" w:val="1"/>
    <w:docVar w:name="LongChapterTitle" w:val="Chapter"/>
    <w:docVar w:name="LongReportTitle" w:val="Report title"/>
    <w:docVar w:name="RecOptions" w:val="111"/>
    <w:docVar w:name="ShortChapterTitle" w:val="Aged care services"/>
    <w:docVar w:name="ShortReportTitle" w:val="Report on Government Services 2012"/>
    <w:docVar w:name="SideNote" w:val="1"/>
    <w:docVar w:name="UseShortChapter" w:val="0"/>
    <w:docVar w:name="UseShortReport" w:val="0"/>
  </w:docVars>
  <w:rsids>
    <w:rsidRoot w:val="00544969"/>
    <w:rsid w:val="000001D1"/>
    <w:rsid w:val="000005A0"/>
    <w:rsid w:val="00000F44"/>
    <w:rsid w:val="000010CB"/>
    <w:rsid w:val="000016BD"/>
    <w:rsid w:val="00002D26"/>
    <w:rsid w:val="00002F13"/>
    <w:rsid w:val="000034EA"/>
    <w:rsid w:val="00004484"/>
    <w:rsid w:val="00004E14"/>
    <w:rsid w:val="00005CAF"/>
    <w:rsid w:val="0000637F"/>
    <w:rsid w:val="00006436"/>
    <w:rsid w:val="000069C8"/>
    <w:rsid w:val="00006DE3"/>
    <w:rsid w:val="00007217"/>
    <w:rsid w:val="000074D9"/>
    <w:rsid w:val="000077DA"/>
    <w:rsid w:val="000105BF"/>
    <w:rsid w:val="000108AA"/>
    <w:rsid w:val="00010B7F"/>
    <w:rsid w:val="00010CF7"/>
    <w:rsid w:val="000112D9"/>
    <w:rsid w:val="00011692"/>
    <w:rsid w:val="000117BD"/>
    <w:rsid w:val="00011B38"/>
    <w:rsid w:val="00011C95"/>
    <w:rsid w:val="00012359"/>
    <w:rsid w:val="000125C0"/>
    <w:rsid w:val="0001283A"/>
    <w:rsid w:val="00012CA1"/>
    <w:rsid w:val="0001334B"/>
    <w:rsid w:val="00013499"/>
    <w:rsid w:val="0001373F"/>
    <w:rsid w:val="000137D6"/>
    <w:rsid w:val="0001569C"/>
    <w:rsid w:val="00015BD7"/>
    <w:rsid w:val="0001667D"/>
    <w:rsid w:val="00016746"/>
    <w:rsid w:val="0001690F"/>
    <w:rsid w:val="00020637"/>
    <w:rsid w:val="0002130B"/>
    <w:rsid w:val="00021602"/>
    <w:rsid w:val="00021961"/>
    <w:rsid w:val="00022EC4"/>
    <w:rsid w:val="00023127"/>
    <w:rsid w:val="0002360E"/>
    <w:rsid w:val="00023C8D"/>
    <w:rsid w:val="00023CAB"/>
    <w:rsid w:val="0002484E"/>
    <w:rsid w:val="000248C8"/>
    <w:rsid w:val="000249C5"/>
    <w:rsid w:val="00025269"/>
    <w:rsid w:val="00025BCF"/>
    <w:rsid w:val="0002626E"/>
    <w:rsid w:val="00026321"/>
    <w:rsid w:val="00026DF6"/>
    <w:rsid w:val="00026F7E"/>
    <w:rsid w:val="000270AD"/>
    <w:rsid w:val="000274C4"/>
    <w:rsid w:val="00027555"/>
    <w:rsid w:val="00031579"/>
    <w:rsid w:val="00031595"/>
    <w:rsid w:val="00031C37"/>
    <w:rsid w:val="00031DB3"/>
    <w:rsid w:val="00031ECC"/>
    <w:rsid w:val="000320DC"/>
    <w:rsid w:val="0003268B"/>
    <w:rsid w:val="000328D1"/>
    <w:rsid w:val="00032AD0"/>
    <w:rsid w:val="00032CD5"/>
    <w:rsid w:val="00034D92"/>
    <w:rsid w:val="00036167"/>
    <w:rsid w:val="000363AF"/>
    <w:rsid w:val="00036703"/>
    <w:rsid w:val="00036991"/>
    <w:rsid w:val="00036C62"/>
    <w:rsid w:val="0003730A"/>
    <w:rsid w:val="0003768A"/>
    <w:rsid w:val="0004032C"/>
    <w:rsid w:val="00040D68"/>
    <w:rsid w:val="000411B0"/>
    <w:rsid w:val="0004139E"/>
    <w:rsid w:val="00041A94"/>
    <w:rsid w:val="00041CCC"/>
    <w:rsid w:val="000429FE"/>
    <w:rsid w:val="00043400"/>
    <w:rsid w:val="00043B02"/>
    <w:rsid w:val="00043CD9"/>
    <w:rsid w:val="000441F0"/>
    <w:rsid w:val="000447A6"/>
    <w:rsid w:val="00044D44"/>
    <w:rsid w:val="00044D87"/>
    <w:rsid w:val="00044DE1"/>
    <w:rsid w:val="0004512E"/>
    <w:rsid w:val="0004578A"/>
    <w:rsid w:val="00045856"/>
    <w:rsid w:val="0004587C"/>
    <w:rsid w:val="000461C5"/>
    <w:rsid w:val="00046964"/>
    <w:rsid w:val="00046F37"/>
    <w:rsid w:val="00047280"/>
    <w:rsid w:val="00047601"/>
    <w:rsid w:val="00047952"/>
    <w:rsid w:val="00047DA8"/>
    <w:rsid w:val="000500AC"/>
    <w:rsid w:val="00050597"/>
    <w:rsid w:val="00050B00"/>
    <w:rsid w:val="00051028"/>
    <w:rsid w:val="00051A38"/>
    <w:rsid w:val="00052606"/>
    <w:rsid w:val="00052611"/>
    <w:rsid w:val="00053504"/>
    <w:rsid w:val="00053A1F"/>
    <w:rsid w:val="00053E34"/>
    <w:rsid w:val="00053F0A"/>
    <w:rsid w:val="00053FE4"/>
    <w:rsid w:val="0005420F"/>
    <w:rsid w:val="000547FE"/>
    <w:rsid w:val="00054B8A"/>
    <w:rsid w:val="00054ED5"/>
    <w:rsid w:val="000555E8"/>
    <w:rsid w:val="00055620"/>
    <w:rsid w:val="00055DE6"/>
    <w:rsid w:val="00056221"/>
    <w:rsid w:val="000574CA"/>
    <w:rsid w:val="000575F8"/>
    <w:rsid w:val="00057FA2"/>
    <w:rsid w:val="0006035B"/>
    <w:rsid w:val="0006074E"/>
    <w:rsid w:val="00060EB6"/>
    <w:rsid w:val="00061134"/>
    <w:rsid w:val="0006136D"/>
    <w:rsid w:val="00061391"/>
    <w:rsid w:val="00061983"/>
    <w:rsid w:val="00062973"/>
    <w:rsid w:val="00062AC8"/>
    <w:rsid w:val="00062BD5"/>
    <w:rsid w:val="00062E02"/>
    <w:rsid w:val="000641AF"/>
    <w:rsid w:val="00064ABA"/>
    <w:rsid w:val="00064BB8"/>
    <w:rsid w:val="0006501E"/>
    <w:rsid w:val="0006573B"/>
    <w:rsid w:val="000661C9"/>
    <w:rsid w:val="000665F0"/>
    <w:rsid w:val="000668A7"/>
    <w:rsid w:val="00066964"/>
    <w:rsid w:val="00066CF3"/>
    <w:rsid w:val="00067169"/>
    <w:rsid w:val="000672F3"/>
    <w:rsid w:val="00067EC7"/>
    <w:rsid w:val="0007089C"/>
    <w:rsid w:val="00070B65"/>
    <w:rsid w:val="00070BE9"/>
    <w:rsid w:val="00070DEE"/>
    <w:rsid w:val="000716E4"/>
    <w:rsid w:val="000717F7"/>
    <w:rsid w:val="000718D2"/>
    <w:rsid w:val="000719B1"/>
    <w:rsid w:val="00071EE3"/>
    <w:rsid w:val="00072533"/>
    <w:rsid w:val="00072B5D"/>
    <w:rsid w:val="00072E5C"/>
    <w:rsid w:val="000730C0"/>
    <w:rsid w:val="000737B8"/>
    <w:rsid w:val="00074262"/>
    <w:rsid w:val="000743F8"/>
    <w:rsid w:val="00074F7E"/>
    <w:rsid w:val="00075876"/>
    <w:rsid w:val="00076A86"/>
    <w:rsid w:val="00076C1C"/>
    <w:rsid w:val="00077061"/>
    <w:rsid w:val="00077261"/>
    <w:rsid w:val="00077B77"/>
    <w:rsid w:val="00077C8F"/>
    <w:rsid w:val="000807F0"/>
    <w:rsid w:val="000811F3"/>
    <w:rsid w:val="000814D1"/>
    <w:rsid w:val="00082A95"/>
    <w:rsid w:val="0008321F"/>
    <w:rsid w:val="00083B3E"/>
    <w:rsid w:val="0008458E"/>
    <w:rsid w:val="00085A8A"/>
    <w:rsid w:val="00085C2F"/>
    <w:rsid w:val="00085CCA"/>
    <w:rsid w:val="00085E2E"/>
    <w:rsid w:val="000872E2"/>
    <w:rsid w:val="00087F15"/>
    <w:rsid w:val="00090728"/>
    <w:rsid w:val="00090BA7"/>
    <w:rsid w:val="00090CC7"/>
    <w:rsid w:val="00090E88"/>
    <w:rsid w:val="0009120D"/>
    <w:rsid w:val="0009167D"/>
    <w:rsid w:val="00091BEA"/>
    <w:rsid w:val="00091C76"/>
    <w:rsid w:val="00091D2F"/>
    <w:rsid w:val="00091FDA"/>
    <w:rsid w:val="00092721"/>
    <w:rsid w:val="000941ED"/>
    <w:rsid w:val="0009440A"/>
    <w:rsid w:val="0009449F"/>
    <w:rsid w:val="0009458F"/>
    <w:rsid w:val="00094871"/>
    <w:rsid w:val="00096767"/>
    <w:rsid w:val="00096A11"/>
    <w:rsid w:val="00096D37"/>
    <w:rsid w:val="0009782B"/>
    <w:rsid w:val="000A022D"/>
    <w:rsid w:val="000A0A7A"/>
    <w:rsid w:val="000A0E73"/>
    <w:rsid w:val="000A10AF"/>
    <w:rsid w:val="000A1513"/>
    <w:rsid w:val="000A1871"/>
    <w:rsid w:val="000A1B2C"/>
    <w:rsid w:val="000A2177"/>
    <w:rsid w:val="000A26F9"/>
    <w:rsid w:val="000A3213"/>
    <w:rsid w:val="000A3669"/>
    <w:rsid w:val="000A3BEC"/>
    <w:rsid w:val="000A3D83"/>
    <w:rsid w:val="000A697E"/>
    <w:rsid w:val="000A7373"/>
    <w:rsid w:val="000A7807"/>
    <w:rsid w:val="000B0BFD"/>
    <w:rsid w:val="000B0E14"/>
    <w:rsid w:val="000B17F4"/>
    <w:rsid w:val="000B1B12"/>
    <w:rsid w:val="000B1CDD"/>
    <w:rsid w:val="000B201B"/>
    <w:rsid w:val="000B210F"/>
    <w:rsid w:val="000B25C0"/>
    <w:rsid w:val="000B26FC"/>
    <w:rsid w:val="000B2BA0"/>
    <w:rsid w:val="000B3015"/>
    <w:rsid w:val="000B3128"/>
    <w:rsid w:val="000B3439"/>
    <w:rsid w:val="000B389D"/>
    <w:rsid w:val="000B42CD"/>
    <w:rsid w:val="000B4837"/>
    <w:rsid w:val="000B4ABD"/>
    <w:rsid w:val="000B4F0D"/>
    <w:rsid w:val="000B5196"/>
    <w:rsid w:val="000B5A44"/>
    <w:rsid w:val="000B5A8C"/>
    <w:rsid w:val="000B5CE3"/>
    <w:rsid w:val="000B5CFF"/>
    <w:rsid w:val="000B64BE"/>
    <w:rsid w:val="000B65AD"/>
    <w:rsid w:val="000B6670"/>
    <w:rsid w:val="000B754D"/>
    <w:rsid w:val="000C066E"/>
    <w:rsid w:val="000C1419"/>
    <w:rsid w:val="000C1EAF"/>
    <w:rsid w:val="000C22E1"/>
    <w:rsid w:val="000C280F"/>
    <w:rsid w:val="000C2D77"/>
    <w:rsid w:val="000C3016"/>
    <w:rsid w:val="000C3884"/>
    <w:rsid w:val="000C39B8"/>
    <w:rsid w:val="000C446D"/>
    <w:rsid w:val="000C49C4"/>
    <w:rsid w:val="000C4C26"/>
    <w:rsid w:val="000C5EDE"/>
    <w:rsid w:val="000C6291"/>
    <w:rsid w:val="000C6614"/>
    <w:rsid w:val="000C6925"/>
    <w:rsid w:val="000C6D2E"/>
    <w:rsid w:val="000C77BE"/>
    <w:rsid w:val="000C7B95"/>
    <w:rsid w:val="000C7EB5"/>
    <w:rsid w:val="000D02EE"/>
    <w:rsid w:val="000D13ED"/>
    <w:rsid w:val="000D1406"/>
    <w:rsid w:val="000D1DEC"/>
    <w:rsid w:val="000D2068"/>
    <w:rsid w:val="000D214F"/>
    <w:rsid w:val="000D238B"/>
    <w:rsid w:val="000D24A5"/>
    <w:rsid w:val="000D356D"/>
    <w:rsid w:val="000D37C8"/>
    <w:rsid w:val="000D3EE1"/>
    <w:rsid w:val="000D452B"/>
    <w:rsid w:val="000D46A3"/>
    <w:rsid w:val="000D519B"/>
    <w:rsid w:val="000D51AD"/>
    <w:rsid w:val="000D54CD"/>
    <w:rsid w:val="000D57D6"/>
    <w:rsid w:val="000D5D37"/>
    <w:rsid w:val="000D6A1E"/>
    <w:rsid w:val="000D6C99"/>
    <w:rsid w:val="000D6D02"/>
    <w:rsid w:val="000D6D4E"/>
    <w:rsid w:val="000D6F00"/>
    <w:rsid w:val="000D6FB8"/>
    <w:rsid w:val="000D7524"/>
    <w:rsid w:val="000D7A85"/>
    <w:rsid w:val="000E0703"/>
    <w:rsid w:val="000E09BC"/>
    <w:rsid w:val="000E1572"/>
    <w:rsid w:val="000E1620"/>
    <w:rsid w:val="000E1F14"/>
    <w:rsid w:val="000E2C64"/>
    <w:rsid w:val="000E2FA1"/>
    <w:rsid w:val="000E304B"/>
    <w:rsid w:val="000E3F1E"/>
    <w:rsid w:val="000E504E"/>
    <w:rsid w:val="000E766F"/>
    <w:rsid w:val="000F0213"/>
    <w:rsid w:val="000F0ED1"/>
    <w:rsid w:val="000F183A"/>
    <w:rsid w:val="000F1B58"/>
    <w:rsid w:val="000F214F"/>
    <w:rsid w:val="000F2883"/>
    <w:rsid w:val="000F2C6A"/>
    <w:rsid w:val="000F3701"/>
    <w:rsid w:val="000F394C"/>
    <w:rsid w:val="000F438B"/>
    <w:rsid w:val="000F4AFE"/>
    <w:rsid w:val="000F59F0"/>
    <w:rsid w:val="000F627F"/>
    <w:rsid w:val="000F68AE"/>
    <w:rsid w:val="000F6989"/>
    <w:rsid w:val="000F6B17"/>
    <w:rsid w:val="000F7212"/>
    <w:rsid w:val="001007F4"/>
    <w:rsid w:val="0010087E"/>
    <w:rsid w:val="00100921"/>
    <w:rsid w:val="00100A71"/>
    <w:rsid w:val="00100AC4"/>
    <w:rsid w:val="0010101A"/>
    <w:rsid w:val="00101EFC"/>
    <w:rsid w:val="00102788"/>
    <w:rsid w:val="00102E14"/>
    <w:rsid w:val="00103487"/>
    <w:rsid w:val="00103573"/>
    <w:rsid w:val="00103A8A"/>
    <w:rsid w:val="00103C54"/>
    <w:rsid w:val="001041E7"/>
    <w:rsid w:val="00104D90"/>
    <w:rsid w:val="00105222"/>
    <w:rsid w:val="0010546C"/>
    <w:rsid w:val="00105F38"/>
    <w:rsid w:val="00106C52"/>
    <w:rsid w:val="00107100"/>
    <w:rsid w:val="001079C2"/>
    <w:rsid w:val="00110B5A"/>
    <w:rsid w:val="00111151"/>
    <w:rsid w:val="001119E5"/>
    <w:rsid w:val="00112DCE"/>
    <w:rsid w:val="00113713"/>
    <w:rsid w:val="001138BC"/>
    <w:rsid w:val="00113AB8"/>
    <w:rsid w:val="001143F3"/>
    <w:rsid w:val="001144FE"/>
    <w:rsid w:val="001149BC"/>
    <w:rsid w:val="001154EB"/>
    <w:rsid w:val="001155D7"/>
    <w:rsid w:val="001155EB"/>
    <w:rsid w:val="00115FED"/>
    <w:rsid w:val="00116D39"/>
    <w:rsid w:val="001171EF"/>
    <w:rsid w:val="0011730F"/>
    <w:rsid w:val="001174BF"/>
    <w:rsid w:val="00117529"/>
    <w:rsid w:val="0011763B"/>
    <w:rsid w:val="0011781D"/>
    <w:rsid w:val="00117E26"/>
    <w:rsid w:val="00120CC0"/>
    <w:rsid w:val="00121B01"/>
    <w:rsid w:val="00121E79"/>
    <w:rsid w:val="00122098"/>
    <w:rsid w:val="00122328"/>
    <w:rsid w:val="001229C5"/>
    <w:rsid w:val="00122E3F"/>
    <w:rsid w:val="00122E9D"/>
    <w:rsid w:val="00123414"/>
    <w:rsid w:val="00123736"/>
    <w:rsid w:val="0012383E"/>
    <w:rsid w:val="00123865"/>
    <w:rsid w:val="00123A6F"/>
    <w:rsid w:val="00123E08"/>
    <w:rsid w:val="0012432C"/>
    <w:rsid w:val="00124397"/>
    <w:rsid w:val="00124E32"/>
    <w:rsid w:val="001253DE"/>
    <w:rsid w:val="0012690A"/>
    <w:rsid w:val="0012693A"/>
    <w:rsid w:val="00126EEA"/>
    <w:rsid w:val="00127004"/>
    <w:rsid w:val="00127180"/>
    <w:rsid w:val="00127389"/>
    <w:rsid w:val="00127ABB"/>
    <w:rsid w:val="00127B8B"/>
    <w:rsid w:val="00130B1E"/>
    <w:rsid w:val="00131553"/>
    <w:rsid w:val="001317A8"/>
    <w:rsid w:val="00131D6A"/>
    <w:rsid w:val="001323FC"/>
    <w:rsid w:val="00132C12"/>
    <w:rsid w:val="00132ED4"/>
    <w:rsid w:val="00133C34"/>
    <w:rsid w:val="00134124"/>
    <w:rsid w:val="00134C26"/>
    <w:rsid w:val="00135631"/>
    <w:rsid w:val="00135E6D"/>
    <w:rsid w:val="00136DD9"/>
    <w:rsid w:val="00137BDA"/>
    <w:rsid w:val="00140224"/>
    <w:rsid w:val="001406B8"/>
    <w:rsid w:val="0014094A"/>
    <w:rsid w:val="00141456"/>
    <w:rsid w:val="001415F5"/>
    <w:rsid w:val="00141AAD"/>
    <w:rsid w:val="00141E7C"/>
    <w:rsid w:val="00142078"/>
    <w:rsid w:val="0014232C"/>
    <w:rsid w:val="0014304D"/>
    <w:rsid w:val="00143450"/>
    <w:rsid w:val="001434A8"/>
    <w:rsid w:val="0014363C"/>
    <w:rsid w:val="00144423"/>
    <w:rsid w:val="00144887"/>
    <w:rsid w:val="00145015"/>
    <w:rsid w:val="0014540E"/>
    <w:rsid w:val="00145E8B"/>
    <w:rsid w:val="00145FCC"/>
    <w:rsid w:val="001463FC"/>
    <w:rsid w:val="0014707D"/>
    <w:rsid w:val="001475AF"/>
    <w:rsid w:val="00147AE5"/>
    <w:rsid w:val="0015010E"/>
    <w:rsid w:val="00150BEC"/>
    <w:rsid w:val="0015151A"/>
    <w:rsid w:val="00151806"/>
    <w:rsid w:val="00153299"/>
    <w:rsid w:val="00153F04"/>
    <w:rsid w:val="0015424A"/>
    <w:rsid w:val="0015474C"/>
    <w:rsid w:val="001548E7"/>
    <w:rsid w:val="00155032"/>
    <w:rsid w:val="00155483"/>
    <w:rsid w:val="00156CA8"/>
    <w:rsid w:val="00156DB5"/>
    <w:rsid w:val="00160C97"/>
    <w:rsid w:val="001617D7"/>
    <w:rsid w:val="00161E05"/>
    <w:rsid w:val="00161FD3"/>
    <w:rsid w:val="001621D4"/>
    <w:rsid w:val="0016251B"/>
    <w:rsid w:val="00162868"/>
    <w:rsid w:val="00162F8B"/>
    <w:rsid w:val="001632CD"/>
    <w:rsid w:val="0016379C"/>
    <w:rsid w:val="00163976"/>
    <w:rsid w:val="00163C3E"/>
    <w:rsid w:val="00163F85"/>
    <w:rsid w:val="00163FE9"/>
    <w:rsid w:val="00164106"/>
    <w:rsid w:val="001648D9"/>
    <w:rsid w:val="00166267"/>
    <w:rsid w:val="00166757"/>
    <w:rsid w:val="00166889"/>
    <w:rsid w:val="00166B69"/>
    <w:rsid w:val="00166F31"/>
    <w:rsid w:val="00170C0D"/>
    <w:rsid w:val="00171ED1"/>
    <w:rsid w:val="00172DC7"/>
    <w:rsid w:val="001730EC"/>
    <w:rsid w:val="001736FA"/>
    <w:rsid w:val="00173EE3"/>
    <w:rsid w:val="00173F6B"/>
    <w:rsid w:val="00174022"/>
    <w:rsid w:val="00174862"/>
    <w:rsid w:val="001748AA"/>
    <w:rsid w:val="00174AB9"/>
    <w:rsid w:val="001757FE"/>
    <w:rsid w:val="001760C4"/>
    <w:rsid w:val="00176138"/>
    <w:rsid w:val="00176562"/>
    <w:rsid w:val="00176D53"/>
    <w:rsid w:val="00176FAC"/>
    <w:rsid w:val="00177803"/>
    <w:rsid w:val="001806B0"/>
    <w:rsid w:val="00181264"/>
    <w:rsid w:val="00182048"/>
    <w:rsid w:val="001826B3"/>
    <w:rsid w:val="001828E5"/>
    <w:rsid w:val="00182F1B"/>
    <w:rsid w:val="001850AA"/>
    <w:rsid w:val="0018563B"/>
    <w:rsid w:val="00186D90"/>
    <w:rsid w:val="00186DC2"/>
    <w:rsid w:val="00187A1A"/>
    <w:rsid w:val="00190228"/>
    <w:rsid w:val="00190358"/>
    <w:rsid w:val="001908B5"/>
    <w:rsid w:val="00190A14"/>
    <w:rsid w:val="00190BB1"/>
    <w:rsid w:val="00190C06"/>
    <w:rsid w:val="0019107E"/>
    <w:rsid w:val="0019111E"/>
    <w:rsid w:val="001912BF"/>
    <w:rsid w:val="0019167B"/>
    <w:rsid w:val="00191885"/>
    <w:rsid w:val="00191FD3"/>
    <w:rsid w:val="0019236B"/>
    <w:rsid w:val="00192D00"/>
    <w:rsid w:val="00192FD2"/>
    <w:rsid w:val="001938AC"/>
    <w:rsid w:val="00193F27"/>
    <w:rsid w:val="00194170"/>
    <w:rsid w:val="00194AC5"/>
    <w:rsid w:val="00195810"/>
    <w:rsid w:val="0019586D"/>
    <w:rsid w:val="00195B98"/>
    <w:rsid w:val="00195D59"/>
    <w:rsid w:val="00195F08"/>
    <w:rsid w:val="001973B0"/>
    <w:rsid w:val="001973DA"/>
    <w:rsid w:val="00197940"/>
    <w:rsid w:val="00197B6E"/>
    <w:rsid w:val="001A047F"/>
    <w:rsid w:val="001A048B"/>
    <w:rsid w:val="001A11DA"/>
    <w:rsid w:val="001A185E"/>
    <w:rsid w:val="001A3390"/>
    <w:rsid w:val="001A411C"/>
    <w:rsid w:val="001A47A2"/>
    <w:rsid w:val="001A510D"/>
    <w:rsid w:val="001A53C8"/>
    <w:rsid w:val="001A6FD0"/>
    <w:rsid w:val="001A7663"/>
    <w:rsid w:val="001B000A"/>
    <w:rsid w:val="001B0048"/>
    <w:rsid w:val="001B096C"/>
    <w:rsid w:val="001B0D2B"/>
    <w:rsid w:val="001B0F48"/>
    <w:rsid w:val="001B16B8"/>
    <w:rsid w:val="001B2609"/>
    <w:rsid w:val="001B2909"/>
    <w:rsid w:val="001B2B43"/>
    <w:rsid w:val="001B355F"/>
    <w:rsid w:val="001B38D8"/>
    <w:rsid w:val="001B3A26"/>
    <w:rsid w:val="001B4A10"/>
    <w:rsid w:val="001B5180"/>
    <w:rsid w:val="001B60E8"/>
    <w:rsid w:val="001B6E98"/>
    <w:rsid w:val="001B7275"/>
    <w:rsid w:val="001B7B78"/>
    <w:rsid w:val="001B7BFD"/>
    <w:rsid w:val="001B7FBB"/>
    <w:rsid w:val="001C0CF0"/>
    <w:rsid w:val="001C16B7"/>
    <w:rsid w:val="001C21EC"/>
    <w:rsid w:val="001C2D53"/>
    <w:rsid w:val="001C30FE"/>
    <w:rsid w:val="001C3513"/>
    <w:rsid w:val="001C3600"/>
    <w:rsid w:val="001C395D"/>
    <w:rsid w:val="001C3E37"/>
    <w:rsid w:val="001C3F32"/>
    <w:rsid w:val="001C406C"/>
    <w:rsid w:val="001C453A"/>
    <w:rsid w:val="001C4C3F"/>
    <w:rsid w:val="001C5324"/>
    <w:rsid w:val="001C5D4D"/>
    <w:rsid w:val="001C6338"/>
    <w:rsid w:val="001C67E9"/>
    <w:rsid w:val="001C6AE6"/>
    <w:rsid w:val="001C6BAD"/>
    <w:rsid w:val="001C6BC5"/>
    <w:rsid w:val="001C7719"/>
    <w:rsid w:val="001D00F7"/>
    <w:rsid w:val="001D0A3E"/>
    <w:rsid w:val="001D0A7C"/>
    <w:rsid w:val="001D1629"/>
    <w:rsid w:val="001D1C3F"/>
    <w:rsid w:val="001D24D7"/>
    <w:rsid w:val="001D314A"/>
    <w:rsid w:val="001D3520"/>
    <w:rsid w:val="001D39B6"/>
    <w:rsid w:val="001D3F43"/>
    <w:rsid w:val="001D49EE"/>
    <w:rsid w:val="001D4FE6"/>
    <w:rsid w:val="001D527A"/>
    <w:rsid w:val="001D561C"/>
    <w:rsid w:val="001D5ABE"/>
    <w:rsid w:val="001D6019"/>
    <w:rsid w:val="001D6278"/>
    <w:rsid w:val="001D6490"/>
    <w:rsid w:val="001D6948"/>
    <w:rsid w:val="001D76E1"/>
    <w:rsid w:val="001E1164"/>
    <w:rsid w:val="001E1B7A"/>
    <w:rsid w:val="001E2076"/>
    <w:rsid w:val="001E20C5"/>
    <w:rsid w:val="001E2D3E"/>
    <w:rsid w:val="001E314F"/>
    <w:rsid w:val="001E323F"/>
    <w:rsid w:val="001E3293"/>
    <w:rsid w:val="001E3348"/>
    <w:rsid w:val="001E3909"/>
    <w:rsid w:val="001E39F5"/>
    <w:rsid w:val="001E3B14"/>
    <w:rsid w:val="001E3E53"/>
    <w:rsid w:val="001E4022"/>
    <w:rsid w:val="001E4922"/>
    <w:rsid w:val="001E4A7C"/>
    <w:rsid w:val="001E585D"/>
    <w:rsid w:val="001E5C62"/>
    <w:rsid w:val="001E60DD"/>
    <w:rsid w:val="001E63C2"/>
    <w:rsid w:val="001E69E1"/>
    <w:rsid w:val="001E7653"/>
    <w:rsid w:val="001E793E"/>
    <w:rsid w:val="001E7B81"/>
    <w:rsid w:val="001E7E98"/>
    <w:rsid w:val="001F1398"/>
    <w:rsid w:val="001F2394"/>
    <w:rsid w:val="001F27C3"/>
    <w:rsid w:val="001F302F"/>
    <w:rsid w:val="001F413C"/>
    <w:rsid w:val="001F508D"/>
    <w:rsid w:val="001F5167"/>
    <w:rsid w:val="001F52A0"/>
    <w:rsid w:val="001F5330"/>
    <w:rsid w:val="001F5650"/>
    <w:rsid w:val="001F57A0"/>
    <w:rsid w:val="001F59B3"/>
    <w:rsid w:val="001F5EF2"/>
    <w:rsid w:val="001F6177"/>
    <w:rsid w:val="001F6F13"/>
    <w:rsid w:val="0020041E"/>
    <w:rsid w:val="00200B20"/>
    <w:rsid w:val="00200BD0"/>
    <w:rsid w:val="00200FFA"/>
    <w:rsid w:val="0020184C"/>
    <w:rsid w:val="002019ED"/>
    <w:rsid w:val="0020210E"/>
    <w:rsid w:val="002025B6"/>
    <w:rsid w:val="00202818"/>
    <w:rsid w:val="00202CB1"/>
    <w:rsid w:val="0020309C"/>
    <w:rsid w:val="002030DD"/>
    <w:rsid w:val="002035E9"/>
    <w:rsid w:val="00203CAF"/>
    <w:rsid w:val="0020443A"/>
    <w:rsid w:val="00204B6E"/>
    <w:rsid w:val="00204DA4"/>
    <w:rsid w:val="00204F98"/>
    <w:rsid w:val="00206329"/>
    <w:rsid w:val="00206DA8"/>
    <w:rsid w:val="00207396"/>
    <w:rsid w:val="002078E7"/>
    <w:rsid w:val="002078F9"/>
    <w:rsid w:val="0021008D"/>
    <w:rsid w:val="00210169"/>
    <w:rsid w:val="0021183A"/>
    <w:rsid w:val="00211CF0"/>
    <w:rsid w:val="002142AC"/>
    <w:rsid w:val="002145B3"/>
    <w:rsid w:val="002146E7"/>
    <w:rsid w:val="00215D43"/>
    <w:rsid w:val="00215F03"/>
    <w:rsid w:val="00216056"/>
    <w:rsid w:val="002164E6"/>
    <w:rsid w:val="002168F6"/>
    <w:rsid w:val="0021776B"/>
    <w:rsid w:val="00220063"/>
    <w:rsid w:val="00220655"/>
    <w:rsid w:val="00221627"/>
    <w:rsid w:val="0022176D"/>
    <w:rsid w:val="00221D1B"/>
    <w:rsid w:val="002220A4"/>
    <w:rsid w:val="00223BB1"/>
    <w:rsid w:val="00223D94"/>
    <w:rsid w:val="00224010"/>
    <w:rsid w:val="00224028"/>
    <w:rsid w:val="00224A29"/>
    <w:rsid w:val="00224E40"/>
    <w:rsid w:val="002259CA"/>
    <w:rsid w:val="0022694C"/>
    <w:rsid w:val="00227361"/>
    <w:rsid w:val="0022790F"/>
    <w:rsid w:val="00227A7D"/>
    <w:rsid w:val="00227BBE"/>
    <w:rsid w:val="00227F1E"/>
    <w:rsid w:val="00230AC7"/>
    <w:rsid w:val="00230E00"/>
    <w:rsid w:val="00231682"/>
    <w:rsid w:val="00231A3A"/>
    <w:rsid w:val="00231AC1"/>
    <w:rsid w:val="00232894"/>
    <w:rsid w:val="00232986"/>
    <w:rsid w:val="00232CB9"/>
    <w:rsid w:val="00233034"/>
    <w:rsid w:val="00234C65"/>
    <w:rsid w:val="0023519D"/>
    <w:rsid w:val="00235898"/>
    <w:rsid w:val="00235DDC"/>
    <w:rsid w:val="00236047"/>
    <w:rsid w:val="0023639E"/>
    <w:rsid w:val="0023672A"/>
    <w:rsid w:val="002369F9"/>
    <w:rsid w:val="00236DAC"/>
    <w:rsid w:val="00237511"/>
    <w:rsid w:val="002375B1"/>
    <w:rsid w:val="00237A34"/>
    <w:rsid w:val="00237F2B"/>
    <w:rsid w:val="00240469"/>
    <w:rsid w:val="00240753"/>
    <w:rsid w:val="0024088B"/>
    <w:rsid w:val="00240B8D"/>
    <w:rsid w:val="0024186B"/>
    <w:rsid w:val="00242458"/>
    <w:rsid w:val="00242C65"/>
    <w:rsid w:val="00242FF7"/>
    <w:rsid w:val="00243319"/>
    <w:rsid w:val="0024347F"/>
    <w:rsid w:val="002435FC"/>
    <w:rsid w:val="00243860"/>
    <w:rsid w:val="00243F3D"/>
    <w:rsid w:val="0024403C"/>
    <w:rsid w:val="002444BC"/>
    <w:rsid w:val="0024470F"/>
    <w:rsid w:val="00244FA7"/>
    <w:rsid w:val="002455FA"/>
    <w:rsid w:val="002458BE"/>
    <w:rsid w:val="00245CB3"/>
    <w:rsid w:val="002462FC"/>
    <w:rsid w:val="00246705"/>
    <w:rsid w:val="00247304"/>
    <w:rsid w:val="0024751F"/>
    <w:rsid w:val="00247C0F"/>
    <w:rsid w:val="002501A2"/>
    <w:rsid w:val="0025062E"/>
    <w:rsid w:val="0025091B"/>
    <w:rsid w:val="00250AA6"/>
    <w:rsid w:val="00250BF7"/>
    <w:rsid w:val="00250E0E"/>
    <w:rsid w:val="0025135B"/>
    <w:rsid w:val="002516D9"/>
    <w:rsid w:val="0025218F"/>
    <w:rsid w:val="002524CC"/>
    <w:rsid w:val="00252E5D"/>
    <w:rsid w:val="00253968"/>
    <w:rsid w:val="00253B4A"/>
    <w:rsid w:val="00253D64"/>
    <w:rsid w:val="00254181"/>
    <w:rsid w:val="002548B4"/>
    <w:rsid w:val="0025531A"/>
    <w:rsid w:val="002554B3"/>
    <w:rsid w:val="002554C0"/>
    <w:rsid w:val="00255D26"/>
    <w:rsid w:val="00256743"/>
    <w:rsid w:val="00257AD3"/>
    <w:rsid w:val="00257DCF"/>
    <w:rsid w:val="00260372"/>
    <w:rsid w:val="00260BF3"/>
    <w:rsid w:val="00262054"/>
    <w:rsid w:val="00262570"/>
    <w:rsid w:val="00262BC4"/>
    <w:rsid w:val="0026506E"/>
    <w:rsid w:val="00266814"/>
    <w:rsid w:val="00266F90"/>
    <w:rsid w:val="00267F32"/>
    <w:rsid w:val="002707B3"/>
    <w:rsid w:val="00270E0D"/>
    <w:rsid w:val="002717EB"/>
    <w:rsid w:val="00271B5B"/>
    <w:rsid w:val="002724E7"/>
    <w:rsid w:val="00272753"/>
    <w:rsid w:val="00272A3C"/>
    <w:rsid w:val="00272C7B"/>
    <w:rsid w:val="00273083"/>
    <w:rsid w:val="0027310D"/>
    <w:rsid w:val="002741C6"/>
    <w:rsid w:val="00275116"/>
    <w:rsid w:val="00275D0A"/>
    <w:rsid w:val="00276072"/>
    <w:rsid w:val="00276379"/>
    <w:rsid w:val="00276388"/>
    <w:rsid w:val="00277076"/>
    <w:rsid w:val="002803BB"/>
    <w:rsid w:val="002807D2"/>
    <w:rsid w:val="002811E1"/>
    <w:rsid w:val="002818B3"/>
    <w:rsid w:val="002826DD"/>
    <w:rsid w:val="00283425"/>
    <w:rsid w:val="002839B0"/>
    <w:rsid w:val="00283E41"/>
    <w:rsid w:val="002841F2"/>
    <w:rsid w:val="00285036"/>
    <w:rsid w:val="0028518E"/>
    <w:rsid w:val="002857F1"/>
    <w:rsid w:val="00285FA1"/>
    <w:rsid w:val="00286C17"/>
    <w:rsid w:val="00287460"/>
    <w:rsid w:val="00287887"/>
    <w:rsid w:val="00287A83"/>
    <w:rsid w:val="00287F71"/>
    <w:rsid w:val="002903C4"/>
    <w:rsid w:val="002909A7"/>
    <w:rsid w:val="00290B31"/>
    <w:rsid w:val="0029156E"/>
    <w:rsid w:val="00291690"/>
    <w:rsid w:val="00291E14"/>
    <w:rsid w:val="00291FA1"/>
    <w:rsid w:val="00292B57"/>
    <w:rsid w:val="00292D4A"/>
    <w:rsid w:val="00292FFE"/>
    <w:rsid w:val="00293FFB"/>
    <w:rsid w:val="00294290"/>
    <w:rsid w:val="00294960"/>
    <w:rsid w:val="0029519F"/>
    <w:rsid w:val="00295CD6"/>
    <w:rsid w:val="00296347"/>
    <w:rsid w:val="002963AC"/>
    <w:rsid w:val="0029641B"/>
    <w:rsid w:val="00296D4B"/>
    <w:rsid w:val="0029793C"/>
    <w:rsid w:val="002A0011"/>
    <w:rsid w:val="002A0131"/>
    <w:rsid w:val="002A0146"/>
    <w:rsid w:val="002A05C5"/>
    <w:rsid w:val="002A0B56"/>
    <w:rsid w:val="002A0E68"/>
    <w:rsid w:val="002A12B3"/>
    <w:rsid w:val="002A1617"/>
    <w:rsid w:val="002A1955"/>
    <w:rsid w:val="002A1C91"/>
    <w:rsid w:val="002A1D93"/>
    <w:rsid w:val="002A24F5"/>
    <w:rsid w:val="002A2F46"/>
    <w:rsid w:val="002A3B5B"/>
    <w:rsid w:val="002A3E66"/>
    <w:rsid w:val="002A42E3"/>
    <w:rsid w:val="002A49FA"/>
    <w:rsid w:val="002A4BC9"/>
    <w:rsid w:val="002A4C5C"/>
    <w:rsid w:val="002A5236"/>
    <w:rsid w:val="002A5D64"/>
    <w:rsid w:val="002A5F7F"/>
    <w:rsid w:val="002A64CB"/>
    <w:rsid w:val="002A6E5D"/>
    <w:rsid w:val="002A7898"/>
    <w:rsid w:val="002A7E1B"/>
    <w:rsid w:val="002B025F"/>
    <w:rsid w:val="002B061F"/>
    <w:rsid w:val="002B0996"/>
    <w:rsid w:val="002B10A5"/>
    <w:rsid w:val="002B15AA"/>
    <w:rsid w:val="002B188F"/>
    <w:rsid w:val="002B1ED5"/>
    <w:rsid w:val="002B2F72"/>
    <w:rsid w:val="002B3E13"/>
    <w:rsid w:val="002B4381"/>
    <w:rsid w:val="002B5BA8"/>
    <w:rsid w:val="002B5FB5"/>
    <w:rsid w:val="002B65F3"/>
    <w:rsid w:val="002C0004"/>
    <w:rsid w:val="002C02D3"/>
    <w:rsid w:val="002C09C6"/>
    <w:rsid w:val="002C1268"/>
    <w:rsid w:val="002C15D2"/>
    <w:rsid w:val="002C17B5"/>
    <w:rsid w:val="002C1ACA"/>
    <w:rsid w:val="002C1E35"/>
    <w:rsid w:val="002C1ED7"/>
    <w:rsid w:val="002C3BEE"/>
    <w:rsid w:val="002C3C79"/>
    <w:rsid w:val="002C429D"/>
    <w:rsid w:val="002C435A"/>
    <w:rsid w:val="002C4400"/>
    <w:rsid w:val="002C4452"/>
    <w:rsid w:val="002C5D7E"/>
    <w:rsid w:val="002C5E9A"/>
    <w:rsid w:val="002C64A3"/>
    <w:rsid w:val="002C6791"/>
    <w:rsid w:val="002C74E1"/>
    <w:rsid w:val="002C7805"/>
    <w:rsid w:val="002D0F97"/>
    <w:rsid w:val="002D1881"/>
    <w:rsid w:val="002D2047"/>
    <w:rsid w:val="002D375F"/>
    <w:rsid w:val="002D3C34"/>
    <w:rsid w:val="002D403E"/>
    <w:rsid w:val="002D405A"/>
    <w:rsid w:val="002D43B6"/>
    <w:rsid w:val="002D4436"/>
    <w:rsid w:val="002D52F8"/>
    <w:rsid w:val="002D5A41"/>
    <w:rsid w:val="002D5EF0"/>
    <w:rsid w:val="002D6BA6"/>
    <w:rsid w:val="002D6D2B"/>
    <w:rsid w:val="002D79CB"/>
    <w:rsid w:val="002E020D"/>
    <w:rsid w:val="002E0950"/>
    <w:rsid w:val="002E0DE0"/>
    <w:rsid w:val="002E12EB"/>
    <w:rsid w:val="002E1B84"/>
    <w:rsid w:val="002E2408"/>
    <w:rsid w:val="002E27B8"/>
    <w:rsid w:val="002E2A78"/>
    <w:rsid w:val="002E4267"/>
    <w:rsid w:val="002E4445"/>
    <w:rsid w:val="002E5141"/>
    <w:rsid w:val="002E54FB"/>
    <w:rsid w:val="002E674D"/>
    <w:rsid w:val="002E6842"/>
    <w:rsid w:val="002E6914"/>
    <w:rsid w:val="002E6BFF"/>
    <w:rsid w:val="002E6C63"/>
    <w:rsid w:val="002F0133"/>
    <w:rsid w:val="002F03E3"/>
    <w:rsid w:val="002F0455"/>
    <w:rsid w:val="002F096F"/>
    <w:rsid w:val="002F0D17"/>
    <w:rsid w:val="002F0F3A"/>
    <w:rsid w:val="002F1A90"/>
    <w:rsid w:val="002F2BC5"/>
    <w:rsid w:val="002F3484"/>
    <w:rsid w:val="002F362D"/>
    <w:rsid w:val="002F36A9"/>
    <w:rsid w:val="002F44BF"/>
    <w:rsid w:val="002F4ABE"/>
    <w:rsid w:val="002F5244"/>
    <w:rsid w:val="002F6E9D"/>
    <w:rsid w:val="002F6EF1"/>
    <w:rsid w:val="002F73AF"/>
    <w:rsid w:val="00300383"/>
    <w:rsid w:val="0030076D"/>
    <w:rsid w:val="00300D2C"/>
    <w:rsid w:val="003014D3"/>
    <w:rsid w:val="00301A15"/>
    <w:rsid w:val="00301E83"/>
    <w:rsid w:val="00302796"/>
    <w:rsid w:val="00302FA9"/>
    <w:rsid w:val="003036E5"/>
    <w:rsid w:val="00303707"/>
    <w:rsid w:val="00303B89"/>
    <w:rsid w:val="00303D47"/>
    <w:rsid w:val="003050FD"/>
    <w:rsid w:val="00305507"/>
    <w:rsid w:val="00306881"/>
    <w:rsid w:val="00307CC7"/>
    <w:rsid w:val="00307D8D"/>
    <w:rsid w:val="00307F9B"/>
    <w:rsid w:val="00310142"/>
    <w:rsid w:val="00310826"/>
    <w:rsid w:val="00310BCB"/>
    <w:rsid w:val="00310D2F"/>
    <w:rsid w:val="003111E5"/>
    <w:rsid w:val="00311EA6"/>
    <w:rsid w:val="00313083"/>
    <w:rsid w:val="003132B9"/>
    <w:rsid w:val="0031365D"/>
    <w:rsid w:val="00313C0F"/>
    <w:rsid w:val="00314A54"/>
    <w:rsid w:val="00314B41"/>
    <w:rsid w:val="00314BF2"/>
    <w:rsid w:val="00315037"/>
    <w:rsid w:val="00315D3A"/>
    <w:rsid w:val="00315F52"/>
    <w:rsid w:val="0032003B"/>
    <w:rsid w:val="003203E9"/>
    <w:rsid w:val="00320FB9"/>
    <w:rsid w:val="00321A07"/>
    <w:rsid w:val="00321B27"/>
    <w:rsid w:val="00322BF6"/>
    <w:rsid w:val="00323650"/>
    <w:rsid w:val="003238BA"/>
    <w:rsid w:val="00324022"/>
    <w:rsid w:val="00326622"/>
    <w:rsid w:val="0032664B"/>
    <w:rsid w:val="003268DC"/>
    <w:rsid w:val="0032718A"/>
    <w:rsid w:val="0032719A"/>
    <w:rsid w:val="003271E3"/>
    <w:rsid w:val="003301E3"/>
    <w:rsid w:val="0033021C"/>
    <w:rsid w:val="00330A28"/>
    <w:rsid w:val="00330A35"/>
    <w:rsid w:val="00330C23"/>
    <w:rsid w:val="0033113F"/>
    <w:rsid w:val="003317ED"/>
    <w:rsid w:val="0033204B"/>
    <w:rsid w:val="0033215E"/>
    <w:rsid w:val="00332436"/>
    <w:rsid w:val="00332830"/>
    <w:rsid w:val="00332C80"/>
    <w:rsid w:val="00333243"/>
    <w:rsid w:val="0033358D"/>
    <w:rsid w:val="003340AD"/>
    <w:rsid w:val="00334117"/>
    <w:rsid w:val="0033431D"/>
    <w:rsid w:val="003345E8"/>
    <w:rsid w:val="00334EDF"/>
    <w:rsid w:val="00334FF1"/>
    <w:rsid w:val="00335864"/>
    <w:rsid w:val="0033586E"/>
    <w:rsid w:val="00335D11"/>
    <w:rsid w:val="00335E5D"/>
    <w:rsid w:val="00336478"/>
    <w:rsid w:val="00336760"/>
    <w:rsid w:val="003367B2"/>
    <w:rsid w:val="00336D74"/>
    <w:rsid w:val="003370BB"/>
    <w:rsid w:val="0033738B"/>
    <w:rsid w:val="00337537"/>
    <w:rsid w:val="003379F7"/>
    <w:rsid w:val="00337D40"/>
    <w:rsid w:val="00337EE7"/>
    <w:rsid w:val="00340827"/>
    <w:rsid w:val="00340A82"/>
    <w:rsid w:val="00340BA2"/>
    <w:rsid w:val="00340E4F"/>
    <w:rsid w:val="00340EFD"/>
    <w:rsid w:val="003424A5"/>
    <w:rsid w:val="00342D52"/>
    <w:rsid w:val="00343305"/>
    <w:rsid w:val="00343617"/>
    <w:rsid w:val="003443B9"/>
    <w:rsid w:val="003445DC"/>
    <w:rsid w:val="00344C58"/>
    <w:rsid w:val="00345D69"/>
    <w:rsid w:val="00345EA3"/>
    <w:rsid w:val="00346140"/>
    <w:rsid w:val="003467F3"/>
    <w:rsid w:val="00347168"/>
    <w:rsid w:val="00347A9C"/>
    <w:rsid w:val="00347EA5"/>
    <w:rsid w:val="003503D8"/>
    <w:rsid w:val="0035059C"/>
    <w:rsid w:val="003506A3"/>
    <w:rsid w:val="003515BD"/>
    <w:rsid w:val="003525EE"/>
    <w:rsid w:val="003525EF"/>
    <w:rsid w:val="00352635"/>
    <w:rsid w:val="00352C93"/>
    <w:rsid w:val="003531BD"/>
    <w:rsid w:val="003535EA"/>
    <w:rsid w:val="00353CB9"/>
    <w:rsid w:val="0035402B"/>
    <w:rsid w:val="0035405A"/>
    <w:rsid w:val="0035408F"/>
    <w:rsid w:val="00355630"/>
    <w:rsid w:val="00355A15"/>
    <w:rsid w:val="003562A1"/>
    <w:rsid w:val="00356417"/>
    <w:rsid w:val="003566DD"/>
    <w:rsid w:val="00356728"/>
    <w:rsid w:val="00356ED8"/>
    <w:rsid w:val="00357443"/>
    <w:rsid w:val="003600E4"/>
    <w:rsid w:val="003601B7"/>
    <w:rsid w:val="0036045B"/>
    <w:rsid w:val="00360EB5"/>
    <w:rsid w:val="003610D3"/>
    <w:rsid w:val="003617F9"/>
    <w:rsid w:val="0036195E"/>
    <w:rsid w:val="003633AF"/>
    <w:rsid w:val="00363414"/>
    <w:rsid w:val="003634B2"/>
    <w:rsid w:val="00363C91"/>
    <w:rsid w:val="00364366"/>
    <w:rsid w:val="003643BF"/>
    <w:rsid w:val="003645A1"/>
    <w:rsid w:val="003653DA"/>
    <w:rsid w:val="00366C49"/>
    <w:rsid w:val="00366EA5"/>
    <w:rsid w:val="003674EB"/>
    <w:rsid w:val="003679F9"/>
    <w:rsid w:val="00367B0A"/>
    <w:rsid w:val="00371575"/>
    <w:rsid w:val="003715B3"/>
    <w:rsid w:val="00371A08"/>
    <w:rsid w:val="00371C0A"/>
    <w:rsid w:val="00373058"/>
    <w:rsid w:val="003736E3"/>
    <w:rsid w:val="00373C09"/>
    <w:rsid w:val="0037425B"/>
    <w:rsid w:val="003744F2"/>
    <w:rsid w:val="0037467A"/>
    <w:rsid w:val="00374850"/>
    <w:rsid w:val="0037497F"/>
    <w:rsid w:val="00374AF4"/>
    <w:rsid w:val="00374F72"/>
    <w:rsid w:val="0037538A"/>
    <w:rsid w:val="00375645"/>
    <w:rsid w:val="00375FC8"/>
    <w:rsid w:val="00376F99"/>
    <w:rsid w:val="003771EC"/>
    <w:rsid w:val="003776CE"/>
    <w:rsid w:val="00377A96"/>
    <w:rsid w:val="00377C96"/>
    <w:rsid w:val="00377FB0"/>
    <w:rsid w:val="003802CD"/>
    <w:rsid w:val="00380E75"/>
    <w:rsid w:val="003818B9"/>
    <w:rsid w:val="00381F61"/>
    <w:rsid w:val="0038266F"/>
    <w:rsid w:val="00382793"/>
    <w:rsid w:val="003827A6"/>
    <w:rsid w:val="00382DBF"/>
    <w:rsid w:val="00382FEC"/>
    <w:rsid w:val="00383105"/>
    <w:rsid w:val="003835DB"/>
    <w:rsid w:val="00383CBF"/>
    <w:rsid w:val="00383E78"/>
    <w:rsid w:val="00383FD0"/>
    <w:rsid w:val="00384E4A"/>
    <w:rsid w:val="00385F83"/>
    <w:rsid w:val="00385FE7"/>
    <w:rsid w:val="00386417"/>
    <w:rsid w:val="00386D3E"/>
    <w:rsid w:val="00387DC7"/>
    <w:rsid w:val="00387FB0"/>
    <w:rsid w:val="003905F3"/>
    <w:rsid w:val="00390E6C"/>
    <w:rsid w:val="00390E79"/>
    <w:rsid w:val="00392798"/>
    <w:rsid w:val="0039310E"/>
    <w:rsid w:val="00393499"/>
    <w:rsid w:val="00393998"/>
    <w:rsid w:val="00393B28"/>
    <w:rsid w:val="003942B1"/>
    <w:rsid w:val="003943D3"/>
    <w:rsid w:val="00394490"/>
    <w:rsid w:val="00394716"/>
    <w:rsid w:val="00394AD9"/>
    <w:rsid w:val="00396B0E"/>
    <w:rsid w:val="00396CC8"/>
    <w:rsid w:val="00397247"/>
    <w:rsid w:val="003975E4"/>
    <w:rsid w:val="00397B39"/>
    <w:rsid w:val="003A0F80"/>
    <w:rsid w:val="003A11D6"/>
    <w:rsid w:val="003A25C1"/>
    <w:rsid w:val="003A2E54"/>
    <w:rsid w:val="003A33A1"/>
    <w:rsid w:val="003A33F8"/>
    <w:rsid w:val="003A3612"/>
    <w:rsid w:val="003A37EB"/>
    <w:rsid w:val="003A39FC"/>
    <w:rsid w:val="003A4CF0"/>
    <w:rsid w:val="003A5703"/>
    <w:rsid w:val="003A6A62"/>
    <w:rsid w:val="003A6D72"/>
    <w:rsid w:val="003A6D7A"/>
    <w:rsid w:val="003A7144"/>
    <w:rsid w:val="003A776A"/>
    <w:rsid w:val="003A79AC"/>
    <w:rsid w:val="003A7A47"/>
    <w:rsid w:val="003A7DE9"/>
    <w:rsid w:val="003B0014"/>
    <w:rsid w:val="003B03BF"/>
    <w:rsid w:val="003B04D5"/>
    <w:rsid w:val="003B0ADE"/>
    <w:rsid w:val="003B1231"/>
    <w:rsid w:val="003B13A1"/>
    <w:rsid w:val="003B13A4"/>
    <w:rsid w:val="003B2966"/>
    <w:rsid w:val="003B2ACF"/>
    <w:rsid w:val="003B347D"/>
    <w:rsid w:val="003B398A"/>
    <w:rsid w:val="003B3E7B"/>
    <w:rsid w:val="003B3F80"/>
    <w:rsid w:val="003B4075"/>
    <w:rsid w:val="003B422B"/>
    <w:rsid w:val="003B45E6"/>
    <w:rsid w:val="003B5099"/>
    <w:rsid w:val="003B5A76"/>
    <w:rsid w:val="003B60AE"/>
    <w:rsid w:val="003B639B"/>
    <w:rsid w:val="003B68E6"/>
    <w:rsid w:val="003B6BAB"/>
    <w:rsid w:val="003B6D91"/>
    <w:rsid w:val="003C064C"/>
    <w:rsid w:val="003C0CAA"/>
    <w:rsid w:val="003C116E"/>
    <w:rsid w:val="003C1A31"/>
    <w:rsid w:val="003C1EA8"/>
    <w:rsid w:val="003C2788"/>
    <w:rsid w:val="003C28AD"/>
    <w:rsid w:val="003C2A7C"/>
    <w:rsid w:val="003C3252"/>
    <w:rsid w:val="003C3805"/>
    <w:rsid w:val="003C3CAD"/>
    <w:rsid w:val="003C3DA7"/>
    <w:rsid w:val="003C480F"/>
    <w:rsid w:val="003C4FA8"/>
    <w:rsid w:val="003C53DD"/>
    <w:rsid w:val="003C597C"/>
    <w:rsid w:val="003C5A14"/>
    <w:rsid w:val="003C5ADD"/>
    <w:rsid w:val="003C614E"/>
    <w:rsid w:val="003C6AAD"/>
    <w:rsid w:val="003C6EB0"/>
    <w:rsid w:val="003C76A4"/>
    <w:rsid w:val="003D07A5"/>
    <w:rsid w:val="003D148D"/>
    <w:rsid w:val="003D1D89"/>
    <w:rsid w:val="003D2ABC"/>
    <w:rsid w:val="003D31C4"/>
    <w:rsid w:val="003D35FC"/>
    <w:rsid w:val="003D39B8"/>
    <w:rsid w:val="003D4711"/>
    <w:rsid w:val="003D5A74"/>
    <w:rsid w:val="003D666D"/>
    <w:rsid w:val="003D72D3"/>
    <w:rsid w:val="003D7490"/>
    <w:rsid w:val="003D76B0"/>
    <w:rsid w:val="003E05B0"/>
    <w:rsid w:val="003E0E74"/>
    <w:rsid w:val="003E19B6"/>
    <w:rsid w:val="003E1B8E"/>
    <w:rsid w:val="003E274C"/>
    <w:rsid w:val="003E2818"/>
    <w:rsid w:val="003E2D00"/>
    <w:rsid w:val="003E3548"/>
    <w:rsid w:val="003E3C12"/>
    <w:rsid w:val="003E3DE6"/>
    <w:rsid w:val="003E3DEC"/>
    <w:rsid w:val="003E5F06"/>
    <w:rsid w:val="003E69E7"/>
    <w:rsid w:val="003E6A5B"/>
    <w:rsid w:val="003E6CE8"/>
    <w:rsid w:val="003E6D28"/>
    <w:rsid w:val="003E713F"/>
    <w:rsid w:val="003E776A"/>
    <w:rsid w:val="003E7991"/>
    <w:rsid w:val="003F26E8"/>
    <w:rsid w:val="003F2B62"/>
    <w:rsid w:val="003F3162"/>
    <w:rsid w:val="003F3D0A"/>
    <w:rsid w:val="003F40EA"/>
    <w:rsid w:val="003F4261"/>
    <w:rsid w:val="003F43EC"/>
    <w:rsid w:val="003F4A46"/>
    <w:rsid w:val="003F50E9"/>
    <w:rsid w:val="003F5170"/>
    <w:rsid w:val="003F529D"/>
    <w:rsid w:val="003F55C6"/>
    <w:rsid w:val="003F6364"/>
    <w:rsid w:val="003F7ABE"/>
    <w:rsid w:val="003F7FE0"/>
    <w:rsid w:val="00400132"/>
    <w:rsid w:val="00400378"/>
    <w:rsid w:val="00400AA8"/>
    <w:rsid w:val="00401022"/>
    <w:rsid w:val="00401074"/>
    <w:rsid w:val="0040155E"/>
    <w:rsid w:val="0040165D"/>
    <w:rsid w:val="00401A1C"/>
    <w:rsid w:val="00401B2C"/>
    <w:rsid w:val="00401F26"/>
    <w:rsid w:val="00402537"/>
    <w:rsid w:val="0040280A"/>
    <w:rsid w:val="00404239"/>
    <w:rsid w:val="0040489B"/>
    <w:rsid w:val="00404B04"/>
    <w:rsid w:val="00405172"/>
    <w:rsid w:val="0040582B"/>
    <w:rsid w:val="00405AFF"/>
    <w:rsid w:val="00406D02"/>
    <w:rsid w:val="00407364"/>
    <w:rsid w:val="00411279"/>
    <w:rsid w:val="004115CE"/>
    <w:rsid w:val="00411CC5"/>
    <w:rsid w:val="00412A0D"/>
    <w:rsid w:val="00412E4A"/>
    <w:rsid w:val="00413675"/>
    <w:rsid w:val="00413D1E"/>
    <w:rsid w:val="00413E05"/>
    <w:rsid w:val="004142A2"/>
    <w:rsid w:val="004146C7"/>
    <w:rsid w:val="0041495C"/>
    <w:rsid w:val="00414DF0"/>
    <w:rsid w:val="0041504E"/>
    <w:rsid w:val="00416024"/>
    <w:rsid w:val="004161F2"/>
    <w:rsid w:val="004164C3"/>
    <w:rsid w:val="00416846"/>
    <w:rsid w:val="0041688E"/>
    <w:rsid w:val="00416D17"/>
    <w:rsid w:val="00416E3B"/>
    <w:rsid w:val="00416FEF"/>
    <w:rsid w:val="00417108"/>
    <w:rsid w:val="0041734A"/>
    <w:rsid w:val="00417D27"/>
    <w:rsid w:val="00420AF9"/>
    <w:rsid w:val="00421C44"/>
    <w:rsid w:val="00421FA4"/>
    <w:rsid w:val="00422009"/>
    <w:rsid w:val="0042217A"/>
    <w:rsid w:val="00422A3D"/>
    <w:rsid w:val="00423C75"/>
    <w:rsid w:val="00423E57"/>
    <w:rsid w:val="00424505"/>
    <w:rsid w:val="00424A2D"/>
    <w:rsid w:val="00425B33"/>
    <w:rsid w:val="004270E4"/>
    <w:rsid w:val="004279A9"/>
    <w:rsid w:val="00427E7A"/>
    <w:rsid w:val="00430C57"/>
    <w:rsid w:val="00430E20"/>
    <w:rsid w:val="00432134"/>
    <w:rsid w:val="00432356"/>
    <w:rsid w:val="00433D1F"/>
    <w:rsid w:val="00434B2D"/>
    <w:rsid w:val="00434F18"/>
    <w:rsid w:val="004354C1"/>
    <w:rsid w:val="0043553F"/>
    <w:rsid w:val="00435EAB"/>
    <w:rsid w:val="0043676A"/>
    <w:rsid w:val="00436855"/>
    <w:rsid w:val="00437192"/>
    <w:rsid w:val="00437651"/>
    <w:rsid w:val="00440758"/>
    <w:rsid w:val="00440C74"/>
    <w:rsid w:val="004421A0"/>
    <w:rsid w:val="00442300"/>
    <w:rsid w:val="00442466"/>
    <w:rsid w:val="00442595"/>
    <w:rsid w:val="004425E6"/>
    <w:rsid w:val="004425F1"/>
    <w:rsid w:val="00442B1C"/>
    <w:rsid w:val="004437C0"/>
    <w:rsid w:val="00443873"/>
    <w:rsid w:val="00444537"/>
    <w:rsid w:val="004447F7"/>
    <w:rsid w:val="004449AD"/>
    <w:rsid w:val="00444FBE"/>
    <w:rsid w:val="00445F96"/>
    <w:rsid w:val="004468E5"/>
    <w:rsid w:val="004468E7"/>
    <w:rsid w:val="00446D53"/>
    <w:rsid w:val="00450512"/>
    <w:rsid w:val="00451315"/>
    <w:rsid w:val="004515C3"/>
    <w:rsid w:val="00451955"/>
    <w:rsid w:val="00451FC7"/>
    <w:rsid w:val="004522AA"/>
    <w:rsid w:val="00453307"/>
    <w:rsid w:val="004536A5"/>
    <w:rsid w:val="00453EE5"/>
    <w:rsid w:val="00454974"/>
    <w:rsid w:val="00454C8B"/>
    <w:rsid w:val="00454F9A"/>
    <w:rsid w:val="0045547A"/>
    <w:rsid w:val="00455CD3"/>
    <w:rsid w:val="00455D2A"/>
    <w:rsid w:val="00455EFC"/>
    <w:rsid w:val="004566E5"/>
    <w:rsid w:val="00456D1D"/>
    <w:rsid w:val="00457614"/>
    <w:rsid w:val="00457663"/>
    <w:rsid w:val="004579C0"/>
    <w:rsid w:val="00457E9F"/>
    <w:rsid w:val="00460979"/>
    <w:rsid w:val="004609BE"/>
    <w:rsid w:val="00460A13"/>
    <w:rsid w:val="00461006"/>
    <w:rsid w:val="004619FB"/>
    <w:rsid w:val="00461ABA"/>
    <w:rsid w:val="00461DBE"/>
    <w:rsid w:val="00462A43"/>
    <w:rsid w:val="00463048"/>
    <w:rsid w:val="004638EB"/>
    <w:rsid w:val="00463BD7"/>
    <w:rsid w:val="00464478"/>
    <w:rsid w:val="004651D0"/>
    <w:rsid w:val="004656B7"/>
    <w:rsid w:val="0046621A"/>
    <w:rsid w:val="004662A4"/>
    <w:rsid w:val="00466822"/>
    <w:rsid w:val="00467458"/>
    <w:rsid w:val="004676DF"/>
    <w:rsid w:val="004676F8"/>
    <w:rsid w:val="00467B7F"/>
    <w:rsid w:val="00467C3D"/>
    <w:rsid w:val="0047012E"/>
    <w:rsid w:val="00470AB7"/>
    <w:rsid w:val="00470DF7"/>
    <w:rsid w:val="00471A1C"/>
    <w:rsid w:val="00471EC2"/>
    <w:rsid w:val="00472427"/>
    <w:rsid w:val="004726E3"/>
    <w:rsid w:val="00472726"/>
    <w:rsid w:val="00472F8B"/>
    <w:rsid w:val="00473CE1"/>
    <w:rsid w:val="00473FF6"/>
    <w:rsid w:val="0047447F"/>
    <w:rsid w:val="0047464A"/>
    <w:rsid w:val="004748C5"/>
    <w:rsid w:val="0047496B"/>
    <w:rsid w:val="00475653"/>
    <w:rsid w:val="00475933"/>
    <w:rsid w:val="004766FC"/>
    <w:rsid w:val="00476C1A"/>
    <w:rsid w:val="00480518"/>
    <w:rsid w:val="00480E8F"/>
    <w:rsid w:val="00481ECC"/>
    <w:rsid w:val="00481EE0"/>
    <w:rsid w:val="00482302"/>
    <w:rsid w:val="004824B2"/>
    <w:rsid w:val="004825EC"/>
    <w:rsid w:val="00482989"/>
    <w:rsid w:val="00483468"/>
    <w:rsid w:val="00483D03"/>
    <w:rsid w:val="00484726"/>
    <w:rsid w:val="0048492C"/>
    <w:rsid w:val="00485193"/>
    <w:rsid w:val="004859CB"/>
    <w:rsid w:val="00485A8A"/>
    <w:rsid w:val="004861A1"/>
    <w:rsid w:val="00487216"/>
    <w:rsid w:val="004872E6"/>
    <w:rsid w:val="00490679"/>
    <w:rsid w:val="0049068A"/>
    <w:rsid w:val="0049087B"/>
    <w:rsid w:val="00490B73"/>
    <w:rsid w:val="004916A6"/>
    <w:rsid w:val="00491ABF"/>
    <w:rsid w:val="00492536"/>
    <w:rsid w:val="00492596"/>
    <w:rsid w:val="00492711"/>
    <w:rsid w:val="00492C79"/>
    <w:rsid w:val="00493D48"/>
    <w:rsid w:val="004942BC"/>
    <w:rsid w:val="00494346"/>
    <w:rsid w:val="004944FA"/>
    <w:rsid w:val="00494C25"/>
    <w:rsid w:val="004951F5"/>
    <w:rsid w:val="00495342"/>
    <w:rsid w:val="0049591B"/>
    <w:rsid w:val="00495AF7"/>
    <w:rsid w:val="00495DD7"/>
    <w:rsid w:val="00495EDA"/>
    <w:rsid w:val="00496327"/>
    <w:rsid w:val="00496645"/>
    <w:rsid w:val="004966B8"/>
    <w:rsid w:val="00496754"/>
    <w:rsid w:val="00496A8B"/>
    <w:rsid w:val="00496CE9"/>
    <w:rsid w:val="00496F1E"/>
    <w:rsid w:val="00497857"/>
    <w:rsid w:val="00497DD4"/>
    <w:rsid w:val="00497F33"/>
    <w:rsid w:val="004A04A7"/>
    <w:rsid w:val="004A091C"/>
    <w:rsid w:val="004A1145"/>
    <w:rsid w:val="004A22C5"/>
    <w:rsid w:val="004A233B"/>
    <w:rsid w:val="004A2A42"/>
    <w:rsid w:val="004A2FBD"/>
    <w:rsid w:val="004A324A"/>
    <w:rsid w:val="004A32D8"/>
    <w:rsid w:val="004A37DB"/>
    <w:rsid w:val="004A3EB7"/>
    <w:rsid w:val="004A500E"/>
    <w:rsid w:val="004A558C"/>
    <w:rsid w:val="004A6221"/>
    <w:rsid w:val="004A67A9"/>
    <w:rsid w:val="004A6DD8"/>
    <w:rsid w:val="004A707B"/>
    <w:rsid w:val="004A75E8"/>
    <w:rsid w:val="004A79D0"/>
    <w:rsid w:val="004B0472"/>
    <w:rsid w:val="004B09E0"/>
    <w:rsid w:val="004B1AA5"/>
    <w:rsid w:val="004B1CDD"/>
    <w:rsid w:val="004B1E52"/>
    <w:rsid w:val="004B20AF"/>
    <w:rsid w:val="004B2892"/>
    <w:rsid w:val="004B2A1E"/>
    <w:rsid w:val="004B2D67"/>
    <w:rsid w:val="004B2EED"/>
    <w:rsid w:val="004B357F"/>
    <w:rsid w:val="004B3AB7"/>
    <w:rsid w:val="004B3CE7"/>
    <w:rsid w:val="004B454F"/>
    <w:rsid w:val="004B4710"/>
    <w:rsid w:val="004B4BA2"/>
    <w:rsid w:val="004B4EDE"/>
    <w:rsid w:val="004B51F2"/>
    <w:rsid w:val="004B52EE"/>
    <w:rsid w:val="004B57A8"/>
    <w:rsid w:val="004B60AF"/>
    <w:rsid w:val="004B6169"/>
    <w:rsid w:val="004B62AF"/>
    <w:rsid w:val="004B6B7C"/>
    <w:rsid w:val="004B7101"/>
    <w:rsid w:val="004B73CA"/>
    <w:rsid w:val="004B74C8"/>
    <w:rsid w:val="004C004C"/>
    <w:rsid w:val="004C0B20"/>
    <w:rsid w:val="004C0BEA"/>
    <w:rsid w:val="004C20E6"/>
    <w:rsid w:val="004C2503"/>
    <w:rsid w:val="004C2C0E"/>
    <w:rsid w:val="004C2EE4"/>
    <w:rsid w:val="004C3559"/>
    <w:rsid w:val="004C3BAA"/>
    <w:rsid w:val="004C4811"/>
    <w:rsid w:val="004C4E11"/>
    <w:rsid w:val="004C4FFF"/>
    <w:rsid w:val="004C5A4C"/>
    <w:rsid w:val="004C5AF1"/>
    <w:rsid w:val="004C5F0B"/>
    <w:rsid w:val="004C6619"/>
    <w:rsid w:val="004C6EE1"/>
    <w:rsid w:val="004C70AE"/>
    <w:rsid w:val="004C756E"/>
    <w:rsid w:val="004C77B3"/>
    <w:rsid w:val="004D053B"/>
    <w:rsid w:val="004D0835"/>
    <w:rsid w:val="004D0C70"/>
    <w:rsid w:val="004D1CFB"/>
    <w:rsid w:val="004D1DCB"/>
    <w:rsid w:val="004D22A8"/>
    <w:rsid w:val="004D29EF"/>
    <w:rsid w:val="004D2DDF"/>
    <w:rsid w:val="004D3329"/>
    <w:rsid w:val="004D3BE8"/>
    <w:rsid w:val="004D3F4A"/>
    <w:rsid w:val="004D4D96"/>
    <w:rsid w:val="004D5133"/>
    <w:rsid w:val="004D616F"/>
    <w:rsid w:val="004D6BA7"/>
    <w:rsid w:val="004D6EA7"/>
    <w:rsid w:val="004D7909"/>
    <w:rsid w:val="004D7940"/>
    <w:rsid w:val="004E0F35"/>
    <w:rsid w:val="004E1DE7"/>
    <w:rsid w:val="004E221C"/>
    <w:rsid w:val="004E2229"/>
    <w:rsid w:val="004E29F0"/>
    <w:rsid w:val="004E36A8"/>
    <w:rsid w:val="004E417E"/>
    <w:rsid w:val="004E45EF"/>
    <w:rsid w:val="004E4B7F"/>
    <w:rsid w:val="004E4C63"/>
    <w:rsid w:val="004E5256"/>
    <w:rsid w:val="004E556C"/>
    <w:rsid w:val="004E58F8"/>
    <w:rsid w:val="004E5917"/>
    <w:rsid w:val="004E5F8D"/>
    <w:rsid w:val="004E6933"/>
    <w:rsid w:val="004E6B05"/>
    <w:rsid w:val="004E6D22"/>
    <w:rsid w:val="004E6D7B"/>
    <w:rsid w:val="004E7C90"/>
    <w:rsid w:val="004E7E6D"/>
    <w:rsid w:val="004F026B"/>
    <w:rsid w:val="004F1100"/>
    <w:rsid w:val="004F1A5D"/>
    <w:rsid w:val="004F1A6D"/>
    <w:rsid w:val="004F309C"/>
    <w:rsid w:val="004F30BF"/>
    <w:rsid w:val="004F33E0"/>
    <w:rsid w:val="004F3573"/>
    <w:rsid w:val="004F3878"/>
    <w:rsid w:val="004F3ADD"/>
    <w:rsid w:val="004F3E91"/>
    <w:rsid w:val="004F40CD"/>
    <w:rsid w:val="004F478D"/>
    <w:rsid w:val="004F4B2E"/>
    <w:rsid w:val="004F596F"/>
    <w:rsid w:val="004F5D57"/>
    <w:rsid w:val="004F7106"/>
    <w:rsid w:val="00500116"/>
    <w:rsid w:val="005003EF"/>
    <w:rsid w:val="00500740"/>
    <w:rsid w:val="00500AF8"/>
    <w:rsid w:val="00501086"/>
    <w:rsid w:val="005011ED"/>
    <w:rsid w:val="005013FD"/>
    <w:rsid w:val="0050265A"/>
    <w:rsid w:val="00502687"/>
    <w:rsid w:val="00502828"/>
    <w:rsid w:val="00502AB1"/>
    <w:rsid w:val="00502EBE"/>
    <w:rsid w:val="0050318F"/>
    <w:rsid w:val="00503897"/>
    <w:rsid w:val="0050397A"/>
    <w:rsid w:val="00503C78"/>
    <w:rsid w:val="005042BC"/>
    <w:rsid w:val="005043B0"/>
    <w:rsid w:val="00504982"/>
    <w:rsid w:val="005055DF"/>
    <w:rsid w:val="00505D38"/>
    <w:rsid w:val="00506BA8"/>
    <w:rsid w:val="00506F04"/>
    <w:rsid w:val="00507522"/>
    <w:rsid w:val="0050787C"/>
    <w:rsid w:val="00507990"/>
    <w:rsid w:val="00507A01"/>
    <w:rsid w:val="00507DCE"/>
    <w:rsid w:val="0051054A"/>
    <w:rsid w:val="0051063B"/>
    <w:rsid w:val="00510829"/>
    <w:rsid w:val="00510F4A"/>
    <w:rsid w:val="00511869"/>
    <w:rsid w:val="00511D84"/>
    <w:rsid w:val="00512B5C"/>
    <w:rsid w:val="00512EF5"/>
    <w:rsid w:val="00513297"/>
    <w:rsid w:val="00513422"/>
    <w:rsid w:val="005137A7"/>
    <w:rsid w:val="00513BE3"/>
    <w:rsid w:val="005143C0"/>
    <w:rsid w:val="005153A7"/>
    <w:rsid w:val="00516320"/>
    <w:rsid w:val="00516666"/>
    <w:rsid w:val="00517556"/>
    <w:rsid w:val="005177C5"/>
    <w:rsid w:val="00520EF3"/>
    <w:rsid w:val="00521171"/>
    <w:rsid w:val="00522708"/>
    <w:rsid w:val="00523350"/>
    <w:rsid w:val="0052495D"/>
    <w:rsid w:val="005253EE"/>
    <w:rsid w:val="005278AE"/>
    <w:rsid w:val="00527F1B"/>
    <w:rsid w:val="005302D9"/>
    <w:rsid w:val="00530434"/>
    <w:rsid w:val="005306F7"/>
    <w:rsid w:val="00531030"/>
    <w:rsid w:val="0053109C"/>
    <w:rsid w:val="0053176A"/>
    <w:rsid w:val="00532215"/>
    <w:rsid w:val="00532D2B"/>
    <w:rsid w:val="005335A9"/>
    <w:rsid w:val="005335AA"/>
    <w:rsid w:val="005341D9"/>
    <w:rsid w:val="00534519"/>
    <w:rsid w:val="00534602"/>
    <w:rsid w:val="0053515E"/>
    <w:rsid w:val="00535E21"/>
    <w:rsid w:val="00535E23"/>
    <w:rsid w:val="0053605B"/>
    <w:rsid w:val="005361B1"/>
    <w:rsid w:val="0053656D"/>
    <w:rsid w:val="0053755E"/>
    <w:rsid w:val="005405C7"/>
    <w:rsid w:val="00541EE6"/>
    <w:rsid w:val="00541F80"/>
    <w:rsid w:val="0054264E"/>
    <w:rsid w:val="00542F0D"/>
    <w:rsid w:val="00543867"/>
    <w:rsid w:val="00543AE9"/>
    <w:rsid w:val="00543BBA"/>
    <w:rsid w:val="005441EF"/>
    <w:rsid w:val="00544969"/>
    <w:rsid w:val="00544EF9"/>
    <w:rsid w:val="005454D6"/>
    <w:rsid w:val="0054598D"/>
    <w:rsid w:val="00545E0A"/>
    <w:rsid w:val="005469D4"/>
    <w:rsid w:val="00547CA8"/>
    <w:rsid w:val="00547D43"/>
    <w:rsid w:val="00550029"/>
    <w:rsid w:val="00550448"/>
    <w:rsid w:val="00550870"/>
    <w:rsid w:val="00550C77"/>
    <w:rsid w:val="00550ED3"/>
    <w:rsid w:val="00551310"/>
    <w:rsid w:val="00551708"/>
    <w:rsid w:val="005517B0"/>
    <w:rsid w:val="0055185F"/>
    <w:rsid w:val="00551D13"/>
    <w:rsid w:val="0055253B"/>
    <w:rsid w:val="0055325B"/>
    <w:rsid w:val="00553427"/>
    <w:rsid w:val="0055359D"/>
    <w:rsid w:val="00553A35"/>
    <w:rsid w:val="00553A38"/>
    <w:rsid w:val="00554792"/>
    <w:rsid w:val="005547EE"/>
    <w:rsid w:val="00554BA0"/>
    <w:rsid w:val="00555F8A"/>
    <w:rsid w:val="0055727C"/>
    <w:rsid w:val="005575A5"/>
    <w:rsid w:val="00557A5A"/>
    <w:rsid w:val="00557D93"/>
    <w:rsid w:val="005603AF"/>
    <w:rsid w:val="005610BE"/>
    <w:rsid w:val="0056178A"/>
    <w:rsid w:val="005617B7"/>
    <w:rsid w:val="00564091"/>
    <w:rsid w:val="0056439D"/>
    <w:rsid w:val="0056443E"/>
    <w:rsid w:val="00564DDF"/>
    <w:rsid w:val="00564F88"/>
    <w:rsid w:val="0056569F"/>
    <w:rsid w:val="005659C4"/>
    <w:rsid w:val="00567128"/>
    <w:rsid w:val="00567A53"/>
    <w:rsid w:val="00567CA8"/>
    <w:rsid w:val="00567E63"/>
    <w:rsid w:val="005705D0"/>
    <w:rsid w:val="00573113"/>
    <w:rsid w:val="0057349E"/>
    <w:rsid w:val="005735F8"/>
    <w:rsid w:val="005740C4"/>
    <w:rsid w:val="005745A1"/>
    <w:rsid w:val="005747EB"/>
    <w:rsid w:val="00574C6D"/>
    <w:rsid w:val="00574D9C"/>
    <w:rsid w:val="00574F59"/>
    <w:rsid w:val="00575C11"/>
    <w:rsid w:val="00577372"/>
    <w:rsid w:val="005774AF"/>
    <w:rsid w:val="0057751B"/>
    <w:rsid w:val="0057753B"/>
    <w:rsid w:val="005800AF"/>
    <w:rsid w:val="00580356"/>
    <w:rsid w:val="00580376"/>
    <w:rsid w:val="005803D9"/>
    <w:rsid w:val="005805BB"/>
    <w:rsid w:val="00580B50"/>
    <w:rsid w:val="00581405"/>
    <w:rsid w:val="00581448"/>
    <w:rsid w:val="005814A5"/>
    <w:rsid w:val="005818E7"/>
    <w:rsid w:val="00581D1A"/>
    <w:rsid w:val="0058200C"/>
    <w:rsid w:val="00582F0D"/>
    <w:rsid w:val="0058338D"/>
    <w:rsid w:val="0058365D"/>
    <w:rsid w:val="0058396F"/>
    <w:rsid w:val="00583C2B"/>
    <w:rsid w:val="0058510F"/>
    <w:rsid w:val="005851D2"/>
    <w:rsid w:val="00585240"/>
    <w:rsid w:val="00587275"/>
    <w:rsid w:val="00590116"/>
    <w:rsid w:val="005903A3"/>
    <w:rsid w:val="00590609"/>
    <w:rsid w:val="0059067E"/>
    <w:rsid w:val="0059092E"/>
    <w:rsid w:val="005910B1"/>
    <w:rsid w:val="00591969"/>
    <w:rsid w:val="0059259D"/>
    <w:rsid w:val="00592A4A"/>
    <w:rsid w:val="00593690"/>
    <w:rsid w:val="00593CCA"/>
    <w:rsid w:val="00593D82"/>
    <w:rsid w:val="00594137"/>
    <w:rsid w:val="005941BA"/>
    <w:rsid w:val="00594338"/>
    <w:rsid w:val="00594EEB"/>
    <w:rsid w:val="00595620"/>
    <w:rsid w:val="00595C04"/>
    <w:rsid w:val="005960BB"/>
    <w:rsid w:val="0059668E"/>
    <w:rsid w:val="0059686A"/>
    <w:rsid w:val="00596EC8"/>
    <w:rsid w:val="0059760D"/>
    <w:rsid w:val="0059785B"/>
    <w:rsid w:val="00597A38"/>
    <w:rsid w:val="00597F53"/>
    <w:rsid w:val="005A0BEB"/>
    <w:rsid w:val="005A1840"/>
    <w:rsid w:val="005A1842"/>
    <w:rsid w:val="005A34A6"/>
    <w:rsid w:val="005A41D5"/>
    <w:rsid w:val="005A5DD9"/>
    <w:rsid w:val="005A63C1"/>
    <w:rsid w:val="005A6860"/>
    <w:rsid w:val="005A68E1"/>
    <w:rsid w:val="005A7318"/>
    <w:rsid w:val="005A76F7"/>
    <w:rsid w:val="005A77E2"/>
    <w:rsid w:val="005A78B3"/>
    <w:rsid w:val="005B05DF"/>
    <w:rsid w:val="005B294B"/>
    <w:rsid w:val="005B2E50"/>
    <w:rsid w:val="005B2F47"/>
    <w:rsid w:val="005B2F86"/>
    <w:rsid w:val="005B351F"/>
    <w:rsid w:val="005B36E9"/>
    <w:rsid w:val="005B3954"/>
    <w:rsid w:val="005B3A3E"/>
    <w:rsid w:val="005B3ADE"/>
    <w:rsid w:val="005B4796"/>
    <w:rsid w:val="005B4BD6"/>
    <w:rsid w:val="005B4BF0"/>
    <w:rsid w:val="005B4DF8"/>
    <w:rsid w:val="005B4FB0"/>
    <w:rsid w:val="005B66CC"/>
    <w:rsid w:val="005B712E"/>
    <w:rsid w:val="005C0950"/>
    <w:rsid w:val="005C1222"/>
    <w:rsid w:val="005C13DD"/>
    <w:rsid w:val="005C1430"/>
    <w:rsid w:val="005C2054"/>
    <w:rsid w:val="005C36E2"/>
    <w:rsid w:val="005C4512"/>
    <w:rsid w:val="005C46C9"/>
    <w:rsid w:val="005C47E1"/>
    <w:rsid w:val="005C49BE"/>
    <w:rsid w:val="005C5B53"/>
    <w:rsid w:val="005C5F18"/>
    <w:rsid w:val="005C6111"/>
    <w:rsid w:val="005C6435"/>
    <w:rsid w:val="005C646B"/>
    <w:rsid w:val="005C664A"/>
    <w:rsid w:val="005C6FA7"/>
    <w:rsid w:val="005C7624"/>
    <w:rsid w:val="005C76B1"/>
    <w:rsid w:val="005D063D"/>
    <w:rsid w:val="005D2194"/>
    <w:rsid w:val="005D2C48"/>
    <w:rsid w:val="005D401C"/>
    <w:rsid w:val="005D41C0"/>
    <w:rsid w:val="005D463F"/>
    <w:rsid w:val="005D4818"/>
    <w:rsid w:val="005D52E2"/>
    <w:rsid w:val="005D575B"/>
    <w:rsid w:val="005D5953"/>
    <w:rsid w:val="005D62B1"/>
    <w:rsid w:val="005D6719"/>
    <w:rsid w:val="005D71BA"/>
    <w:rsid w:val="005D73C7"/>
    <w:rsid w:val="005D78A4"/>
    <w:rsid w:val="005D7901"/>
    <w:rsid w:val="005D7918"/>
    <w:rsid w:val="005E095B"/>
    <w:rsid w:val="005E095C"/>
    <w:rsid w:val="005E0D20"/>
    <w:rsid w:val="005E148B"/>
    <w:rsid w:val="005E173A"/>
    <w:rsid w:val="005E2D9F"/>
    <w:rsid w:val="005E33D7"/>
    <w:rsid w:val="005E497D"/>
    <w:rsid w:val="005E4A12"/>
    <w:rsid w:val="005E55E5"/>
    <w:rsid w:val="005E6173"/>
    <w:rsid w:val="005E63A9"/>
    <w:rsid w:val="005E6877"/>
    <w:rsid w:val="005E68F7"/>
    <w:rsid w:val="005E6F5D"/>
    <w:rsid w:val="005E77DC"/>
    <w:rsid w:val="005E7B5C"/>
    <w:rsid w:val="005E7C87"/>
    <w:rsid w:val="005E7F9B"/>
    <w:rsid w:val="005F01FB"/>
    <w:rsid w:val="005F139A"/>
    <w:rsid w:val="005F1515"/>
    <w:rsid w:val="005F1ADC"/>
    <w:rsid w:val="005F1F9D"/>
    <w:rsid w:val="005F2178"/>
    <w:rsid w:val="005F2AF2"/>
    <w:rsid w:val="005F2D9B"/>
    <w:rsid w:val="005F2FDF"/>
    <w:rsid w:val="005F324B"/>
    <w:rsid w:val="005F381C"/>
    <w:rsid w:val="005F3943"/>
    <w:rsid w:val="005F446C"/>
    <w:rsid w:val="005F47A2"/>
    <w:rsid w:val="005F48DF"/>
    <w:rsid w:val="005F5C5A"/>
    <w:rsid w:val="005F5F3A"/>
    <w:rsid w:val="005F7021"/>
    <w:rsid w:val="005F72E1"/>
    <w:rsid w:val="005F7FAB"/>
    <w:rsid w:val="006003C6"/>
    <w:rsid w:val="00600EC6"/>
    <w:rsid w:val="00601B75"/>
    <w:rsid w:val="00601D4A"/>
    <w:rsid w:val="0060264C"/>
    <w:rsid w:val="006048E9"/>
    <w:rsid w:val="00604CB3"/>
    <w:rsid w:val="00604DC3"/>
    <w:rsid w:val="00604EAB"/>
    <w:rsid w:val="00605FF1"/>
    <w:rsid w:val="00607010"/>
    <w:rsid w:val="0060764E"/>
    <w:rsid w:val="00607F44"/>
    <w:rsid w:val="00610510"/>
    <w:rsid w:val="0061091D"/>
    <w:rsid w:val="0061095D"/>
    <w:rsid w:val="006109D9"/>
    <w:rsid w:val="00610AFE"/>
    <w:rsid w:val="00610FAC"/>
    <w:rsid w:val="00611103"/>
    <w:rsid w:val="00611314"/>
    <w:rsid w:val="0061155D"/>
    <w:rsid w:val="00611BF0"/>
    <w:rsid w:val="00612024"/>
    <w:rsid w:val="00612197"/>
    <w:rsid w:val="006121BF"/>
    <w:rsid w:val="00612A2B"/>
    <w:rsid w:val="00612BAA"/>
    <w:rsid w:val="00614185"/>
    <w:rsid w:val="006143FD"/>
    <w:rsid w:val="006147BE"/>
    <w:rsid w:val="00614A04"/>
    <w:rsid w:val="00614F82"/>
    <w:rsid w:val="0061529E"/>
    <w:rsid w:val="006154A6"/>
    <w:rsid w:val="00615BDB"/>
    <w:rsid w:val="00615D21"/>
    <w:rsid w:val="00615D83"/>
    <w:rsid w:val="006163A8"/>
    <w:rsid w:val="00616587"/>
    <w:rsid w:val="00616DA3"/>
    <w:rsid w:val="00616F13"/>
    <w:rsid w:val="00617495"/>
    <w:rsid w:val="00620130"/>
    <w:rsid w:val="0062016F"/>
    <w:rsid w:val="006201A3"/>
    <w:rsid w:val="006223F0"/>
    <w:rsid w:val="00622520"/>
    <w:rsid w:val="00622AC9"/>
    <w:rsid w:val="00622D8D"/>
    <w:rsid w:val="00623593"/>
    <w:rsid w:val="00623824"/>
    <w:rsid w:val="0062395E"/>
    <w:rsid w:val="00623CE2"/>
    <w:rsid w:val="00624154"/>
    <w:rsid w:val="006241AE"/>
    <w:rsid w:val="00624A86"/>
    <w:rsid w:val="00624D99"/>
    <w:rsid w:val="00624E90"/>
    <w:rsid w:val="00624FDB"/>
    <w:rsid w:val="00625264"/>
    <w:rsid w:val="00625378"/>
    <w:rsid w:val="00625653"/>
    <w:rsid w:val="0062602D"/>
    <w:rsid w:val="00626C4D"/>
    <w:rsid w:val="00627C7D"/>
    <w:rsid w:val="0063065F"/>
    <w:rsid w:val="0063069E"/>
    <w:rsid w:val="00630748"/>
    <w:rsid w:val="00630A5E"/>
    <w:rsid w:val="006312FB"/>
    <w:rsid w:val="00632037"/>
    <w:rsid w:val="00633233"/>
    <w:rsid w:val="0063354D"/>
    <w:rsid w:val="00633758"/>
    <w:rsid w:val="00633A6A"/>
    <w:rsid w:val="00633A89"/>
    <w:rsid w:val="00633C36"/>
    <w:rsid w:val="00633C9C"/>
    <w:rsid w:val="00633D0D"/>
    <w:rsid w:val="0063587A"/>
    <w:rsid w:val="006359E5"/>
    <w:rsid w:val="00635A48"/>
    <w:rsid w:val="006363B8"/>
    <w:rsid w:val="006364A7"/>
    <w:rsid w:val="006365A3"/>
    <w:rsid w:val="00636AB5"/>
    <w:rsid w:val="006374A4"/>
    <w:rsid w:val="006375A3"/>
    <w:rsid w:val="0063767E"/>
    <w:rsid w:val="00637F35"/>
    <w:rsid w:val="00640545"/>
    <w:rsid w:val="0064072B"/>
    <w:rsid w:val="00640CCB"/>
    <w:rsid w:val="00640D00"/>
    <w:rsid w:val="00640F7C"/>
    <w:rsid w:val="006424C3"/>
    <w:rsid w:val="00642B80"/>
    <w:rsid w:val="00642B97"/>
    <w:rsid w:val="0064395A"/>
    <w:rsid w:val="00643C9D"/>
    <w:rsid w:val="00643D99"/>
    <w:rsid w:val="00643DF4"/>
    <w:rsid w:val="00644380"/>
    <w:rsid w:val="00644475"/>
    <w:rsid w:val="006445A5"/>
    <w:rsid w:val="00644A9F"/>
    <w:rsid w:val="00644F3F"/>
    <w:rsid w:val="00645141"/>
    <w:rsid w:val="00646420"/>
    <w:rsid w:val="00646C7B"/>
    <w:rsid w:val="00646D65"/>
    <w:rsid w:val="006478FA"/>
    <w:rsid w:val="00647E23"/>
    <w:rsid w:val="00647FF5"/>
    <w:rsid w:val="006506B5"/>
    <w:rsid w:val="00650D85"/>
    <w:rsid w:val="00650FB8"/>
    <w:rsid w:val="00651104"/>
    <w:rsid w:val="006514A6"/>
    <w:rsid w:val="00651973"/>
    <w:rsid w:val="00651C41"/>
    <w:rsid w:val="00652654"/>
    <w:rsid w:val="0065379C"/>
    <w:rsid w:val="006538BE"/>
    <w:rsid w:val="00653DA7"/>
    <w:rsid w:val="00654D3E"/>
    <w:rsid w:val="0065541B"/>
    <w:rsid w:val="00655B45"/>
    <w:rsid w:val="00655C35"/>
    <w:rsid w:val="00655F52"/>
    <w:rsid w:val="006566B9"/>
    <w:rsid w:val="00656EE7"/>
    <w:rsid w:val="006573E0"/>
    <w:rsid w:val="00657D6B"/>
    <w:rsid w:val="0066018E"/>
    <w:rsid w:val="00661B70"/>
    <w:rsid w:val="00661F8E"/>
    <w:rsid w:val="006621FE"/>
    <w:rsid w:val="0066287A"/>
    <w:rsid w:val="00663B49"/>
    <w:rsid w:val="0066430D"/>
    <w:rsid w:val="0066446B"/>
    <w:rsid w:val="00664ED0"/>
    <w:rsid w:val="00664F8C"/>
    <w:rsid w:val="006652A4"/>
    <w:rsid w:val="00665971"/>
    <w:rsid w:val="006666BB"/>
    <w:rsid w:val="0066672C"/>
    <w:rsid w:val="00666B48"/>
    <w:rsid w:val="006702D3"/>
    <w:rsid w:val="006703D5"/>
    <w:rsid w:val="006705E7"/>
    <w:rsid w:val="0067075C"/>
    <w:rsid w:val="006708B8"/>
    <w:rsid w:val="00670D8D"/>
    <w:rsid w:val="006710FF"/>
    <w:rsid w:val="00671F97"/>
    <w:rsid w:val="00672F73"/>
    <w:rsid w:val="0067312D"/>
    <w:rsid w:val="006735CB"/>
    <w:rsid w:val="00673BC9"/>
    <w:rsid w:val="00673FFD"/>
    <w:rsid w:val="00674382"/>
    <w:rsid w:val="00675DEB"/>
    <w:rsid w:val="00676267"/>
    <w:rsid w:val="006763E4"/>
    <w:rsid w:val="00676784"/>
    <w:rsid w:val="00676D87"/>
    <w:rsid w:val="006779A3"/>
    <w:rsid w:val="00677BE3"/>
    <w:rsid w:val="00677CDB"/>
    <w:rsid w:val="00680B50"/>
    <w:rsid w:val="006814D5"/>
    <w:rsid w:val="00681863"/>
    <w:rsid w:val="00681A47"/>
    <w:rsid w:val="00682D51"/>
    <w:rsid w:val="00684BF5"/>
    <w:rsid w:val="0068548F"/>
    <w:rsid w:val="0068565B"/>
    <w:rsid w:val="0068585B"/>
    <w:rsid w:val="00685D4E"/>
    <w:rsid w:val="00687193"/>
    <w:rsid w:val="006873F3"/>
    <w:rsid w:val="00687562"/>
    <w:rsid w:val="006903F9"/>
    <w:rsid w:val="00690512"/>
    <w:rsid w:val="00690DD6"/>
    <w:rsid w:val="006912F9"/>
    <w:rsid w:val="006915E6"/>
    <w:rsid w:val="00691A31"/>
    <w:rsid w:val="00691E93"/>
    <w:rsid w:val="00692273"/>
    <w:rsid w:val="00692C76"/>
    <w:rsid w:val="00692DE2"/>
    <w:rsid w:val="00693030"/>
    <w:rsid w:val="00693595"/>
    <w:rsid w:val="0069383F"/>
    <w:rsid w:val="0069407F"/>
    <w:rsid w:val="00694118"/>
    <w:rsid w:val="00694EED"/>
    <w:rsid w:val="00696A8A"/>
    <w:rsid w:val="00696B25"/>
    <w:rsid w:val="00696D93"/>
    <w:rsid w:val="00696EAC"/>
    <w:rsid w:val="006A09DC"/>
    <w:rsid w:val="006A1A66"/>
    <w:rsid w:val="006A2DAD"/>
    <w:rsid w:val="006A347D"/>
    <w:rsid w:val="006A3A7C"/>
    <w:rsid w:val="006A4E09"/>
    <w:rsid w:val="006A5A9B"/>
    <w:rsid w:val="006A5B43"/>
    <w:rsid w:val="006A5F6E"/>
    <w:rsid w:val="006A66BA"/>
    <w:rsid w:val="006A69F7"/>
    <w:rsid w:val="006A6B05"/>
    <w:rsid w:val="006A764A"/>
    <w:rsid w:val="006A7D75"/>
    <w:rsid w:val="006B023E"/>
    <w:rsid w:val="006B06E7"/>
    <w:rsid w:val="006B096B"/>
    <w:rsid w:val="006B0CBA"/>
    <w:rsid w:val="006B108B"/>
    <w:rsid w:val="006B1291"/>
    <w:rsid w:val="006B12FD"/>
    <w:rsid w:val="006B1A2F"/>
    <w:rsid w:val="006B1DC1"/>
    <w:rsid w:val="006B2192"/>
    <w:rsid w:val="006B2EB5"/>
    <w:rsid w:val="006B32FF"/>
    <w:rsid w:val="006B40EB"/>
    <w:rsid w:val="006B4258"/>
    <w:rsid w:val="006B483F"/>
    <w:rsid w:val="006B4CA6"/>
    <w:rsid w:val="006B4E60"/>
    <w:rsid w:val="006B547B"/>
    <w:rsid w:val="006B554D"/>
    <w:rsid w:val="006B5AD0"/>
    <w:rsid w:val="006B6A70"/>
    <w:rsid w:val="006B6C68"/>
    <w:rsid w:val="006B7371"/>
    <w:rsid w:val="006C036A"/>
    <w:rsid w:val="006C18FD"/>
    <w:rsid w:val="006C2279"/>
    <w:rsid w:val="006C28B2"/>
    <w:rsid w:val="006C2E91"/>
    <w:rsid w:val="006C31AC"/>
    <w:rsid w:val="006C353E"/>
    <w:rsid w:val="006C37B5"/>
    <w:rsid w:val="006C38F9"/>
    <w:rsid w:val="006C68D2"/>
    <w:rsid w:val="006C7190"/>
    <w:rsid w:val="006C71BD"/>
    <w:rsid w:val="006C7B15"/>
    <w:rsid w:val="006C7E59"/>
    <w:rsid w:val="006D09A2"/>
    <w:rsid w:val="006D0E24"/>
    <w:rsid w:val="006D1340"/>
    <w:rsid w:val="006D150E"/>
    <w:rsid w:val="006D23C5"/>
    <w:rsid w:val="006D293F"/>
    <w:rsid w:val="006D3854"/>
    <w:rsid w:val="006D3963"/>
    <w:rsid w:val="006D3FBD"/>
    <w:rsid w:val="006D475D"/>
    <w:rsid w:val="006D4F60"/>
    <w:rsid w:val="006D540F"/>
    <w:rsid w:val="006D5866"/>
    <w:rsid w:val="006D59C1"/>
    <w:rsid w:val="006D6528"/>
    <w:rsid w:val="006D6B0A"/>
    <w:rsid w:val="006D74A0"/>
    <w:rsid w:val="006D7698"/>
    <w:rsid w:val="006E012E"/>
    <w:rsid w:val="006E061F"/>
    <w:rsid w:val="006E0CC6"/>
    <w:rsid w:val="006E1D72"/>
    <w:rsid w:val="006E1E5C"/>
    <w:rsid w:val="006E20BB"/>
    <w:rsid w:val="006E2C91"/>
    <w:rsid w:val="006E3BE6"/>
    <w:rsid w:val="006E3DE1"/>
    <w:rsid w:val="006E3F4F"/>
    <w:rsid w:val="006E4544"/>
    <w:rsid w:val="006E46C2"/>
    <w:rsid w:val="006E46E9"/>
    <w:rsid w:val="006E47BA"/>
    <w:rsid w:val="006E5308"/>
    <w:rsid w:val="006E5610"/>
    <w:rsid w:val="006E5D14"/>
    <w:rsid w:val="006E5EED"/>
    <w:rsid w:val="006E619B"/>
    <w:rsid w:val="006E68E6"/>
    <w:rsid w:val="006E752E"/>
    <w:rsid w:val="006E7C44"/>
    <w:rsid w:val="006F054C"/>
    <w:rsid w:val="006F15C0"/>
    <w:rsid w:val="006F1A7C"/>
    <w:rsid w:val="006F1F14"/>
    <w:rsid w:val="006F2BBA"/>
    <w:rsid w:val="006F37AF"/>
    <w:rsid w:val="006F47AB"/>
    <w:rsid w:val="006F47D3"/>
    <w:rsid w:val="006F4FFB"/>
    <w:rsid w:val="006F548E"/>
    <w:rsid w:val="006F588E"/>
    <w:rsid w:val="006F592E"/>
    <w:rsid w:val="006F5D64"/>
    <w:rsid w:val="006F65AF"/>
    <w:rsid w:val="006F66E2"/>
    <w:rsid w:val="006F695F"/>
    <w:rsid w:val="006F69E2"/>
    <w:rsid w:val="006F770A"/>
    <w:rsid w:val="006F792B"/>
    <w:rsid w:val="006F79BB"/>
    <w:rsid w:val="00700655"/>
    <w:rsid w:val="007008BC"/>
    <w:rsid w:val="007012ED"/>
    <w:rsid w:val="00701864"/>
    <w:rsid w:val="00701990"/>
    <w:rsid w:val="00702B27"/>
    <w:rsid w:val="00702CC0"/>
    <w:rsid w:val="00703462"/>
    <w:rsid w:val="0070373F"/>
    <w:rsid w:val="007038C5"/>
    <w:rsid w:val="007042AA"/>
    <w:rsid w:val="00704423"/>
    <w:rsid w:val="00704913"/>
    <w:rsid w:val="00705855"/>
    <w:rsid w:val="00705A5D"/>
    <w:rsid w:val="007068F2"/>
    <w:rsid w:val="00706EB8"/>
    <w:rsid w:val="00707143"/>
    <w:rsid w:val="00707D83"/>
    <w:rsid w:val="00710011"/>
    <w:rsid w:val="00710BCC"/>
    <w:rsid w:val="00710E53"/>
    <w:rsid w:val="00711D4F"/>
    <w:rsid w:val="00712B09"/>
    <w:rsid w:val="00713034"/>
    <w:rsid w:val="007135CD"/>
    <w:rsid w:val="00714C6E"/>
    <w:rsid w:val="00714CD5"/>
    <w:rsid w:val="00714EDC"/>
    <w:rsid w:val="00714F25"/>
    <w:rsid w:val="00716641"/>
    <w:rsid w:val="007208D1"/>
    <w:rsid w:val="007210DD"/>
    <w:rsid w:val="007218AB"/>
    <w:rsid w:val="00721A0B"/>
    <w:rsid w:val="00721A2B"/>
    <w:rsid w:val="00721B3E"/>
    <w:rsid w:val="00721E60"/>
    <w:rsid w:val="0072207D"/>
    <w:rsid w:val="00723CD1"/>
    <w:rsid w:val="00723EEA"/>
    <w:rsid w:val="007242A9"/>
    <w:rsid w:val="00724B19"/>
    <w:rsid w:val="00724BF0"/>
    <w:rsid w:val="00725644"/>
    <w:rsid w:val="007257E9"/>
    <w:rsid w:val="007263BE"/>
    <w:rsid w:val="00726ACB"/>
    <w:rsid w:val="00727181"/>
    <w:rsid w:val="00727CF6"/>
    <w:rsid w:val="00727CF9"/>
    <w:rsid w:val="007305F3"/>
    <w:rsid w:val="00730809"/>
    <w:rsid w:val="0073083E"/>
    <w:rsid w:val="00730921"/>
    <w:rsid w:val="00731BA6"/>
    <w:rsid w:val="00732BA4"/>
    <w:rsid w:val="00733280"/>
    <w:rsid w:val="0073507F"/>
    <w:rsid w:val="007364E9"/>
    <w:rsid w:val="00736B22"/>
    <w:rsid w:val="00736BC0"/>
    <w:rsid w:val="00737A8D"/>
    <w:rsid w:val="00737DF7"/>
    <w:rsid w:val="007408B1"/>
    <w:rsid w:val="00740FF7"/>
    <w:rsid w:val="007415AA"/>
    <w:rsid w:val="00741CA3"/>
    <w:rsid w:val="007437D0"/>
    <w:rsid w:val="00743F0E"/>
    <w:rsid w:val="00744168"/>
    <w:rsid w:val="00744796"/>
    <w:rsid w:val="00744E9B"/>
    <w:rsid w:val="007452A3"/>
    <w:rsid w:val="00745AE2"/>
    <w:rsid w:val="00746636"/>
    <w:rsid w:val="007466A2"/>
    <w:rsid w:val="0074756F"/>
    <w:rsid w:val="00747A4E"/>
    <w:rsid w:val="00747E48"/>
    <w:rsid w:val="00747EDF"/>
    <w:rsid w:val="00747FA5"/>
    <w:rsid w:val="007501F4"/>
    <w:rsid w:val="007502D3"/>
    <w:rsid w:val="00750877"/>
    <w:rsid w:val="0075097B"/>
    <w:rsid w:val="00750C46"/>
    <w:rsid w:val="00751428"/>
    <w:rsid w:val="007515CE"/>
    <w:rsid w:val="00751DDE"/>
    <w:rsid w:val="00752B82"/>
    <w:rsid w:val="00752F02"/>
    <w:rsid w:val="00753008"/>
    <w:rsid w:val="00753112"/>
    <w:rsid w:val="0075355F"/>
    <w:rsid w:val="00753672"/>
    <w:rsid w:val="007536F5"/>
    <w:rsid w:val="007542BF"/>
    <w:rsid w:val="0075434C"/>
    <w:rsid w:val="0075501B"/>
    <w:rsid w:val="00756320"/>
    <w:rsid w:val="00756D9E"/>
    <w:rsid w:val="007601FF"/>
    <w:rsid w:val="00761B4E"/>
    <w:rsid w:val="00761BBD"/>
    <w:rsid w:val="0076221D"/>
    <w:rsid w:val="007625C5"/>
    <w:rsid w:val="00762688"/>
    <w:rsid w:val="0076292D"/>
    <w:rsid w:val="00762B42"/>
    <w:rsid w:val="0076344A"/>
    <w:rsid w:val="0076392E"/>
    <w:rsid w:val="00763C94"/>
    <w:rsid w:val="00763DBD"/>
    <w:rsid w:val="00763E56"/>
    <w:rsid w:val="007645FB"/>
    <w:rsid w:val="00764810"/>
    <w:rsid w:val="007648D1"/>
    <w:rsid w:val="007648EB"/>
    <w:rsid w:val="00764948"/>
    <w:rsid w:val="007650EE"/>
    <w:rsid w:val="00765787"/>
    <w:rsid w:val="00765A7A"/>
    <w:rsid w:val="00766823"/>
    <w:rsid w:val="00766878"/>
    <w:rsid w:val="00766C6B"/>
    <w:rsid w:val="0076730E"/>
    <w:rsid w:val="00767525"/>
    <w:rsid w:val="00770CF7"/>
    <w:rsid w:val="007714D7"/>
    <w:rsid w:val="00771952"/>
    <w:rsid w:val="00771D40"/>
    <w:rsid w:val="00771E82"/>
    <w:rsid w:val="0077255C"/>
    <w:rsid w:val="00772AA0"/>
    <w:rsid w:val="0077308E"/>
    <w:rsid w:val="00773469"/>
    <w:rsid w:val="00773D06"/>
    <w:rsid w:val="007740F5"/>
    <w:rsid w:val="0077452D"/>
    <w:rsid w:val="00776874"/>
    <w:rsid w:val="00776C79"/>
    <w:rsid w:val="00777A30"/>
    <w:rsid w:val="00777AF0"/>
    <w:rsid w:val="00780462"/>
    <w:rsid w:val="00780F02"/>
    <w:rsid w:val="007812E6"/>
    <w:rsid w:val="00781389"/>
    <w:rsid w:val="007824C2"/>
    <w:rsid w:val="007825A3"/>
    <w:rsid w:val="007825D3"/>
    <w:rsid w:val="007828BA"/>
    <w:rsid w:val="00782AD6"/>
    <w:rsid w:val="0078348C"/>
    <w:rsid w:val="007840F0"/>
    <w:rsid w:val="00784140"/>
    <w:rsid w:val="007843AE"/>
    <w:rsid w:val="007846AD"/>
    <w:rsid w:val="007849E4"/>
    <w:rsid w:val="00784EE9"/>
    <w:rsid w:val="00785272"/>
    <w:rsid w:val="00785CC5"/>
    <w:rsid w:val="00786C15"/>
    <w:rsid w:val="00787970"/>
    <w:rsid w:val="007901EA"/>
    <w:rsid w:val="00790243"/>
    <w:rsid w:val="007906D6"/>
    <w:rsid w:val="007908BF"/>
    <w:rsid w:val="00791A1E"/>
    <w:rsid w:val="00792021"/>
    <w:rsid w:val="007924BE"/>
    <w:rsid w:val="0079337F"/>
    <w:rsid w:val="0079398A"/>
    <w:rsid w:val="00793A04"/>
    <w:rsid w:val="007940C0"/>
    <w:rsid w:val="0079479E"/>
    <w:rsid w:val="007947E8"/>
    <w:rsid w:val="00795119"/>
    <w:rsid w:val="007952D3"/>
    <w:rsid w:val="007952E1"/>
    <w:rsid w:val="00795563"/>
    <w:rsid w:val="00795711"/>
    <w:rsid w:val="00795B3D"/>
    <w:rsid w:val="007977B8"/>
    <w:rsid w:val="00797A7B"/>
    <w:rsid w:val="00797AA1"/>
    <w:rsid w:val="007A034A"/>
    <w:rsid w:val="007A08FE"/>
    <w:rsid w:val="007A0C5E"/>
    <w:rsid w:val="007A122D"/>
    <w:rsid w:val="007A1908"/>
    <w:rsid w:val="007A21D7"/>
    <w:rsid w:val="007A235C"/>
    <w:rsid w:val="007A28DC"/>
    <w:rsid w:val="007A561D"/>
    <w:rsid w:val="007A5B80"/>
    <w:rsid w:val="007A656F"/>
    <w:rsid w:val="007A71EF"/>
    <w:rsid w:val="007A7FA5"/>
    <w:rsid w:val="007B0541"/>
    <w:rsid w:val="007B0FB9"/>
    <w:rsid w:val="007B127C"/>
    <w:rsid w:val="007B1CDC"/>
    <w:rsid w:val="007B2B4D"/>
    <w:rsid w:val="007B2B86"/>
    <w:rsid w:val="007B333E"/>
    <w:rsid w:val="007B33F0"/>
    <w:rsid w:val="007B3532"/>
    <w:rsid w:val="007B41CC"/>
    <w:rsid w:val="007B46B3"/>
    <w:rsid w:val="007B5803"/>
    <w:rsid w:val="007B6247"/>
    <w:rsid w:val="007B6345"/>
    <w:rsid w:val="007B6A1A"/>
    <w:rsid w:val="007B6CFC"/>
    <w:rsid w:val="007B70A7"/>
    <w:rsid w:val="007B716C"/>
    <w:rsid w:val="007B732C"/>
    <w:rsid w:val="007B7C90"/>
    <w:rsid w:val="007C08C8"/>
    <w:rsid w:val="007C08F1"/>
    <w:rsid w:val="007C0977"/>
    <w:rsid w:val="007C0B42"/>
    <w:rsid w:val="007C1DEE"/>
    <w:rsid w:val="007C31DC"/>
    <w:rsid w:val="007C33BB"/>
    <w:rsid w:val="007C39EF"/>
    <w:rsid w:val="007C4137"/>
    <w:rsid w:val="007C443D"/>
    <w:rsid w:val="007C4648"/>
    <w:rsid w:val="007C519C"/>
    <w:rsid w:val="007C741D"/>
    <w:rsid w:val="007C7FDE"/>
    <w:rsid w:val="007D054D"/>
    <w:rsid w:val="007D1908"/>
    <w:rsid w:val="007D2B7D"/>
    <w:rsid w:val="007D3EC3"/>
    <w:rsid w:val="007D40E5"/>
    <w:rsid w:val="007D40FF"/>
    <w:rsid w:val="007D41C3"/>
    <w:rsid w:val="007D452B"/>
    <w:rsid w:val="007D45D0"/>
    <w:rsid w:val="007D45F1"/>
    <w:rsid w:val="007D5841"/>
    <w:rsid w:val="007D5B83"/>
    <w:rsid w:val="007D5D6E"/>
    <w:rsid w:val="007D6142"/>
    <w:rsid w:val="007D63F7"/>
    <w:rsid w:val="007D6476"/>
    <w:rsid w:val="007D6548"/>
    <w:rsid w:val="007D678A"/>
    <w:rsid w:val="007D6B3B"/>
    <w:rsid w:val="007D6DC0"/>
    <w:rsid w:val="007D7964"/>
    <w:rsid w:val="007D7A35"/>
    <w:rsid w:val="007D7C1B"/>
    <w:rsid w:val="007D7DEC"/>
    <w:rsid w:val="007E020E"/>
    <w:rsid w:val="007E089B"/>
    <w:rsid w:val="007E204F"/>
    <w:rsid w:val="007E21EC"/>
    <w:rsid w:val="007E2579"/>
    <w:rsid w:val="007E2A26"/>
    <w:rsid w:val="007E2A31"/>
    <w:rsid w:val="007E3695"/>
    <w:rsid w:val="007E3F52"/>
    <w:rsid w:val="007E43D2"/>
    <w:rsid w:val="007E5179"/>
    <w:rsid w:val="007E5306"/>
    <w:rsid w:val="007E6DAB"/>
    <w:rsid w:val="007E6F5F"/>
    <w:rsid w:val="007E75A9"/>
    <w:rsid w:val="007F09E3"/>
    <w:rsid w:val="007F0B33"/>
    <w:rsid w:val="007F155D"/>
    <w:rsid w:val="007F1914"/>
    <w:rsid w:val="007F1D03"/>
    <w:rsid w:val="007F1DC3"/>
    <w:rsid w:val="007F1DF5"/>
    <w:rsid w:val="007F211D"/>
    <w:rsid w:val="007F3344"/>
    <w:rsid w:val="007F3878"/>
    <w:rsid w:val="007F449D"/>
    <w:rsid w:val="007F4AE8"/>
    <w:rsid w:val="007F4BF9"/>
    <w:rsid w:val="007F5120"/>
    <w:rsid w:val="007F5415"/>
    <w:rsid w:val="007F56DA"/>
    <w:rsid w:val="007F5E11"/>
    <w:rsid w:val="007F708C"/>
    <w:rsid w:val="007F74E4"/>
    <w:rsid w:val="007F753C"/>
    <w:rsid w:val="007F7C8A"/>
    <w:rsid w:val="007F7EC3"/>
    <w:rsid w:val="007F7FE5"/>
    <w:rsid w:val="008004FD"/>
    <w:rsid w:val="00800D75"/>
    <w:rsid w:val="008017FD"/>
    <w:rsid w:val="008018D4"/>
    <w:rsid w:val="00801D24"/>
    <w:rsid w:val="008020A8"/>
    <w:rsid w:val="00802ADA"/>
    <w:rsid w:val="00802B56"/>
    <w:rsid w:val="00802EF2"/>
    <w:rsid w:val="0080331D"/>
    <w:rsid w:val="00803ECF"/>
    <w:rsid w:val="00804037"/>
    <w:rsid w:val="00804394"/>
    <w:rsid w:val="0080482A"/>
    <w:rsid w:val="00804C22"/>
    <w:rsid w:val="00804EB5"/>
    <w:rsid w:val="00805270"/>
    <w:rsid w:val="0080548A"/>
    <w:rsid w:val="008057C0"/>
    <w:rsid w:val="00805CB5"/>
    <w:rsid w:val="008063E4"/>
    <w:rsid w:val="00806D3D"/>
    <w:rsid w:val="00810034"/>
    <w:rsid w:val="008104F3"/>
    <w:rsid w:val="00810792"/>
    <w:rsid w:val="00810841"/>
    <w:rsid w:val="00810D99"/>
    <w:rsid w:val="008114E8"/>
    <w:rsid w:val="008114F6"/>
    <w:rsid w:val="008123E2"/>
    <w:rsid w:val="008125DD"/>
    <w:rsid w:val="00813849"/>
    <w:rsid w:val="00813F84"/>
    <w:rsid w:val="00813FB2"/>
    <w:rsid w:val="00814241"/>
    <w:rsid w:val="00814486"/>
    <w:rsid w:val="008147E8"/>
    <w:rsid w:val="00814911"/>
    <w:rsid w:val="00814C84"/>
    <w:rsid w:val="0081553D"/>
    <w:rsid w:val="00815575"/>
    <w:rsid w:val="00815721"/>
    <w:rsid w:val="00815A40"/>
    <w:rsid w:val="00815EC6"/>
    <w:rsid w:val="00815EDA"/>
    <w:rsid w:val="0081664F"/>
    <w:rsid w:val="0081675E"/>
    <w:rsid w:val="0081766D"/>
    <w:rsid w:val="0081778D"/>
    <w:rsid w:val="008177F7"/>
    <w:rsid w:val="00817B90"/>
    <w:rsid w:val="00817F3D"/>
    <w:rsid w:val="008204AE"/>
    <w:rsid w:val="00820A76"/>
    <w:rsid w:val="00820C9E"/>
    <w:rsid w:val="00820F5D"/>
    <w:rsid w:val="00822C75"/>
    <w:rsid w:val="0082357E"/>
    <w:rsid w:val="008242EB"/>
    <w:rsid w:val="00824607"/>
    <w:rsid w:val="0082576C"/>
    <w:rsid w:val="008271BD"/>
    <w:rsid w:val="00827565"/>
    <w:rsid w:val="00827911"/>
    <w:rsid w:val="0083051F"/>
    <w:rsid w:val="008309E5"/>
    <w:rsid w:val="008311AB"/>
    <w:rsid w:val="0083126F"/>
    <w:rsid w:val="00831459"/>
    <w:rsid w:val="00831914"/>
    <w:rsid w:val="00831BA1"/>
    <w:rsid w:val="0083283E"/>
    <w:rsid w:val="00832A6A"/>
    <w:rsid w:val="00832B81"/>
    <w:rsid w:val="00832D60"/>
    <w:rsid w:val="00832E3C"/>
    <w:rsid w:val="00832E87"/>
    <w:rsid w:val="00832F0E"/>
    <w:rsid w:val="00834ABD"/>
    <w:rsid w:val="00834D8D"/>
    <w:rsid w:val="00835382"/>
    <w:rsid w:val="008354D0"/>
    <w:rsid w:val="00835CFC"/>
    <w:rsid w:val="00836A2B"/>
    <w:rsid w:val="00836ABC"/>
    <w:rsid w:val="00836B5F"/>
    <w:rsid w:val="00836B6B"/>
    <w:rsid w:val="00836E8F"/>
    <w:rsid w:val="00837251"/>
    <w:rsid w:val="0083758A"/>
    <w:rsid w:val="00837784"/>
    <w:rsid w:val="00837ADE"/>
    <w:rsid w:val="0084071C"/>
    <w:rsid w:val="008409FA"/>
    <w:rsid w:val="00840CC3"/>
    <w:rsid w:val="00840D33"/>
    <w:rsid w:val="00841953"/>
    <w:rsid w:val="00842067"/>
    <w:rsid w:val="0084221E"/>
    <w:rsid w:val="0084258C"/>
    <w:rsid w:val="00842AE2"/>
    <w:rsid w:val="008431E6"/>
    <w:rsid w:val="00843AAA"/>
    <w:rsid w:val="00844393"/>
    <w:rsid w:val="008445EB"/>
    <w:rsid w:val="00844900"/>
    <w:rsid w:val="00845513"/>
    <w:rsid w:val="0084650E"/>
    <w:rsid w:val="008469AA"/>
    <w:rsid w:val="00846A2E"/>
    <w:rsid w:val="0084710A"/>
    <w:rsid w:val="00847460"/>
    <w:rsid w:val="008478F7"/>
    <w:rsid w:val="008479FD"/>
    <w:rsid w:val="00847D17"/>
    <w:rsid w:val="00847F96"/>
    <w:rsid w:val="008502C1"/>
    <w:rsid w:val="00850765"/>
    <w:rsid w:val="0085088B"/>
    <w:rsid w:val="0085088E"/>
    <w:rsid w:val="00851061"/>
    <w:rsid w:val="00851257"/>
    <w:rsid w:val="00851417"/>
    <w:rsid w:val="0085184D"/>
    <w:rsid w:val="00851AE3"/>
    <w:rsid w:val="00851E93"/>
    <w:rsid w:val="00851FB6"/>
    <w:rsid w:val="00852430"/>
    <w:rsid w:val="00853972"/>
    <w:rsid w:val="008545ED"/>
    <w:rsid w:val="008549D3"/>
    <w:rsid w:val="00855686"/>
    <w:rsid w:val="00856288"/>
    <w:rsid w:val="0085639C"/>
    <w:rsid w:val="00856D96"/>
    <w:rsid w:val="00857D89"/>
    <w:rsid w:val="00857E45"/>
    <w:rsid w:val="0086165F"/>
    <w:rsid w:val="0086184D"/>
    <w:rsid w:val="00861972"/>
    <w:rsid w:val="00861974"/>
    <w:rsid w:val="00861CD0"/>
    <w:rsid w:val="008622EE"/>
    <w:rsid w:val="008625F4"/>
    <w:rsid w:val="008628AD"/>
    <w:rsid w:val="0086324C"/>
    <w:rsid w:val="0086355F"/>
    <w:rsid w:val="0086384B"/>
    <w:rsid w:val="00863BC5"/>
    <w:rsid w:val="008640B4"/>
    <w:rsid w:val="00864331"/>
    <w:rsid w:val="00864B9C"/>
    <w:rsid w:val="00864C27"/>
    <w:rsid w:val="00865A55"/>
    <w:rsid w:val="00866922"/>
    <w:rsid w:val="00867EFE"/>
    <w:rsid w:val="00870042"/>
    <w:rsid w:val="008710DA"/>
    <w:rsid w:val="008718A2"/>
    <w:rsid w:val="00871BBB"/>
    <w:rsid w:val="00871CE5"/>
    <w:rsid w:val="00872759"/>
    <w:rsid w:val="0087319C"/>
    <w:rsid w:val="00873337"/>
    <w:rsid w:val="00873386"/>
    <w:rsid w:val="00873804"/>
    <w:rsid w:val="008744B0"/>
    <w:rsid w:val="00875239"/>
    <w:rsid w:val="00875544"/>
    <w:rsid w:val="00875C4F"/>
    <w:rsid w:val="00875CF2"/>
    <w:rsid w:val="0087623A"/>
    <w:rsid w:val="008762C1"/>
    <w:rsid w:val="00876F4B"/>
    <w:rsid w:val="0088002B"/>
    <w:rsid w:val="0088042C"/>
    <w:rsid w:val="0088108E"/>
    <w:rsid w:val="008811E7"/>
    <w:rsid w:val="00882D11"/>
    <w:rsid w:val="00882F92"/>
    <w:rsid w:val="00883263"/>
    <w:rsid w:val="00883575"/>
    <w:rsid w:val="008849D4"/>
    <w:rsid w:val="0088504F"/>
    <w:rsid w:val="00885097"/>
    <w:rsid w:val="0088590E"/>
    <w:rsid w:val="00885D52"/>
    <w:rsid w:val="00886109"/>
    <w:rsid w:val="008867D0"/>
    <w:rsid w:val="00886DD0"/>
    <w:rsid w:val="00887297"/>
    <w:rsid w:val="008872AE"/>
    <w:rsid w:val="008876C3"/>
    <w:rsid w:val="00887A5D"/>
    <w:rsid w:val="0089044D"/>
    <w:rsid w:val="008906A8"/>
    <w:rsid w:val="00890B17"/>
    <w:rsid w:val="00890C09"/>
    <w:rsid w:val="00891567"/>
    <w:rsid w:val="0089161D"/>
    <w:rsid w:val="00891A17"/>
    <w:rsid w:val="00891EAB"/>
    <w:rsid w:val="00892250"/>
    <w:rsid w:val="00893BA8"/>
    <w:rsid w:val="00893FCF"/>
    <w:rsid w:val="0089654B"/>
    <w:rsid w:val="00896C67"/>
    <w:rsid w:val="00897242"/>
    <w:rsid w:val="0089772F"/>
    <w:rsid w:val="008A01D4"/>
    <w:rsid w:val="008A04E0"/>
    <w:rsid w:val="008A05B6"/>
    <w:rsid w:val="008A06A0"/>
    <w:rsid w:val="008A11B9"/>
    <w:rsid w:val="008A1C9E"/>
    <w:rsid w:val="008A1F22"/>
    <w:rsid w:val="008A21EC"/>
    <w:rsid w:val="008A25BA"/>
    <w:rsid w:val="008A262A"/>
    <w:rsid w:val="008A3E47"/>
    <w:rsid w:val="008A5161"/>
    <w:rsid w:val="008A5731"/>
    <w:rsid w:val="008A582F"/>
    <w:rsid w:val="008A5C2B"/>
    <w:rsid w:val="008A61FC"/>
    <w:rsid w:val="008A642E"/>
    <w:rsid w:val="008A6BE4"/>
    <w:rsid w:val="008A6D10"/>
    <w:rsid w:val="008A6E13"/>
    <w:rsid w:val="008A7508"/>
    <w:rsid w:val="008A7C7C"/>
    <w:rsid w:val="008B020E"/>
    <w:rsid w:val="008B0530"/>
    <w:rsid w:val="008B0AA1"/>
    <w:rsid w:val="008B46BB"/>
    <w:rsid w:val="008B4F34"/>
    <w:rsid w:val="008B50CD"/>
    <w:rsid w:val="008B5179"/>
    <w:rsid w:val="008B5D94"/>
    <w:rsid w:val="008B5EEA"/>
    <w:rsid w:val="008B6697"/>
    <w:rsid w:val="008B699B"/>
    <w:rsid w:val="008B6EDD"/>
    <w:rsid w:val="008C02B6"/>
    <w:rsid w:val="008C04A5"/>
    <w:rsid w:val="008C0574"/>
    <w:rsid w:val="008C0784"/>
    <w:rsid w:val="008C14DE"/>
    <w:rsid w:val="008C177C"/>
    <w:rsid w:val="008C1ADA"/>
    <w:rsid w:val="008C1CD4"/>
    <w:rsid w:val="008C221C"/>
    <w:rsid w:val="008C4344"/>
    <w:rsid w:val="008C46FB"/>
    <w:rsid w:val="008C4CD0"/>
    <w:rsid w:val="008C4CFE"/>
    <w:rsid w:val="008C5026"/>
    <w:rsid w:val="008C509D"/>
    <w:rsid w:val="008C51EC"/>
    <w:rsid w:val="008C559E"/>
    <w:rsid w:val="008C643A"/>
    <w:rsid w:val="008C6B36"/>
    <w:rsid w:val="008C71DE"/>
    <w:rsid w:val="008C71F0"/>
    <w:rsid w:val="008C79A3"/>
    <w:rsid w:val="008C7C14"/>
    <w:rsid w:val="008C7E19"/>
    <w:rsid w:val="008D0208"/>
    <w:rsid w:val="008D07F8"/>
    <w:rsid w:val="008D09B7"/>
    <w:rsid w:val="008D1476"/>
    <w:rsid w:val="008D2134"/>
    <w:rsid w:val="008D29A4"/>
    <w:rsid w:val="008D2ED7"/>
    <w:rsid w:val="008D40F5"/>
    <w:rsid w:val="008D452F"/>
    <w:rsid w:val="008D469F"/>
    <w:rsid w:val="008D4803"/>
    <w:rsid w:val="008D558C"/>
    <w:rsid w:val="008D5605"/>
    <w:rsid w:val="008D5BC4"/>
    <w:rsid w:val="008D5F4E"/>
    <w:rsid w:val="008D6836"/>
    <w:rsid w:val="008D70CE"/>
    <w:rsid w:val="008D7391"/>
    <w:rsid w:val="008D754A"/>
    <w:rsid w:val="008D7C09"/>
    <w:rsid w:val="008D7C6D"/>
    <w:rsid w:val="008D7C98"/>
    <w:rsid w:val="008E0A4F"/>
    <w:rsid w:val="008E11BB"/>
    <w:rsid w:val="008E1393"/>
    <w:rsid w:val="008E13AD"/>
    <w:rsid w:val="008E1C82"/>
    <w:rsid w:val="008E1E9B"/>
    <w:rsid w:val="008E2199"/>
    <w:rsid w:val="008E24F7"/>
    <w:rsid w:val="008E3AB7"/>
    <w:rsid w:val="008E3CF6"/>
    <w:rsid w:val="008E427F"/>
    <w:rsid w:val="008E4622"/>
    <w:rsid w:val="008E4A76"/>
    <w:rsid w:val="008E4B64"/>
    <w:rsid w:val="008E4D12"/>
    <w:rsid w:val="008E5763"/>
    <w:rsid w:val="008E69F8"/>
    <w:rsid w:val="008E70C4"/>
    <w:rsid w:val="008F0887"/>
    <w:rsid w:val="008F0ADD"/>
    <w:rsid w:val="008F0B6E"/>
    <w:rsid w:val="008F1070"/>
    <w:rsid w:val="008F209C"/>
    <w:rsid w:val="008F2297"/>
    <w:rsid w:val="008F2AAE"/>
    <w:rsid w:val="008F3027"/>
    <w:rsid w:val="008F4021"/>
    <w:rsid w:val="008F409E"/>
    <w:rsid w:val="008F4CC0"/>
    <w:rsid w:val="008F4F8B"/>
    <w:rsid w:val="008F6F60"/>
    <w:rsid w:val="008F7041"/>
    <w:rsid w:val="008F7B10"/>
    <w:rsid w:val="008F7FA5"/>
    <w:rsid w:val="00900963"/>
    <w:rsid w:val="0090159D"/>
    <w:rsid w:val="009020F9"/>
    <w:rsid w:val="00902DFA"/>
    <w:rsid w:val="00902E31"/>
    <w:rsid w:val="00903197"/>
    <w:rsid w:val="00903257"/>
    <w:rsid w:val="00903611"/>
    <w:rsid w:val="00903D24"/>
    <w:rsid w:val="0090400A"/>
    <w:rsid w:val="00904089"/>
    <w:rsid w:val="00904ABB"/>
    <w:rsid w:val="00904C96"/>
    <w:rsid w:val="009054ED"/>
    <w:rsid w:val="00905536"/>
    <w:rsid w:val="00905BFB"/>
    <w:rsid w:val="0090671C"/>
    <w:rsid w:val="00906B1F"/>
    <w:rsid w:val="00906B3A"/>
    <w:rsid w:val="00907098"/>
    <w:rsid w:val="00907700"/>
    <w:rsid w:val="009079A7"/>
    <w:rsid w:val="0091026A"/>
    <w:rsid w:val="00910316"/>
    <w:rsid w:val="00910551"/>
    <w:rsid w:val="009108C4"/>
    <w:rsid w:val="00910EE1"/>
    <w:rsid w:val="0091102F"/>
    <w:rsid w:val="009111E6"/>
    <w:rsid w:val="0091121A"/>
    <w:rsid w:val="0091132F"/>
    <w:rsid w:val="0091187D"/>
    <w:rsid w:val="00912188"/>
    <w:rsid w:val="009126E0"/>
    <w:rsid w:val="00912BF4"/>
    <w:rsid w:val="00912DEF"/>
    <w:rsid w:val="009134F7"/>
    <w:rsid w:val="0091406F"/>
    <w:rsid w:val="009149ED"/>
    <w:rsid w:val="009151CF"/>
    <w:rsid w:val="00915299"/>
    <w:rsid w:val="009161B0"/>
    <w:rsid w:val="00916314"/>
    <w:rsid w:val="009165DA"/>
    <w:rsid w:val="009174A4"/>
    <w:rsid w:val="009174BD"/>
    <w:rsid w:val="009175BE"/>
    <w:rsid w:val="009177AC"/>
    <w:rsid w:val="0091793C"/>
    <w:rsid w:val="00920209"/>
    <w:rsid w:val="009204E0"/>
    <w:rsid w:val="00920E7F"/>
    <w:rsid w:val="009214F7"/>
    <w:rsid w:val="00921644"/>
    <w:rsid w:val="00922467"/>
    <w:rsid w:val="00922499"/>
    <w:rsid w:val="00922AEF"/>
    <w:rsid w:val="00922E08"/>
    <w:rsid w:val="009238E5"/>
    <w:rsid w:val="00923DB3"/>
    <w:rsid w:val="0092442E"/>
    <w:rsid w:val="00924A47"/>
    <w:rsid w:val="00924BD7"/>
    <w:rsid w:val="009250C1"/>
    <w:rsid w:val="00925613"/>
    <w:rsid w:val="0092572A"/>
    <w:rsid w:val="00925801"/>
    <w:rsid w:val="00926856"/>
    <w:rsid w:val="009269FC"/>
    <w:rsid w:val="00926F4F"/>
    <w:rsid w:val="00926F6B"/>
    <w:rsid w:val="00927318"/>
    <w:rsid w:val="00927C6D"/>
    <w:rsid w:val="00927EB9"/>
    <w:rsid w:val="00930170"/>
    <w:rsid w:val="00930372"/>
    <w:rsid w:val="00930E99"/>
    <w:rsid w:val="009311EB"/>
    <w:rsid w:val="0093170C"/>
    <w:rsid w:val="0093213E"/>
    <w:rsid w:val="00932F26"/>
    <w:rsid w:val="00932FE2"/>
    <w:rsid w:val="0093300E"/>
    <w:rsid w:val="00934095"/>
    <w:rsid w:val="00934822"/>
    <w:rsid w:val="00934A50"/>
    <w:rsid w:val="00934EEB"/>
    <w:rsid w:val="00936413"/>
    <w:rsid w:val="00937333"/>
    <w:rsid w:val="00937343"/>
    <w:rsid w:val="00937538"/>
    <w:rsid w:val="00937BDA"/>
    <w:rsid w:val="009405DA"/>
    <w:rsid w:val="00940F37"/>
    <w:rsid w:val="00941AC5"/>
    <w:rsid w:val="00941D97"/>
    <w:rsid w:val="00942EC3"/>
    <w:rsid w:val="00943974"/>
    <w:rsid w:val="00943F16"/>
    <w:rsid w:val="0094475F"/>
    <w:rsid w:val="00944B8C"/>
    <w:rsid w:val="00946C8B"/>
    <w:rsid w:val="00947054"/>
    <w:rsid w:val="0095028F"/>
    <w:rsid w:val="00950A13"/>
    <w:rsid w:val="00950A64"/>
    <w:rsid w:val="00950B42"/>
    <w:rsid w:val="009510A3"/>
    <w:rsid w:val="0095147C"/>
    <w:rsid w:val="009517E0"/>
    <w:rsid w:val="009518F5"/>
    <w:rsid w:val="0095195B"/>
    <w:rsid w:val="00952348"/>
    <w:rsid w:val="009524B2"/>
    <w:rsid w:val="00952576"/>
    <w:rsid w:val="0095308C"/>
    <w:rsid w:val="0095400D"/>
    <w:rsid w:val="009540D9"/>
    <w:rsid w:val="00954C20"/>
    <w:rsid w:val="0095535B"/>
    <w:rsid w:val="00955521"/>
    <w:rsid w:val="00955792"/>
    <w:rsid w:val="00955C82"/>
    <w:rsid w:val="00955F85"/>
    <w:rsid w:val="009561D3"/>
    <w:rsid w:val="009572CF"/>
    <w:rsid w:val="00957869"/>
    <w:rsid w:val="009601ED"/>
    <w:rsid w:val="009606BB"/>
    <w:rsid w:val="00960AC5"/>
    <w:rsid w:val="00960BCB"/>
    <w:rsid w:val="00960C78"/>
    <w:rsid w:val="0096179F"/>
    <w:rsid w:val="009618F1"/>
    <w:rsid w:val="00961929"/>
    <w:rsid w:val="00961DC4"/>
    <w:rsid w:val="00961E14"/>
    <w:rsid w:val="00962A81"/>
    <w:rsid w:val="00962D04"/>
    <w:rsid w:val="00962D93"/>
    <w:rsid w:val="0096301C"/>
    <w:rsid w:val="0096302D"/>
    <w:rsid w:val="00963116"/>
    <w:rsid w:val="0096362B"/>
    <w:rsid w:val="00963D07"/>
    <w:rsid w:val="00963F6C"/>
    <w:rsid w:val="00964198"/>
    <w:rsid w:val="00964695"/>
    <w:rsid w:val="00964CA4"/>
    <w:rsid w:val="00964E85"/>
    <w:rsid w:val="00965264"/>
    <w:rsid w:val="009659F0"/>
    <w:rsid w:val="00965DA3"/>
    <w:rsid w:val="00966647"/>
    <w:rsid w:val="009668FC"/>
    <w:rsid w:val="009674A8"/>
    <w:rsid w:val="0097042B"/>
    <w:rsid w:val="00970C5C"/>
    <w:rsid w:val="00970F12"/>
    <w:rsid w:val="00971645"/>
    <w:rsid w:val="00972153"/>
    <w:rsid w:val="009725A3"/>
    <w:rsid w:val="00972C0A"/>
    <w:rsid w:val="0097310B"/>
    <w:rsid w:val="009740FA"/>
    <w:rsid w:val="00974D18"/>
    <w:rsid w:val="009758E4"/>
    <w:rsid w:val="00975CF2"/>
    <w:rsid w:val="009760ED"/>
    <w:rsid w:val="0097612B"/>
    <w:rsid w:val="009764BC"/>
    <w:rsid w:val="00976C9C"/>
    <w:rsid w:val="00976E2F"/>
    <w:rsid w:val="009773AE"/>
    <w:rsid w:val="009774BE"/>
    <w:rsid w:val="0097786E"/>
    <w:rsid w:val="0098011A"/>
    <w:rsid w:val="009806FF"/>
    <w:rsid w:val="009809EC"/>
    <w:rsid w:val="0098132F"/>
    <w:rsid w:val="009826D3"/>
    <w:rsid w:val="0098273E"/>
    <w:rsid w:val="00982A57"/>
    <w:rsid w:val="0098309C"/>
    <w:rsid w:val="009834F4"/>
    <w:rsid w:val="00984193"/>
    <w:rsid w:val="0098455F"/>
    <w:rsid w:val="00984635"/>
    <w:rsid w:val="00984748"/>
    <w:rsid w:val="00984A0B"/>
    <w:rsid w:val="00984D2B"/>
    <w:rsid w:val="00987578"/>
    <w:rsid w:val="00987824"/>
    <w:rsid w:val="00987F76"/>
    <w:rsid w:val="0099068E"/>
    <w:rsid w:val="00990AD8"/>
    <w:rsid w:val="00990EEA"/>
    <w:rsid w:val="00991E58"/>
    <w:rsid w:val="00991E9D"/>
    <w:rsid w:val="00992262"/>
    <w:rsid w:val="00992C5B"/>
    <w:rsid w:val="00992FA8"/>
    <w:rsid w:val="009937D9"/>
    <w:rsid w:val="0099394D"/>
    <w:rsid w:val="00993A43"/>
    <w:rsid w:val="00994B39"/>
    <w:rsid w:val="0099502E"/>
    <w:rsid w:val="009956EF"/>
    <w:rsid w:val="00995717"/>
    <w:rsid w:val="00995F2A"/>
    <w:rsid w:val="00996DD2"/>
    <w:rsid w:val="0099799D"/>
    <w:rsid w:val="00997AF9"/>
    <w:rsid w:val="00997BA4"/>
    <w:rsid w:val="009A039D"/>
    <w:rsid w:val="009A0AB9"/>
    <w:rsid w:val="009A0B19"/>
    <w:rsid w:val="009A0B4B"/>
    <w:rsid w:val="009A0D16"/>
    <w:rsid w:val="009A1B3D"/>
    <w:rsid w:val="009A1BBE"/>
    <w:rsid w:val="009A32F3"/>
    <w:rsid w:val="009A3316"/>
    <w:rsid w:val="009A367C"/>
    <w:rsid w:val="009A38A9"/>
    <w:rsid w:val="009A3BD9"/>
    <w:rsid w:val="009A402A"/>
    <w:rsid w:val="009A4139"/>
    <w:rsid w:val="009A4436"/>
    <w:rsid w:val="009A464F"/>
    <w:rsid w:val="009A4A72"/>
    <w:rsid w:val="009A4F2A"/>
    <w:rsid w:val="009A5026"/>
    <w:rsid w:val="009A6307"/>
    <w:rsid w:val="009A6456"/>
    <w:rsid w:val="009A679D"/>
    <w:rsid w:val="009A681D"/>
    <w:rsid w:val="009A68AD"/>
    <w:rsid w:val="009A69B2"/>
    <w:rsid w:val="009A7A5F"/>
    <w:rsid w:val="009B0051"/>
    <w:rsid w:val="009B19C2"/>
    <w:rsid w:val="009B1F2A"/>
    <w:rsid w:val="009B25F9"/>
    <w:rsid w:val="009B28C5"/>
    <w:rsid w:val="009B350E"/>
    <w:rsid w:val="009B3797"/>
    <w:rsid w:val="009B3B4D"/>
    <w:rsid w:val="009B407D"/>
    <w:rsid w:val="009B4573"/>
    <w:rsid w:val="009B4C59"/>
    <w:rsid w:val="009B54F4"/>
    <w:rsid w:val="009B6865"/>
    <w:rsid w:val="009B6954"/>
    <w:rsid w:val="009B742D"/>
    <w:rsid w:val="009B7929"/>
    <w:rsid w:val="009C063A"/>
    <w:rsid w:val="009C0995"/>
    <w:rsid w:val="009C0A0C"/>
    <w:rsid w:val="009C0B55"/>
    <w:rsid w:val="009C0C70"/>
    <w:rsid w:val="009C1060"/>
    <w:rsid w:val="009C1619"/>
    <w:rsid w:val="009C1C8F"/>
    <w:rsid w:val="009C1EB5"/>
    <w:rsid w:val="009C2BB9"/>
    <w:rsid w:val="009C3164"/>
    <w:rsid w:val="009C3697"/>
    <w:rsid w:val="009C3AAF"/>
    <w:rsid w:val="009C467B"/>
    <w:rsid w:val="009C4714"/>
    <w:rsid w:val="009C4EF5"/>
    <w:rsid w:val="009C5ACE"/>
    <w:rsid w:val="009C5E21"/>
    <w:rsid w:val="009C656B"/>
    <w:rsid w:val="009C6ABF"/>
    <w:rsid w:val="009C6C04"/>
    <w:rsid w:val="009C6CA9"/>
    <w:rsid w:val="009C6D52"/>
    <w:rsid w:val="009C6D99"/>
    <w:rsid w:val="009C71CB"/>
    <w:rsid w:val="009C78C4"/>
    <w:rsid w:val="009D1C17"/>
    <w:rsid w:val="009D2090"/>
    <w:rsid w:val="009D21B7"/>
    <w:rsid w:val="009D245B"/>
    <w:rsid w:val="009D25F3"/>
    <w:rsid w:val="009D2B12"/>
    <w:rsid w:val="009D30A6"/>
    <w:rsid w:val="009D3B90"/>
    <w:rsid w:val="009D42E0"/>
    <w:rsid w:val="009D4500"/>
    <w:rsid w:val="009D65DA"/>
    <w:rsid w:val="009D6768"/>
    <w:rsid w:val="009D6B00"/>
    <w:rsid w:val="009D75F7"/>
    <w:rsid w:val="009D7EC1"/>
    <w:rsid w:val="009E1195"/>
    <w:rsid w:val="009E18C3"/>
    <w:rsid w:val="009E1F3A"/>
    <w:rsid w:val="009E29C1"/>
    <w:rsid w:val="009E2B55"/>
    <w:rsid w:val="009E33FE"/>
    <w:rsid w:val="009E3CB8"/>
    <w:rsid w:val="009E5487"/>
    <w:rsid w:val="009E5D2A"/>
    <w:rsid w:val="009E5ECB"/>
    <w:rsid w:val="009E60FF"/>
    <w:rsid w:val="009E6224"/>
    <w:rsid w:val="009E7A16"/>
    <w:rsid w:val="009E7AA0"/>
    <w:rsid w:val="009E7EB1"/>
    <w:rsid w:val="009E7F9A"/>
    <w:rsid w:val="009F067E"/>
    <w:rsid w:val="009F07D5"/>
    <w:rsid w:val="009F0D2E"/>
    <w:rsid w:val="009F114D"/>
    <w:rsid w:val="009F1CF0"/>
    <w:rsid w:val="009F34AB"/>
    <w:rsid w:val="009F36F8"/>
    <w:rsid w:val="009F3E4F"/>
    <w:rsid w:val="009F3EBF"/>
    <w:rsid w:val="009F4E0C"/>
    <w:rsid w:val="009F4EC5"/>
    <w:rsid w:val="009F4F77"/>
    <w:rsid w:val="009F5194"/>
    <w:rsid w:val="009F5B3D"/>
    <w:rsid w:val="009F6CBF"/>
    <w:rsid w:val="009F7543"/>
    <w:rsid w:val="009F77A5"/>
    <w:rsid w:val="009F77BE"/>
    <w:rsid w:val="00A005B8"/>
    <w:rsid w:val="00A011FE"/>
    <w:rsid w:val="00A0172D"/>
    <w:rsid w:val="00A0248A"/>
    <w:rsid w:val="00A02843"/>
    <w:rsid w:val="00A028F3"/>
    <w:rsid w:val="00A02E42"/>
    <w:rsid w:val="00A0308C"/>
    <w:rsid w:val="00A03109"/>
    <w:rsid w:val="00A04211"/>
    <w:rsid w:val="00A04B92"/>
    <w:rsid w:val="00A04B9F"/>
    <w:rsid w:val="00A04BE7"/>
    <w:rsid w:val="00A04F0E"/>
    <w:rsid w:val="00A05A82"/>
    <w:rsid w:val="00A05B5A"/>
    <w:rsid w:val="00A05E13"/>
    <w:rsid w:val="00A06C3D"/>
    <w:rsid w:val="00A075B0"/>
    <w:rsid w:val="00A07637"/>
    <w:rsid w:val="00A078DE"/>
    <w:rsid w:val="00A07939"/>
    <w:rsid w:val="00A079CD"/>
    <w:rsid w:val="00A079F4"/>
    <w:rsid w:val="00A07DFD"/>
    <w:rsid w:val="00A07E44"/>
    <w:rsid w:val="00A10468"/>
    <w:rsid w:val="00A10567"/>
    <w:rsid w:val="00A10D23"/>
    <w:rsid w:val="00A10E77"/>
    <w:rsid w:val="00A11684"/>
    <w:rsid w:val="00A1219E"/>
    <w:rsid w:val="00A121A0"/>
    <w:rsid w:val="00A1229B"/>
    <w:rsid w:val="00A12C8F"/>
    <w:rsid w:val="00A12E63"/>
    <w:rsid w:val="00A1341A"/>
    <w:rsid w:val="00A13742"/>
    <w:rsid w:val="00A13B34"/>
    <w:rsid w:val="00A14AF9"/>
    <w:rsid w:val="00A14BFC"/>
    <w:rsid w:val="00A14E09"/>
    <w:rsid w:val="00A14F9C"/>
    <w:rsid w:val="00A14FA8"/>
    <w:rsid w:val="00A15E44"/>
    <w:rsid w:val="00A15FE2"/>
    <w:rsid w:val="00A16561"/>
    <w:rsid w:val="00A17F01"/>
    <w:rsid w:val="00A203F6"/>
    <w:rsid w:val="00A20D4C"/>
    <w:rsid w:val="00A21053"/>
    <w:rsid w:val="00A2113C"/>
    <w:rsid w:val="00A21762"/>
    <w:rsid w:val="00A217E3"/>
    <w:rsid w:val="00A2181D"/>
    <w:rsid w:val="00A21C69"/>
    <w:rsid w:val="00A21E90"/>
    <w:rsid w:val="00A21F75"/>
    <w:rsid w:val="00A2204F"/>
    <w:rsid w:val="00A22909"/>
    <w:rsid w:val="00A23A04"/>
    <w:rsid w:val="00A23B77"/>
    <w:rsid w:val="00A247DC"/>
    <w:rsid w:val="00A24A8B"/>
    <w:rsid w:val="00A2636D"/>
    <w:rsid w:val="00A26B19"/>
    <w:rsid w:val="00A27B56"/>
    <w:rsid w:val="00A27BD6"/>
    <w:rsid w:val="00A27EE1"/>
    <w:rsid w:val="00A27FDF"/>
    <w:rsid w:val="00A3033B"/>
    <w:rsid w:val="00A30BC6"/>
    <w:rsid w:val="00A30C5E"/>
    <w:rsid w:val="00A30D59"/>
    <w:rsid w:val="00A30F8B"/>
    <w:rsid w:val="00A317CF"/>
    <w:rsid w:val="00A31A44"/>
    <w:rsid w:val="00A32027"/>
    <w:rsid w:val="00A32582"/>
    <w:rsid w:val="00A326C4"/>
    <w:rsid w:val="00A3290A"/>
    <w:rsid w:val="00A32A93"/>
    <w:rsid w:val="00A32E3D"/>
    <w:rsid w:val="00A3469D"/>
    <w:rsid w:val="00A34A24"/>
    <w:rsid w:val="00A366B1"/>
    <w:rsid w:val="00A37A4E"/>
    <w:rsid w:val="00A403AD"/>
    <w:rsid w:val="00A404A9"/>
    <w:rsid w:val="00A407A5"/>
    <w:rsid w:val="00A410F8"/>
    <w:rsid w:val="00A41E34"/>
    <w:rsid w:val="00A4204D"/>
    <w:rsid w:val="00A42B82"/>
    <w:rsid w:val="00A42D1D"/>
    <w:rsid w:val="00A43393"/>
    <w:rsid w:val="00A4355E"/>
    <w:rsid w:val="00A43959"/>
    <w:rsid w:val="00A43AA8"/>
    <w:rsid w:val="00A44AD8"/>
    <w:rsid w:val="00A459AF"/>
    <w:rsid w:val="00A462F8"/>
    <w:rsid w:val="00A46719"/>
    <w:rsid w:val="00A46C8F"/>
    <w:rsid w:val="00A46F57"/>
    <w:rsid w:val="00A4710D"/>
    <w:rsid w:val="00A4730A"/>
    <w:rsid w:val="00A47C12"/>
    <w:rsid w:val="00A47E67"/>
    <w:rsid w:val="00A506EB"/>
    <w:rsid w:val="00A51627"/>
    <w:rsid w:val="00A520E6"/>
    <w:rsid w:val="00A5277E"/>
    <w:rsid w:val="00A5296B"/>
    <w:rsid w:val="00A53034"/>
    <w:rsid w:val="00A5321A"/>
    <w:rsid w:val="00A532CC"/>
    <w:rsid w:val="00A53541"/>
    <w:rsid w:val="00A53670"/>
    <w:rsid w:val="00A53B65"/>
    <w:rsid w:val="00A54415"/>
    <w:rsid w:val="00A54EB7"/>
    <w:rsid w:val="00A555D3"/>
    <w:rsid w:val="00A5620B"/>
    <w:rsid w:val="00A56276"/>
    <w:rsid w:val="00A56339"/>
    <w:rsid w:val="00A5642F"/>
    <w:rsid w:val="00A57CAC"/>
    <w:rsid w:val="00A57E9A"/>
    <w:rsid w:val="00A60108"/>
    <w:rsid w:val="00A60180"/>
    <w:rsid w:val="00A601D5"/>
    <w:rsid w:val="00A6061A"/>
    <w:rsid w:val="00A608D7"/>
    <w:rsid w:val="00A61012"/>
    <w:rsid w:val="00A6104F"/>
    <w:rsid w:val="00A616A0"/>
    <w:rsid w:val="00A61BE8"/>
    <w:rsid w:val="00A61E1D"/>
    <w:rsid w:val="00A622E2"/>
    <w:rsid w:val="00A62465"/>
    <w:rsid w:val="00A624D4"/>
    <w:rsid w:val="00A624F9"/>
    <w:rsid w:val="00A6266D"/>
    <w:rsid w:val="00A633D4"/>
    <w:rsid w:val="00A63AC8"/>
    <w:rsid w:val="00A64887"/>
    <w:rsid w:val="00A64AFF"/>
    <w:rsid w:val="00A64FC2"/>
    <w:rsid w:val="00A6566E"/>
    <w:rsid w:val="00A65B9B"/>
    <w:rsid w:val="00A66158"/>
    <w:rsid w:val="00A6682B"/>
    <w:rsid w:val="00A66AA0"/>
    <w:rsid w:val="00A66B6A"/>
    <w:rsid w:val="00A66E10"/>
    <w:rsid w:val="00A66FCE"/>
    <w:rsid w:val="00A672D7"/>
    <w:rsid w:val="00A672FD"/>
    <w:rsid w:val="00A675B0"/>
    <w:rsid w:val="00A67B55"/>
    <w:rsid w:val="00A67C60"/>
    <w:rsid w:val="00A67DC1"/>
    <w:rsid w:val="00A7168A"/>
    <w:rsid w:val="00A71F46"/>
    <w:rsid w:val="00A721F0"/>
    <w:rsid w:val="00A72896"/>
    <w:rsid w:val="00A72B30"/>
    <w:rsid w:val="00A7443B"/>
    <w:rsid w:val="00A756A4"/>
    <w:rsid w:val="00A75E24"/>
    <w:rsid w:val="00A76216"/>
    <w:rsid w:val="00A77074"/>
    <w:rsid w:val="00A77A5A"/>
    <w:rsid w:val="00A77B27"/>
    <w:rsid w:val="00A80375"/>
    <w:rsid w:val="00A80E96"/>
    <w:rsid w:val="00A824B5"/>
    <w:rsid w:val="00A82EA4"/>
    <w:rsid w:val="00A83123"/>
    <w:rsid w:val="00A83518"/>
    <w:rsid w:val="00A8506C"/>
    <w:rsid w:val="00A85151"/>
    <w:rsid w:val="00A857BD"/>
    <w:rsid w:val="00A85E73"/>
    <w:rsid w:val="00A85FE0"/>
    <w:rsid w:val="00A86034"/>
    <w:rsid w:val="00A867AA"/>
    <w:rsid w:val="00A87E6C"/>
    <w:rsid w:val="00A90241"/>
    <w:rsid w:val="00A90561"/>
    <w:rsid w:val="00A9146A"/>
    <w:rsid w:val="00A91D5B"/>
    <w:rsid w:val="00A92EE5"/>
    <w:rsid w:val="00A93262"/>
    <w:rsid w:val="00A93755"/>
    <w:rsid w:val="00A93820"/>
    <w:rsid w:val="00A93BAD"/>
    <w:rsid w:val="00A9467E"/>
    <w:rsid w:val="00A9588F"/>
    <w:rsid w:val="00A958FF"/>
    <w:rsid w:val="00A95DF1"/>
    <w:rsid w:val="00A96066"/>
    <w:rsid w:val="00A97239"/>
    <w:rsid w:val="00A97583"/>
    <w:rsid w:val="00A977AF"/>
    <w:rsid w:val="00A97DDB"/>
    <w:rsid w:val="00AA03CC"/>
    <w:rsid w:val="00AA0489"/>
    <w:rsid w:val="00AA06BE"/>
    <w:rsid w:val="00AA1380"/>
    <w:rsid w:val="00AA13FB"/>
    <w:rsid w:val="00AA15B6"/>
    <w:rsid w:val="00AA18BD"/>
    <w:rsid w:val="00AA1C14"/>
    <w:rsid w:val="00AA230D"/>
    <w:rsid w:val="00AA2692"/>
    <w:rsid w:val="00AA3E9E"/>
    <w:rsid w:val="00AA43C8"/>
    <w:rsid w:val="00AA4AFF"/>
    <w:rsid w:val="00AA4CB6"/>
    <w:rsid w:val="00AA508C"/>
    <w:rsid w:val="00AA512C"/>
    <w:rsid w:val="00AA5262"/>
    <w:rsid w:val="00AA5530"/>
    <w:rsid w:val="00AA5A59"/>
    <w:rsid w:val="00AA5E55"/>
    <w:rsid w:val="00AA67E2"/>
    <w:rsid w:val="00AA68A5"/>
    <w:rsid w:val="00AA73D9"/>
    <w:rsid w:val="00AA7670"/>
    <w:rsid w:val="00AB09CF"/>
    <w:rsid w:val="00AB0BC6"/>
    <w:rsid w:val="00AB14FB"/>
    <w:rsid w:val="00AB2582"/>
    <w:rsid w:val="00AB2AA3"/>
    <w:rsid w:val="00AB2DDB"/>
    <w:rsid w:val="00AB317F"/>
    <w:rsid w:val="00AB3C7C"/>
    <w:rsid w:val="00AB426C"/>
    <w:rsid w:val="00AB5002"/>
    <w:rsid w:val="00AB53EE"/>
    <w:rsid w:val="00AB6069"/>
    <w:rsid w:val="00AB67DA"/>
    <w:rsid w:val="00AB6D64"/>
    <w:rsid w:val="00AB7CB5"/>
    <w:rsid w:val="00AB7E47"/>
    <w:rsid w:val="00AC0B4A"/>
    <w:rsid w:val="00AC0CD5"/>
    <w:rsid w:val="00AC1018"/>
    <w:rsid w:val="00AC1306"/>
    <w:rsid w:val="00AC1998"/>
    <w:rsid w:val="00AC1F15"/>
    <w:rsid w:val="00AC24F8"/>
    <w:rsid w:val="00AC2A03"/>
    <w:rsid w:val="00AC337A"/>
    <w:rsid w:val="00AC3BB2"/>
    <w:rsid w:val="00AC4578"/>
    <w:rsid w:val="00AC5B0E"/>
    <w:rsid w:val="00AC5BB5"/>
    <w:rsid w:val="00AC6254"/>
    <w:rsid w:val="00AC73A6"/>
    <w:rsid w:val="00AC7778"/>
    <w:rsid w:val="00AC79E1"/>
    <w:rsid w:val="00AC7ACF"/>
    <w:rsid w:val="00AC7BDA"/>
    <w:rsid w:val="00AC7BF0"/>
    <w:rsid w:val="00AD0645"/>
    <w:rsid w:val="00AD08FC"/>
    <w:rsid w:val="00AD10B9"/>
    <w:rsid w:val="00AD10F5"/>
    <w:rsid w:val="00AD1232"/>
    <w:rsid w:val="00AD12AA"/>
    <w:rsid w:val="00AD1B44"/>
    <w:rsid w:val="00AD1E0A"/>
    <w:rsid w:val="00AD2251"/>
    <w:rsid w:val="00AD22AC"/>
    <w:rsid w:val="00AD2A0E"/>
    <w:rsid w:val="00AD3722"/>
    <w:rsid w:val="00AD3B0C"/>
    <w:rsid w:val="00AD54AC"/>
    <w:rsid w:val="00AD5D3F"/>
    <w:rsid w:val="00AD5D72"/>
    <w:rsid w:val="00AE0533"/>
    <w:rsid w:val="00AE13D2"/>
    <w:rsid w:val="00AE16C4"/>
    <w:rsid w:val="00AE185F"/>
    <w:rsid w:val="00AE2B0E"/>
    <w:rsid w:val="00AE2EAE"/>
    <w:rsid w:val="00AE2EBE"/>
    <w:rsid w:val="00AE2F18"/>
    <w:rsid w:val="00AE314D"/>
    <w:rsid w:val="00AE35DA"/>
    <w:rsid w:val="00AE3990"/>
    <w:rsid w:val="00AE3B2B"/>
    <w:rsid w:val="00AE3BA4"/>
    <w:rsid w:val="00AE3C3D"/>
    <w:rsid w:val="00AE3E87"/>
    <w:rsid w:val="00AE472C"/>
    <w:rsid w:val="00AE4A4F"/>
    <w:rsid w:val="00AE61D6"/>
    <w:rsid w:val="00AE6421"/>
    <w:rsid w:val="00AE64E1"/>
    <w:rsid w:val="00AE7510"/>
    <w:rsid w:val="00AE7A0D"/>
    <w:rsid w:val="00AE7D7F"/>
    <w:rsid w:val="00AF0199"/>
    <w:rsid w:val="00AF11AC"/>
    <w:rsid w:val="00AF121B"/>
    <w:rsid w:val="00AF1811"/>
    <w:rsid w:val="00AF2010"/>
    <w:rsid w:val="00AF20BF"/>
    <w:rsid w:val="00AF2971"/>
    <w:rsid w:val="00AF2EE8"/>
    <w:rsid w:val="00AF2F90"/>
    <w:rsid w:val="00AF30AD"/>
    <w:rsid w:val="00AF3EC6"/>
    <w:rsid w:val="00AF6DA1"/>
    <w:rsid w:val="00AF76F3"/>
    <w:rsid w:val="00B0070E"/>
    <w:rsid w:val="00B00BF7"/>
    <w:rsid w:val="00B00F59"/>
    <w:rsid w:val="00B00F8F"/>
    <w:rsid w:val="00B01B79"/>
    <w:rsid w:val="00B02065"/>
    <w:rsid w:val="00B02299"/>
    <w:rsid w:val="00B02C39"/>
    <w:rsid w:val="00B0307D"/>
    <w:rsid w:val="00B04278"/>
    <w:rsid w:val="00B04AF7"/>
    <w:rsid w:val="00B04B7F"/>
    <w:rsid w:val="00B0513E"/>
    <w:rsid w:val="00B05213"/>
    <w:rsid w:val="00B05723"/>
    <w:rsid w:val="00B05A8D"/>
    <w:rsid w:val="00B065D3"/>
    <w:rsid w:val="00B0707A"/>
    <w:rsid w:val="00B0728F"/>
    <w:rsid w:val="00B077C3"/>
    <w:rsid w:val="00B078E5"/>
    <w:rsid w:val="00B07AA7"/>
    <w:rsid w:val="00B10078"/>
    <w:rsid w:val="00B1020C"/>
    <w:rsid w:val="00B10269"/>
    <w:rsid w:val="00B103FB"/>
    <w:rsid w:val="00B1053E"/>
    <w:rsid w:val="00B11172"/>
    <w:rsid w:val="00B121AB"/>
    <w:rsid w:val="00B12250"/>
    <w:rsid w:val="00B1347C"/>
    <w:rsid w:val="00B14B3E"/>
    <w:rsid w:val="00B14C21"/>
    <w:rsid w:val="00B151B4"/>
    <w:rsid w:val="00B157CB"/>
    <w:rsid w:val="00B16330"/>
    <w:rsid w:val="00B1690A"/>
    <w:rsid w:val="00B16D0A"/>
    <w:rsid w:val="00B16FD4"/>
    <w:rsid w:val="00B17799"/>
    <w:rsid w:val="00B204AE"/>
    <w:rsid w:val="00B2184D"/>
    <w:rsid w:val="00B21B78"/>
    <w:rsid w:val="00B21BF7"/>
    <w:rsid w:val="00B22894"/>
    <w:rsid w:val="00B22CA9"/>
    <w:rsid w:val="00B22CEB"/>
    <w:rsid w:val="00B22D59"/>
    <w:rsid w:val="00B22FCA"/>
    <w:rsid w:val="00B233D4"/>
    <w:rsid w:val="00B23472"/>
    <w:rsid w:val="00B234E0"/>
    <w:rsid w:val="00B23DAD"/>
    <w:rsid w:val="00B24035"/>
    <w:rsid w:val="00B240A7"/>
    <w:rsid w:val="00B24387"/>
    <w:rsid w:val="00B2594C"/>
    <w:rsid w:val="00B25B6C"/>
    <w:rsid w:val="00B271B2"/>
    <w:rsid w:val="00B27969"/>
    <w:rsid w:val="00B27B07"/>
    <w:rsid w:val="00B30174"/>
    <w:rsid w:val="00B30677"/>
    <w:rsid w:val="00B306BD"/>
    <w:rsid w:val="00B3092E"/>
    <w:rsid w:val="00B319E3"/>
    <w:rsid w:val="00B31D7C"/>
    <w:rsid w:val="00B3213E"/>
    <w:rsid w:val="00B322B0"/>
    <w:rsid w:val="00B34ABC"/>
    <w:rsid w:val="00B352B7"/>
    <w:rsid w:val="00B35539"/>
    <w:rsid w:val="00B35A4B"/>
    <w:rsid w:val="00B35C1E"/>
    <w:rsid w:val="00B35D22"/>
    <w:rsid w:val="00B35D98"/>
    <w:rsid w:val="00B36ABE"/>
    <w:rsid w:val="00B36FF2"/>
    <w:rsid w:val="00B3747E"/>
    <w:rsid w:val="00B377A2"/>
    <w:rsid w:val="00B37C59"/>
    <w:rsid w:val="00B37E32"/>
    <w:rsid w:val="00B40169"/>
    <w:rsid w:val="00B40E15"/>
    <w:rsid w:val="00B40F28"/>
    <w:rsid w:val="00B41241"/>
    <w:rsid w:val="00B41254"/>
    <w:rsid w:val="00B41BC1"/>
    <w:rsid w:val="00B42289"/>
    <w:rsid w:val="00B426D6"/>
    <w:rsid w:val="00B428D6"/>
    <w:rsid w:val="00B43428"/>
    <w:rsid w:val="00B43B3E"/>
    <w:rsid w:val="00B43F10"/>
    <w:rsid w:val="00B456ED"/>
    <w:rsid w:val="00B459B0"/>
    <w:rsid w:val="00B45CF9"/>
    <w:rsid w:val="00B46B9C"/>
    <w:rsid w:val="00B4710B"/>
    <w:rsid w:val="00B47423"/>
    <w:rsid w:val="00B47863"/>
    <w:rsid w:val="00B4786C"/>
    <w:rsid w:val="00B47A33"/>
    <w:rsid w:val="00B47A3C"/>
    <w:rsid w:val="00B47E5C"/>
    <w:rsid w:val="00B50F23"/>
    <w:rsid w:val="00B5121C"/>
    <w:rsid w:val="00B51DEA"/>
    <w:rsid w:val="00B51EF1"/>
    <w:rsid w:val="00B51FB7"/>
    <w:rsid w:val="00B52210"/>
    <w:rsid w:val="00B52E76"/>
    <w:rsid w:val="00B53287"/>
    <w:rsid w:val="00B5392C"/>
    <w:rsid w:val="00B53D58"/>
    <w:rsid w:val="00B54131"/>
    <w:rsid w:val="00B54749"/>
    <w:rsid w:val="00B563E6"/>
    <w:rsid w:val="00B5652A"/>
    <w:rsid w:val="00B567F0"/>
    <w:rsid w:val="00B56810"/>
    <w:rsid w:val="00B56EFA"/>
    <w:rsid w:val="00B57503"/>
    <w:rsid w:val="00B60325"/>
    <w:rsid w:val="00B607C6"/>
    <w:rsid w:val="00B60CD8"/>
    <w:rsid w:val="00B61B7D"/>
    <w:rsid w:val="00B63271"/>
    <w:rsid w:val="00B6435C"/>
    <w:rsid w:val="00B64385"/>
    <w:rsid w:val="00B6462C"/>
    <w:rsid w:val="00B654C9"/>
    <w:rsid w:val="00B65E72"/>
    <w:rsid w:val="00B65E84"/>
    <w:rsid w:val="00B66BA0"/>
    <w:rsid w:val="00B66D79"/>
    <w:rsid w:val="00B67AF9"/>
    <w:rsid w:val="00B70ABE"/>
    <w:rsid w:val="00B70B1D"/>
    <w:rsid w:val="00B71025"/>
    <w:rsid w:val="00B72256"/>
    <w:rsid w:val="00B72A8C"/>
    <w:rsid w:val="00B73B49"/>
    <w:rsid w:val="00B74828"/>
    <w:rsid w:val="00B748B3"/>
    <w:rsid w:val="00B74CD1"/>
    <w:rsid w:val="00B752E4"/>
    <w:rsid w:val="00B76037"/>
    <w:rsid w:val="00B76D3E"/>
    <w:rsid w:val="00B76EC1"/>
    <w:rsid w:val="00B7768D"/>
    <w:rsid w:val="00B77932"/>
    <w:rsid w:val="00B80441"/>
    <w:rsid w:val="00B816EF"/>
    <w:rsid w:val="00B81D4D"/>
    <w:rsid w:val="00B825F0"/>
    <w:rsid w:val="00B838E8"/>
    <w:rsid w:val="00B83A0E"/>
    <w:rsid w:val="00B85AD1"/>
    <w:rsid w:val="00B861AA"/>
    <w:rsid w:val="00B862B7"/>
    <w:rsid w:val="00B8630F"/>
    <w:rsid w:val="00B86BBF"/>
    <w:rsid w:val="00B90672"/>
    <w:rsid w:val="00B90DAC"/>
    <w:rsid w:val="00B91071"/>
    <w:rsid w:val="00B9108E"/>
    <w:rsid w:val="00B91B29"/>
    <w:rsid w:val="00B91CF9"/>
    <w:rsid w:val="00B92235"/>
    <w:rsid w:val="00B939F8"/>
    <w:rsid w:val="00B93AC6"/>
    <w:rsid w:val="00B947A7"/>
    <w:rsid w:val="00B94A1C"/>
    <w:rsid w:val="00B94A51"/>
    <w:rsid w:val="00B95927"/>
    <w:rsid w:val="00B95A16"/>
    <w:rsid w:val="00B95BC9"/>
    <w:rsid w:val="00B95F70"/>
    <w:rsid w:val="00B95F8A"/>
    <w:rsid w:val="00B96291"/>
    <w:rsid w:val="00B96B64"/>
    <w:rsid w:val="00B96D93"/>
    <w:rsid w:val="00B97629"/>
    <w:rsid w:val="00B977EB"/>
    <w:rsid w:val="00BA07AA"/>
    <w:rsid w:val="00BA086D"/>
    <w:rsid w:val="00BA0B54"/>
    <w:rsid w:val="00BA110F"/>
    <w:rsid w:val="00BA141F"/>
    <w:rsid w:val="00BA1953"/>
    <w:rsid w:val="00BA1EAB"/>
    <w:rsid w:val="00BA28A5"/>
    <w:rsid w:val="00BA2DB3"/>
    <w:rsid w:val="00BA32D6"/>
    <w:rsid w:val="00BA341E"/>
    <w:rsid w:val="00BA34C0"/>
    <w:rsid w:val="00BA3627"/>
    <w:rsid w:val="00BA39D7"/>
    <w:rsid w:val="00BA3C6E"/>
    <w:rsid w:val="00BA430E"/>
    <w:rsid w:val="00BA442D"/>
    <w:rsid w:val="00BA4740"/>
    <w:rsid w:val="00BA4E6F"/>
    <w:rsid w:val="00BA5096"/>
    <w:rsid w:val="00BA60F4"/>
    <w:rsid w:val="00BA6485"/>
    <w:rsid w:val="00BA6950"/>
    <w:rsid w:val="00BA6A50"/>
    <w:rsid w:val="00BA6E14"/>
    <w:rsid w:val="00BB065E"/>
    <w:rsid w:val="00BB118F"/>
    <w:rsid w:val="00BB19B1"/>
    <w:rsid w:val="00BB2122"/>
    <w:rsid w:val="00BB271F"/>
    <w:rsid w:val="00BB2737"/>
    <w:rsid w:val="00BB29FB"/>
    <w:rsid w:val="00BB2BEE"/>
    <w:rsid w:val="00BB30A0"/>
    <w:rsid w:val="00BB31C5"/>
    <w:rsid w:val="00BB45DC"/>
    <w:rsid w:val="00BB48B3"/>
    <w:rsid w:val="00BB56C3"/>
    <w:rsid w:val="00BB5710"/>
    <w:rsid w:val="00BB6059"/>
    <w:rsid w:val="00BB65DF"/>
    <w:rsid w:val="00BB6F28"/>
    <w:rsid w:val="00BB7060"/>
    <w:rsid w:val="00BB714B"/>
    <w:rsid w:val="00BC0698"/>
    <w:rsid w:val="00BC10F4"/>
    <w:rsid w:val="00BC1261"/>
    <w:rsid w:val="00BC1624"/>
    <w:rsid w:val="00BC1F0E"/>
    <w:rsid w:val="00BC2827"/>
    <w:rsid w:val="00BC286A"/>
    <w:rsid w:val="00BC2AD1"/>
    <w:rsid w:val="00BC3135"/>
    <w:rsid w:val="00BC32B8"/>
    <w:rsid w:val="00BC36EA"/>
    <w:rsid w:val="00BC3811"/>
    <w:rsid w:val="00BC4372"/>
    <w:rsid w:val="00BC45E5"/>
    <w:rsid w:val="00BC4BBD"/>
    <w:rsid w:val="00BC5D12"/>
    <w:rsid w:val="00BC6532"/>
    <w:rsid w:val="00BC7403"/>
    <w:rsid w:val="00BC7F6B"/>
    <w:rsid w:val="00BC7F82"/>
    <w:rsid w:val="00BD029E"/>
    <w:rsid w:val="00BD0537"/>
    <w:rsid w:val="00BD0A17"/>
    <w:rsid w:val="00BD1C36"/>
    <w:rsid w:val="00BD1CC7"/>
    <w:rsid w:val="00BD35E9"/>
    <w:rsid w:val="00BD413A"/>
    <w:rsid w:val="00BD4BBD"/>
    <w:rsid w:val="00BD51B4"/>
    <w:rsid w:val="00BD5728"/>
    <w:rsid w:val="00BD5857"/>
    <w:rsid w:val="00BD5F07"/>
    <w:rsid w:val="00BD65FB"/>
    <w:rsid w:val="00BD6969"/>
    <w:rsid w:val="00BD6D76"/>
    <w:rsid w:val="00BD6D8A"/>
    <w:rsid w:val="00BD6E60"/>
    <w:rsid w:val="00BD7304"/>
    <w:rsid w:val="00BE04D3"/>
    <w:rsid w:val="00BE06EE"/>
    <w:rsid w:val="00BE0A4B"/>
    <w:rsid w:val="00BE0C22"/>
    <w:rsid w:val="00BE0E0C"/>
    <w:rsid w:val="00BE0FD5"/>
    <w:rsid w:val="00BE112E"/>
    <w:rsid w:val="00BE155A"/>
    <w:rsid w:val="00BE2003"/>
    <w:rsid w:val="00BE21D3"/>
    <w:rsid w:val="00BE2718"/>
    <w:rsid w:val="00BE3434"/>
    <w:rsid w:val="00BE492C"/>
    <w:rsid w:val="00BE4F76"/>
    <w:rsid w:val="00BE51A6"/>
    <w:rsid w:val="00BE5A45"/>
    <w:rsid w:val="00BE6266"/>
    <w:rsid w:val="00BE634D"/>
    <w:rsid w:val="00BE67F7"/>
    <w:rsid w:val="00BE6A6F"/>
    <w:rsid w:val="00BE6F12"/>
    <w:rsid w:val="00BE775C"/>
    <w:rsid w:val="00BE7BC5"/>
    <w:rsid w:val="00BE7E56"/>
    <w:rsid w:val="00BE7E9E"/>
    <w:rsid w:val="00BF00C7"/>
    <w:rsid w:val="00BF01C2"/>
    <w:rsid w:val="00BF03E1"/>
    <w:rsid w:val="00BF165B"/>
    <w:rsid w:val="00BF1683"/>
    <w:rsid w:val="00BF1B5B"/>
    <w:rsid w:val="00BF2CB0"/>
    <w:rsid w:val="00BF3439"/>
    <w:rsid w:val="00BF3F1A"/>
    <w:rsid w:val="00BF44CA"/>
    <w:rsid w:val="00BF4E04"/>
    <w:rsid w:val="00BF5322"/>
    <w:rsid w:val="00BF5EA1"/>
    <w:rsid w:val="00BF68BB"/>
    <w:rsid w:val="00BF6AAF"/>
    <w:rsid w:val="00BF7324"/>
    <w:rsid w:val="00C0002A"/>
    <w:rsid w:val="00C0034F"/>
    <w:rsid w:val="00C00560"/>
    <w:rsid w:val="00C021C5"/>
    <w:rsid w:val="00C02D25"/>
    <w:rsid w:val="00C02D2C"/>
    <w:rsid w:val="00C03432"/>
    <w:rsid w:val="00C0357A"/>
    <w:rsid w:val="00C042F9"/>
    <w:rsid w:val="00C0441B"/>
    <w:rsid w:val="00C04984"/>
    <w:rsid w:val="00C051F2"/>
    <w:rsid w:val="00C05C11"/>
    <w:rsid w:val="00C06111"/>
    <w:rsid w:val="00C064EE"/>
    <w:rsid w:val="00C06B89"/>
    <w:rsid w:val="00C06D80"/>
    <w:rsid w:val="00C07C5A"/>
    <w:rsid w:val="00C1065E"/>
    <w:rsid w:val="00C10C1A"/>
    <w:rsid w:val="00C115C0"/>
    <w:rsid w:val="00C11898"/>
    <w:rsid w:val="00C119BB"/>
    <w:rsid w:val="00C11AA6"/>
    <w:rsid w:val="00C11AB9"/>
    <w:rsid w:val="00C11CA4"/>
    <w:rsid w:val="00C11FE9"/>
    <w:rsid w:val="00C1201F"/>
    <w:rsid w:val="00C121F1"/>
    <w:rsid w:val="00C122A6"/>
    <w:rsid w:val="00C12544"/>
    <w:rsid w:val="00C12CB6"/>
    <w:rsid w:val="00C130F5"/>
    <w:rsid w:val="00C131D2"/>
    <w:rsid w:val="00C13EDC"/>
    <w:rsid w:val="00C150D0"/>
    <w:rsid w:val="00C16403"/>
    <w:rsid w:val="00C17148"/>
    <w:rsid w:val="00C17AE5"/>
    <w:rsid w:val="00C17B47"/>
    <w:rsid w:val="00C204EA"/>
    <w:rsid w:val="00C20B9C"/>
    <w:rsid w:val="00C20C45"/>
    <w:rsid w:val="00C210F7"/>
    <w:rsid w:val="00C21D01"/>
    <w:rsid w:val="00C21E86"/>
    <w:rsid w:val="00C230F1"/>
    <w:rsid w:val="00C247FB"/>
    <w:rsid w:val="00C24B86"/>
    <w:rsid w:val="00C25E66"/>
    <w:rsid w:val="00C25EB9"/>
    <w:rsid w:val="00C26341"/>
    <w:rsid w:val="00C268D3"/>
    <w:rsid w:val="00C26AD3"/>
    <w:rsid w:val="00C26E86"/>
    <w:rsid w:val="00C304FF"/>
    <w:rsid w:val="00C30901"/>
    <w:rsid w:val="00C30D57"/>
    <w:rsid w:val="00C32F8A"/>
    <w:rsid w:val="00C32FA3"/>
    <w:rsid w:val="00C334A7"/>
    <w:rsid w:val="00C33815"/>
    <w:rsid w:val="00C339E1"/>
    <w:rsid w:val="00C33A90"/>
    <w:rsid w:val="00C33A9A"/>
    <w:rsid w:val="00C33AC8"/>
    <w:rsid w:val="00C33AE1"/>
    <w:rsid w:val="00C33D1F"/>
    <w:rsid w:val="00C340C4"/>
    <w:rsid w:val="00C34279"/>
    <w:rsid w:val="00C34674"/>
    <w:rsid w:val="00C347C9"/>
    <w:rsid w:val="00C349C9"/>
    <w:rsid w:val="00C34B03"/>
    <w:rsid w:val="00C3522F"/>
    <w:rsid w:val="00C35435"/>
    <w:rsid w:val="00C355C2"/>
    <w:rsid w:val="00C35AC2"/>
    <w:rsid w:val="00C35C00"/>
    <w:rsid w:val="00C35DE2"/>
    <w:rsid w:val="00C36445"/>
    <w:rsid w:val="00C36ADC"/>
    <w:rsid w:val="00C36F83"/>
    <w:rsid w:val="00C37748"/>
    <w:rsid w:val="00C37BCF"/>
    <w:rsid w:val="00C37CF4"/>
    <w:rsid w:val="00C403B7"/>
    <w:rsid w:val="00C40421"/>
    <w:rsid w:val="00C40DD7"/>
    <w:rsid w:val="00C4102A"/>
    <w:rsid w:val="00C41260"/>
    <w:rsid w:val="00C41F5F"/>
    <w:rsid w:val="00C42673"/>
    <w:rsid w:val="00C42DFF"/>
    <w:rsid w:val="00C42E08"/>
    <w:rsid w:val="00C43412"/>
    <w:rsid w:val="00C434F5"/>
    <w:rsid w:val="00C43FE4"/>
    <w:rsid w:val="00C441BB"/>
    <w:rsid w:val="00C44354"/>
    <w:rsid w:val="00C46244"/>
    <w:rsid w:val="00C464E2"/>
    <w:rsid w:val="00C46BDD"/>
    <w:rsid w:val="00C46D11"/>
    <w:rsid w:val="00C4778D"/>
    <w:rsid w:val="00C47DAA"/>
    <w:rsid w:val="00C5008D"/>
    <w:rsid w:val="00C5032C"/>
    <w:rsid w:val="00C50493"/>
    <w:rsid w:val="00C50561"/>
    <w:rsid w:val="00C508C1"/>
    <w:rsid w:val="00C513C3"/>
    <w:rsid w:val="00C517D7"/>
    <w:rsid w:val="00C51FF1"/>
    <w:rsid w:val="00C52D85"/>
    <w:rsid w:val="00C52EAA"/>
    <w:rsid w:val="00C533D9"/>
    <w:rsid w:val="00C534FF"/>
    <w:rsid w:val="00C53799"/>
    <w:rsid w:val="00C543A2"/>
    <w:rsid w:val="00C54B58"/>
    <w:rsid w:val="00C55F22"/>
    <w:rsid w:val="00C561FD"/>
    <w:rsid w:val="00C56417"/>
    <w:rsid w:val="00C567C8"/>
    <w:rsid w:val="00C574B9"/>
    <w:rsid w:val="00C60A88"/>
    <w:rsid w:val="00C62752"/>
    <w:rsid w:val="00C629F6"/>
    <w:rsid w:val="00C62A0B"/>
    <w:rsid w:val="00C6315B"/>
    <w:rsid w:val="00C6323E"/>
    <w:rsid w:val="00C63944"/>
    <w:rsid w:val="00C64C43"/>
    <w:rsid w:val="00C64C51"/>
    <w:rsid w:val="00C65581"/>
    <w:rsid w:val="00C6670C"/>
    <w:rsid w:val="00C70FA6"/>
    <w:rsid w:val="00C7143A"/>
    <w:rsid w:val="00C7162D"/>
    <w:rsid w:val="00C727FD"/>
    <w:rsid w:val="00C72804"/>
    <w:rsid w:val="00C729FE"/>
    <w:rsid w:val="00C72B72"/>
    <w:rsid w:val="00C72D18"/>
    <w:rsid w:val="00C72E4E"/>
    <w:rsid w:val="00C7305A"/>
    <w:rsid w:val="00C7318A"/>
    <w:rsid w:val="00C73715"/>
    <w:rsid w:val="00C73951"/>
    <w:rsid w:val="00C73968"/>
    <w:rsid w:val="00C73BFF"/>
    <w:rsid w:val="00C7427D"/>
    <w:rsid w:val="00C74DA7"/>
    <w:rsid w:val="00C74E7A"/>
    <w:rsid w:val="00C75370"/>
    <w:rsid w:val="00C77425"/>
    <w:rsid w:val="00C7754C"/>
    <w:rsid w:val="00C77557"/>
    <w:rsid w:val="00C77FCC"/>
    <w:rsid w:val="00C80226"/>
    <w:rsid w:val="00C807B5"/>
    <w:rsid w:val="00C80A07"/>
    <w:rsid w:val="00C80A0C"/>
    <w:rsid w:val="00C80C39"/>
    <w:rsid w:val="00C80C52"/>
    <w:rsid w:val="00C816AD"/>
    <w:rsid w:val="00C82353"/>
    <w:rsid w:val="00C828AB"/>
    <w:rsid w:val="00C82E04"/>
    <w:rsid w:val="00C8325B"/>
    <w:rsid w:val="00C835A9"/>
    <w:rsid w:val="00C83662"/>
    <w:rsid w:val="00C83B9D"/>
    <w:rsid w:val="00C84117"/>
    <w:rsid w:val="00C84DC5"/>
    <w:rsid w:val="00C84FB1"/>
    <w:rsid w:val="00C86108"/>
    <w:rsid w:val="00C86705"/>
    <w:rsid w:val="00C869F3"/>
    <w:rsid w:val="00C900CC"/>
    <w:rsid w:val="00C90382"/>
    <w:rsid w:val="00C9054D"/>
    <w:rsid w:val="00C90B46"/>
    <w:rsid w:val="00C9136B"/>
    <w:rsid w:val="00C91598"/>
    <w:rsid w:val="00C919F9"/>
    <w:rsid w:val="00C926A1"/>
    <w:rsid w:val="00C927CF"/>
    <w:rsid w:val="00C932B4"/>
    <w:rsid w:val="00C9403E"/>
    <w:rsid w:val="00C94094"/>
    <w:rsid w:val="00C94709"/>
    <w:rsid w:val="00C94D8E"/>
    <w:rsid w:val="00C94E66"/>
    <w:rsid w:val="00C975C0"/>
    <w:rsid w:val="00C97A2A"/>
    <w:rsid w:val="00C97C61"/>
    <w:rsid w:val="00CA0356"/>
    <w:rsid w:val="00CA09FE"/>
    <w:rsid w:val="00CA0A06"/>
    <w:rsid w:val="00CA0E6C"/>
    <w:rsid w:val="00CA11EC"/>
    <w:rsid w:val="00CA1435"/>
    <w:rsid w:val="00CA1869"/>
    <w:rsid w:val="00CA2492"/>
    <w:rsid w:val="00CA33CA"/>
    <w:rsid w:val="00CA38B7"/>
    <w:rsid w:val="00CA3ABE"/>
    <w:rsid w:val="00CA41D2"/>
    <w:rsid w:val="00CA45B1"/>
    <w:rsid w:val="00CA5C98"/>
    <w:rsid w:val="00CA6328"/>
    <w:rsid w:val="00CA674C"/>
    <w:rsid w:val="00CA732A"/>
    <w:rsid w:val="00CA7B74"/>
    <w:rsid w:val="00CA7EC0"/>
    <w:rsid w:val="00CB0A4A"/>
    <w:rsid w:val="00CB2E94"/>
    <w:rsid w:val="00CB364F"/>
    <w:rsid w:val="00CB3BB3"/>
    <w:rsid w:val="00CB407F"/>
    <w:rsid w:val="00CB4EAD"/>
    <w:rsid w:val="00CB5184"/>
    <w:rsid w:val="00CB53CF"/>
    <w:rsid w:val="00CB56BE"/>
    <w:rsid w:val="00CB59C3"/>
    <w:rsid w:val="00CB5D01"/>
    <w:rsid w:val="00CB621E"/>
    <w:rsid w:val="00CB639E"/>
    <w:rsid w:val="00CB669D"/>
    <w:rsid w:val="00CB67E9"/>
    <w:rsid w:val="00CB6F20"/>
    <w:rsid w:val="00CB7025"/>
    <w:rsid w:val="00CB75CF"/>
    <w:rsid w:val="00CB78CB"/>
    <w:rsid w:val="00CB7F15"/>
    <w:rsid w:val="00CC0328"/>
    <w:rsid w:val="00CC1191"/>
    <w:rsid w:val="00CC1615"/>
    <w:rsid w:val="00CC1B7C"/>
    <w:rsid w:val="00CC1FC1"/>
    <w:rsid w:val="00CC21E7"/>
    <w:rsid w:val="00CC2995"/>
    <w:rsid w:val="00CC3CD5"/>
    <w:rsid w:val="00CC40E3"/>
    <w:rsid w:val="00CC4A1F"/>
    <w:rsid w:val="00CC4E82"/>
    <w:rsid w:val="00CC5342"/>
    <w:rsid w:val="00CC548F"/>
    <w:rsid w:val="00CC5EA4"/>
    <w:rsid w:val="00CC6235"/>
    <w:rsid w:val="00CC6759"/>
    <w:rsid w:val="00CC6CA9"/>
    <w:rsid w:val="00CC6D1F"/>
    <w:rsid w:val="00CC6E61"/>
    <w:rsid w:val="00CC6EC1"/>
    <w:rsid w:val="00CC6EEF"/>
    <w:rsid w:val="00CC76D4"/>
    <w:rsid w:val="00CC7822"/>
    <w:rsid w:val="00CC7928"/>
    <w:rsid w:val="00CC79C6"/>
    <w:rsid w:val="00CC7B39"/>
    <w:rsid w:val="00CD0615"/>
    <w:rsid w:val="00CD1F1A"/>
    <w:rsid w:val="00CD2286"/>
    <w:rsid w:val="00CD2681"/>
    <w:rsid w:val="00CD3065"/>
    <w:rsid w:val="00CD310F"/>
    <w:rsid w:val="00CD384D"/>
    <w:rsid w:val="00CD3B4D"/>
    <w:rsid w:val="00CD3E47"/>
    <w:rsid w:val="00CD3E82"/>
    <w:rsid w:val="00CD4F88"/>
    <w:rsid w:val="00CD4FA7"/>
    <w:rsid w:val="00CD50A5"/>
    <w:rsid w:val="00CD5734"/>
    <w:rsid w:val="00CD6DC1"/>
    <w:rsid w:val="00CD7084"/>
    <w:rsid w:val="00CD70D4"/>
    <w:rsid w:val="00CD71B6"/>
    <w:rsid w:val="00CD7313"/>
    <w:rsid w:val="00CE0206"/>
    <w:rsid w:val="00CE044D"/>
    <w:rsid w:val="00CE05A0"/>
    <w:rsid w:val="00CE0C7A"/>
    <w:rsid w:val="00CE0CFF"/>
    <w:rsid w:val="00CE1D31"/>
    <w:rsid w:val="00CE1F30"/>
    <w:rsid w:val="00CE233F"/>
    <w:rsid w:val="00CE2C93"/>
    <w:rsid w:val="00CE303B"/>
    <w:rsid w:val="00CE385F"/>
    <w:rsid w:val="00CE3A8B"/>
    <w:rsid w:val="00CE414F"/>
    <w:rsid w:val="00CE4301"/>
    <w:rsid w:val="00CE49E3"/>
    <w:rsid w:val="00CE4B21"/>
    <w:rsid w:val="00CE4CC2"/>
    <w:rsid w:val="00CE531C"/>
    <w:rsid w:val="00CE587D"/>
    <w:rsid w:val="00CE58C6"/>
    <w:rsid w:val="00CE659D"/>
    <w:rsid w:val="00CE66FE"/>
    <w:rsid w:val="00CE6CBC"/>
    <w:rsid w:val="00CE6F51"/>
    <w:rsid w:val="00CE7097"/>
    <w:rsid w:val="00CE78A6"/>
    <w:rsid w:val="00CE7DF4"/>
    <w:rsid w:val="00CF0274"/>
    <w:rsid w:val="00CF037C"/>
    <w:rsid w:val="00CF0728"/>
    <w:rsid w:val="00CF08DB"/>
    <w:rsid w:val="00CF1762"/>
    <w:rsid w:val="00CF181C"/>
    <w:rsid w:val="00CF22D0"/>
    <w:rsid w:val="00CF2C6D"/>
    <w:rsid w:val="00CF2C9C"/>
    <w:rsid w:val="00CF2FAA"/>
    <w:rsid w:val="00CF423A"/>
    <w:rsid w:val="00CF4810"/>
    <w:rsid w:val="00CF594F"/>
    <w:rsid w:val="00CF5964"/>
    <w:rsid w:val="00CF642A"/>
    <w:rsid w:val="00CF6586"/>
    <w:rsid w:val="00CF6A0C"/>
    <w:rsid w:val="00CF7F6D"/>
    <w:rsid w:val="00D0002D"/>
    <w:rsid w:val="00D01142"/>
    <w:rsid w:val="00D011F9"/>
    <w:rsid w:val="00D014A0"/>
    <w:rsid w:val="00D01863"/>
    <w:rsid w:val="00D0199F"/>
    <w:rsid w:val="00D01E20"/>
    <w:rsid w:val="00D02010"/>
    <w:rsid w:val="00D02C06"/>
    <w:rsid w:val="00D02FC5"/>
    <w:rsid w:val="00D03604"/>
    <w:rsid w:val="00D0458F"/>
    <w:rsid w:val="00D046BF"/>
    <w:rsid w:val="00D048F1"/>
    <w:rsid w:val="00D05A4F"/>
    <w:rsid w:val="00D07A40"/>
    <w:rsid w:val="00D104C9"/>
    <w:rsid w:val="00D10613"/>
    <w:rsid w:val="00D11E45"/>
    <w:rsid w:val="00D12A93"/>
    <w:rsid w:val="00D13278"/>
    <w:rsid w:val="00D13BDE"/>
    <w:rsid w:val="00D13C50"/>
    <w:rsid w:val="00D150F1"/>
    <w:rsid w:val="00D15109"/>
    <w:rsid w:val="00D152FC"/>
    <w:rsid w:val="00D15B50"/>
    <w:rsid w:val="00D15B9D"/>
    <w:rsid w:val="00D15C75"/>
    <w:rsid w:val="00D15F47"/>
    <w:rsid w:val="00D16060"/>
    <w:rsid w:val="00D16AAD"/>
    <w:rsid w:val="00D173DE"/>
    <w:rsid w:val="00D1777D"/>
    <w:rsid w:val="00D17B3F"/>
    <w:rsid w:val="00D20526"/>
    <w:rsid w:val="00D2095A"/>
    <w:rsid w:val="00D20A76"/>
    <w:rsid w:val="00D20D36"/>
    <w:rsid w:val="00D20EC0"/>
    <w:rsid w:val="00D20FBE"/>
    <w:rsid w:val="00D21261"/>
    <w:rsid w:val="00D219EE"/>
    <w:rsid w:val="00D21FC5"/>
    <w:rsid w:val="00D23896"/>
    <w:rsid w:val="00D23F8E"/>
    <w:rsid w:val="00D243BC"/>
    <w:rsid w:val="00D24644"/>
    <w:rsid w:val="00D25265"/>
    <w:rsid w:val="00D25D8D"/>
    <w:rsid w:val="00D261D1"/>
    <w:rsid w:val="00D26430"/>
    <w:rsid w:val="00D26573"/>
    <w:rsid w:val="00D267A4"/>
    <w:rsid w:val="00D26981"/>
    <w:rsid w:val="00D2699A"/>
    <w:rsid w:val="00D26EF1"/>
    <w:rsid w:val="00D274F8"/>
    <w:rsid w:val="00D27B65"/>
    <w:rsid w:val="00D27BE3"/>
    <w:rsid w:val="00D27CE5"/>
    <w:rsid w:val="00D302D9"/>
    <w:rsid w:val="00D312E6"/>
    <w:rsid w:val="00D31845"/>
    <w:rsid w:val="00D3250B"/>
    <w:rsid w:val="00D3257F"/>
    <w:rsid w:val="00D32B51"/>
    <w:rsid w:val="00D32E39"/>
    <w:rsid w:val="00D331BA"/>
    <w:rsid w:val="00D339BE"/>
    <w:rsid w:val="00D33A88"/>
    <w:rsid w:val="00D34925"/>
    <w:rsid w:val="00D34928"/>
    <w:rsid w:val="00D34E0B"/>
    <w:rsid w:val="00D354CB"/>
    <w:rsid w:val="00D35832"/>
    <w:rsid w:val="00D35AB5"/>
    <w:rsid w:val="00D36CAE"/>
    <w:rsid w:val="00D36CC2"/>
    <w:rsid w:val="00D375E4"/>
    <w:rsid w:val="00D3782B"/>
    <w:rsid w:val="00D37A2C"/>
    <w:rsid w:val="00D37BF0"/>
    <w:rsid w:val="00D37F14"/>
    <w:rsid w:val="00D40727"/>
    <w:rsid w:val="00D409AB"/>
    <w:rsid w:val="00D40C1F"/>
    <w:rsid w:val="00D40F87"/>
    <w:rsid w:val="00D418E4"/>
    <w:rsid w:val="00D42B85"/>
    <w:rsid w:val="00D42CAE"/>
    <w:rsid w:val="00D42DA9"/>
    <w:rsid w:val="00D43AEC"/>
    <w:rsid w:val="00D4457A"/>
    <w:rsid w:val="00D454FA"/>
    <w:rsid w:val="00D45C4B"/>
    <w:rsid w:val="00D4687C"/>
    <w:rsid w:val="00D471C4"/>
    <w:rsid w:val="00D472C1"/>
    <w:rsid w:val="00D47705"/>
    <w:rsid w:val="00D47ADE"/>
    <w:rsid w:val="00D47C91"/>
    <w:rsid w:val="00D50409"/>
    <w:rsid w:val="00D50682"/>
    <w:rsid w:val="00D51893"/>
    <w:rsid w:val="00D523FA"/>
    <w:rsid w:val="00D528F3"/>
    <w:rsid w:val="00D52A4C"/>
    <w:rsid w:val="00D53368"/>
    <w:rsid w:val="00D5352B"/>
    <w:rsid w:val="00D5394F"/>
    <w:rsid w:val="00D542F9"/>
    <w:rsid w:val="00D54A9B"/>
    <w:rsid w:val="00D54C8B"/>
    <w:rsid w:val="00D54E56"/>
    <w:rsid w:val="00D55AFD"/>
    <w:rsid w:val="00D56057"/>
    <w:rsid w:val="00D56080"/>
    <w:rsid w:val="00D57A73"/>
    <w:rsid w:val="00D57FE5"/>
    <w:rsid w:val="00D600DC"/>
    <w:rsid w:val="00D605A9"/>
    <w:rsid w:val="00D608EB"/>
    <w:rsid w:val="00D60982"/>
    <w:rsid w:val="00D6260B"/>
    <w:rsid w:val="00D62772"/>
    <w:rsid w:val="00D62914"/>
    <w:rsid w:val="00D62DC3"/>
    <w:rsid w:val="00D630B7"/>
    <w:rsid w:val="00D6313E"/>
    <w:rsid w:val="00D63340"/>
    <w:rsid w:val="00D635CA"/>
    <w:rsid w:val="00D63805"/>
    <w:rsid w:val="00D6392C"/>
    <w:rsid w:val="00D63A53"/>
    <w:rsid w:val="00D63ACA"/>
    <w:rsid w:val="00D64E45"/>
    <w:rsid w:val="00D65094"/>
    <w:rsid w:val="00D650E7"/>
    <w:rsid w:val="00D655D8"/>
    <w:rsid w:val="00D65D2F"/>
    <w:rsid w:val="00D669AA"/>
    <w:rsid w:val="00D67136"/>
    <w:rsid w:val="00D6714F"/>
    <w:rsid w:val="00D6721C"/>
    <w:rsid w:val="00D676B6"/>
    <w:rsid w:val="00D67E6B"/>
    <w:rsid w:val="00D700CE"/>
    <w:rsid w:val="00D703AB"/>
    <w:rsid w:val="00D704A1"/>
    <w:rsid w:val="00D70A72"/>
    <w:rsid w:val="00D715DF"/>
    <w:rsid w:val="00D716ED"/>
    <w:rsid w:val="00D71744"/>
    <w:rsid w:val="00D71899"/>
    <w:rsid w:val="00D72D38"/>
    <w:rsid w:val="00D72E3B"/>
    <w:rsid w:val="00D730AD"/>
    <w:rsid w:val="00D73336"/>
    <w:rsid w:val="00D7354F"/>
    <w:rsid w:val="00D73EF9"/>
    <w:rsid w:val="00D744E1"/>
    <w:rsid w:val="00D7459A"/>
    <w:rsid w:val="00D747E4"/>
    <w:rsid w:val="00D74886"/>
    <w:rsid w:val="00D76226"/>
    <w:rsid w:val="00D7635E"/>
    <w:rsid w:val="00D76381"/>
    <w:rsid w:val="00D7748B"/>
    <w:rsid w:val="00D77C32"/>
    <w:rsid w:val="00D77DA4"/>
    <w:rsid w:val="00D80200"/>
    <w:rsid w:val="00D8051F"/>
    <w:rsid w:val="00D80890"/>
    <w:rsid w:val="00D80D04"/>
    <w:rsid w:val="00D81020"/>
    <w:rsid w:val="00D81939"/>
    <w:rsid w:val="00D823CC"/>
    <w:rsid w:val="00D83477"/>
    <w:rsid w:val="00D8378D"/>
    <w:rsid w:val="00D83815"/>
    <w:rsid w:val="00D84FBE"/>
    <w:rsid w:val="00D85012"/>
    <w:rsid w:val="00D8551A"/>
    <w:rsid w:val="00D85DCC"/>
    <w:rsid w:val="00D86295"/>
    <w:rsid w:val="00D8636E"/>
    <w:rsid w:val="00D867D4"/>
    <w:rsid w:val="00D87B59"/>
    <w:rsid w:val="00D87BA6"/>
    <w:rsid w:val="00D90862"/>
    <w:rsid w:val="00D90A50"/>
    <w:rsid w:val="00D91190"/>
    <w:rsid w:val="00D91393"/>
    <w:rsid w:val="00D921E1"/>
    <w:rsid w:val="00D92573"/>
    <w:rsid w:val="00D92775"/>
    <w:rsid w:val="00D9285D"/>
    <w:rsid w:val="00D92D4E"/>
    <w:rsid w:val="00D948B2"/>
    <w:rsid w:val="00D94A11"/>
    <w:rsid w:val="00D95A6D"/>
    <w:rsid w:val="00D96C0D"/>
    <w:rsid w:val="00D976A8"/>
    <w:rsid w:val="00D97E86"/>
    <w:rsid w:val="00DA049E"/>
    <w:rsid w:val="00DA05E8"/>
    <w:rsid w:val="00DA0C08"/>
    <w:rsid w:val="00DA125F"/>
    <w:rsid w:val="00DA174A"/>
    <w:rsid w:val="00DA1B53"/>
    <w:rsid w:val="00DA2372"/>
    <w:rsid w:val="00DA2993"/>
    <w:rsid w:val="00DA3779"/>
    <w:rsid w:val="00DA37B8"/>
    <w:rsid w:val="00DA3AE9"/>
    <w:rsid w:val="00DA4512"/>
    <w:rsid w:val="00DA541A"/>
    <w:rsid w:val="00DA555B"/>
    <w:rsid w:val="00DA68EC"/>
    <w:rsid w:val="00DA6BB0"/>
    <w:rsid w:val="00DA6C2B"/>
    <w:rsid w:val="00DA6CAB"/>
    <w:rsid w:val="00DA7EA3"/>
    <w:rsid w:val="00DB0355"/>
    <w:rsid w:val="00DB0EDF"/>
    <w:rsid w:val="00DB1E09"/>
    <w:rsid w:val="00DB2082"/>
    <w:rsid w:val="00DB2D0D"/>
    <w:rsid w:val="00DB3668"/>
    <w:rsid w:val="00DB4575"/>
    <w:rsid w:val="00DB4AF5"/>
    <w:rsid w:val="00DB6BF4"/>
    <w:rsid w:val="00DB73A6"/>
    <w:rsid w:val="00DC00AF"/>
    <w:rsid w:val="00DC01C8"/>
    <w:rsid w:val="00DC0236"/>
    <w:rsid w:val="00DC027C"/>
    <w:rsid w:val="00DC0CDB"/>
    <w:rsid w:val="00DC1347"/>
    <w:rsid w:val="00DC1AD4"/>
    <w:rsid w:val="00DC1C4E"/>
    <w:rsid w:val="00DC1E43"/>
    <w:rsid w:val="00DC2CC7"/>
    <w:rsid w:val="00DC2ED0"/>
    <w:rsid w:val="00DC36E7"/>
    <w:rsid w:val="00DC44C8"/>
    <w:rsid w:val="00DC5C84"/>
    <w:rsid w:val="00DC675B"/>
    <w:rsid w:val="00DC67C0"/>
    <w:rsid w:val="00DC6EF3"/>
    <w:rsid w:val="00DC6F37"/>
    <w:rsid w:val="00DC7827"/>
    <w:rsid w:val="00DD08A8"/>
    <w:rsid w:val="00DD09B5"/>
    <w:rsid w:val="00DD13C8"/>
    <w:rsid w:val="00DD14D2"/>
    <w:rsid w:val="00DD1E6D"/>
    <w:rsid w:val="00DD246F"/>
    <w:rsid w:val="00DD2599"/>
    <w:rsid w:val="00DD28DA"/>
    <w:rsid w:val="00DD2AD3"/>
    <w:rsid w:val="00DD3274"/>
    <w:rsid w:val="00DD43CB"/>
    <w:rsid w:val="00DD44C5"/>
    <w:rsid w:val="00DD488E"/>
    <w:rsid w:val="00DD52D1"/>
    <w:rsid w:val="00DD5D54"/>
    <w:rsid w:val="00DE04D3"/>
    <w:rsid w:val="00DE1433"/>
    <w:rsid w:val="00DE183A"/>
    <w:rsid w:val="00DE197D"/>
    <w:rsid w:val="00DE2519"/>
    <w:rsid w:val="00DE2651"/>
    <w:rsid w:val="00DE2876"/>
    <w:rsid w:val="00DE2DB9"/>
    <w:rsid w:val="00DE2F14"/>
    <w:rsid w:val="00DE360B"/>
    <w:rsid w:val="00DE3705"/>
    <w:rsid w:val="00DE407E"/>
    <w:rsid w:val="00DE480D"/>
    <w:rsid w:val="00DE5729"/>
    <w:rsid w:val="00DE577B"/>
    <w:rsid w:val="00DE59A5"/>
    <w:rsid w:val="00DE6691"/>
    <w:rsid w:val="00DE6722"/>
    <w:rsid w:val="00DE6A5F"/>
    <w:rsid w:val="00DE6F06"/>
    <w:rsid w:val="00DF0BA6"/>
    <w:rsid w:val="00DF2DE7"/>
    <w:rsid w:val="00DF4AD4"/>
    <w:rsid w:val="00DF4CA7"/>
    <w:rsid w:val="00DF5BD7"/>
    <w:rsid w:val="00DF5E7E"/>
    <w:rsid w:val="00DF6DFF"/>
    <w:rsid w:val="00DF73C6"/>
    <w:rsid w:val="00DF7AAA"/>
    <w:rsid w:val="00DF7BDF"/>
    <w:rsid w:val="00E0056E"/>
    <w:rsid w:val="00E00FE1"/>
    <w:rsid w:val="00E012C4"/>
    <w:rsid w:val="00E013B5"/>
    <w:rsid w:val="00E01D29"/>
    <w:rsid w:val="00E02123"/>
    <w:rsid w:val="00E0231F"/>
    <w:rsid w:val="00E02A9C"/>
    <w:rsid w:val="00E032EA"/>
    <w:rsid w:val="00E033C0"/>
    <w:rsid w:val="00E03BE5"/>
    <w:rsid w:val="00E03DB9"/>
    <w:rsid w:val="00E03F34"/>
    <w:rsid w:val="00E0414F"/>
    <w:rsid w:val="00E04270"/>
    <w:rsid w:val="00E04414"/>
    <w:rsid w:val="00E04FE2"/>
    <w:rsid w:val="00E05197"/>
    <w:rsid w:val="00E051FF"/>
    <w:rsid w:val="00E055B4"/>
    <w:rsid w:val="00E05DBA"/>
    <w:rsid w:val="00E05EC8"/>
    <w:rsid w:val="00E0681E"/>
    <w:rsid w:val="00E07209"/>
    <w:rsid w:val="00E075F3"/>
    <w:rsid w:val="00E10D09"/>
    <w:rsid w:val="00E11A2C"/>
    <w:rsid w:val="00E11BDB"/>
    <w:rsid w:val="00E11C10"/>
    <w:rsid w:val="00E11D6D"/>
    <w:rsid w:val="00E12B55"/>
    <w:rsid w:val="00E13A04"/>
    <w:rsid w:val="00E13DAD"/>
    <w:rsid w:val="00E152F6"/>
    <w:rsid w:val="00E15403"/>
    <w:rsid w:val="00E1541B"/>
    <w:rsid w:val="00E15467"/>
    <w:rsid w:val="00E15507"/>
    <w:rsid w:val="00E1553F"/>
    <w:rsid w:val="00E155A3"/>
    <w:rsid w:val="00E16472"/>
    <w:rsid w:val="00E16663"/>
    <w:rsid w:val="00E1675E"/>
    <w:rsid w:val="00E16794"/>
    <w:rsid w:val="00E17785"/>
    <w:rsid w:val="00E17AD9"/>
    <w:rsid w:val="00E202FC"/>
    <w:rsid w:val="00E20710"/>
    <w:rsid w:val="00E23BD0"/>
    <w:rsid w:val="00E23FE4"/>
    <w:rsid w:val="00E2510D"/>
    <w:rsid w:val="00E25D57"/>
    <w:rsid w:val="00E25FBD"/>
    <w:rsid w:val="00E26294"/>
    <w:rsid w:val="00E26CB0"/>
    <w:rsid w:val="00E27930"/>
    <w:rsid w:val="00E279E5"/>
    <w:rsid w:val="00E27E74"/>
    <w:rsid w:val="00E300E2"/>
    <w:rsid w:val="00E30EAD"/>
    <w:rsid w:val="00E310E7"/>
    <w:rsid w:val="00E31363"/>
    <w:rsid w:val="00E319C9"/>
    <w:rsid w:val="00E31A1F"/>
    <w:rsid w:val="00E33241"/>
    <w:rsid w:val="00E33751"/>
    <w:rsid w:val="00E33C5E"/>
    <w:rsid w:val="00E33CE0"/>
    <w:rsid w:val="00E34358"/>
    <w:rsid w:val="00E3443E"/>
    <w:rsid w:val="00E34497"/>
    <w:rsid w:val="00E344B7"/>
    <w:rsid w:val="00E3491E"/>
    <w:rsid w:val="00E35084"/>
    <w:rsid w:val="00E355D1"/>
    <w:rsid w:val="00E3580D"/>
    <w:rsid w:val="00E35E5A"/>
    <w:rsid w:val="00E35FF0"/>
    <w:rsid w:val="00E36322"/>
    <w:rsid w:val="00E36E2C"/>
    <w:rsid w:val="00E36FC3"/>
    <w:rsid w:val="00E37298"/>
    <w:rsid w:val="00E3787E"/>
    <w:rsid w:val="00E3798B"/>
    <w:rsid w:val="00E37CC6"/>
    <w:rsid w:val="00E37D96"/>
    <w:rsid w:val="00E401CF"/>
    <w:rsid w:val="00E4128C"/>
    <w:rsid w:val="00E4141A"/>
    <w:rsid w:val="00E4174C"/>
    <w:rsid w:val="00E4195A"/>
    <w:rsid w:val="00E41F05"/>
    <w:rsid w:val="00E4254C"/>
    <w:rsid w:val="00E4265B"/>
    <w:rsid w:val="00E43B89"/>
    <w:rsid w:val="00E43E04"/>
    <w:rsid w:val="00E44065"/>
    <w:rsid w:val="00E44245"/>
    <w:rsid w:val="00E446D3"/>
    <w:rsid w:val="00E451E9"/>
    <w:rsid w:val="00E4581A"/>
    <w:rsid w:val="00E458C2"/>
    <w:rsid w:val="00E45E1A"/>
    <w:rsid w:val="00E46620"/>
    <w:rsid w:val="00E46689"/>
    <w:rsid w:val="00E46D75"/>
    <w:rsid w:val="00E4728C"/>
    <w:rsid w:val="00E47320"/>
    <w:rsid w:val="00E47B37"/>
    <w:rsid w:val="00E50529"/>
    <w:rsid w:val="00E51332"/>
    <w:rsid w:val="00E51F62"/>
    <w:rsid w:val="00E5206E"/>
    <w:rsid w:val="00E522EC"/>
    <w:rsid w:val="00E5253E"/>
    <w:rsid w:val="00E52A39"/>
    <w:rsid w:val="00E537D1"/>
    <w:rsid w:val="00E54595"/>
    <w:rsid w:val="00E54D12"/>
    <w:rsid w:val="00E55420"/>
    <w:rsid w:val="00E556B0"/>
    <w:rsid w:val="00E556B9"/>
    <w:rsid w:val="00E55953"/>
    <w:rsid w:val="00E55AB6"/>
    <w:rsid w:val="00E55B28"/>
    <w:rsid w:val="00E55CCA"/>
    <w:rsid w:val="00E56517"/>
    <w:rsid w:val="00E570F6"/>
    <w:rsid w:val="00E57131"/>
    <w:rsid w:val="00E5786A"/>
    <w:rsid w:val="00E604F1"/>
    <w:rsid w:val="00E60D64"/>
    <w:rsid w:val="00E60F2B"/>
    <w:rsid w:val="00E6113E"/>
    <w:rsid w:val="00E614E9"/>
    <w:rsid w:val="00E616F1"/>
    <w:rsid w:val="00E61784"/>
    <w:rsid w:val="00E61B43"/>
    <w:rsid w:val="00E631F1"/>
    <w:rsid w:val="00E63471"/>
    <w:rsid w:val="00E643F5"/>
    <w:rsid w:val="00E648CC"/>
    <w:rsid w:val="00E649CC"/>
    <w:rsid w:val="00E64CE9"/>
    <w:rsid w:val="00E64D52"/>
    <w:rsid w:val="00E65183"/>
    <w:rsid w:val="00E65EA7"/>
    <w:rsid w:val="00E66253"/>
    <w:rsid w:val="00E7018B"/>
    <w:rsid w:val="00E71106"/>
    <w:rsid w:val="00E71119"/>
    <w:rsid w:val="00E7193B"/>
    <w:rsid w:val="00E71A30"/>
    <w:rsid w:val="00E72016"/>
    <w:rsid w:val="00E7217C"/>
    <w:rsid w:val="00E721C1"/>
    <w:rsid w:val="00E72208"/>
    <w:rsid w:val="00E72979"/>
    <w:rsid w:val="00E72E91"/>
    <w:rsid w:val="00E72ECE"/>
    <w:rsid w:val="00E73DC4"/>
    <w:rsid w:val="00E73DD1"/>
    <w:rsid w:val="00E743D9"/>
    <w:rsid w:val="00E74698"/>
    <w:rsid w:val="00E747AF"/>
    <w:rsid w:val="00E74AAF"/>
    <w:rsid w:val="00E75D64"/>
    <w:rsid w:val="00E76AC4"/>
    <w:rsid w:val="00E76DB9"/>
    <w:rsid w:val="00E77D3A"/>
    <w:rsid w:val="00E77DFA"/>
    <w:rsid w:val="00E81263"/>
    <w:rsid w:val="00E813CA"/>
    <w:rsid w:val="00E81B7B"/>
    <w:rsid w:val="00E81E79"/>
    <w:rsid w:val="00E82F37"/>
    <w:rsid w:val="00E83C98"/>
    <w:rsid w:val="00E848D7"/>
    <w:rsid w:val="00E84A5B"/>
    <w:rsid w:val="00E84C6C"/>
    <w:rsid w:val="00E84F0A"/>
    <w:rsid w:val="00E85500"/>
    <w:rsid w:val="00E85CEE"/>
    <w:rsid w:val="00E86295"/>
    <w:rsid w:val="00E86430"/>
    <w:rsid w:val="00E869E2"/>
    <w:rsid w:val="00E87927"/>
    <w:rsid w:val="00E879F5"/>
    <w:rsid w:val="00E87D9B"/>
    <w:rsid w:val="00E90074"/>
    <w:rsid w:val="00E911B3"/>
    <w:rsid w:val="00E91614"/>
    <w:rsid w:val="00E91D55"/>
    <w:rsid w:val="00E91E17"/>
    <w:rsid w:val="00E93482"/>
    <w:rsid w:val="00E93FD7"/>
    <w:rsid w:val="00E943F4"/>
    <w:rsid w:val="00E94586"/>
    <w:rsid w:val="00E950AB"/>
    <w:rsid w:val="00E95D38"/>
    <w:rsid w:val="00E9656B"/>
    <w:rsid w:val="00E9682C"/>
    <w:rsid w:val="00E96B72"/>
    <w:rsid w:val="00E96B7E"/>
    <w:rsid w:val="00E96D50"/>
    <w:rsid w:val="00E96FB9"/>
    <w:rsid w:val="00E974BE"/>
    <w:rsid w:val="00E975DC"/>
    <w:rsid w:val="00E97749"/>
    <w:rsid w:val="00EA0695"/>
    <w:rsid w:val="00EA10E1"/>
    <w:rsid w:val="00EA10F6"/>
    <w:rsid w:val="00EA143F"/>
    <w:rsid w:val="00EA1FF5"/>
    <w:rsid w:val="00EA2BEB"/>
    <w:rsid w:val="00EA2D50"/>
    <w:rsid w:val="00EA306B"/>
    <w:rsid w:val="00EA3A3F"/>
    <w:rsid w:val="00EA3B5B"/>
    <w:rsid w:val="00EA4698"/>
    <w:rsid w:val="00EA46BC"/>
    <w:rsid w:val="00EA49B2"/>
    <w:rsid w:val="00EA4B98"/>
    <w:rsid w:val="00EA4D7E"/>
    <w:rsid w:val="00EA51EB"/>
    <w:rsid w:val="00EA54B8"/>
    <w:rsid w:val="00EA569D"/>
    <w:rsid w:val="00EA6B74"/>
    <w:rsid w:val="00EA6D70"/>
    <w:rsid w:val="00EB01BC"/>
    <w:rsid w:val="00EB26E8"/>
    <w:rsid w:val="00EB2705"/>
    <w:rsid w:val="00EB28B2"/>
    <w:rsid w:val="00EB2B52"/>
    <w:rsid w:val="00EB2FF4"/>
    <w:rsid w:val="00EB34CC"/>
    <w:rsid w:val="00EB3BBF"/>
    <w:rsid w:val="00EB3D29"/>
    <w:rsid w:val="00EB3DDC"/>
    <w:rsid w:val="00EB642E"/>
    <w:rsid w:val="00EB6470"/>
    <w:rsid w:val="00EB6672"/>
    <w:rsid w:val="00EB7852"/>
    <w:rsid w:val="00EB7F29"/>
    <w:rsid w:val="00EC07D8"/>
    <w:rsid w:val="00EC0F9F"/>
    <w:rsid w:val="00EC1388"/>
    <w:rsid w:val="00EC20E4"/>
    <w:rsid w:val="00EC21A2"/>
    <w:rsid w:val="00EC29F5"/>
    <w:rsid w:val="00EC332D"/>
    <w:rsid w:val="00EC458B"/>
    <w:rsid w:val="00EC4755"/>
    <w:rsid w:val="00EC5AD0"/>
    <w:rsid w:val="00EC5ADB"/>
    <w:rsid w:val="00EC636A"/>
    <w:rsid w:val="00EC69A2"/>
    <w:rsid w:val="00EC6C17"/>
    <w:rsid w:val="00EC70B4"/>
    <w:rsid w:val="00ED0343"/>
    <w:rsid w:val="00ED129F"/>
    <w:rsid w:val="00ED1784"/>
    <w:rsid w:val="00ED18E9"/>
    <w:rsid w:val="00ED1BDD"/>
    <w:rsid w:val="00ED1CE4"/>
    <w:rsid w:val="00ED1E8D"/>
    <w:rsid w:val="00ED2158"/>
    <w:rsid w:val="00ED2483"/>
    <w:rsid w:val="00ED2C0A"/>
    <w:rsid w:val="00ED3E4D"/>
    <w:rsid w:val="00ED44DA"/>
    <w:rsid w:val="00ED47EE"/>
    <w:rsid w:val="00ED48BC"/>
    <w:rsid w:val="00ED49F1"/>
    <w:rsid w:val="00ED4C91"/>
    <w:rsid w:val="00ED549E"/>
    <w:rsid w:val="00ED6C4E"/>
    <w:rsid w:val="00ED7A1D"/>
    <w:rsid w:val="00ED7DB9"/>
    <w:rsid w:val="00EE01D0"/>
    <w:rsid w:val="00EE0402"/>
    <w:rsid w:val="00EE08E8"/>
    <w:rsid w:val="00EE0E30"/>
    <w:rsid w:val="00EE0F65"/>
    <w:rsid w:val="00EE11E0"/>
    <w:rsid w:val="00EE14FE"/>
    <w:rsid w:val="00EE1950"/>
    <w:rsid w:val="00EE19D4"/>
    <w:rsid w:val="00EE2980"/>
    <w:rsid w:val="00EE29AF"/>
    <w:rsid w:val="00EE2CF0"/>
    <w:rsid w:val="00EE2E2B"/>
    <w:rsid w:val="00EE35BA"/>
    <w:rsid w:val="00EE3C01"/>
    <w:rsid w:val="00EE3C39"/>
    <w:rsid w:val="00EE41B0"/>
    <w:rsid w:val="00EE422D"/>
    <w:rsid w:val="00EE48D8"/>
    <w:rsid w:val="00EE52FF"/>
    <w:rsid w:val="00EE69AE"/>
    <w:rsid w:val="00EE7309"/>
    <w:rsid w:val="00EE748F"/>
    <w:rsid w:val="00EE7497"/>
    <w:rsid w:val="00EE7E3D"/>
    <w:rsid w:val="00EE7EFF"/>
    <w:rsid w:val="00EF12BF"/>
    <w:rsid w:val="00EF27AA"/>
    <w:rsid w:val="00EF27B5"/>
    <w:rsid w:val="00EF2CEB"/>
    <w:rsid w:val="00EF35CE"/>
    <w:rsid w:val="00EF3FD1"/>
    <w:rsid w:val="00EF46F0"/>
    <w:rsid w:val="00EF47F5"/>
    <w:rsid w:val="00EF484D"/>
    <w:rsid w:val="00EF4A2E"/>
    <w:rsid w:val="00EF56C8"/>
    <w:rsid w:val="00EF56FF"/>
    <w:rsid w:val="00EF5786"/>
    <w:rsid w:val="00EF6411"/>
    <w:rsid w:val="00EF64A0"/>
    <w:rsid w:val="00EF6862"/>
    <w:rsid w:val="00EF6CA7"/>
    <w:rsid w:val="00EF6FC0"/>
    <w:rsid w:val="00EF7725"/>
    <w:rsid w:val="00EF7A02"/>
    <w:rsid w:val="00EF7DD4"/>
    <w:rsid w:val="00EF7E70"/>
    <w:rsid w:val="00F00A74"/>
    <w:rsid w:val="00F01260"/>
    <w:rsid w:val="00F012F9"/>
    <w:rsid w:val="00F019E6"/>
    <w:rsid w:val="00F01A56"/>
    <w:rsid w:val="00F01EA3"/>
    <w:rsid w:val="00F02D72"/>
    <w:rsid w:val="00F038DD"/>
    <w:rsid w:val="00F04090"/>
    <w:rsid w:val="00F0451A"/>
    <w:rsid w:val="00F052C2"/>
    <w:rsid w:val="00F05CB2"/>
    <w:rsid w:val="00F05E91"/>
    <w:rsid w:val="00F06113"/>
    <w:rsid w:val="00F06A04"/>
    <w:rsid w:val="00F06C41"/>
    <w:rsid w:val="00F06C6D"/>
    <w:rsid w:val="00F06F45"/>
    <w:rsid w:val="00F06F7C"/>
    <w:rsid w:val="00F070CB"/>
    <w:rsid w:val="00F07C7F"/>
    <w:rsid w:val="00F109C9"/>
    <w:rsid w:val="00F10E94"/>
    <w:rsid w:val="00F10FA6"/>
    <w:rsid w:val="00F117B5"/>
    <w:rsid w:val="00F117ED"/>
    <w:rsid w:val="00F11A46"/>
    <w:rsid w:val="00F12CA8"/>
    <w:rsid w:val="00F13450"/>
    <w:rsid w:val="00F13D65"/>
    <w:rsid w:val="00F14423"/>
    <w:rsid w:val="00F14A89"/>
    <w:rsid w:val="00F159CE"/>
    <w:rsid w:val="00F16507"/>
    <w:rsid w:val="00F16D03"/>
    <w:rsid w:val="00F1752C"/>
    <w:rsid w:val="00F175B5"/>
    <w:rsid w:val="00F204F1"/>
    <w:rsid w:val="00F2055D"/>
    <w:rsid w:val="00F21284"/>
    <w:rsid w:val="00F21537"/>
    <w:rsid w:val="00F21C8A"/>
    <w:rsid w:val="00F22AAE"/>
    <w:rsid w:val="00F22B85"/>
    <w:rsid w:val="00F238A8"/>
    <w:rsid w:val="00F24ED0"/>
    <w:rsid w:val="00F25078"/>
    <w:rsid w:val="00F25404"/>
    <w:rsid w:val="00F25A72"/>
    <w:rsid w:val="00F26308"/>
    <w:rsid w:val="00F26F48"/>
    <w:rsid w:val="00F27860"/>
    <w:rsid w:val="00F279AF"/>
    <w:rsid w:val="00F27C12"/>
    <w:rsid w:val="00F27CE4"/>
    <w:rsid w:val="00F301C9"/>
    <w:rsid w:val="00F315E7"/>
    <w:rsid w:val="00F31CDB"/>
    <w:rsid w:val="00F32AB9"/>
    <w:rsid w:val="00F32B80"/>
    <w:rsid w:val="00F3363F"/>
    <w:rsid w:val="00F33965"/>
    <w:rsid w:val="00F33D68"/>
    <w:rsid w:val="00F33F21"/>
    <w:rsid w:val="00F343BE"/>
    <w:rsid w:val="00F343E0"/>
    <w:rsid w:val="00F351F7"/>
    <w:rsid w:val="00F362DA"/>
    <w:rsid w:val="00F3712E"/>
    <w:rsid w:val="00F401BC"/>
    <w:rsid w:val="00F403DD"/>
    <w:rsid w:val="00F405FB"/>
    <w:rsid w:val="00F40A96"/>
    <w:rsid w:val="00F40BB4"/>
    <w:rsid w:val="00F4130B"/>
    <w:rsid w:val="00F4143E"/>
    <w:rsid w:val="00F41723"/>
    <w:rsid w:val="00F41730"/>
    <w:rsid w:val="00F418E2"/>
    <w:rsid w:val="00F419AD"/>
    <w:rsid w:val="00F41D80"/>
    <w:rsid w:val="00F421F6"/>
    <w:rsid w:val="00F42490"/>
    <w:rsid w:val="00F42B85"/>
    <w:rsid w:val="00F43003"/>
    <w:rsid w:val="00F4351D"/>
    <w:rsid w:val="00F43895"/>
    <w:rsid w:val="00F4424B"/>
    <w:rsid w:val="00F44821"/>
    <w:rsid w:val="00F4490F"/>
    <w:rsid w:val="00F45121"/>
    <w:rsid w:val="00F4543B"/>
    <w:rsid w:val="00F45D47"/>
    <w:rsid w:val="00F45F05"/>
    <w:rsid w:val="00F4605E"/>
    <w:rsid w:val="00F46842"/>
    <w:rsid w:val="00F46AB5"/>
    <w:rsid w:val="00F46EE5"/>
    <w:rsid w:val="00F47753"/>
    <w:rsid w:val="00F5036E"/>
    <w:rsid w:val="00F50D44"/>
    <w:rsid w:val="00F51098"/>
    <w:rsid w:val="00F511FD"/>
    <w:rsid w:val="00F51623"/>
    <w:rsid w:val="00F51EAC"/>
    <w:rsid w:val="00F5235F"/>
    <w:rsid w:val="00F5241B"/>
    <w:rsid w:val="00F53177"/>
    <w:rsid w:val="00F531FD"/>
    <w:rsid w:val="00F53999"/>
    <w:rsid w:val="00F53B1F"/>
    <w:rsid w:val="00F54C21"/>
    <w:rsid w:val="00F54F3D"/>
    <w:rsid w:val="00F55CD3"/>
    <w:rsid w:val="00F56285"/>
    <w:rsid w:val="00F579CE"/>
    <w:rsid w:val="00F57CD9"/>
    <w:rsid w:val="00F61642"/>
    <w:rsid w:val="00F6167D"/>
    <w:rsid w:val="00F617C3"/>
    <w:rsid w:val="00F62283"/>
    <w:rsid w:val="00F627BB"/>
    <w:rsid w:val="00F62B38"/>
    <w:rsid w:val="00F62BEA"/>
    <w:rsid w:val="00F635D3"/>
    <w:rsid w:val="00F63836"/>
    <w:rsid w:val="00F63E3C"/>
    <w:rsid w:val="00F63EF5"/>
    <w:rsid w:val="00F64407"/>
    <w:rsid w:val="00F64890"/>
    <w:rsid w:val="00F6547B"/>
    <w:rsid w:val="00F65D74"/>
    <w:rsid w:val="00F66B70"/>
    <w:rsid w:val="00F66FB7"/>
    <w:rsid w:val="00F67F64"/>
    <w:rsid w:val="00F7087E"/>
    <w:rsid w:val="00F71431"/>
    <w:rsid w:val="00F720A5"/>
    <w:rsid w:val="00F72434"/>
    <w:rsid w:val="00F72515"/>
    <w:rsid w:val="00F72F4F"/>
    <w:rsid w:val="00F73167"/>
    <w:rsid w:val="00F73629"/>
    <w:rsid w:val="00F740C6"/>
    <w:rsid w:val="00F746A1"/>
    <w:rsid w:val="00F74A55"/>
    <w:rsid w:val="00F74F3F"/>
    <w:rsid w:val="00F764CE"/>
    <w:rsid w:val="00F768EA"/>
    <w:rsid w:val="00F76BA2"/>
    <w:rsid w:val="00F76E7E"/>
    <w:rsid w:val="00F77AD7"/>
    <w:rsid w:val="00F80334"/>
    <w:rsid w:val="00F81728"/>
    <w:rsid w:val="00F8190B"/>
    <w:rsid w:val="00F81A86"/>
    <w:rsid w:val="00F81D85"/>
    <w:rsid w:val="00F82A4C"/>
    <w:rsid w:val="00F834DD"/>
    <w:rsid w:val="00F83623"/>
    <w:rsid w:val="00F844EE"/>
    <w:rsid w:val="00F8472E"/>
    <w:rsid w:val="00F850EE"/>
    <w:rsid w:val="00F876C4"/>
    <w:rsid w:val="00F87C3A"/>
    <w:rsid w:val="00F87F2E"/>
    <w:rsid w:val="00F902FE"/>
    <w:rsid w:val="00F9038A"/>
    <w:rsid w:val="00F9054F"/>
    <w:rsid w:val="00F91305"/>
    <w:rsid w:val="00F91A7F"/>
    <w:rsid w:val="00F91B8B"/>
    <w:rsid w:val="00F92D15"/>
    <w:rsid w:val="00F931C3"/>
    <w:rsid w:val="00F9370E"/>
    <w:rsid w:val="00F93C0F"/>
    <w:rsid w:val="00F94621"/>
    <w:rsid w:val="00F94731"/>
    <w:rsid w:val="00F9499A"/>
    <w:rsid w:val="00F94A36"/>
    <w:rsid w:val="00F9534E"/>
    <w:rsid w:val="00F95E43"/>
    <w:rsid w:val="00F96402"/>
    <w:rsid w:val="00F964B7"/>
    <w:rsid w:val="00F96CE7"/>
    <w:rsid w:val="00F96F76"/>
    <w:rsid w:val="00F96FF8"/>
    <w:rsid w:val="00F97522"/>
    <w:rsid w:val="00F97667"/>
    <w:rsid w:val="00F97BC1"/>
    <w:rsid w:val="00FA0AD2"/>
    <w:rsid w:val="00FA1C13"/>
    <w:rsid w:val="00FA209C"/>
    <w:rsid w:val="00FA2DF0"/>
    <w:rsid w:val="00FA2F74"/>
    <w:rsid w:val="00FA3335"/>
    <w:rsid w:val="00FA3397"/>
    <w:rsid w:val="00FA390F"/>
    <w:rsid w:val="00FA3E3F"/>
    <w:rsid w:val="00FA3F2C"/>
    <w:rsid w:val="00FA40DE"/>
    <w:rsid w:val="00FA4294"/>
    <w:rsid w:val="00FA439F"/>
    <w:rsid w:val="00FA5051"/>
    <w:rsid w:val="00FA5AFD"/>
    <w:rsid w:val="00FA75F6"/>
    <w:rsid w:val="00FA7985"/>
    <w:rsid w:val="00FA7B0F"/>
    <w:rsid w:val="00FB0411"/>
    <w:rsid w:val="00FB07DB"/>
    <w:rsid w:val="00FB0A60"/>
    <w:rsid w:val="00FB1D3F"/>
    <w:rsid w:val="00FB1D7D"/>
    <w:rsid w:val="00FB1EC1"/>
    <w:rsid w:val="00FB2012"/>
    <w:rsid w:val="00FB2237"/>
    <w:rsid w:val="00FB2412"/>
    <w:rsid w:val="00FB2910"/>
    <w:rsid w:val="00FB2C58"/>
    <w:rsid w:val="00FB3CEE"/>
    <w:rsid w:val="00FB4308"/>
    <w:rsid w:val="00FB44CD"/>
    <w:rsid w:val="00FB4855"/>
    <w:rsid w:val="00FB5A05"/>
    <w:rsid w:val="00FB6148"/>
    <w:rsid w:val="00FB6670"/>
    <w:rsid w:val="00FB68CF"/>
    <w:rsid w:val="00FB6C4B"/>
    <w:rsid w:val="00FB72BF"/>
    <w:rsid w:val="00FB73CD"/>
    <w:rsid w:val="00FB7783"/>
    <w:rsid w:val="00FC015C"/>
    <w:rsid w:val="00FC045C"/>
    <w:rsid w:val="00FC052A"/>
    <w:rsid w:val="00FC0704"/>
    <w:rsid w:val="00FC0BC6"/>
    <w:rsid w:val="00FC0DD4"/>
    <w:rsid w:val="00FC1098"/>
    <w:rsid w:val="00FC2190"/>
    <w:rsid w:val="00FC26F5"/>
    <w:rsid w:val="00FC2C0A"/>
    <w:rsid w:val="00FC3945"/>
    <w:rsid w:val="00FC3B31"/>
    <w:rsid w:val="00FC3D95"/>
    <w:rsid w:val="00FC6E25"/>
    <w:rsid w:val="00FC7287"/>
    <w:rsid w:val="00FC7D45"/>
    <w:rsid w:val="00FD0401"/>
    <w:rsid w:val="00FD10EA"/>
    <w:rsid w:val="00FD144D"/>
    <w:rsid w:val="00FD15D1"/>
    <w:rsid w:val="00FD19C6"/>
    <w:rsid w:val="00FD19E3"/>
    <w:rsid w:val="00FD1B61"/>
    <w:rsid w:val="00FD2190"/>
    <w:rsid w:val="00FD242B"/>
    <w:rsid w:val="00FD271F"/>
    <w:rsid w:val="00FD2F64"/>
    <w:rsid w:val="00FD2F74"/>
    <w:rsid w:val="00FD3728"/>
    <w:rsid w:val="00FD3819"/>
    <w:rsid w:val="00FD3DCA"/>
    <w:rsid w:val="00FD4D49"/>
    <w:rsid w:val="00FD51CE"/>
    <w:rsid w:val="00FD52CF"/>
    <w:rsid w:val="00FD5C6E"/>
    <w:rsid w:val="00FD690E"/>
    <w:rsid w:val="00FD6D68"/>
    <w:rsid w:val="00FD70CE"/>
    <w:rsid w:val="00FD7E05"/>
    <w:rsid w:val="00FE05BC"/>
    <w:rsid w:val="00FE0BDB"/>
    <w:rsid w:val="00FE0D7B"/>
    <w:rsid w:val="00FE145F"/>
    <w:rsid w:val="00FE1EEE"/>
    <w:rsid w:val="00FE2473"/>
    <w:rsid w:val="00FE2B50"/>
    <w:rsid w:val="00FE2B76"/>
    <w:rsid w:val="00FE2BC3"/>
    <w:rsid w:val="00FE2EA3"/>
    <w:rsid w:val="00FE2F2D"/>
    <w:rsid w:val="00FE4633"/>
    <w:rsid w:val="00FE4DB3"/>
    <w:rsid w:val="00FE68EF"/>
    <w:rsid w:val="00FE6DB2"/>
    <w:rsid w:val="00FE7035"/>
    <w:rsid w:val="00FE7754"/>
    <w:rsid w:val="00FE79E0"/>
    <w:rsid w:val="00FF07B7"/>
    <w:rsid w:val="00FF0DEF"/>
    <w:rsid w:val="00FF1388"/>
    <w:rsid w:val="00FF14EE"/>
    <w:rsid w:val="00FF1543"/>
    <w:rsid w:val="00FF181C"/>
    <w:rsid w:val="00FF1A03"/>
    <w:rsid w:val="00FF2155"/>
    <w:rsid w:val="00FF2329"/>
    <w:rsid w:val="00FF275B"/>
    <w:rsid w:val="00FF27C1"/>
    <w:rsid w:val="00FF2B84"/>
    <w:rsid w:val="00FF3420"/>
    <w:rsid w:val="00FF3427"/>
    <w:rsid w:val="00FF414F"/>
    <w:rsid w:val="00FF41F9"/>
    <w:rsid w:val="00FF4470"/>
    <w:rsid w:val="00FF45A4"/>
    <w:rsid w:val="00FF5408"/>
    <w:rsid w:val="00FF5827"/>
    <w:rsid w:val="00FF5EA9"/>
    <w:rsid w:val="00FF6976"/>
    <w:rsid w:val="00FF6BD1"/>
    <w:rsid w:val="00FF6F39"/>
    <w:rsid w:val="00FF77A7"/>
    <w:rsid w:val="00FF79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Bullet" w:qFormat="1"/>
    <w:lsdException w:name="Title" w:qFormat="1"/>
    <w:lsdException w:name="Body Text"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7BD6"/>
    <w:rPr>
      <w:sz w:val="26"/>
      <w:szCs w:val="24"/>
    </w:rPr>
  </w:style>
  <w:style w:type="paragraph" w:styleId="Heading1">
    <w:name w:val="heading 1"/>
    <w:basedOn w:val="Normal"/>
    <w:next w:val="BodyText"/>
    <w:autoRedefine/>
    <w:qFormat/>
    <w:rsid w:val="006F47D3"/>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6F47D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F47D3"/>
    <w:pPr>
      <w:spacing w:before="560" w:line="320" w:lineRule="exact"/>
      <w:ind w:left="0" w:firstLine="0"/>
      <w:outlineLvl w:val="2"/>
    </w:pPr>
    <w:rPr>
      <w:sz w:val="26"/>
    </w:rPr>
  </w:style>
  <w:style w:type="paragraph" w:styleId="Heading4">
    <w:name w:val="heading 4"/>
    <w:basedOn w:val="Heading3"/>
    <w:next w:val="BodyText"/>
    <w:qFormat/>
    <w:rsid w:val="006F47D3"/>
    <w:pPr>
      <w:spacing w:before="480"/>
      <w:outlineLvl w:val="3"/>
    </w:pPr>
    <w:rPr>
      <w:b w:val="0"/>
      <w:i/>
      <w:sz w:val="24"/>
    </w:rPr>
  </w:style>
  <w:style w:type="paragraph" w:styleId="Heading5">
    <w:name w:val="heading 5"/>
    <w:basedOn w:val="Heading4"/>
    <w:next w:val="BodyText"/>
    <w:link w:val="Heading5Char"/>
    <w:qFormat/>
    <w:rsid w:val="006F47D3"/>
    <w:pPr>
      <w:outlineLvl w:val="4"/>
    </w:pPr>
    <w:rPr>
      <w:rFonts w:ascii="Times New Roman" w:hAnsi="Times New Roman"/>
      <w:sz w:val="26"/>
    </w:rPr>
  </w:style>
  <w:style w:type="paragraph" w:styleId="Heading6">
    <w:name w:val="heading 6"/>
    <w:basedOn w:val="BodyText"/>
    <w:next w:val="BodyText"/>
    <w:qFormat/>
    <w:rsid w:val="006F47D3"/>
    <w:pPr>
      <w:spacing w:after="60"/>
      <w:jc w:val="left"/>
      <w:outlineLvl w:val="5"/>
    </w:pPr>
    <w:rPr>
      <w:i/>
      <w:sz w:val="22"/>
    </w:rPr>
  </w:style>
  <w:style w:type="paragraph" w:styleId="Heading7">
    <w:name w:val="heading 7"/>
    <w:basedOn w:val="BodyText"/>
    <w:next w:val="BodyText"/>
    <w:qFormat/>
    <w:rsid w:val="006F47D3"/>
    <w:pPr>
      <w:spacing w:after="60" w:line="240" w:lineRule="auto"/>
      <w:jc w:val="left"/>
      <w:outlineLvl w:val="6"/>
    </w:pPr>
    <w:rPr>
      <w:rFonts w:ascii="Arial" w:hAnsi="Arial"/>
      <w:sz w:val="20"/>
    </w:rPr>
  </w:style>
  <w:style w:type="paragraph" w:styleId="Heading8">
    <w:name w:val="heading 8"/>
    <w:basedOn w:val="BodyText"/>
    <w:next w:val="BodyText"/>
    <w:qFormat/>
    <w:rsid w:val="006F47D3"/>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6F47D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6F47D3"/>
    <w:pPr>
      <w:spacing w:before="240" w:line="320" w:lineRule="atLeast"/>
      <w:jc w:val="both"/>
    </w:pPr>
    <w:rPr>
      <w:sz w:val="26"/>
    </w:rPr>
  </w:style>
  <w:style w:type="character" w:customStyle="1" w:styleId="BodyTextChar">
    <w:name w:val="Body Text Char"/>
    <w:aliases w:val="new legislation style Char,Body Text Char1 Char1,Body Text Char Char Char1,Body Text Char1 Char Char Char Char1,Body Text Char Char Char Char Char Char1,new legislation style Char Char Char Char Char Char1,Body Text Char2 Char Char"/>
    <w:basedOn w:val="DefaultParagraphFont"/>
    <w:link w:val="BodyText"/>
    <w:rsid w:val="00127B8B"/>
    <w:rPr>
      <w:sz w:val="26"/>
    </w:rPr>
  </w:style>
  <w:style w:type="paragraph" w:customStyle="1" w:styleId="Chapter">
    <w:name w:val="Chapter"/>
    <w:basedOn w:val="Heading1"/>
    <w:next w:val="BodyText"/>
    <w:semiHidden/>
    <w:rsid w:val="006F47D3"/>
    <w:pPr>
      <w:ind w:left="0" w:firstLine="0"/>
      <w:outlineLvl w:val="9"/>
    </w:pPr>
    <w:rPr>
      <w:szCs w:val="20"/>
    </w:rPr>
  </w:style>
  <w:style w:type="character" w:customStyle="1" w:styleId="Heading2Char">
    <w:name w:val="Heading 2 Char"/>
    <w:basedOn w:val="DefaultParagraphFont"/>
    <w:link w:val="Heading2"/>
    <w:rsid w:val="00A12C8F"/>
    <w:rPr>
      <w:rFonts w:ascii="Arial" w:hAnsi="Arial"/>
      <w:b/>
      <w:sz w:val="32"/>
    </w:rPr>
  </w:style>
  <w:style w:type="paragraph" w:customStyle="1" w:styleId="SequenceInfo">
    <w:name w:val="Sequence Info"/>
    <w:basedOn w:val="BodyText"/>
    <w:semiHidden/>
    <w:rsid w:val="006F47D3"/>
    <w:rPr>
      <w:vanish/>
      <w:sz w:val="16"/>
    </w:rPr>
  </w:style>
  <w:style w:type="character" w:styleId="CommentReference">
    <w:name w:val="annotation reference"/>
    <w:basedOn w:val="DefaultParagraphFont"/>
    <w:semiHidden/>
    <w:rsid w:val="006F47D3"/>
    <w:rPr>
      <w:b/>
      <w:vanish/>
      <w:color w:val="FF00FF"/>
      <w:sz w:val="20"/>
    </w:rPr>
  </w:style>
  <w:style w:type="paragraph" w:styleId="CommentText">
    <w:name w:val="annotation text"/>
    <w:basedOn w:val="Normal"/>
    <w:link w:val="CommentTextChar"/>
    <w:semiHidden/>
    <w:rsid w:val="006F47D3"/>
    <w:pPr>
      <w:spacing w:before="120" w:line="240" w:lineRule="atLeast"/>
      <w:ind w:left="567" w:hanging="567"/>
    </w:pPr>
    <w:rPr>
      <w:sz w:val="20"/>
    </w:rPr>
  </w:style>
  <w:style w:type="paragraph" w:customStyle="1" w:styleId="Abbreviation">
    <w:name w:val="Abbreviation"/>
    <w:basedOn w:val="BodyText"/>
    <w:rsid w:val="006F47D3"/>
    <w:pPr>
      <w:spacing w:before="120"/>
      <w:ind w:left="2381" w:hanging="2381"/>
      <w:jc w:val="left"/>
    </w:pPr>
  </w:style>
  <w:style w:type="paragraph" w:customStyle="1" w:styleId="Box">
    <w:name w:val="Box"/>
    <w:basedOn w:val="BodyText"/>
    <w:link w:val="BoxChar"/>
    <w:qFormat/>
    <w:rsid w:val="006F47D3"/>
    <w:pPr>
      <w:keepNext/>
      <w:spacing w:before="120" w:line="280" w:lineRule="atLeast"/>
    </w:pPr>
    <w:rPr>
      <w:rFonts w:ascii="Arial" w:hAnsi="Arial"/>
      <w:sz w:val="22"/>
    </w:rPr>
  </w:style>
  <w:style w:type="character" w:customStyle="1" w:styleId="BoxChar">
    <w:name w:val="Box Char"/>
    <w:basedOn w:val="BodyTextChar"/>
    <w:link w:val="Box"/>
    <w:rsid w:val="00127B8B"/>
    <w:rPr>
      <w:rFonts w:ascii="Arial" w:hAnsi="Arial"/>
      <w:sz w:val="22"/>
    </w:rPr>
  </w:style>
  <w:style w:type="paragraph" w:customStyle="1" w:styleId="QuoteBullet">
    <w:name w:val="Quote Bullet"/>
    <w:basedOn w:val="Quote"/>
    <w:rsid w:val="006F47D3"/>
    <w:pPr>
      <w:numPr>
        <w:numId w:val="11"/>
      </w:numPr>
    </w:pPr>
  </w:style>
  <w:style w:type="paragraph" w:styleId="Quote">
    <w:name w:val="Quote"/>
    <w:basedOn w:val="BodyText"/>
    <w:next w:val="BodyText"/>
    <w:qFormat/>
    <w:rsid w:val="006F47D3"/>
    <w:pPr>
      <w:spacing w:before="120" w:line="280" w:lineRule="exact"/>
      <w:ind w:left="340"/>
    </w:pPr>
    <w:rPr>
      <w:sz w:val="24"/>
    </w:rPr>
  </w:style>
  <w:style w:type="paragraph" w:customStyle="1" w:styleId="BoxListBullet">
    <w:name w:val="Box List Bullet"/>
    <w:basedOn w:val="BodyText"/>
    <w:link w:val="BoxListBulletChar"/>
    <w:rsid w:val="006F47D3"/>
    <w:pPr>
      <w:keepNext/>
      <w:numPr>
        <w:numId w:val="6"/>
      </w:numPr>
      <w:spacing w:before="120" w:line="280" w:lineRule="atLeast"/>
    </w:pPr>
    <w:rPr>
      <w:rFonts w:ascii="Arial" w:hAnsi="Arial"/>
      <w:sz w:val="22"/>
    </w:rPr>
  </w:style>
  <w:style w:type="character" w:customStyle="1" w:styleId="BoxListBulletChar">
    <w:name w:val="Box List Bullet Char"/>
    <w:basedOn w:val="BoxChar"/>
    <w:link w:val="BoxListBullet"/>
    <w:rsid w:val="00127B8B"/>
    <w:rPr>
      <w:rFonts w:ascii="Arial" w:hAnsi="Arial"/>
      <w:sz w:val="22"/>
    </w:rPr>
  </w:style>
  <w:style w:type="paragraph" w:customStyle="1" w:styleId="BoxListBullet2">
    <w:name w:val="Box List Bullet 2"/>
    <w:basedOn w:val="BodyText"/>
    <w:link w:val="BoxListBullet2Char"/>
    <w:rsid w:val="006F47D3"/>
    <w:pPr>
      <w:keepNext/>
      <w:numPr>
        <w:numId w:val="3"/>
      </w:numPr>
      <w:tabs>
        <w:tab w:val="left" w:pos="284"/>
      </w:tabs>
      <w:spacing w:before="60" w:line="280" w:lineRule="atLeast"/>
    </w:pPr>
    <w:rPr>
      <w:rFonts w:ascii="Arial" w:hAnsi="Arial"/>
      <w:sz w:val="22"/>
    </w:rPr>
  </w:style>
  <w:style w:type="paragraph" w:customStyle="1" w:styleId="BoxListNumber">
    <w:name w:val="Box List Number"/>
    <w:basedOn w:val="BodyText"/>
    <w:rsid w:val="006F47D3"/>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6F47D3"/>
    <w:pPr>
      <w:numPr>
        <w:ilvl w:val="1"/>
      </w:numPr>
      <w:spacing w:before="60"/>
    </w:pPr>
  </w:style>
  <w:style w:type="paragraph" w:customStyle="1" w:styleId="BoxQuote">
    <w:name w:val="Box Quote"/>
    <w:basedOn w:val="BodyText"/>
    <w:next w:val="Box"/>
    <w:rsid w:val="006F47D3"/>
    <w:pPr>
      <w:keepNext/>
      <w:spacing w:before="60" w:line="260" w:lineRule="exact"/>
      <w:ind w:left="284"/>
    </w:pPr>
    <w:rPr>
      <w:rFonts w:ascii="Arial" w:hAnsi="Arial"/>
      <w:sz w:val="20"/>
    </w:rPr>
  </w:style>
  <w:style w:type="paragraph" w:customStyle="1" w:styleId="BoxSource">
    <w:name w:val="Box Source"/>
    <w:basedOn w:val="Source"/>
    <w:next w:val="BodyText"/>
    <w:rsid w:val="006F47D3"/>
    <w:pPr>
      <w:spacing w:before="180" w:after="0"/>
    </w:pPr>
  </w:style>
  <w:style w:type="paragraph" w:customStyle="1" w:styleId="Source">
    <w:name w:val="Source"/>
    <w:basedOn w:val="Note"/>
    <w:next w:val="BodyText"/>
    <w:link w:val="SourceChar"/>
    <w:rsid w:val="006F47D3"/>
    <w:pPr>
      <w:spacing w:after="120"/>
    </w:pPr>
  </w:style>
  <w:style w:type="paragraph" w:customStyle="1" w:styleId="Note">
    <w:name w:val="Note"/>
    <w:basedOn w:val="BodyText"/>
    <w:next w:val="Normal"/>
    <w:link w:val="NoteChar"/>
    <w:rsid w:val="006F47D3"/>
    <w:pPr>
      <w:keepLines/>
      <w:spacing w:before="80" w:line="220" w:lineRule="exact"/>
    </w:pPr>
    <w:rPr>
      <w:rFonts w:ascii="Arial" w:hAnsi="Arial"/>
      <w:sz w:val="18"/>
    </w:rPr>
  </w:style>
  <w:style w:type="character" w:customStyle="1" w:styleId="NoteChar">
    <w:name w:val="Note Char"/>
    <w:basedOn w:val="BodyTextChar"/>
    <w:link w:val="Note"/>
    <w:rsid w:val="00B2594C"/>
    <w:rPr>
      <w:rFonts w:ascii="Arial" w:hAnsi="Arial"/>
      <w:sz w:val="18"/>
    </w:rPr>
  </w:style>
  <w:style w:type="character" w:customStyle="1" w:styleId="SourceChar">
    <w:name w:val="Source Char"/>
    <w:basedOn w:val="NoteChar"/>
    <w:link w:val="Source"/>
    <w:rsid w:val="0024403C"/>
    <w:rPr>
      <w:rFonts w:ascii="Arial" w:hAnsi="Arial"/>
      <w:sz w:val="18"/>
    </w:rPr>
  </w:style>
  <w:style w:type="paragraph" w:customStyle="1" w:styleId="BoxSpace">
    <w:name w:val="Box Space"/>
    <w:basedOn w:val="BodyText"/>
    <w:link w:val="BoxSpaceChar"/>
    <w:rsid w:val="006F47D3"/>
    <w:pPr>
      <w:keepNext/>
      <w:spacing w:before="360" w:line="80" w:lineRule="exact"/>
      <w:jc w:val="left"/>
    </w:pPr>
  </w:style>
  <w:style w:type="character" w:customStyle="1" w:styleId="BoxSpaceChar">
    <w:name w:val="Box Space Char"/>
    <w:basedOn w:val="BodyTextChar1Char"/>
    <w:link w:val="BoxSpace"/>
    <w:rsid w:val="005603AF"/>
    <w:rPr>
      <w:sz w:val="26"/>
      <w:lang w:val="en-AU" w:eastAsia="en-AU" w:bidi="ar-SA"/>
    </w:rPr>
  </w:style>
  <w:style w:type="character" w:customStyle="1" w:styleId="BodyTextChar1Char">
    <w:name w:val="Body Text Char1 Char"/>
    <w:aliases w:val="Body Text Char Char Char,Body Text Char1 Char Char Char Char,Body Text Char Char Char Char Char Char,new legislation style Char Char Char Char Char Char,Body Text Char1 Char Char Char Char Char Char"/>
    <w:basedOn w:val="DefaultParagraphFont"/>
    <w:rsid w:val="00425B33"/>
    <w:rPr>
      <w:sz w:val="26"/>
      <w:lang w:val="en-AU" w:eastAsia="en-AU" w:bidi="ar-SA"/>
    </w:rPr>
  </w:style>
  <w:style w:type="paragraph" w:customStyle="1" w:styleId="BoxSubtitle">
    <w:name w:val="Box Subtitle"/>
    <w:basedOn w:val="BoxTitle"/>
    <w:next w:val="Normal"/>
    <w:rsid w:val="006F47D3"/>
    <w:pPr>
      <w:spacing w:after="80" w:line="200" w:lineRule="exact"/>
      <w:ind w:firstLine="0"/>
    </w:pPr>
    <w:rPr>
      <w:b w:val="0"/>
      <w:sz w:val="20"/>
    </w:rPr>
  </w:style>
  <w:style w:type="paragraph" w:customStyle="1" w:styleId="BoxTitle">
    <w:name w:val="Box Title"/>
    <w:basedOn w:val="Caption"/>
    <w:next w:val="Normal"/>
    <w:rsid w:val="006F47D3"/>
    <w:pPr>
      <w:spacing w:before="120" w:after="0"/>
      <w:ind w:left="1304" w:hanging="1304"/>
    </w:pPr>
  </w:style>
  <w:style w:type="paragraph" w:styleId="Caption">
    <w:name w:val="caption"/>
    <w:basedOn w:val="Normal"/>
    <w:next w:val="BodyText"/>
    <w:qFormat/>
    <w:rsid w:val="006F47D3"/>
    <w:pPr>
      <w:keepNext/>
      <w:keepLines/>
      <w:spacing w:before="360" w:after="80" w:line="280" w:lineRule="exact"/>
      <w:ind w:left="1474" w:hanging="1474"/>
    </w:pPr>
    <w:rPr>
      <w:rFonts w:ascii="Arial" w:hAnsi="Arial"/>
      <w:b/>
    </w:rPr>
  </w:style>
  <w:style w:type="paragraph" w:customStyle="1" w:styleId="ChapterSummary">
    <w:name w:val="Chapter Summary"/>
    <w:basedOn w:val="BodyText"/>
    <w:semiHidden/>
    <w:rsid w:val="006F47D3"/>
    <w:pPr>
      <w:ind w:left="907"/>
    </w:pPr>
    <w:rPr>
      <w:rFonts w:ascii="Arial" w:hAnsi="Arial"/>
      <w:b/>
      <w:sz w:val="22"/>
    </w:rPr>
  </w:style>
  <w:style w:type="character" w:customStyle="1" w:styleId="DocumentInfo">
    <w:name w:val="Document Info"/>
    <w:basedOn w:val="DefaultParagraphFont"/>
    <w:semiHidden/>
    <w:rsid w:val="006F47D3"/>
    <w:rPr>
      <w:rFonts w:ascii="Arial" w:hAnsi="Arial"/>
      <w:sz w:val="14"/>
    </w:rPr>
  </w:style>
  <w:style w:type="paragraph" w:styleId="Footer">
    <w:name w:val="footer"/>
    <w:basedOn w:val="BodyText"/>
    <w:link w:val="FooterChar"/>
    <w:uiPriority w:val="99"/>
    <w:rsid w:val="006F47D3"/>
    <w:pPr>
      <w:spacing w:before="80" w:line="200" w:lineRule="exact"/>
      <w:ind w:right="6"/>
      <w:jc w:val="left"/>
    </w:pPr>
    <w:rPr>
      <w:caps/>
      <w:spacing w:val="-4"/>
      <w:sz w:val="16"/>
    </w:rPr>
  </w:style>
  <w:style w:type="character" w:customStyle="1" w:styleId="DraftingNote">
    <w:name w:val="Drafting Note"/>
    <w:basedOn w:val="DefaultParagraphFont"/>
    <w:rsid w:val="006F47D3"/>
    <w:rPr>
      <w:b/>
      <w:color w:val="FF0000"/>
      <w:sz w:val="24"/>
      <w:u w:val="dotted"/>
    </w:rPr>
  </w:style>
  <w:style w:type="paragraph" w:customStyle="1" w:styleId="Jurisdictioncommentsbodytext">
    <w:name w:val="Jurisdiction comments body text"/>
    <w:rsid w:val="006F47D3"/>
    <w:pPr>
      <w:spacing w:after="140"/>
      <w:jc w:val="both"/>
    </w:pPr>
    <w:rPr>
      <w:rFonts w:ascii="Arial" w:hAnsi="Arial"/>
      <w:sz w:val="24"/>
      <w:lang w:eastAsia="en-US"/>
    </w:rPr>
  </w:style>
  <w:style w:type="paragraph" w:customStyle="1" w:styleId="Figure">
    <w:name w:val="Figure"/>
    <w:basedOn w:val="BodyText"/>
    <w:link w:val="FigureChar"/>
    <w:rsid w:val="006F47D3"/>
    <w:pPr>
      <w:keepNext/>
      <w:spacing w:before="120" w:after="120" w:line="240" w:lineRule="atLeast"/>
      <w:jc w:val="center"/>
    </w:pPr>
  </w:style>
  <w:style w:type="paragraph" w:customStyle="1" w:styleId="FigureTitle">
    <w:name w:val="Figure Title"/>
    <w:basedOn w:val="Caption"/>
    <w:next w:val="Subtitle"/>
    <w:link w:val="FigureTitleChar"/>
    <w:rsid w:val="006F47D3"/>
  </w:style>
  <w:style w:type="paragraph" w:styleId="Subtitle">
    <w:name w:val="Subtitle"/>
    <w:basedOn w:val="Caption"/>
    <w:qFormat/>
    <w:rsid w:val="006F47D3"/>
    <w:pPr>
      <w:spacing w:before="0" w:line="200" w:lineRule="exact"/>
      <w:ind w:firstLine="0"/>
    </w:pPr>
    <w:rPr>
      <w:b w:val="0"/>
      <w:sz w:val="20"/>
    </w:rPr>
  </w:style>
  <w:style w:type="paragraph" w:customStyle="1" w:styleId="Finding">
    <w:name w:val="Finding"/>
    <w:basedOn w:val="BodyText"/>
    <w:rsid w:val="006F47D3"/>
    <w:pPr>
      <w:keepLines/>
      <w:spacing w:before="180"/>
    </w:pPr>
    <w:rPr>
      <w:i/>
    </w:rPr>
  </w:style>
  <w:style w:type="paragraph" w:customStyle="1" w:styleId="FindingBullet">
    <w:name w:val="Finding Bullet"/>
    <w:basedOn w:val="Finding"/>
    <w:rsid w:val="006F47D3"/>
    <w:pPr>
      <w:numPr>
        <w:numId w:val="7"/>
      </w:numPr>
      <w:spacing w:before="80"/>
    </w:pPr>
  </w:style>
  <w:style w:type="paragraph" w:customStyle="1" w:styleId="FindingNoTitle">
    <w:name w:val="Finding NoTitle"/>
    <w:basedOn w:val="Finding"/>
    <w:rsid w:val="006F47D3"/>
    <w:pPr>
      <w:spacing w:before="240"/>
    </w:pPr>
  </w:style>
  <w:style w:type="paragraph" w:customStyle="1" w:styleId="FindingTitle">
    <w:name w:val="Finding Title"/>
    <w:basedOn w:val="RecTitle"/>
    <w:next w:val="Finding"/>
    <w:rsid w:val="006F47D3"/>
    <w:pPr>
      <w:framePr w:wrap="notBeside"/>
    </w:pPr>
  </w:style>
  <w:style w:type="paragraph" w:customStyle="1" w:styleId="RecTitle">
    <w:name w:val="Rec Title"/>
    <w:basedOn w:val="BodyText"/>
    <w:next w:val="Normal"/>
    <w:rsid w:val="006F47D3"/>
    <w:pPr>
      <w:keepNext/>
      <w:framePr w:hSpace="181" w:wrap="notBeside" w:vAnchor="text" w:hAnchor="text" w:xAlign="outside" w:y="1"/>
    </w:pPr>
    <w:rPr>
      <w:caps/>
      <w:sz w:val="16"/>
    </w:rPr>
  </w:style>
  <w:style w:type="paragraph" w:customStyle="1" w:styleId="FooterEnd">
    <w:name w:val="Footer End"/>
    <w:basedOn w:val="Footer"/>
    <w:rsid w:val="006F47D3"/>
    <w:pPr>
      <w:spacing w:before="0" w:line="20" w:lineRule="exact"/>
    </w:pPr>
  </w:style>
  <w:style w:type="character" w:styleId="FootnoteReference">
    <w:name w:val="footnote reference"/>
    <w:basedOn w:val="DefaultParagraphFont"/>
    <w:semiHidden/>
    <w:rsid w:val="006F47D3"/>
    <w:rPr>
      <w:rFonts w:ascii="Times New Roman" w:hAnsi="Times New Roman"/>
      <w:position w:val="6"/>
      <w:sz w:val="22"/>
      <w:vertAlign w:val="baseline"/>
    </w:rPr>
  </w:style>
  <w:style w:type="paragraph" w:styleId="FootnoteText">
    <w:name w:val="footnote text"/>
    <w:basedOn w:val="BodyText"/>
    <w:rsid w:val="006F47D3"/>
    <w:pPr>
      <w:tabs>
        <w:tab w:val="left" w:pos="284"/>
      </w:tabs>
      <w:spacing w:before="80" w:line="260" w:lineRule="exact"/>
      <w:ind w:left="284" w:hanging="284"/>
    </w:pPr>
    <w:rPr>
      <w:sz w:val="22"/>
    </w:rPr>
  </w:style>
  <w:style w:type="paragraph" w:styleId="Header">
    <w:name w:val="header"/>
    <w:basedOn w:val="BodyText"/>
    <w:link w:val="HeaderChar"/>
    <w:rsid w:val="006F47D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F47D3"/>
    <w:pPr>
      <w:spacing w:line="20" w:lineRule="exact"/>
    </w:pPr>
    <w:rPr>
      <w:sz w:val="16"/>
    </w:rPr>
  </w:style>
  <w:style w:type="paragraph" w:customStyle="1" w:styleId="HeaderEven">
    <w:name w:val="Header Even"/>
    <w:basedOn w:val="Header"/>
    <w:semiHidden/>
    <w:rsid w:val="006F47D3"/>
  </w:style>
  <w:style w:type="paragraph" w:customStyle="1" w:styleId="HeaderOdd">
    <w:name w:val="Header Odd"/>
    <w:basedOn w:val="Header"/>
    <w:semiHidden/>
    <w:rsid w:val="006F47D3"/>
  </w:style>
  <w:style w:type="paragraph" w:customStyle="1" w:styleId="InformationRequest">
    <w:name w:val="Information Request"/>
    <w:basedOn w:val="Finding"/>
    <w:next w:val="BodyText"/>
    <w:rsid w:val="006F47D3"/>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
    <w:qFormat/>
    <w:rsid w:val="006F47D3"/>
    <w:pPr>
      <w:numPr>
        <w:numId w:val="5"/>
      </w:numPr>
      <w:spacing w:before="120"/>
    </w:pPr>
  </w:style>
  <w:style w:type="character" w:customStyle="1" w:styleId="ListBulletChar">
    <w:name w:val="List Bullet Char"/>
    <w:aliases w:val="List Bullet Char1 Char,List Bullet Char Char Char,List Bullet Char1 Char Char Char"/>
    <w:basedOn w:val="BodyTextChar1Char"/>
    <w:link w:val="ListBullet"/>
    <w:rsid w:val="00A12C8F"/>
    <w:rPr>
      <w:sz w:val="26"/>
      <w:lang w:val="en-AU" w:eastAsia="en-AU" w:bidi="ar-SA"/>
    </w:rPr>
  </w:style>
  <w:style w:type="paragraph" w:styleId="ListBullet2">
    <w:name w:val="List Bullet 2"/>
    <w:basedOn w:val="BodyText"/>
    <w:link w:val="ListBullet2Char"/>
    <w:rsid w:val="006F47D3"/>
    <w:pPr>
      <w:numPr>
        <w:numId w:val="2"/>
      </w:numPr>
      <w:spacing w:before="120"/>
    </w:pPr>
  </w:style>
  <w:style w:type="character" w:customStyle="1" w:styleId="ListBullet2Char">
    <w:name w:val="List Bullet 2 Char"/>
    <w:basedOn w:val="BodyTextChar1Char"/>
    <w:link w:val="ListBullet2"/>
    <w:rsid w:val="00A12C8F"/>
    <w:rPr>
      <w:sz w:val="26"/>
      <w:lang w:val="en-AU" w:eastAsia="en-AU" w:bidi="ar-SA"/>
    </w:rPr>
  </w:style>
  <w:style w:type="paragraph" w:styleId="ListBullet3">
    <w:name w:val="List Bullet 3"/>
    <w:basedOn w:val="BodyText"/>
    <w:link w:val="ListBullet3Char"/>
    <w:rsid w:val="006F47D3"/>
    <w:pPr>
      <w:numPr>
        <w:numId w:val="1"/>
      </w:numPr>
      <w:spacing w:before="120"/>
    </w:pPr>
  </w:style>
  <w:style w:type="character" w:customStyle="1" w:styleId="ListBullet3Char">
    <w:name w:val="List Bullet 3 Char"/>
    <w:basedOn w:val="BodyTextChar"/>
    <w:link w:val="ListBullet3"/>
    <w:rsid w:val="00257AD3"/>
    <w:rPr>
      <w:sz w:val="26"/>
    </w:rPr>
  </w:style>
  <w:style w:type="paragraph" w:styleId="ListNumber">
    <w:name w:val="List Number"/>
    <w:basedOn w:val="BodyText"/>
    <w:rsid w:val="006F47D3"/>
    <w:pPr>
      <w:numPr>
        <w:numId w:val="12"/>
      </w:numPr>
      <w:spacing w:before="120"/>
    </w:pPr>
  </w:style>
  <w:style w:type="paragraph" w:styleId="ListNumber2">
    <w:name w:val="List Number 2"/>
    <w:basedOn w:val="ListNumber"/>
    <w:rsid w:val="006F47D3"/>
    <w:pPr>
      <w:numPr>
        <w:ilvl w:val="1"/>
      </w:numPr>
    </w:pPr>
  </w:style>
  <w:style w:type="paragraph" w:styleId="ListNumber3">
    <w:name w:val="List Number 3"/>
    <w:basedOn w:val="ListNumber2"/>
    <w:rsid w:val="006F47D3"/>
    <w:pPr>
      <w:numPr>
        <w:ilvl w:val="2"/>
      </w:numPr>
    </w:pPr>
  </w:style>
  <w:style w:type="character" w:customStyle="1" w:styleId="NoteLabel">
    <w:name w:val="Note Label"/>
    <w:basedOn w:val="DefaultParagraphFont"/>
    <w:rsid w:val="006F47D3"/>
    <w:rPr>
      <w:rFonts w:ascii="Arial" w:hAnsi="Arial"/>
      <w:b/>
      <w:position w:val="6"/>
      <w:sz w:val="18"/>
    </w:rPr>
  </w:style>
  <w:style w:type="character" w:styleId="PageNumber">
    <w:name w:val="page number"/>
    <w:basedOn w:val="DefaultParagraphFont"/>
    <w:rsid w:val="006F47D3"/>
    <w:rPr>
      <w:rFonts w:ascii="Arial" w:hAnsi="Arial"/>
      <w:b/>
      <w:sz w:val="16"/>
    </w:rPr>
  </w:style>
  <w:style w:type="paragraph" w:customStyle="1" w:styleId="PartDivider">
    <w:name w:val="Part Divider"/>
    <w:basedOn w:val="BodyText"/>
    <w:next w:val="BodyText"/>
    <w:semiHidden/>
    <w:rsid w:val="006F47D3"/>
    <w:pPr>
      <w:spacing w:before="0" w:line="40" w:lineRule="exact"/>
      <w:jc w:val="right"/>
    </w:pPr>
    <w:rPr>
      <w:smallCaps/>
      <w:sz w:val="16"/>
    </w:rPr>
  </w:style>
  <w:style w:type="paragraph" w:customStyle="1" w:styleId="PartNumber">
    <w:name w:val="Part Number"/>
    <w:basedOn w:val="BodyText"/>
    <w:next w:val="BodyText"/>
    <w:semiHidden/>
    <w:rsid w:val="006F47D3"/>
    <w:pPr>
      <w:spacing w:before="4000" w:line="320" w:lineRule="exact"/>
      <w:ind w:left="6634"/>
      <w:jc w:val="right"/>
    </w:pPr>
    <w:rPr>
      <w:smallCaps/>
      <w:spacing w:val="60"/>
      <w:sz w:val="32"/>
    </w:rPr>
  </w:style>
  <w:style w:type="paragraph" w:customStyle="1" w:styleId="PartTitle">
    <w:name w:val="Part Title"/>
    <w:basedOn w:val="BodyText"/>
    <w:semiHidden/>
    <w:rsid w:val="006F47D3"/>
    <w:pPr>
      <w:spacing w:before="160" w:after="1360" w:line="520" w:lineRule="exact"/>
      <w:ind w:right="2381"/>
      <w:jc w:val="right"/>
    </w:pPr>
    <w:rPr>
      <w:smallCaps/>
      <w:sz w:val="52"/>
    </w:rPr>
  </w:style>
  <w:style w:type="paragraph" w:customStyle="1" w:styleId="Rec">
    <w:name w:val="Rec"/>
    <w:basedOn w:val="BodyText"/>
    <w:rsid w:val="006F47D3"/>
    <w:pPr>
      <w:keepLines/>
      <w:spacing w:before="180"/>
    </w:pPr>
    <w:rPr>
      <w:b/>
      <w:i/>
    </w:rPr>
  </w:style>
  <w:style w:type="paragraph" w:customStyle="1" w:styleId="RecBullet">
    <w:name w:val="Rec Bullet"/>
    <w:basedOn w:val="Rec"/>
    <w:rsid w:val="006F47D3"/>
    <w:pPr>
      <w:numPr>
        <w:numId w:val="8"/>
      </w:numPr>
      <w:spacing w:before="80"/>
    </w:pPr>
  </w:style>
  <w:style w:type="paragraph" w:customStyle="1" w:styleId="RecB">
    <w:name w:val="RecB"/>
    <w:basedOn w:val="Normal"/>
    <w:rsid w:val="006F47D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F47D3"/>
    <w:pPr>
      <w:numPr>
        <w:numId w:val="9"/>
      </w:numPr>
      <w:spacing w:before="80"/>
    </w:pPr>
  </w:style>
  <w:style w:type="paragraph" w:customStyle="1" w:styleId="RecBNoTitle">
    <w:name w:val="RecB NoTitle"/>
    <w:basedOn w:val="RecB"/>
    <w:rsid w:val="006F47D3"/>
    <w:pPr>
      <w:spacing w:before="240"/>
    </w:pPr>
  </w:style>
  <w:style w:type="paragraph" w:customStyle="1" w:styleId="Reference">
    <w:name w:val="Reference"/>
    <w:basedOn w:val="BodyText"/>
    <w:rsid w:val="006F47D3"/>
    <w:pPr>
      <w:spacing w:before="120"/>
      <w:ind w:left="340" w:hanging="340"/>
    </w:pPr>
  </w:style>
  <w:style w:type="paragraph" w:customStyle="1" w:styleId="SideNote">
    <w:name w:val="Side Note"/>
    <w:basedOn w:val="BodyText"/>
    <w:next w:val="BodyText"/>
    <w:semiHidden/>
    <w:rsid w:val="006F47D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F47D3"/>
    <w:pPr>
      <w:framePr w:wrap="around"/>
      <w:numPr>
        <w:numId w:val="4"/>
      </w:numPr>
      <w:tabs>
        <w:tab w:val="left" w:pos="227"/>
      </w:tabs>
    </w:pPr>
  </w:style>
  <w:style w:type="paragraph" w:customStyle="1" w:styleId="SideNoteGraphic">
    <w:name w:val="Side Note Graphic"/>
    <w:basedOn w:val="SideNote"/>
    <w:next w:val="BodyText"/>
    <w:semiHidden/>
    <w:rsid w:val="006F47D3"/>
    <w:pPr>
      <w:framePr w:wrap="around"/>
    </w:pPr>
  </w:style>
  <w:style w:type="paragraph" w:customStyle="1" w:styleId="TableBodyText">
    <w:name w:val="Table Body Text"/>
    <w:basedOn w:val="BodyText"/>
    <w:link w:val="TableBodyTextChar"/>
    <w:rsid w:val="006F47D3"/>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A12C8F"/>
    <w:rPr>
      <w:rFonts w:ascii="Arial" w:hAnsi="Arial"/>
    </w:rPr>
  </w:style>
  <w:style w:type="paragraph" w:customStyle="1" w:styleId="TableBullet">
    <w:name w:val="Table Bullet"/>
    <w:basedOn w:val="TableBodyText"/>
    <w:rsid w:val="006F47D3"/>
    <w:pPr>
      <w:numPr>
        <w:numId w:val="10"/>
      </w:numPr>
      <w:jc w:val="left"/>
    </w:pPr>
  </w:style>
  <w:style w:type="paragraph" w:customStyle="1" w:styleId="TableColumnHeading">
    <w:name w:val="Table Column Heading"/>
    <w:basedOn w:val="TableBodyText"/>
    <w:rsid w:val="006F47D3"/>
    <w:pPr>
      <w:spacing w:before="80" w:after="80"/>
    </w:pPr>
    <w:rPr>
      <w:i/>
    </w:rPr>
  </w:style>
  <w:style w:type="paragraph" w:styleId="TableofFigures">
    <w:name w:val="table of figures"/>
    <w:basedOn w:val="TOC3"/>
    <w:next w:val="BodyText"/>
    <w:semiHidden/>
    <w:rsid w:val="006F47D3"/>
    <w:pPr>
      <w:ind w:left="737" w:hanging="737"/>
    </w:pPr>
  </w:style>
  <w:style w:type="paragraph" w:styleId="TOC3">
    <w:name w:val="toc 3"/>
    <w:basedOn w:val="TOC2"/>
    <w:semiHidden/>
    <w:rsid w:val="006F47D3"/>
    <w:pPr>
      <w:spacing w:before="60"/>
      <w:ind w:left="1190" w:hanging="680"/>
    </w:pPr>
    <w:rPr>
      <w:b w:val="0"/>
    </w:rPr>
  </w:style>
  <w:style w:type="paragraph" w:styleId="TOC2">
    <w:name w:val="toc 2"/>
    <w:basedOn w:val="BodyText"/>
    <w:uiPriority w:val="39"/>
    <w:rsid w:val="006F47D3"/>
    <w:pPr>
      <w:tabs>
        <w:tab w:val="right" w:pos="8789"/>
      </w:tabs>
      <w:ind w:left="510" w:right="851" w:hanging="510"/>
      <w:jc w:val="left"/>
    </w:pPr>
    <w:rPr>
      <w:b/>
    </w:rPr>
  </w:style>
  <w:style w:type="paragraph" w:customStyle="1" w:styleId="TableTitle">
    <w:name w:val="Table Title"/>
    <w:basedOn w:val="Caption"/>
    <w:next w:val="Subtitle"/>
    <w:rsid w:val="006F47D3"/>
  </w:style>
  <w:style w:type="paragraph" w:customStyle="1" w:styleId="TableUnitsRow">
    <w:name w:val="Table Units Row"/>
    <w:basedOn w:val="TableBodyText"/>
    <w:rsid w:val="006F47D3"/>
    <w:pPr>
      <w:spacing w:before="80" w:after="80"/>
    </w:pPr>
  </w:style>
  <w:style w:type="paragraph" w:styleId="TOC1">
    <w:name w:val="toc 1"/>
    <w:basedOn w:val="Normal"/>
    <w:next w:val="TOC2"/>
    <w:uiPriority w:val="39"/>
    <w:rsid w:val="006F47D3"/>
    <w:pPr>
      <w:tabs>
        <w:tab w:val="right" w:pos="8789"/>
      </w:tabs>
      <w:spacing w:before="480" w:after="60" w:line="320" w:lineRule="exact"/>
      <w:ind w:left="1191" w:right="851" w:hanging="1191"/>
    </w:pPr>
    <w:rPr>
      <w:b/>
      <w:caps/>
    </w:rPr>
  </w:style>
  <w:style w:type="paragraph" w:styleId="TOC4">
    <w:name w:val="toc 4"/>
    <w:basedOn w:val="TOC3"/>
    <w:semiHidden/>
    <w:rsid w:val="006F47D3"/>
    <w:pPr>
      <w:ind w:left="1191" w:firstLine="0"/>
    </w:pPr>
  </w:style>
  <w:style w:type="paragraph" w:customStyle="1" w:styleId="BoxContinued">
    <w:name w:val="Box Continued"/>
    <w:basedOn w:val="BodyText"/>
    <w:next w:val="BodyText"/>
    <w:link w:val="BoxContinuedChar"/>
    <w:semiHidden/>
    <w:rsid w:val="006F47D3"/>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6F47D3"/>
  </w:style>
  <w:style w:type="paragraph" w:customStyle="1" w:styleId="BoxHeading1">
    <w:name w:val="Box Heading 1"/>
    <w:basedOn w:val="BodyText"/>
    <w:next w:val="Box"/>
    <w:link w:val="BoxHeading1Char"/>
    <w:rsid w:val="006F47D3"/>
    <w:pPr>
      <w:keepNext/>
      <w:spacing w:before="200" w:line="280" w:lineRule="atLeast"/>
    </w:pPr>
    <w:rPr>
      <w:rFonts w:ascii="Arial" w:hAnsi="Arial"/>
      <w:b/>
      <w:sz w:val="22"/>
    </w:rPr>
  </w:style>
  <w:style w:type="character" w:customStyle="1" w:styleId="BoxHeading1Char">
    <w:name w:val="Box Heading 1 Char"/>
    <w:basedOn w:val="BodyTextChar"/>
    <w:link w:val="BoxHeading1"/>
    <w:rsid w:val="001C16B7"/>
    <w:rPr>
      <w:rFonts w:ascii="Arial" w:hAnsi="Arial"/>
      <w:b/>
      <w:sz w:val="22"/>
    </w:rPr>
  </w:style>
  <w:style w:type="paragraph" w:customStyle="1" w:styleId="BoxHeading2">
    <w:name w:val="Box Heading 2"/>
    <w:basedOn w:val="BoxHeading1"/>
    <w:next w:val="Normal"/>
    <w:link w:val="BoxHeading2Char"/>
    <w:rsid w:val="006F47D3"/>
    <w:rPr>
      <w:b w:val="0"/>
      <w:i/>
    </w:rPr>
  </w:style>
  <w:style w:type="character" w:customStyle="1" w:styleId="BoxHeading2Char">
    <w:name w:val="Box Heading 2 Char"/>
    <w:basedOn w:val="BoxHeading1Char"/>
    <w:link w:val="BoxHeading2"/>
    <w:rsid w:val="001C16B7"/>
    <w:rPr>
      <w:rFonts w:ascii="Arial" w:hAnsi="Arial"/>
      <w:b w:val="0"/>
      <w:i/>
      <w:sz w:val="22"/>
    </w:rPr>
  </w:style>
  <w:style w:type="paragraph" w:customStyle="1" w:styleId="Jurisdictioncommentsheading">
    <w:name w:val="Jurisdiction comments heading"/>
    <w:rsid w:val="006F47D3"/>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6F47D3"/>
    <w:pPr>
      <w:spacing w:after="140"/>
      <w:jc w:val="both"/>
    </w:pPr>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E36E2C"/>
    <w:rPr>
      <w:rFonts w:ascii="Arial" w:hAnsi="Arial"/>
      <w:sz w:val="24"/>
      <w:lang w:eastAsia="en-US"/>
    </w:rPr>
  </w:style>
  <w:style w:type="table" w:styleId="TableGrid">
    <w:name w:val="Table Grid"/>
    <w:basedOn w:val="TableNormal"/>
    <w:rsid w:val="00B22F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C72D18"/>
    <w:rPr>
      <w:color w:val="0000FF"/>
      <w:u w:val="single"/>
    </w:rPr>
  </w:style>
  <w:style w:type="paragraph" w:styleId="BalloonText">
    <w:name w:val="Balloon Text"/>
    <w:basedOn w:val="Normal"/>
    <w:semiHidden/>
    <w:rsid w:val="00B91B29"/>
    <w:rPr>
      <w:rFonts w:ascii="Tahoma" w:hAnsi="Tahoma" w:cs="Tahoma"/>
      <w:sz w:val="16"/>
      <w:szCs w:val="16"/>
    </w:rPr>
  </w:style>
  <w:style w:type="paragraph" w:customStyle="1" w:styleId="D">
    <w:name w:val="D"/>
    <w:basedOn w:val="BodyText"/>
    <w:rsid w:val="00CD3065"/>
  </w:style>
  <w:style w:type="character" w:styleId="Strong">
    <w:name w:val="Strong"/>
    <w:basedOn w:val="DefaultParagraphFont"/>
    <w:qFormat/>
    <w:rsid w:val="00345EA3"/>
    <w:rPr>
      <w:b/>
      <w:bCs/>
    </w:rPr>
  </w:style>
  <w:style w:type="paragraph" w:customStyle="1" w:styleId="Responselevel1">
    <w:name w:val="Response (level 1)"/>
    <w:basedOn w:val="Normal"/>
    <w:semiHidden/>
    <w:rsid w:val="007B5803"/>
    <w:pPr>
      <w:keepLines/>
      <w:numPr>
        <w:numId w:val="15"/>
      </w:numPr>
      <w:spacing w:before="240" w:after="60" w:line="300" w:lineRule="atLeast"/>
    </w:pPr>
    <w:rPr>
      <w:rFonts w:ascii="Gill Sans MT" w:hAnsi="Gill Sans MT"/>
      <w:sz w:val="32"/>
      <w:szCs w:val="32"/>
      <w:lang w:eastAsia="en-US"/>
    </w:rPr>
  </w:style>
  <w:style w:type="paragraph" w:customStyle="1" w:styleId="Actionitem">
    <w:name w:val="Action item"/>
    <w:basedOn w:val="BodyText"/>
    <w:link w:val="ActionitemChar"/>
    <w:rsid w:val="00A12C8F"/>
    <w:pPr>
      <w:spacing w:before="40" w:after="40" w:line="240" w:lineRule="auto"/>
      <w:ind w:left="340"/>
    </w:pPr>
    <w:rPr>
      <w:rFonts w:ascii="Arial" w:hAnsi="Arial"/>
      <w:b/>
    </w:rPr>
  </w:style>
  <w:style w:type="character" w:customStyle="1" w:styleId="ActionitemChar">
    <w:name w:val="Action item Char"/>
    <w:basedOn w:val="DefaultParagraphFont"/>
    <w:link w:val="Actionitem"/>
    <w:rsid w:val="00A12C8F"/>
    <w:rPr>
      <w:rFonts w:ascii="Arial" w:hAnsi="Arial"/>
      <w:b/>
      <w:sz w:val="26"/>
      <w:lang w:val="en-AU" w:eastAsia="en-AU" w:bidi="ar-SA"/>
    </w:rPr>
  </w:style>
  <w:style w:type="paragraph" w:customStyle="1" w:styleId="Boxdotpoint">
    <w:name w:val="Box dot point"/>
    <w:basedOn w:val="Normal"/>
    <w:rsid w:val="00A12C8F"/>
    <w:pPr>
      <w:numPr>
        <w:numId w:val="14"/>
      </w:numPr>
      <w:pBdr>
        <w:top w:val="single" w:sz="12" w:space="1" w:color="auto"/>
        <w:left w:val="single" w:sz="12" w:space="4" w:color="auto"/>
        <w:bottom w:val="single" w:sz="12" w:space="1" w:color="auto"/>
        <w:right w:val="single" w:sz="12" w:space="4" w:color="auto"/>
      </w:pBdr>
      <w:autoSpaceDE w:val="0"/>
      <w:autoSpaceDN w:val="0"/>
      <w:adjustRightInd w:val="0"/>
      <w:spacing w:before="40" w:after="60"/>
      <w:ind w:left="0" w:firstLine="0"/>
    </w:pPr>
    <w:rPr>
      <w:rFonts w:ascii="ArialMT" w:hAnsi="ArialMT" w:cs="ArialMT"/>
      <w:color w:val="000000"/>
      <w:sz w:val="22"/>
      <w:szCs w:val="22"/>
      <w:lang w:val="en-US" w:eastAsia="en-US"/>
    </w:rPr>
  </w:style>
  <w:style w:type="paragraph" w:customStyle="1" w:styleId="Text">
    <w:name w:val="Text"/>
    <w:basedOn w:val="Normal"/>
    <w:link w:val="TextChar"/>
    <w:rsid w:val="00A12C8F"/>
    <w:pPr>
      <w:autoSpaceDE w:val="0"/>
      <w:autoSpaceDN w:val="0"/>
      <w:adjustRightInd w:val="0"/>
      <w:spacing w:before="100" w:after="140"/>
    </w:pPr>
    <w:rPr>
      <w:szCs w:val="26"/>
      <w:lang w:val="en-US" w:eastAsia="en-US"/>
    </w:rPr>
  </w:style>
  <w:style w:type="character" w:customStyle="1" w:styleId="TextChar">
    <w:name w:val="Text Char"/>
    <w:basedOn w:val="DefaultParagraphFont"/>
    <w:link w:val="Text"/>
    <w:rsid w:val="00A12C8F"/>
    <w:rPr>
      <w:sz w:val="26"/>
      <w:szCs w:val="26"/>
      <w:lang w:val="en-US" w:eastAsia="en-US" w:bidi="ar-SA"/>
    </w:rPr>
  </w:style>
  <w:style w:type="paragraph" w:customStyle="1" w:styleId="SOC">
    <w:name w:val="SOC"/>
    <w:basedOn w:val="BodyText"/>
    <w:rsid w:val="00645141"/>
    <w:pPr>
      <w:spacing w:before="0" w:after="140" w:line="240" w:lineRule="auto"/>
    </w:pPr>
    <w:rPr>
      <w:rFonts w:ascii="Arial" w:hAnsi="Arial"/>
    </w:rPr>
  </w:style>
  <w:style w:type="paragraph" w:customStyle="1" w:styleId="Default">
    <w:name w:val="Default"/>
    <w:rsid w:val="00A9467E"/>
    <w:pPr>
      <w:autoSpaceDE w:val="0"/>
      <w:autoSpaceDN w:val="0"/>
      <w:adjustRightInd w:val="0"/>
    </w:pPr>
    <w:rPr>
      <w:rFonts w:ascii="Book Antiqua" w:hAnsi="Book Antiqua" w:cs="Book Antiqua"/>
      <w:color w:val="000000"/>
      <w:sz w:val="24"/>
      <w:szCs w:val="24"/>
      <w:lang w:val="en-US" w:eastAsia="en-US"/>
    </w:rPr>
  </w:style>
  <w:style w:type="character" w:customStyle="1" w:styleId="CharChar3">
    <w:name w:val="Char Char3"/>
    <w:basedOn w:val="DefaultParagraphFont"/>
    <w:rsid w:val="005735F8"/>
    <w:rPr>
      <w:sz w:val="26"/>
      <w:lang w:val="en-AU" w:eastAsia="en-AU" w:bidi="ar-SA"/>
    </w:rPr>
  </w:style>
  <w:style w:type="character" w:customStyle="1" w:styleId="CharChar4">
    <w:name w:val="Char Char4"/>
    <w:basedOn w:val="DefaultParagraphFont"/>
    <w:rsid w:val="005735F8"/>
    <w:rPr>
      <w:sz w:val="26"/>
      <w:lang w:val="en-AU" w:eastAsia="en-AU" w:bidi="ar-SA"/>
    </w:rPr>
  </w:style>
  <w:style w:type="character" w:customStyle="1" w:styleId="FigureTitleChar">
    <w:name w:val="Figure Title Char"/>
    <w:basedOn w:val="DefaultParagraphFont"/>
    <w:link w:val="FigureTitle"/>
    <w:rsid w:val="003F4A46"/>
    <w:rPr>
      <w:rFonts w:ascii="Arial" w:hAnsi="Arial"/>
      <w:b/>
      <w:sz w:val="26"/>
      <w:szCs w:val="24"/>
    </w:rPr>
  </w:style>
  <w:style w:type="character" w:customStyle="1" w:styleId="FigureChar">
    <w:name w:val="Figure Char"/>
    <w:basedOn w:val="DefaultParagraphFont"/>
    <w:link w:val="Figure"/>
    <w:rsid w:val="003F4A46"/>
    <w:rPr>
      <w:sz w:val="26"/>
    </w:rPr>
  </w:style>
  <w:style w:type="character" w:customStyle="1" w:styleId="BoxListBullet2Char">
    <w:name w:val="Box List Bullet 2 Char"/>
    <w:basedOn w:val="BodyTextChar"/>
    <w:link w:val="BoxListBullet2"/>
    <w:rsid w:val="00D635CA"/>
    <w:rPr>
      <w:rFonts w:ascii="Arial" w:hAnsi="Arial"/>
      <w:sz w:val="22"/>
    </w:rPr>
  </w:style>
  <w:style w:type="character" w:customStyle="1" w:styleId="kapeness">
    <w:name w:val="kapeness"/>
    <w:basedOn w:val="DefaultParagraphFont"/>
    <w:semiHidden/>
    <w:rsid w:val="00C20B9C"/>
    <w:rPr>
      <w:rFonts w:ascii="Arial" w:hAnsi="Arial" w:cs="Arial"/>
      <w:color w:val="auto"/>
      <w:sz w:val="20"/>
      <w:szCs w:val="20"/>
    </w:rPr>
  </w:style>
  <w:style w:type="paragraph" w:styleId="CommentSubject">
    <w:name w:val="annotation subject"/>
    <w:basedOn w:val="CommentText"/>
    <w:next w:val="CommentText"/>
    <w:semiHidden/>
    <w:rsid w:val="00D35AB5"/>
    <w:pPr>
      <w:spacing w:before="0" w:line="240" w:lineRule="auto"/>
      <w:ind w:left="0" w:firstLine="0"/>
    </w:pPr>
    <w:rPr>
      <w:b/>
      <w:bCs/>
      <w:szCs w:val="20"/>
    </w:rPr>
  </w:style>
  <w:style w:type="paragraph" w:styleId="EndnoteText">
    <w:name w:val="endnote text"/>
    <w:basedOn w:val="Normal"/>
    <w:rsid w:val="0033204B"/>
    <w:rPr>
      <w:sz w:val="20"/>
      <w:szCs w:val="20"/>
    </w:rPr>
  </w:style>
  <w:style w:type="character" w:styleId="EndnoteReference">
    <w:name w:val="endnote reference"/>
    <w:basedOn w:val="DefaultParagraphFont"/>
    <w:rsid w:val="0033204B"/>
    <w:rPr>
      <w:vertAlign w:val="superscript"/>
    </w:rPr>
  </w:style>
  <w:style w:type="paragraph" w:customStyle="1" w:styleId="BulletedListLevel1">
    <w:name w:val="Bulleted List Level 1"/>
    <w:link w:val="BulletedListLevel1Char"/>
    <w:semiHidden/>
    <w:rsid w:val="00EC1388"/>
    <w:pPr>
      <w:keepLines/>
      <w:numPr>
        <w:numId w:val="16"/>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basedOn w:val="DefaultParagraphFont"/>
    <w:link w:val="BulletedListLevel1"/>
    <w:semiHidden/>
    <w:rsid w:val="00EC1388"/>
    <w:rPr>
      <w:rFonts w:ascii="Gill Sans MT" w:hAnsi="Gill Sans MT"/>
      <w:sz w:val="24"/>
      <w:szCs w:val="24"/>
      <w:lang w:eastAsia="en-US"/>
    </w:rPr>
  </w:style>
  <w:style w:type="paragraph" w:styleId="NormalWeb">
    <w:name w:val="Normal (Web)"/>
    <w:basedOn w:val="Normal"/>
    <w:uiPriority w:val="99"/>
    <w:rsid w:val="003C480F"/>
    <w:rPr>
      <w:sz w:val="24"/>
    </w:rPr>
  </w:style>
  <w:style w:type="character" w:customStyle="1" w:styleId="BoxContinuedChar">
    <w:name w:val="Box Continued Char"/>
    <w:basedOn w:val="BodyTextChar"/>
    <w:link w:val="BoxContinued"/>
    <w:semiHidden/>
    <w:rsid w:val="00804C22"/>
    <w:rPr>
      <w:rFonts w:ascii="Arial" w:hAnsi="Arial"/>
      <w:sz w:val="18"/>
    </w:rPr>
  </w:style>
  <w:style w:type="character" w:customStyle="1" w:styleId="ContinuedChar">
    <w:name w:val="Continued Char"/>
    <w:basedOn w:val="BoxContinuedChar"/>
    <w:link w:val="Continued"/>
    <w:rsid w:val="00804C22"/>
    <w:rPr>
      <w:rFonts w:ascii="Arial" w:hAnsi="Arial"/>
      <w:sz w:val="18"/>
    </w:rPr>
  </w:style>
  <w:style w:type="character" w:customStyle="1" w:styleId="Heading5Char">
    <w:name w:val="Heading 5 Char"/>
    <w:basedOn w:val="DefaultParagraphFont"/>
    <w:link w:val="Heading5"/>
    <w:rsid w:val="00665971"/>
    <w:rPr>
      <w:i/>
      <w:sz w:val="26"/>
    </w:rPr>
  </w:style>
  <w:style w:type="character" w:customStyle="1" w:styleId="Heading9Char">
    <w:name w:val="Heading 9 Char"/>
    <w:basedOn w:val="DefaultParagraphFont"/>
    <w:link w:val="Heading9"/>
    <w:locked/>
    <w:rsid w:val="00DE2519"/>
    <w:rPr>
      <w:rFonts w:ascii="Arial" w:hAnsi="Arial"/>
      <w:b/>
      <w:i/>
      <w:sz w:val="18"/>
    </w:rPr>
  </w:style>
  <w:style w:type="character" w:customStyle="1" w:styleId="CommentTextChar">
    <w:name w:val="Comment Text Char"/>
    <w:basedOn w:val="DefaultParagraphFont"/>
    <w:link w:val="CommentText"/>
    <w:semiHidden/>
    <w:rsid w:val="0098132F"/>
    <w:rPr>
      <w:szCs w:val="24"/>
    </w:rPr>
  </w:style>
  <w:style w:type="character" w:customStyle="1" w:styleId="HeaderChar">
    <w:name w:val="Header Char"/>
    <w:basedOn w:val="DefaultParagraphFont"/>
    <w:link w:val="Header"/>
    <w:rsid w:val="004B2A1E"/>
    <w:rPr>
      <w:rFonts w:ascii="Arial" w:hAnsi="Arial"/>
      <w:caps/>
      <w:sz w:val="26"/>
    </w:rPr>
  </w:style>
  <w:style w:type="character" w:customStyle="1" w:styleId="draftingnote0">
    <w:name w:val="draftingnote"/>
    <w:basedOn w:val="DefaultParagraphFont"/>
    <w:rsid w:val="000429FE"/>
    <w:rPr>
      <w:b/>
      <w:bCs/>
      <w:color w:val="FF0000"/>
      <w:u w:val="single"/>
    </w:rPr>
  </w:style>
  <w:style w:type="character" w:customStyle="1" w:styleId="FooterChar">
    <w:name w:val="Footer Char"/>
    <w:basedOn w:val="DefaultParagraphFont"/>
    <w:link w:val="Footer"/>
    <w:uiPriority w:val="99"/>
    <w:rsid w:val="00D02010"/>
    <w:rPr>
      <w:caps/>
      <w:spacing w:val="-4"/>
      <w:sz w:val="16"/>
    </w:rPr>
  </w:style>
  <w:style w:type="paragraph" w:customStyle="1" w:styleId="BoxSpaceAbove">
    <w:name w:val="Box Space Above"/>
    <w:basedOn w:val="BodyText"/>
    <w:rsid w:val="00636AB5"/>
    <w:pPr>
      <w:keepNext/>
      <w:spacing w:before="360" w:line="80" w:lineRule="exact"/>
      <w:jc w:val="left"/>
    </w:pPr>
  </w:style>
  <w:style w:type="paragraph" w:customStyle="1" w:styleId="BoxSpaceBelow">
    <w:name w:val="Box Space Below"/>
    <w:basedOn w:val="Box"/>
    <w:rsid w:val="00636AB5"/>
    <w:pPr>
      <w:keepNext w:val="0"/>
      <w:spacing w:before="60" w:after="60" w:line="80" w:lineRule="exact"/>
    </w:pPr>
    <w:rPr>
      <w:sz w:val="14"/>
    </w:rPr>
  </w:style>
  <w:style w:type="paragraph" w:styleId="ListParagraph">
    <w:name w:val="List Paragraph"/>
    <w:basedOn w:val="Normal"/>
    <w:uiPriority w:val="34"/>
    <w:qFormat/>
    <w:rsid w:val="00D25265"/>
    <w:pPr>
      <w:spacing w:after="200" w:line="276"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List Bullet" w:qFormat="1"/>
    <w:lsdException w:name="Title" w:qFormat="1"/>
    <w:lsdException w:name="Body Text"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7BD6"/>
    <w:rPr>
      <w:sz w:val="26"/>
      <w:szCs w:val="24"/>
    </w:rPr>
  </w:style>
  <w:style w:type="paragraph" w:styleId="Heading1">
    <w:name w:val="heading 1"/>
    <w:basedOn w:val="Normal"/>
    <w:next w:val="BodyText"/>
    <w:autoRedefine/>
    <w:qFormat/>
    <w:rsid w:val="006F47D3"/>
    <w:pPr>
      <w:keepNext/>
      <w:spacing w:before="160" w:after="1360" w:line="600" w:lineRule="exact"/>
      <w:ind w:left="907" w:hanging="907"/>
      <w:outlineLvl w:val="0"/>
    </w:pPr>
    <w:rPr>
      <w:sz w:val="52"/>
    </w:rPr>
  </w:style>
  <w:style w:type="paragraph" w:styleId="Heading2">
    <w:name w:val="heading 2"/>
    <w:basedOn w:val="Chapter"/>
    <w:next w:val="BodyText"/>
    <w:link w:val="Heading2Char"/>
    <w:qFormat/>
    <w:rsid w:val="006F47D3"/>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6F47D3"/>
    <w:pPr>
      <w:spacing w:before="560" w:line="320" w:lineRule="exact"/>
      <w:ind w:left="0" w:firstLine="0"/>
      <w:outlineLvl w:val="2"/>
    </w:pPr>
    <w:rPr>
      <w:sz w:val="26"/>
    </w:rPr>
  </w:style>
  <w:style w:type="paragraph" w:styleId="Heading4">
    <w:name w:val="heading 4"/>
    <w:basedOn w:val="Heading3"/>
    <w:next w:val="BodyText"/>
    <w:qFormat/>
    <w:rsid w:val="006F47D3"/>
    <w:pPr>
      <w:spacing w:before="480"/>
      <w:outlineLvl w:val="3"/>
    </w:pPr>
    <w:rPr>
      <w:b w:val="0"/>
      <w:i/>
      <w:sz w:val="24"/>
    </w:rPr>
  </w:style>
  <w:style w:type="paragraph" w:styleId="Heading5">
    <w:name w:val="heading 5"/>
    <w:basedOn w:val="Heading4"/>
    <w:next w:val="BodyText"/>
    <w:link w:val="Heading5Char"/>
    <w:qFormat/>
    <w:rsid w:val="006F47D3"/>
    <w:pPr>
      <w:outlineLvl w:val="4"/>
    </w:pPr>
    <w:rPr>
      <w:rFonts w:ascii="Times New Roman" w:hAnsi="Times New Roman"/>
      <w:sz w:val="26"/>
    </w:rPr>
  </w:style>
  <w:style w:type="paragraph" w:styleId="Heading6">
    <w:name w:val="heading 6"/>
    <w:basedOn w:val="BodyText"/>
    <w:next w:val="BodyText"/>
    <w:qFormat/>
    <w:rsid w:val="006F47D3"/>
    <w:pPr>
      <w:spacing w:after="60"/>
      <w:jc w:val="left"/>
      <w:outlineLvl w:val="5"/>
    </w:pPr>
    <w:rPr>
      <w:i/>
      <w:sz w:val="22"/>
    </w:rPr>
  </w:style>
  <w:style w:type="paragraph" w:styleId="Heading7">
    <w:name w:val="heading 7"/>
    <w:basedOn w:val="BodyText"/>
    <w:next w:val="BodyText"/>
    <w:qFormat/>
    <w:rsid w:val="006F47D3"/>
    <w:pPr>
      <w:spacing w:after="60" w:line="240" w:lineRule="auto"/>
      <w:jc w:val="left"/>
      <w:outlineLvl w:val="6"/>
    </w:pPr>
    <w:rPr>
      <w:rFonts w:ascii="Arial" w:hAnsi="Arial"/>
      <w:sz w:val="20"/>
    </w:rPr>
  </w:style>
  <w:style w:type="paragraph" w:styleId="Heading8">
    <w:name w:val="heading 8"/>
    <w:basedOn w:val="BodyText"/>
    <w:next w:val="BodyText"/>
    <w:qFormat/>
    <w:rsid w:val="006F47D3"/>
    <w:pPr>
      <w:spacing w:after="60" w:line="240" w:lineRule="auto"/>
      <w:jc w:val="left"/>
      <w:outlineLvl w:val="7"/>
    </w:pPr>
    <w:rPr>
      <w:rFonts w:ascii="Arial" w:hAnsi="Arial"/>
      <w:i/>
      <w:sz w:val="20"/>
    </w:rPr>
  </w:style>
  <w:style w:type="paragraph" w:styleId="Heading9">
    <w:name w:val="heading 9"/>
    <w:basedOn w:val="BodyText"/>
    <w:next w:val="BodyText"/>
    <w:link w:val="Heading9Char"/>
    <w:qFormat/>
    <w:rsid w:val="006F47D3"/>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Body Text Char Char,Body Text Char1 Char Char Char,Body Text Char Char Char Char Char,new legislation style Char Char Char Char Char,Body Text Char1 Char Char Char Char Char,Body Text Char2 Char,Body Text2"/>
    <w:link w:val="BodyTextChar"/>
    <w:qFormat/>
    <w:rsid w:val="006F47D3"/>
    <w:pPr>
      <w:spacing w:before="240" w:line="320" w:lineRule="atLeast"/>
      <w:jc w:val="both"/>
    </w:pPr>
    <w:rPr>
      <w:sz w:val="26"/>
    </w:rPr>
  </w:style>
  <w:style w:type="character" w:customStyle="1" w:styleId="BodyTextChar">
    <w:name w:val="Body Text Char"/>
    <w:aliases w:val="new legislation style Char,Body Text Char1 Char1,Body Text Char Char Char1,Body Text Char1 Char Char Char Char1,Body Text Char Char Char Char Char Char1,new legislation style Char Char Char Char Char Char1,Body Text Char2 Char Char"/>
    <w:basedOn w:val="DefaultParagraphFont"/>
    <w:link w:val="BodyText"/>
    <w:rsid w:val="00127B8B"/>
    <w:rPr>
      <w:sz w:val="26"/>
    </w:rPr>
  </w:style>
  <w:style w:type="paragraph" w:customStyle="1" w:styleId="Chapter">
    <w:name w:val="Chapter"/>
    <w:basedOn w:val="Heading1"/>
    <w:next w:val="BodyText"/>
    <w:semiHidden/>
    <w:rsid w:val="006F47D3"/>
    <w:pPr>
      <w:ind w:left="0" w:firstLine="0"/>
      <w:outlineLvl w:val="9"/>
    </w:pPr>
    <w:rPr>
      <w:szCs w:val="20"/>
    </w:rPr>
  </w:style>
  <w:style w:type="character" w:customStyle="1" w:styleId="Heading2Char">
    <w:name w:val="Heading 2 Char"/>
    <w:basedOn w:val="DefaultParagraphFont"/>
    <w:link w:val="Heading2"/>
    <w:rsid w:val="00A12C8F"/>
    <w:rPr>
      <w:rFonts w:ascii="Arial" w:hAnsi="Arial"/>
      <w:b/>
      <w:sz w:val="32"/>
    </w:rPr>
  </w:style>
  <w:style w:type="paragraph" w:customStyle="1" w:styleId="SequenceInfo">
    <w:name w:val="Sequence Info"/>
    <w:basedOn w:val="BodyText"/>
    <w:semiHidden/>
    <w:rsid w:val="006F47D3"/>
    <w:rPr>
      <w:vanish/>
      <w:sz w:val="16"/>
    </w:rPr>
  </w:style>
  <w:style w:type="character" w:styleId="CommentReference">
    <w:name w:val="annotation reference"/>
    <w:basedOn w:val="DefaultParagraphFont"/>
    <w:semiHidden/>
    <w:rsid w:val="006F47D3"/>
    <w:rPr>
      <w:b/>
      <w:vanish/>
      <w:color w:val="FF00FF"/>
      <w:sz w:val="20"/>
    </w:rPr>
  </w:style>
  <w:style w:type="paragraph" w:styleId="CommentText">
    <w:name w:val="annotation text"/>
    <w:basedOn w:val="Normal"/>
    <w:link w:val="CommentTextChar"/>
    <w:semiHidden/>
    <w:rsid w:val="006F47D3"/>
    <w:pPr>
      <w:spacing w:before="120" w:line="240" w:lineRule="atLeast"/>
      <w:ind w:left="567" w:hanging="567"/>
    </w:pPr>
    <w:rPr>
      <w:sz w:val="20"/>
    </w:rPr>
  </w:style>
  <w:style w:type="paragraph" w:customStyle="1" w:styleId="Abbreviation">
    <w:name w:val="Abbreviation"/>
    <w:basedOn w:val="BodyText"/>
    <w:rsid w:val="006F47D3"/>
    <w:pPr>
      <w:spacing w:before="120"/>
      <w:ind w:left="2381" w:hanging="2381"/>
      <w:jc w:val="left"/>
    </w:pPr>
  </w:style>
  <w:style w:type="paragraph" w:customStyle="1" w:styleId="Box">
    <w:name w:val="Box"/>
    <w:basedOn w:val="BodyText"/>
    <w:link w:val="BoxChar"/>
    <w:qFormat/>
    <w:rsid w:val="006F47D3"/>
    <w:pPr>
      <w:keepNext/>
      <w:spacing w:before="120" w:line="280" w:lineRule="atLeast"/>
    </w:pPr>
    <w:rPr>
      <w:rFonts w:ascii="Arial" w:hAnsi="Arial"/>
      <w:sz w:val="22"/>
    </w:rPr>
  </w:style>
  <w:style w:type="character" w:customStyle="1" w:styleId="BoxChar">
    <w:name w:val="Box Char"/>
    <w:basedOn w:val="BodyTextChar"/>
    <w:link w:val="Box"/>
    <w:rsid w:val="00127B8B"/>
    <w:rPr>
      <w:rFonts w:ascii="Arial" w:hAnsi="Arial"/>
      <w:sz w:val="22"/>
    </w:rPr>
  </w:style>
  <w:style w:type="paragraph" w:customStyle="1" w:styleId="QuoteBullet">
    <w:name w:val="Quote Bullet"/>
    <w:basedOn w:val="Quote"/>
    <w:rsid w:val="006F47D3"/>
    <w:pPr>
      <w:numPr>
        <w:numId w:val="11"/>
      </w:numPr>
    </w:pPr>
  </w:style>
  <w:style w:type="paragraph" w:styleId="Quote">
    <w:name w:val="Quote"/>
    <w:basedOn w:val="BodyText"/>
    <w:next w:val="BodyText"/>
    <w:qFormat/>
    <w:rsid w:val="006F47D3"/>
    <w:pPr>
      <w:spacing w:before="120" w:line="280" w:lineRule="exact"/>
      <w:ind w:left="340"/>
    </w:pPr>
    <w:rPr>
      <w:sz w:val="24"/>
    </w:rPr>
  </w:style>
  <w:style w:type="paragraph" w:customStyle="1" w:styleId="BoxListBullet">
    <w:name w:val="Box List Bullet"/>
    <w:basedOn w:val="BodyText"/>
    <w:link w:val="BoxListBulletChar"/>
    <w:rsid w:val="006F47D3"/>
    <w:pPr>
      <w:keepNext/>
      <w:numPr>
        <w:numId w:val="6"/>
      </w:numPr>
      <w:spacing w:before="120" w:line="280" w:lineRule="atLeast"/>
    </w:pPr>
    <w:rPr>
      <w:rFonts w:ascii="Arial" w:hAnsi="Arial"/>
      <w:sz w:val="22"/>
    </w:rPr>
  </w:style>
  <w:style w:type="character" w:customStyle="1" w:styleId="BoxListBulletChar">
    <w:name w:val="Box List Bullet Char"/>
    <w:basedOn w:val="BoxChar"/>
    <w:link w:val="BoxListBullet"/>
    <w:rsid w:val="00127B8B"/>
    <w:rPr>
      <w:rFonts w:ascii="Arial" w:hAnsi="Arial"/>
      <w:sz w:val="22"/>
    </w:rPr>
  </w:style>
  <w:style w:type="paragraph" w:customStyle="1" w:styleId="BoxListBullet2">
    <w:name w:val="Box List Bullet 2"/>
    <w:basedOn w:val="BodyText"/>
    <w:link w:val="BoxListBullet2Char"/>
    <w:rsid w:val="006F47D3"/>
    <w:pPr>
      <w:keepNext/>
      <w:numPr>
        <w:numId w:val="3"/>
      </w:numPr>
      <w:tabs>
        <w:tab w:val="left" w:pos="284"/>
      </w:tabs>
      <w:spacing w:before="60" w:line="280" w:lineRule="atLeast"/>
    </w:pPr>
    <w:rPr>
      <w:rFonts w:ascii="Arial" w:hAnsi="Arial"/>
      <w:sz w:val="22"/>
    </w:rPr>
  </w:style>
  <w:style w:type="paragraph" w:customStyle="1" w:styleId="BoxListNumber">
    <w:name w:val="Box List Number"/>
    <w:basedOn w:val="BodyText"/>
    <w:rsid w:val="006F47D3"/>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6F47D3"/>
    <w:pPr>
      <w:numPr>
        <w:ilvl w:val="1"/>
      </w:numPr>
      <w:spacing w:before="60"/>
    </w:pPr>
  </w:style>
  <w:style w:type="paragraph" w:customStyle="1" w:styleId="BoxQuote">
    <w:name w:val="Box Quote"/>
    <w:basedOn w:val="BodyText"/>
    <w:next w:val="Box"/>
    <w:rsid w:val="006F47D3"/>
    <w:pPr>
      <w:keepNext/>
      <w:spacing w:before="60" w:line="260" w:lineRule="exact"/>
      <w:ind w:left="284"/>
    </w:pPr>
    <w:rPr>
      <w:rFonts w:ascii="Arial" w:hAnsi="Arial"/>
      <w:sz w:val="20"/>
    </w:rPr>
  </w:style>
  <w:style w:type="paragraph" w:customStyle="1" w:styleId="BoxSource">
    <w:name w:val="Box Source"/>
    <w:basedOn w:val="Source"/>
    <w:next w:val="BodyText"/>
    <w:rsid w:val="006F47D3"/>
    <w:pPr>
      <w:spacing w:before="180" w:after="0"/>
    </w:pPr>
  </w:style>
  <w:style w:type="paragraph" w:customStyle="1" w:styleId="Source">
    <w:name w:val="Source"/>
    <w:basedOn w:val="Note"/>
    <w:next w:val="BodyText"/>
    <w:link w:val="SourceChar"/>
    <w:rsid w:val="006F47D3"/>
    <w:pPr>
      <w:spacing w:after="120"/>
    </w:pPr>
  </w:style>
  <w:style w:type="paragraph" w:customStyle="1" w:styleId="Note">
    <w:name w:val="Note"/>
    <w:basedOn w:val="BodyText"/>
    <w:next w:val="Normal"/>
    <w:link w:val="NoteChar"/>
    <w:rsid w:val="006F47D3"/>
    <w:pPr>
      <w:keepLines/>
      <w:spacing w:before="80" w:line="220" w:lineRule="exact"/>
    </w:pPr>
    <w:rPr>
      <w:rFonts w:ascii="Arial" w:hAnsi="Arial"/>
      <w:sz w:val="18"/>
    </w:rPr>
  </w:style>
  <w:style w:type="character" w:customStyle="1" w:styleId="NoteChar">
    <w:name w:val="Note Char"/>
    <w:basedOn w:val="BodyTextChar"/>
    <w:link w:val="Note"/>
    <w:rsid w:val="00B2594C"/>
    <w:rPr>
      <w:rFonts w:ascii="Arial" w:hAnsi="Arial"/>
      <w:sz w:val="18"/>
    </w:rPr>
  </w:style>
  <w:style w:type="character" w:customStyle="1" w:styleId="SourceChar">
    <w:name w:val="Source Char"/>
    <w:basedOn w:val="NoteChar"/>
    <w:link w:val="Source"/>
    <w:rsid w:val="0024403C"/>
    <w:rPr>
      <w:rFonts w:ascii="Arial" w:hAnsi="Arial"/>
      <w:sz w:val="18"/>
    </w:rPr>
  </w:style>
  <w:style w:type="paragraph" w:customStyle="1" w:styleId="BoxSpace">
    <w:name w:val="Box Space"/>
    <w:basedOn w:val="BodyText"/>
    <w:link w:val="BoxSpaceChar"/>
    <w:rsid w:val="006F47D3"/>
    <w:pPr>
      <w:keepNext/>
      <w:spacing w:before="360" w:line="80" w:lineRule="exact"/>
      <w:jc w:val="left"/>
    </w:pPr>
  </w:style>
  <w:style w:type="character" w:customStyle="1" w:styleId="BoxSpaceChar">
    <w:name w:val="Box Space Char"/>
    <w:basedOn w:val="BodyTextChar1Char"/>
    <w:link w:val="BoxSpace"/>
    <w:rsid w:val="005603AF"/>
    <w:rPr>
      <w:sz w:val="26"/>
      <w:lang w:val="en-AU" w:eastAsia="en-AU" w:bidi="ar-SA"/>
    </w:rPr>
  </w:style>
  <w:style w:type="character" w:customStyle="1" w:styleId="BodyTextChar1Char">
    <w:name w:val="Body Text Char1 Char"/>
    <w:aliases w:val="Body Text Char Char Char,Body Text Char1 Char Char Char Char,Body Text Char Char Char Char Char Char,new legislation style Char Char Char Char Char Char,Body Text Char1 Char Char Char Char Char Char"/>
    <w:basedOn w:val="DefaultParagraphFont"/>
    <w:rsid w:val="00425B33"/>
    <w:rPr>
      <w:sz w:val="26"/>
      <w:lang w:val="en-AU" w:eastAsia="en-AU" w:bidi="ar-SA"/>
    </w:rPr>
  </w:style>
  <w:style w:type="paragraph" w:customStyle="1" w:styleId="BoxSubtitle">
    <w:name w:val="Box Subtitle"/>
    <w:basedOn w:val="BoxTitle"/>
    <w:next w:val="Normal"/>
    <w:rsid w:val="006F47D3"/>
    <w:pPr>
      <w:spacing w:after="80" w:line="200" w:lineRule="exact"/>
      <w:ind w:firstLine="0"/>
    </w:pPr>
    <w:rPr>
      <w:b w:val="0"/>
      <w:sz w:val="20"/>
    </w:rPr>
  </w:style>
  <w:style w:type="paragraph" w:customStyle="1" w:styleId="BoxTitle">
    <w:name w:val="Box Title"/>
    <w:basedOn w:val="Caption"/>
    <w:next w:val="Normal"/>
    <w:rsid w:val="006F47D3"/>
    <w:pPr>
      <w:spacing w:before="120" w:after="0"/>
      <w:ind w:left="1304" w:hanging="1304"/>
    </w:pPr>
  </w:style>
  <w:style w:type="paragraph" w:styleId="Caption">
    <w:name w:val="caption"/>
    <w:basedOn w:val="Normal"/>
    <w:next w:val="BodyText"/>
    <w:qFormat/>
    <w:rsid w:val="006F47D3"/>
    <w:pPr>
      <w:keepNext/>
      <w:keepLines/>
      <w:spacing w:before="360" w:after="80" w:line="280" w:lineRule="exact"/>
      <w:ind w:left="1474" w:hanging="1474"/>
    </w:pPr>
    <w:rPr>
      <w:rFonts w:ascii="Arial" w:hAnsi="Arial"/>
      <w:b/>
    </w:rPr>
  </w:style>
  <w:style w:type="paragraph" w:customStyle="1" w:styleId="ChapterSummary">
    <w:name w:val="Chapter Summary"/>
    <w:basedOn w:val="BodyText"/>
    <w:semiHidden/>
    <w:rsid w:val="006F47D3"/>
    <w:pPr>
      <w:ind w:left="907"/>
    </w:pPr>
    <w:rPr>
      <w:rFonts w:ascii="Arial" w:hAnsi="Arial"/>
      <w:b/>
      <w:sz w:val="22"/>
    </w:rPr>
  </w:style>
  <w:style w:type="character" w:customStyle="1" w:styleId="DocumentInfo">
    <w:name w:val="Document Info"/>
    <w:basedOn w:val="DefaultParagraphFont"/>
    <w:semiHidden/>
    <w:rsid w:val="006F47D3"/>
    <w:rPr>
      <w:rFonts w:ascii="Arial" w:hAnsi="Arial"/>
      <w:sz w:val="14"/>
    </w:rPr>
  </w:style>
  <w:style w:type="paragraph" w:styleId="Footer">
    <w:name w:val="footer"/>
    <w:basedOn w:val="BodyText"/>
    <w:link w:val="FooterChar"/>
    <w:uiPriority w:val="99"/>
    <w:rsid w:val="006F47D3"/>
    <w:pPr>
      <w:spacing w:before="80" w:line="200" w:lineRule="exact"/>
      <w:ind w:right="6"/>
      <w:jc w:val="left"/>
    </w:pPr>
    <w:rPr>
      <w:caps/>
      <w:spacing w:val="-4"/>
      <w:sz w:val="16"/>
    </w:rPr>
  </w:style>
  <w:style w:type="character" w:customStyle="1" w:styleId="DraftingNote">
    <w:name w:val="Drafting Note"/>
    <w:basedOn w:val="DefaultParagraphFont"/>
    <w:rsid w:val="006F47D3"/>
    <w:rPr>
      <w:b/>
      <w:color w:val="FF0000"/>
      <w:sz w:val="24"/>
      <w:u w:val="dotted"/>
    </w:rPr>
  </w:style>
  <w:style w:type="paragraph" w:customStyle="1" w:styleId="Jurisdictioncommentsbodytext">
    <w:name w:val="Jurisdiction comments body text"/>
    <w:rsid w:val="006F47D3"/>
    <w:pPr>
      <w:spacing w:after="140"/>
      <w:jc w:val="both"/>
    </w:pPr>
    <w:rPr>
      <w:rFonts w:ascii="Arial" w:hAnsi="Arial"/>
      <w:sz w:val="24"/>
      <w:lang w:eastAsia="en-US"/>
    </w:rPr>
  </w:style>
  <w:style w:type="paragraph" w:customStyle="1" w:styleId="Figure">
    <w:name w:val="Figure"/>
    <w:basedOn w:val="BodyText"/>
    <w:link w:val="FigureChar"/>
    <w:rsid w:val="006F47D3"/>
    <w:pPr>
      <w:keepNext/>
      <w:spacing w:before="120" w:after="120" w:line="240" w:lineRule="atLeast"/>
      <w:jc w:val="center"/>
    </w:pPr>
  </w:style>
  <w:style w:type="paragraph" w:customStyle="1" w:styleId="FigureTitle">
    <w:name w:val="Figure Title"/>
    <w:basedOn w:val="Caption"/>
    <w:next w:val="Subtitle"/>
    <w:link w:val="FigureTitleChar"/>
    <w:rsid w:val="006F47D3"/>
  </w:style>
  <w:style w:type="paragraph" w:styleId="Subtitle">
    <w:name w:val="Subtitle"/>
    <w:basedOn w:val="Caption"/>
    <w:qFormat/>
    <w:rsid w:val="006F47D3"/>
    <w:pPr>
      <w:spacing w:before="0" w:line="200" w:lineRule="exact"/>
      <w:ind w:firstLine="0"/>
    </w:pPr>
    <w:rPr>
      <w:b w:val="0"/>
      <w:sz w:val="20"/>
    </w:rPr>
  </w:style>
  <w:style w:type="paragraph" w:customStyle="1" w:styleId="Finding">
    <w:name w:val="Finding"/>
    <w:basedOn w:val="BodyText"/>
    <w:rsid w:val="006F47D3"/>
    <w:pPr>
      <w:keepLines/>
      <w:spacing w:before="180"/>
    </w:pPr>
    <w:rPr>
      <w:i/>
    </w:rPr>
  </w:style>
  <w:style w:type="paragraph" w:customStyle="1" w:styleId="FindingBullet">
    <w:name w:val="Finding Bullet"/>
    <w:basedOn w:val="Finding"/>
    <w:rsid w:val="006F47D3"/>
    <w:pPr>
      <w:numPr>
        <w:numId w:val="7"/>
      </w:numPr>
      <w:spacing w:before="80"/>
    </w:pPr>
  </w:style>
  <w:style w:type="paragraph" w:customStyle="1" w:styleId="FindingNoTitle">
    <w:name w:val="Finding NoTitle"/>
    <w:basedOn w:val="Finding"/>
    <w:rsid w:val="006F47D3"/>
    <w:pPr>
      <w:spacing w:before="240"/>
    </w:pPr>
  </w:style>
  <w:style w:type="paragraph" w:customStyle="1" w:styleId="FindingTitle">
    <w:name w:val="Finding Title"/>
    <w:basedOn w:val="RecTitle"/>
    <w:next w:val="Finding"/>
    <w:rsid w:val="006F47D3"/>
    <w:pPr>
      <w:framePr w:wrap="notBeside"/>
    </w:pPr>
  </w:style>
  <w:style w:type="paragraph" w:customStyle="1" w:styleId="RecTitle">
    <w:name w:val="Rec Title"/>
    <w:basedOn w:val="BodyText"/>
    <w:next w:val="Normal"/>
    <w:rsid w:val="006F47D3"/>
    <w:pPr>
      <w:keepNext/>
      <w:framePr w:hSpace="181" w:wrap="notBeside" w:vAnchor="text" w:hAnchor="text" w:xAlign="outside" w:y="1"/>
    </w:pPr>
    <w:rPr>
      <w:caps/>
      <w:sz w:val="16"/>
    </w:rPr>
  </w:style>
  <w:style w:type="paragraph" w:customStyle="1" w:styleId="FooterEnd">
    <w:name w:val="Footer End"/>
    <w:basedOn w:val="Footer"/>
    <w:rsid w:val="006F47D3"/>
    <w:pPr>
      <w:spacing w:before="0" w:line="20" w:lineRule="exact"/>
    </w:pPr>
  </w:style>
  <w:style w:type="character" w:styleId="FootnoteReference">
    <w:name w:val="footnote reference"/>
    <w:basedOn w:val="DefaultParagraphFont"/>
    <w:semiHidden/>
    <w:rsid w:val="006F47D3"/>
    <w:rPr>
      <w:rFonts w:ascii="Times New Roman" w:hAnsi="Times New Roman"/>
      <w:position w:val="6"/>
      <w:sz w:val="22"/>
      <w:vertAlign w:val="baseline"/>
    </w:rPr>
  </w:style>
  <w:style w:type="paragraph" w:styleId="FootnoteText">
    <w:name w:val="footnote text"/>
    <w:basedOn w:val="BodyText"/>
    <w:rsid w:val="006F47D3"/>
    <w:pPr>
      <w:tabs>
        <w:tab w:val="left" w:pos="284"/>
      </w:tabs>
      <w:spacing w:before="80" w:line="260" w:lineRule="exact"/>
      <w:ind w:left="284" w:hanging="284"/>
    </w:pPr>
    <w:rPr>
      <w:sz w:val="22"/>
    </w:rPr>
  </w:style>
  <w:style w:type="paragraph" w:styleId="Header">
    <w:name w:val="header"/>
    <w:basedOn w:val="BodyText"/>
    <w:link w:val="HeaderChar"/>
    <w:rsid w:val="006F47D3"/>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6F47D3"/>
    <w:pPr>
      <w:spacing w:line="20" w:lineRule="exact"/>
    </w:pPr>
    <w:rPr>
      <w:sz w:val="16"/>
    </w:rPr>
  </w:style>
  <w:style w:type="paragraph" w:customStyle="1" w:styleId="HeaderEven">
    <w:name w:val="Header Even"/>
    <w:basedOn w:val="Header"/>
    <w:semiHidden/>
    <w:rsid w:val="006F47D3"/>
  </w:style>
  <w:style w:type="paragraph" w:customStyle="1" w:styleId="HeaderOdd">
    <w:name w:val="Header Odd"/>
    <w:basedOn w:val="Header"/>
    <w:semiHidden/>
    <w:rsid w:val="006F47D3"/>
  </w:style>
  <w:style w:type="paragraph" w:customStyle="1" w:styleId="InformationRequest">
    <w:name w:val="Information Request"/>
    <w:basedOn w:val="Finding"/>
    <w:next w:val="BodyText"/>
    <w:rsid w:val="006F47D3"/>
    <w:pPr>
      <w:spacing w:before="360" w:after="120"/>
    </w:pPr>
    <w:rPr>
      <w:rFonts w:ascii="Arial" w:hAnsi="Arial"/>
      <w:sz w:val="24"/>
    </w:rPr>
  </w:style>
  <w:style w:type="paragraph" w:styleId="ListBullet">
    <w:name w:val="List Bullet"/>
    <w:aliases w:val="List Bullet Char1,List Bullet Char Char,List Bullet Char1 Char Char"/>
    <w:basedOn w:val="BodyText"/>
    <w:link w:val="ListBulletChar"/>
    <w:qFormat/>
    <w:rsid w:val="006F47D3"/>
    <w:pPr>
      <w:numPr>
        <w:numId w:val="5"/>
      </w:numPr>
      <w:spacing w:before="120"/>
    </w:pPr>
  </w:style>
  <w:style w:type="character" w:customStyle="1" w:styleId="ListBulletChar">
    <w:name w:val="List Bullet Char"/>
    <w:aliases w:val="List Bullet Char1 Char,List Bullet Char Char Char,List Bullet Char1 Char Char Char"/>
    <w:basedOn w:val="BodyTextChar1Char"/>
    <w:link w:val="ListBullet"/>
    <w:rsid w:val="00A12C8F"/>
    <w:rPr>
      <w:sz w:val="26"/>
      <w:lang w:val="en-AU" w:eastAsia="en-AU" w:bidi="ar-SA"/>
    </w:rPr>
  </w:style>
  <w:style w:type="paragraph" w:styleId="ListBullet2">
    <w:name w:val="List Bullet 2"/>
    <w:basedOn w:val="BodyText"/>
    <w:link w:val="ListBullet2Char"/>
    <w:rsid w:val="006F47D3"/>
    <w:pPr>
      <w:numPr>
        <w:numId w:val="2"/>
      </w:numPr>
      <w:spacing w:before="120"/>
    </w:pPr>
  </w:style>
  <w:style w:type="character" w:customStyle="1" w:styleId="ListBullet2Char">
    <w:name w:val="List Bullet 2 Char"/>
    <w:basedOn w:val="BodyTextChar1Char"/>
    <w:link w:val="ListBullet2"/>
    <w:rsid w:val="00A12C8F"/>
    <w:rPr>
      <w:sz w:val="26"/>
      <w:lang w:val="en-AU" w:eastAsia="en-AU" w:bidi="ar-SA"/>
    </w:rPr>
  </w:style>
  <w:style w:type="paragraph" w:styleId="ListBullet3">
    <w:name w:val="List Bullet 3"/>
    <w:basedOn w:val="BodyText"/>
    <w:link w:val="ListBullet3Char"/>
    <w:rsid w:val="006F47D3"/>
    <w:pPr>
      <w:numPr>
        <w:numId w:val="1"/>
      </w:numPr>
      <w:spacing w:before="120"/>
    </w:pPr>
  </w:style>
  <w:style w:type="character" w:customStyle="1" w:styleId="ListBullet3Char">
    <w:name w:val="List Bullet 3 Char"/>
    <w:basedOn w:val="BodyTextChar"/>
    <w:link w:val="ListBullet3"/>
    <w:rsid w:val="00257AD3"/>
    <w:rPr>
      <w:sz w:val="26"/>
    </w:rPr>
  </w:style>
  <w:style w:type="paragraph" w:styleId="ListNumber">
    <w:name w:val="List Number"/>
    <w:basedOn w:val="BodyText"/>
    <w:rsid w:val="006F47D3"/>
    <w:pPr>
      <w:numPr>
        <w:numId w:val="12"/>
      </w:numPr>
      <w:spacing w:before="120"/>
    </w:pPr>
  </w:style>
  <w:style w:type="paragraph" w:styleId="ListNumber2">
    <w:name w:val="List Number 2"/>
    <w:basedOn w:val="ListNumber"/>
    <w:rsid w:val="006F47D3"/>
    <w:pPr>
      <w:numPr>
        <w:ilvl w:val="1"/>
      </w:numPr>
    </w:pPr>
  </w:style>
  <w:style w:type="paragraph" w:styleId="ListNumber3">
    <w:name w:val="List Number 3"/>
    <w:basedOn w:val="ListNumber2"/>
    <w:rsid w:val="006F47D3"/>
    <w:pPr>
      <w:numPr>
        <w:ilvl w:val="2"/>
      </w:numPr>
    </w:pPr>
  </w:style>
  <w:style w:type="character" w:customStyle="1" w:styleId="NoteLabel">
    <w:name w:val="Note Label"/>
    <w:basedOn w:val="DefaultParagraphFont"/>
    <w:rsid w:val="006F47D3"/>
    <w:rPr>
      <w:rFonts w:ascii="Arial" w:hAnsi="Arial"/>
      <w:b/>
      <w:position w:val="6"/>
      <w:sz w:val="18"/>
    </w:rPr>
  </w:style>
  <w:style w:type="character" w:styleId="PageNumber">
    <w:name w:val="page number"/>
    <w:basedOn w:val="DefaultParagraphFont"/>
    <w:rsid w:val="006F47D3"/>
    <w:rPr>
      <w:rFonts w:ascii="Arial" w:hAnsi="Arial"/>
      <w:b/>
      <w:sz w:val="16"/>
    </w:rPr>
  </w:style>
  <w:style w:type="paragraph" w:customStyle="1" w:styleId="PartDivider">
    <w:name w:val="Part Divider"/>
    <w:basedOn w:val="BodyText"/>
    <w:next w:val="BodyText"/>
    <w:semiHidden/>
    <w:rsid w:val="006F47D3"/>
    <w:pPr>
      <w:spacing w:before="0" w:line="40" w:lineRule="exact"/>
      <w:jc w:val="right"/>
    </w:pPr>
    <w:rPr>
      <w:smallCaps/>
      <w:sz w:val="16"/>
    </w:rPr>
  </w:style>
  <w:style w:type="paragraph" w:customStyle="1" w:styleId="PartNumber">
    <w:name w:val="Part Number"/>
    <w:basedOn w:val="BodyText"/>
    <w:next w:val="BodyText"/>
    <w:semiHidden/>
    <w:rsid w:val="006F47D3"/>
    <w:pPr>
      <w:spacing w:before="4000" w:line="320" w:lineRule="exact"/>
      <w:ind w:left="6634"/>
      <w:jc w:val="right"/>
    </w:pPr>
    <w:rPr>
      <w:smallCaps/>
      <w:spacing w:val="60"/>
      <w:sz w:val="32"/>
    </w:rPr>
  </w:style>
  <w:style w:type="paragraph" w:customStyle="1" w:styleId="PartTitle">
    <w:name w:val="Part Title"/>
    <w:basedOn w:val="BodyText"/>
    <w:semiHidden/>
    <w:rsid w:val="006F47D3"/>
    <w:pPr>
      <w:spacing w:before="160" w:after="1360" w:line="520" w:lineRule="exact"/>
      <w:ind w:right="2381"/>
      <w:jc w:val="right"/>
    </w:pPr>
    <w:rPr>
      <w:smallCaps/>
      <w:sz w:val="52"/>
    </w:rPr>
  </w:style>
  <w:style w:type="paragraph" w:customStyle="1" w:styleId="Rec">
    <w:name w:val="Rec"/>
    <w:basedOn w:val="BodyText"/>
    <w:rsid w:val="006F47D3"/>
    <w:pPr>
      <w:keepLines/>
      <w:spacing w:before="180"/>
    </w:pPr>
    <w:rPr>
      <w:b/>
      <w:i/>
    </w:rPr>
  </w:style>
  <w:style w:type="paragraph" w:customStyle="1" w:styleId="RecBullet">
    <w:name w:val="Rec Bullet"/>
    <w:basedOn w:val="Rec"/>
    <w:rsid w:val="006F47D3"/>
    <w:pPr>
      <w:numPr>
        <w:numId w:val="8"/>
      </w:numPr>
      <w:spacing w:before="80"/>
    </w:pPr>
  </w:style>
  <w:style w:type="paragraph" w:customStyle="1" w:styleId="RecB">
    <w:name w:val="RecB"/>
    <w:basedOn w:val="Normal"/>
    <w:rsid w:val="006F47D3"/>
    <w:pPr>
      <w:keepLines/>
      <w:pBdr>
        <w:left w:val="single" w:sz="24" w:space="12" w:color="C0C0C0"/>
      </w:pBdr>
      <w:spacing w:before="180" w:line="320" w:lineRule="atLeast"/>
      <w:jc w:val="both"/>
    </w:pPr>
    <w:rPr>
      <w:b/>
      <w:i/>
      <w:szCs w:val="20"/>
    </w:rPr>
  </w:style>
  <w:style w:type="paragraph" w:customStyle="1" w:styleId="RecBBullet">
    <w:name w:val="RecB Bullet"/>
    <w:basedOn w:val="RecB"/>
    <w:rsid w:val="006F47D3"/>
    <w:pPr>
      <w:numPr>
        <w:numId w:val="9"/>
      </w:numPr>
      <w:spacing w:before="80"/>
    </w:pPr>
  </w:style>
  <w:style w:type="paragraph" w:customStyle="1" w:styleId="RecBNoTitle">
    <w:name w:val="RecB NoTitle"/>
    <w:basedOn w:val="RecB"/>
    <w:rsid w:val="006F47D3"/>
    <w:pPr>
      <w:spacing w:before="240"/>
    </w:pPr>
  </w:style>
  <w:style w:type="paragraph" w:customStyle="1" w:styleId="Reference">
    <w:name w:val="Reference"/>
    <w:basedOn w:val="BodyText"/>
    <w:rsid w:val="006F47D3"/>
    <w:pPr>
      <w:spacing w:before="120"/>
      <w:ind w:left="340" w:hanging="340"/>
    </w:pPr>
  </w:style>
  <w:style w:type="paragraph" w:customStyle="1" w:styleId="SideNote">
    <w:name w:val="Side Note"/>
    <w:basedOn w:val="BodyText"/>
    <w:next w:val="BodyText"/>
    <w:semiHidden/>
    <w:rsid w:val="006F47D3"/>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6F47D3"/>
    <w:pPr>
      <w:framePr w:wrap="around"/>
      <w:numPr>
        <w:numId w:val="4"/>
      </w:numPr>
      <w:tabs>
        <w:tab w:val="left" w:pos="227"/>
      </w:tabs>
    </w:pPr>
  </w:style>
  <w:style w:type="paragraph" w:customStyle="1" w:styleId="SideNoteGraphic">
    <w:name w:val="Side Note Graphic"/>
    <w:basedOn w:val="SideNote"/>
    <w:next w:val="BodyText"/>
    <w:semiHidden/>
    <w:rsid w:val="006F47D3"/>
    <w:pPr>
      <w:framePr w:wrap="around"/>
    </w:pPr>
  </w:style>
  <w:style w:type="paragraph" w:customStyle="1" w:styleId="TableBodyText">
    <w:name w:val="Table Body Text"/>
    <w:basedOn w:val="BodyText"/>
    <w:link w:val="TableBodyTextChar"/>
    <w:rsid w:val="006F47D3"/>
    <w:pPr>
      <w:keepNext/>
      <w:keepLines/>
      <w:spacing w:before="0" w:after="40" w:line="220" w:lineRule="atLeast"/>
      <w:ind w:left="6" w:right="113"/>
      <w:jc w:val="right"/>
    </w:pPr>
    <w:rPr>
      <w:rFonts w:ascii="Arial" w:hAnsi="Arial"/>
      <w:sz w:val="20"/>
    </w:rPr>
  </w:style>
  <w:style w:type="character" w:customStyle="1" w:styleId="TableBodyTextChar">
    <w:name w:val="Table Body Text Char"/>
    <w:basedOn w:val="DefaultParagraphFont"/>
    <w:link w:val="TableBodyText"/>
    <w:rsid w:val="00A12C8F"/>
    <w:rPr>
      <w:rFonts w:ascii="Arial" w:hAnsi="Arial"/>
    </w:rPr>
  </w:style>
  <w:style w:type="paragraph" w:customStyle="1" w:styleId="TableBullet">
    <w:name w:val="Table Bullet"/>
    <w:basedOn w:val="TableBodyText"/>
    <w:rsid w:val="006F47D3"/>
    <w:pPr>
      <w:numPr>
        <w:numId w:val="10"/>
      </w:numPr>
      <w:jc w:val="left"/>
    </w:pPr>
  </w:style>
  <w:style w:type="paragraph" w:customStyle="1" w:styleId="TableColumnHeading">
    <w:name w:val="Table Column Heading"/>
    <w:basedOn w:val="TableBodyText"/>
    <w:rsid w:val="006F47D3"/>
    <w:pPr>
      <w:spacing w:before="80" w:after="80"/>
    </w:pPr>
    <w:rPr>
      <w:i/>
    </w:rPr>
  </w:style>
  <w:style w:type="paragraph" w:styleId="TableofFigures">
    <w:name w:val="table of figures"/>
    <w:basedOn w:val="TOC3"/>
    <w:next w:val="BodyText"/>
    <w:semiHidden/>
    <w:rsid w:val="006F47D3"/>
    <w:pPr>
      <w:ind w:left="737" w:hanging="737"/>
    </w:pPr>
  </w:style>
  <w:style w:type="paragraph" w:styleId="TOC3">
    <w:name w:val="toc 3"/>
    <w:basedOn w:val="TOC2"/>
    <w:semiHidden/>
    <w:rsid w:val="006F47D3"/>
    <w:pPr>
      <w:spacing w:before="60"/>
      <w:ind w:left="1190" w:hanging="680"/>
    </w:pPr>
    <w:rPr>
      <w:b w:val="0"/>
    </w:rPr>
  </w:style>
  <w:style w:type="paragraph" w:styleId="TOC2">
    <w:name w:val="toc 2"/>
    <w:basedOn w:val="BodyText"/>
    <w:uiPriority w:val="39"/>
    <w:rsid w:val="006F47D3"/>
    <w:pPr>
      <w:tabs>
        <w:tab w:val="right" w:pos="8789"/>
      </w:tabs>
      <w:ind w:left="510" w:right="851" w:hanging="510"/>
      <w:jc w:val="left"/>
    </w:pPr>
    <w:rPr>
      <w:b/>
    </w:rPr>
  </w:style>
  <w:style w:type="paragraph" w:customStyle="1" w:styleId="TableTitle">
    <w:name w:val="Table Title"/>
    <w:basedOn w:val="Caption"/>
    <w:next w:val="Subtitle"/>
    <w:rsid w:val="006F47D3"/>
  </w:style>
  <w:style w:type="paragraph" w:customStyle="1" w:styleId="TableUnitsRow">
    <w:name w:val="Table Units Row"/>
    <w:basedOn w:val="TableBodyText"/>
    <w:rsid w:val="006F47D3"/>
    <w:pPr>
      <w:spacing w:before="80" w:after="80"/>
    </w:pPr>
  </w:style>
  <w:style w:type="paragraph" w:styleId="TOC1">
    <w:name w:val="toc 1"/>
    <w:basedOn w:val="Normal"/>
    <w:next w:val="TOC2"/>
    <w:uiPriority w:val="39"/>
    <w:rsid w:val="006F47D3"/>
    <w:pPr>
      <w:tabs>
        <w:tab w:val="right" w:pos="8789"/>
      </w:tabs>
      <w:spacing w:before="480" w:after="60" w:line="320" w:lineRule="exact"/>
      <w:ind w:left="1191" w:right="851" w:hanging="1191"/>
    </w:pPr>
    <w:rPr>
      <w:b/>
      <w:caps/>
    </w:rPr>
  </w:style>
  <w:style w:type="paragraph" w:styleId="TOC4">
    <w:name w:val="toc 4"/>
    <w:basedOn w:val="TOC3"/>
    <w:semiHidden/>
    <w:rsid w:val="006F47D3"/>
    <w:pPr>
      <w:ind w:left="1191" w:firstLine="0"/>
    </w:pPr>
  </w:style>
  <w:style w:type="paragraph" w:customStyle="1" w:styleId="BoxContinued">
    <w:name w:val="Box Continued"/>
    <w:basedOn w:val="BodyText"/>
    <w:next w:val="BodyText"/>
    <w:link w:val="BoxContinuedChar"/>
    <w:semiHidden/>
    <w:rsid w:val="006F47D3"/>
    <w:pPr>
      <w:spacing w:before="180" w:line="220" w:lineRule="exact"/>
      <w:jc w:val="right"/>
    </w:pPr>
    <w:rPr>
      <w:rFonts w:ascii="Arial" w:hAnsi="Arial"/>
      <w:sz w:val="18"/>
    </w:rPr>
  </w:style>
  <w:style w:type="paragraph" w:customStyle="1" w:styleId="Continued">
    <w:name w:val="Continued"/>
    <w:basedOn w:val="BoxContinued"/>
    <w:next w:val="BodyText"/>
    <w:link w:val="ContinuedChar"/>
    <w:rsid w:val="006F47D3"/>
  </w:style>
  <w:style w:type="paragraph" w:customStyle="1" w:styleId="BoxHeading1">
    <w:name w:val="Box Heading 1"/>
    <w:basedOn w:val="BodyText"/>
    <w:next w:val="Box"/>
    <w:link w:val="BoxHeading1Char"/>
    <w:rsid w:val="006F47D3"/>
    <w:pPr>
      <w:keepNext/>
      <w:spacing w:before="200" w:line="280" w:lineRule="atLeast"/>
    </w:pPr>
    <w:rPr>
      <w:rFonts w:ascii="Arial" w:hAnsi="Arial"/>
      <w:b/>
      <w:sz w:val="22"/>
    </w:rPr>
  </w:style>
  <w:style w:type="character" w:customStyle="1" w:styleId="BoxHeading1Char">
    <w:name w:val="Box Heading 1 Char"/>
    <w:basedOn w:val="BodyTextChar"/>
    <w:link w:val="BoxHeading1"/>
    <w:rsid w:val="001C16B7"/>
    <w:rPr>
      <w:rFonts w:ascii="Arial" w:hAnsi="Arial"/>
      <w:b/>
      <w:sz w:val="22"/>
    </w:rPr>
  </w:style>
  <w:style w:type="paragraph" w:customStyle="1" w:styleId="BoxHeading2">
    <w:name w:val="Box Heading 2"/>
    <w:basedOn w:val="BoxHeading1"/>
    <w:next w:val="Normal"/>
    <w:link w:val="BoxHeading2Char"/>
    <w:rsid w:val="006F47D3"/>
    <w:rPr>
      <w:b w:val="0"/>
      <w:i/>
    </w:rPr>
  </w:style>
  <w:style w:type="character" w:customStyle="1" w:styleId="BoxHeading2Char">
    <w:name w:val="Box Heading 2 Char"/>
    <w:basedOn w:val="BoxHeading1Char"/>
    <w:link w:val="BoxHeading2"/>
    <w:rsid w:val="001C16B7"/>
    <w:rPr>
      <w:rFonts w:ascii="Arial" w:hAnsi="Arial"/>
      <w:b w:val="0"/>
      <w:i/>
      <w:sz w:val="22"/>
    </w:rPr>
  </w:style>
  <w:style w:type="paragraph" w:customStyle="1" w:styleId="Jurisdictioncommentsheading">
    <w:name w:val="Jurisdiction comments heading"/>
    <w:rsid w:val="006F47D3"/>
    <w:pPr>
      <w:spacing w:after="140" w:line="320" w:lineRule="atLeast"/>
      <w:jc w:val="both"/>
    </w:pPr>
    <w:rPr>
      <w:rFonts w:ascii="Arial" w:hAnsi="Arial"/>
      <w:b/>
      <w:sz w:val="24"/>
      <w:lang w:eastAsia="en-US"/>
    </w:rPr>
  </w:style>
  <w:style w:type="paragraph" w:customStyle="1" w:styleId="Jurisdictioncommentslistbullet">
    <w:name w:val="Jurisdiction comments list bullet"/>
    <w:link w:val="JurisdictioncommentslistbulletChar"/>
    <w:rsid w:val="006F47D3"/>
    <w:pPr>
      <w:spacing w:after="140"/>
      <w:jc w:val="both"/>
    </w:pPr>
    <w:rPr>
      <w:rFonts w:ascii="Arial" w:hAnsi="Arial"/>
      <w:sz w:val="24"/>
      <w:lang w:eastAsia="en-US"/>
    </w:rPr>
  </w:style>
  <w:style w:type="character" w:customStyle="1" w:styleId="JurisdictioncommentslistbulletChar">
    <w:name w:val="Jurisdiction comments list bullet Char"/>
    <w:basedOn w:val="DefaultParagraphFont"/>
    <w:link w:val="Jurisdictioncommentslistbullet"/>
    <w:rsid w:val="00E36E2C"/>
    <w:rPr>
      <w:rFonts w:ascii="Arial" w:hAnsi="Arial"/>
      <w:sz w:val="24"/>
      <w:lang w:eastAsia="en-US"/>
    </w:rPr>
  </w:style>
  <w:style w:type="table" w:styleId="TableGrid">
    <w:name w:val="Table Grid"/>
    <w:basedOn w:val="TableNormal"/>
    <w:rsid w:val="00B22F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C72D18"/>
    <w:rPr>
      <w:color w:val="0000FF"/>
      <w:u w:val="single"/>
    </w:rPr>
  </w:style>
  <w:style w:type="paragraph" w:styleId="BalloonText">
    <w:name w:val="Balloon Text"/>
    <w:basedOn w:val="Normal"/>
    <w:semiHidden/>
    <w:rsid w:val="00B91B29"/>
    <w:rPr>
      <w:rFonts w:ascii="Tahoma" w:hAnsi="Tahoma" w:cs="Tahoma"/>
      <w:sz w:val="16"/>
      <w:szCs w:val="16"/>
    </w:rPr>
  </w:style>
  <w:style w:type="paragraph" w:customStyle="1" w:styleId="D">
    <w:name w:val="D"/>
    <w:basedOn w:val="BodyText"/>
    <w:rsid w:val="00CD3065"/>
  </w:style>
  <w:style w:type="character" w:styleId="Strong">
    <w:name w:val="Strong"/>
    <w:basedOn w:val="DefaultParagraphFont"/>
    <w:qFormat/>
    <w:rsid w:val="00345EA3"/>
    <w:rPr>
      <w:b/>
      <w:bCs/>
    </w:rPr>
  </w:style>
  <w:style w:type="paragraph" w:customStyle="1" w:styleId="Responselevel1">
    <w:name w:val="Response (level 1)"/>
    <w:basedOn w:val="Normal"/>
    <w:semiHidden/>
    <w:rsid w:val="007B5803"/>
    <w:pPr>
      <w:keepLines/>
      <w:numPr>
        <w:numId w:val="15"/>
      </w:numPr>
      <w:spacing w:before="240" w:after="60" w:line="300" w:lineRule="atLeast"/>
    </w:pPr>
    <w:rPr>
      <w:rFonts w:ascii="Gill Sans MT" w:hAnsi="Gill Sans MT"/>
      <w:sz w:val="32"/>
      <w:szCs w:val="32"/>
      <w:lang w:eastAsia="en-US"/>
    </w:rPr>
  </w:style>
  <w:style w:type="paragraph" w:customStyle="1" w:styleId="Actionitem">
    <w:name w:val="Action item"/>
    <w:basedOn w:val="BodyText"/>
    <w:link w:val="ActionitemChar"/>
    <w:rsid w:val="00A12C8F"/>
    <w:pPr>
      <w:spacing w:before="40" w:after="40" w:line="240" w:lineRule="auto"/>
      <w:ind w:left="340"/>
    </w:pPr>
    <w:rPr>
      <w:rFonts w:ascii="Arial" w:hAnsi="Arial"/>
      <w:b/>
    </w:rPr>
  </w:style>
  <w:style w:type="character" w:customStyle="1" w:styleId="ActionitemChar">
    <w:name w:val="Action item Char"/>
    <w:basedOn w:val="DefaultParagraphFont"/>
    <w:link w:val="Actionitem"/>
    <w:rsid w:val="00A12C8F"/>
    <w:rPr>
      <w:rFonts w:ascii="Arial" w:hAnsi="Arial"/>
      <w:b/>
      <w:sz w:val="26"/>
      <w:lang w:val="en-AU" w:eastAsia="en-AU" w:bidi="ar-SA"/>
    </w:rPr>
  </w:style>
  <w:style w:type="paragraph" w:customStyle="1" w:styleId="Boxdotpoint">
    <w:name w:val="Box dot point"/>
    <w:basedOn w:val="Normal"/>
    <w:rsid w:val="00A12C8F"/>
    <w:pPr>
      <w:numPr>
        <w:numId w:val="14"/>
      </w:numPr>
      <w:pBdr>
        <w:top w:val="single" w:sz="12" w:space="1" w:color="auto"/>
        <w:left w:val="single" w:sz="12" w:space="4" w:color="auto"/>
        <w:bottom w:val="single" w:sz="12" w:space="1" w:color="auto"/>
        <w:right w:val="single" w:sz="12" w:space="4" w:color="auto"/>
      </w:pBdr>
      <w:autoSpaceDE w:val="0"/>
      <w:autoSpaceDN w:val="0"/>
      <w:adjustRightInd w:val="0"/>
      <w:spacing w:before="40" w:after="60"/>
      <w:ind w:left="0" w:firstLine="0"/>
    </w:pPr>
    <w:rPr>
      <w:rFonts w:ascii="ArialMT" w:hAnsi="ArialMT" w:cs="ArialMT"/>
      <w:color w:val="000000"/>
      <w:sz w:val="22"/>
      <w:szCs w:val="22"/>
      <w:lang w:val="en-US" w:eastAsia="en-US"/>
    </w:rPr>
  </w:style>
  <w:style w:type="paragraph" w:customStyle="1" w:styleId="Text">
    <w:name w:val="Text"/>
    <w:basedOn w:val="Normal"/>
    <w:link w:val="TextChar"/>
    <w:rsid w:val="00A12C8F"/>
    <w:pPr>
      <w:autoSpaceDE w:val="0"/>
      <w:autoSpaceDN w:val="0"/>
      <w:adjustRightInd w:val="0"/>
      <w:spacing w:before="100" w:after="140"/>
    </w:pPr>
    <w:rPr>
      <w:szCs w:val="26"/>
      <w:lang w:val="en-US" w:eastAsia="en-US"/>
    </w:rPr>
  </w:style>
  <w:style w:type="character" w:customStyle="1" w:styleId="TextChar">
    <w:name w:val="Text Char"/>
    <w:basedOn w:val="DefaultParagraphFont"/>
    <w:link w:val="Text"/>
    <w:rsid w:val="00A12C8F"/>
    <w:rPr>
      <w:sz w:val="26"/>
      <w:szCs w:val="26"/>
      <w:lang w:val="en-US" w:eastAsia="en-US" w:bidi="ar-SA"/>
    </w:rPr>
  </w:style>
  <w:style w:type="paragraph" w:customStyle="1" w:styleId="SOC">
    <w:name w:val="SOC"/>
    <w:basedOn w:val="BodyText"/>
    <w:rsid w:val="00645141"/>
    <w:pPr>
      <w:spacing w:before="0" w:after="140" w:line="240" w:lineRule="auto"/>
    </w:pPr>
    <w:rPr>
      <w:rFonts w:ascii="Arial" w:hAnsi="Arial"/>
    </w:rPr>
  </w:style>
  <w:style w:type="paragraph" w:customStyle="1" w:styleId="Default">
    <w:name w:val="Default"/>
    <w:rsid w:val="00A9467E"/>
    <w:pPr>
      <w:autoSpaceDE w:val="0"/>
      <w:autoSpaceDN w:val="0"/>
      <w:adjustRightInd w:val="0"/>
    </w:pPr>
    <w:rPr>
      <w:rFonts w:ascii="Book Antiqua" w:hAnsi="Book Antiqua" w:cs="Book Antiqua"/>
      <w:color w:val="000000"/>
      <w:sz w:val="24"/>
      <w:szCs w:val="24"/>
      <w:lang w:val="en-US" w:eastAsia="en-US"/>
    </w:rPr>
  </w:style>
  <w:style w:type="character" w:customStyle="1" w:styleId="CharChar3">
    <w:name w:val="Char Char3"/>
    <w:basedOn w:val="DefaultParagraphFont"/>
    <w:rsid w:val="005735F8"/>
    <w:rPr>
      <w:sz w:val="26"/>
      <w:lang w:val="en-AU" w:eastAsia="en-AU" w:bidi="ar-SA"/>
    </w:rPr>
  </w:style>
  <w:style w:type="character" w:customStyle="1" w:styleId="CharChar4">
    <w:name w:val="Char Char4"/>
    <w:basedOn w:val="DefaultParagraphFont"/>
    <w:rsid w:val="005735F8"/>
    <w:rPr>
      <w:sz w:val="26"/>
      <w:lang w:val="en-AU" w:eastAsia="en-AU" w:bidi="ar-SA"/>
    </w:rPr>
  </w:style>
  <w:style w:type="character" w:customStyle="1" w:styleId="FigureTitleChar">
    <w:name w:val="Figure Title Char"/>
    <w:basedOn w:val="DefaultParagraphFont"/>
    <w:link w:val="FigureTitle"/>
    <w:rsid w:val="003F4A46"/>
    <w:rPr>
      <w:rFonts w:ascii="Arial" w:hAnsi="Arial"/>
      <w:b/>
      <w:sz w:val="26"/>
      <w:szCs w:val="24"/>
    </w:rPr>
  </w:style>
  <w:style w:type="character" w:customStyle="1" w:styleId="FigureChar">
    <w:name w:val="Figure Char"/>
    <w:basedOn w:val="DefaultParagraphFont"/>
    <w:link w:val="Figure"/>
    <w:rsid w:val="003F4A46"/>
    <w:rPr>
      <w:sz w:val="26"/>
    </w:rPr>
  </w:style>
  <w:style w:type="character" w:customStyle="1" w:styleId="BoxListBullet2Char">
    <w:name w:val="Box List Bullet 2 Char"/>
    <w:basedOn w:val="BodyTextChar"/>
    <w:link w:val="BoxListBullet2"/>
    <w:rsid w:val="00D635CA"/>
    <w:rPr>
      <w:rFonts w:ascii="Arial" w:hAnsi="Arial"/>
      <w:sz w:val="22"/>
    </w:rPr>
  </w:style>
  <w:style w:type="character" w:customStyle="1" w:styleId="kapeness">
    <w:name w:val="kapeness"/>
    <w:basedOn w:val="DefaultParagraphFont"/>
    <w:semiHidden/>
    <w:rsid w:val="00C20B9C"/>
    <w:rPr>
      <w:rFonts w:ascii="Arial" w:hAnsi="Arial" w:cs="Arial"/>
      <w:color w:val="auto"/>
      <w:sz w:val="20"/>
      <w:szCs w:val="20"/>
    </w:rPr>
  </w:style>
  <w:style w:type="paragraph" w:styleId="CommentSubject">
    <w:name w:val="annotation subject"/>
    <w:basedOn w:val="CommentText"/>
    <w:next w:val="CommentText"/>
    <w:semiHidden/>
    <w:rsid w:val="00D35AB5"/>
    <w:pPr>
      <w:spacing w:before="0" w:line="240" w:lineRule="auto"/>
      <w:ind w:left="0" w:firstLine="0"/>
    </w:pPr>
    <w:rPr>
      <w:b/>
      <w:bCs/>
      <w:szCs w:val="20"/>
    </w:rPr>
  </w:style>
  <w:style w:type="paragraph" w:styleId="EndnoteText">
    <w:name w:val="endnote text"/>
    <w:basedOn w:val="Normal"/>
    <w:rsid w:val="0033204B"/>
    <w:rPr>
      <w:sz w:val="20"/>
      <w:szCs w:val="20"/>
    </w:rPr>
  </w:style>
  <w:style w:type="character" w:styleId="EndnoteReference">
    <w:name w:val="endnote reference"/>
    <w:basedOn w:val="DefaultParagraphFont"/>
    <w:rsid w:val="0033204B"/>
    <w:rPr>
      <w:vertAlign w:val="superscript"/>
    </w:rPr>
  </w:style>
  <w:style w:type="paragraph" w:customStyle="1" w:styleId="BulletedListLevel1">
    <w:name w:val="Bulleted List Level 1"/>
    <w:link w:val="BulletedListLevel1Char"/>
    <w:semiHidden/>
    <w:rsid w:val="00EC1388"/>
    <w:pPr>
      <w:keepLines/>
      <w:numPr>
        <w:numId w:val="16"/>
      </w:numPr>
      <w:tabs>
        <w:tab w:val="left" w:pos="1134"/>
      </w:tabs>
      <w:spacing w:after="140" w:line="300" w:lineRule="atLeast"/>
    </w:pPr>
    <w:rPr>
      <w:rFonts w:ascii="Gill Sans MT" w:hAnsi="Gill Sans MT"/>
      <w:sz w:val="24"/>
      <w:szCs w:val="24"/>
      <w:lang w:eastAsia="en-US"/>
    </w:rPr>
  </w:style>
  <w:style w:type="character" w:customStyle="1" w:styleId="BulletedListLevel1Char">
    <w:name w:val="Bulleted List Level 1 Char"/>
    <w:basedOn w:val="DefaultParagraphFont"/>
    <w:link w:val="BulletedListLevel1"/>
    <w:semiHidden/>
    <w:rsid w:val="00EC1388"/>
    <w:rPr>
      <w:rFonts w:ascii="Gill Sans MT" w:hAnsi="Gill Sans MT"/>
      <w:sz w:val="24"/>
      <w:szCs w:val="24"/>
      <w:lang w:eastAsia="en-US"/>
    </w:rPr>
  </w:style>
  <w:style w:type="paragraph" w:styleId="NormalWeb">
    <w:name w:val="Normal (Web)"/>
    <w:basedOn w:val="Normal"/>
    <w:uiPriority w:val="99"/>
    <w:rsid w:val="003C480F"/>
    <w:rPr>
      <w:sz w:val="24"/>
    </w:rPr>
  </w:style>
  <w:style w:type="character" w:customStyle="1" w:styleId="BoxContinuedChar">
    <w:name w:val="Box Continued Char"/>
    <w:basedOn w:val="BodyTextChar"/>
    <w:link w:val="BoxContinued"/>
    <w:semiHidden/>
    <w:rsid w:val="00804C22"/>
    <w:rPr>
      <w:rFonts w:ascii="Arial" w:hAnsi="Arial"/>
      <w:sz w:val="18"/>
    </w:rPr>
  </w:style>
  <w:style w:type="character" w:customStyle="1" w:styleId="ContinuedChar">
    <w:name w:val="Continued Char"/>
    <w:basedOn w:val="BoxContinuedChar"/>
    <w:link w:val="Continued"/>
    <w:rsid w:val="00804C22"/>
    <w:rPr>
      <w:rFonts w:ascii="Arial" w:hAnsi="Arial"/>
      <w:sz w:val="18"/>
    </w:rPr>
  </w:style>
  <w:style w:type="character" w:customStyle="1" w:styleId="Heading5Char">
    <w:name w:val="Heading 5 Char"/>
    <w:basedOn w:val="DefaultParagraphFont"/>
    <w:link w:val="Heading5"/>
    <w:rsid w:val="00665971"/>
    <w:rPr>
      <w:i/>
      <w:sz w:val="26"/>
    </w:rPr>
  </w:style>
  <w:style w:type="character" w:customStyle="1" w:styleId="Heading9Char">
    <w:name w:val="Heading 9 Char"/>
    <w:basedOn w:val="DefaultParagraphFont"/>
    <w:link w:val="Heading9"/>
    <w:locked/>
    <w:rsid w:val="00DE2519"/>
    <w:rPr>
      <w:rFonts w:ascii="Arial" w:hAnsi="Arial"/>
      <w:b/>
      <w:i/>
      <w:sz w:val="18"/>
    </w:rPr>
  </w:style>
  <w:style w:type="character" w:customStyle="1" w:styleId="CommentTextChar">
    <w:name w:val="Comment Text Char"/>
    <w:basedOn w:val="DefaultParagraphFont"/>
    <w:link w:val="CommentText"/>
    <w:semiHidden/>
    <w:rsid w:val="0098132F"/>
    <w:rPr>
      <w:szCs w:val="24"/>
    </w:rPr>
  </w:style>
  <w:style w:type="character" w:customStyle="1" w:styleId="HeaderChar">
    <w:name w:val="Header Char"/>
    <w:basedOn w:val="DefaultParagraphFont"/>
    <w:link w:val="Header"/>
    <w:rsid w:val="004B2A1E"/>
    <w:rPr>
      <w:rFonts w:ascii="Arial" w:hAnsi="Arial"/>
      <w:caps/>
      <w:sz w:val="26"/>
    </w:rPr>
  </w:style>
  <w:style w:type="character" w:customStyle="1" w:styleId="draftingnote0">
    <w:name w:val="draftingnote"/>
    <w:basedOn w:val="DefaultParagraphFont"/>
    <w:rsid w:val="000429FE"/>
    <w:rPr>
      <w:b/>
      <w:bCs/>
      <w:color w:val="FF0000"/>
      <w:u w:val="single"/>
    </w:rPr>
  </w:style>
  <w:style w:type="character" w:customStyle="1" w:styleId="FooterChar">
    <w:name w:val="Footer Char"/>
    <w:basedOn w:val="DefaultParagraphFont"/>
    <w:link w:val="Footer"/>
    <w:uiPriority w:val="99"/>
    <w:rsid w:val="00D02010"/>
    <w:rPr>
      <w:caps/>
      <w:spacing w:val="-4"/>
      <w:sz w:val="16"/>
    </w:rPr>
  </w:style>
  <w:style w:type="paragraph" w:customStyle="1" w:styleId="BoxSpaceAbove">
    <w:name w:val="Box Space Above"/>
    <w:basedOn w:val="BodyText"/>
    <w:rsid w:val="00636AB5"/>
    <w:pPr>
      <w:keepNext/>
      <w:spacing w:before="360" w:line="80" w:lineRule="exact"/>
      <w:jc w:val="left"/>
    </w:pPr>
  </w:style>
  <w:style w:type="paragraph" w:customStyle="1" w:styleId="BoxSpaceBelow">
    <w:name w:val="Box Space Below"/>
    <w:basedOn w:val="Box"/>
    <w:rsid w:val="00636AB5"/>
    <w:pPr>
      <w:keepNext w:val="0"/>
      <w:spacing w:before="60" w:after="60" w:line="80" w:lineRule="exact"/>
    </w:pPr>
    <w:rPr>
      <w:sz w:val="14"/>
    </w:rPr>
  </w:style>
  <w:style w:type="paragraph" w:styleId="ListParagraph">
    <w:name w:val="List Paragraph"/>
    <w:basedOn w:val="Normal"/>
    <w:uiPriority w:val="34"/>
    <w:qFormat/>
    <w:rsid w:val="00D25265"/>
    <w:pPr>
      <w:spacing w:after="200" w:line="276"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712">
      <w:bodyDiv w:val="1"/>
      <w:marLeft w:val="0"/>
      <w:marRight w:val="0"/>
      <w:marTop w:val="0"/>
      <w:marBottom w:val="0"/>
      <w:divBdr>
        <w:top w:val="none" w:sz="0" w:space="0" w:color="auto"/>
        <w:left w:val="none" w:sz="0" w:space="0" w:color="auto"/>
        <w:bottom w:val="none" w:sz="0" w:space="0" w:color="auto"/>
        <w:right w:val="none" w:sz="0" w:space="0" w:color="auto"/>
      </w:divBdr>
    </w:div>
    <w:div w:id="13120787">
      <w:bodyDiv w:val="1"/>
      <w:marLeft w:val="0"/>
      <w:marRight w:val="0"/>
      <w:marTop w:val="0"/>
      <w:marBottom w:val="0"/>
      <w:divBdr>
        <w:top w:val="none" w:sz="0" w:space="0" w:color="auto"/>
        <w:left w:val="none" w:sz="0" w:space="0" w:color="auto"/>
        <w:bottom w:val="none" w:sz="0" w:space="0" w:color="auto"/>
        <w:right w:val="none" w:sz="0" w:space="0" w:color="auto"/>
      </w:divBdr>
    </w:div>
    <w:div w:id="19475351">
      <w:bodyDiv w:val="1"/>
      <w:marLeft w:val="0"/>
      <w:marRight w:val="0"/>
      <w:marTop w:val="0"/>
      <w:marBottom w:val="0"/>
      <w:divBdr>
        <w:top w:val="none" w:sz="0" w:space="0" w:color="auto"/>
        <w:left w:val="none" w:sz="0" w:space="0" w:color="auto"/>
        <w:bottom w:val="none" w:sz="0" w:space="0" w:color="auto"/>
        <w:right w:val="none" w:sz="0" w:space="0" w:color="auto"/>
      </w:divBdr>
    </w:div>
    <w:div w:id="23528144">
      <w:bodyDiv w:val="1"/>
      <w:marLeft w:val="0"/>
      <w:marRight w:val="0"/>
      <w:marTop w:val="0"/>
      <w:marBottom w:val="0"/>
      <w:divBdr>
        <w:top w:val="none" w:sz="0" w:space="0" w:color="auto"/>
        <w:left w:val="none" w:sz="0" w:space="0" w:color="auto"/>
        <w:bottom w:val="none" w:sz="0" w:space="0" w:color="auto"/>
        <w:right w:val="none" w:sz="0" w:space="0" w:color="auto"/>
      </w:divBdr>
    </w:div>
    <w:div w:id="30109402">
      <w:bodyDiv w:val="1"/>
      <w:marLeft w:val="0"/>
      <w:marRight w:val="0"/>
      <w:marTop w:val="0"/>
      <w:marBottom w:val="0"/>
      <w:divBdr>
        <w:top w:val="none" w:sz="0" w:space="0" w:color="auto"/>
        <w:left w:val="none" w:sz="0" w:space="0" w:color="auto"/>
        <w:bottom w:val="none" w:sz="0" w:space="0" w:color="auto"/>
        <w:right w:val="none" w:sz="0" w:space="0" w:color="auto"/>
      </w:divBdr>
    </w:div>
    <w:div w:id="78067911">
      <w:bodyDiv w:val="1"/>
      <w:marLeft w:val="0"/>
      <w:marRight w:val="0"/>
      <w:marTop w:val="0"/>
      <w:marBottom w:val="0"/>
      <w:divBdr>
        <w:top w:val="none" w:sz="0" w:space="0" w:color="auto"/>
        <w:left w:val="none" w:sz="0" w:space="0" w:color="auto"/>
        <w:bottom w:val="none" w:sz="0" w:space="0" w:color="auto"/>
        <w:right w:val="none" w:sz="0" w:space="0" w:color="auto"/>
      </w:divBdr>
    </w:div>
    <w:div w:id="93474665">
      <w:bodyDiv w:val="1"/>
      <w:marLeft w:val="0"/>
      <w:marRight w:val="0"/>
      <w:marTop w:val="0"/>
      <w:marBottom w:val="0"/>
      <w:divBdr>
        <w:top w:val="none" w:sz="0" w:space="0" w:color="auto"/>
        <w:left w:val="none" w:sz="0" w:space="0" w:color="auto"/>
        <w:bottom w:val="none" w:sz="0" w:space="0" w:color="auto"/>
        <w:right w:val="none" w:sz="0" w:space="0" w:color="auto"/>
      </w:divBdr>
    </w:div>
    <w:div w:id="141312039">
      <w:bodyDiv w:val="1"/>
      <w:marLeft w:val="0"/>
      <w:marRight w:val="0"/>
      <w:marTop w:val="0"/>
      <w:marBottom w:val="0"/>
      <w:divBdr>
        <w:top w:val="none" w:sz="0" w:space="0" w:color="auto"/>
        <w:left w:val="none" w:sz="0" w:space="0" w:color="auto"/>
        <w:bottom w:val="none" w:sz="0" w:space="0" w:color="auto"/>
        <w:right w:val="none" w:sz="0" w:space="0" w:color="auto"/>
      </w:divBdr>
    </w:div>
    <w:div w:id="144401753">
      <w:bodyDiv w:val="1"/>
      <w:marLeft w:val="0"/>
      <w:marRight w:val="0"/>
      <w:marTop w:val="0"/>
      <w:marBottom w:val="0"/>
      <w:divBdr>
        <w:top w:val="none" w:sz="0" w:space="0" w:color="auto"/>
        <w:left w:val="none" w:sz="0" w:space="0" w:color="auto"/>
        <w:bottom w:val="none" w:sz="0" w:space="0" w:color="auto"/>
        <w:right w:val="none" w:sz="0" w:space="0" w:color="auto"/>
      </w:divBdr>
    </w:div>
    <w:div w:id="214002403">
      <w:bodyDiv w:val="1"/>
      <w:marLeft w:val="0"/>
      <w:marRight w:val="0"/>
      <w:marTop w:val="0"/>
      <w:marBottom w:val="0"/>
      <w:divBdr>
        <w:top w:val="none" w:sz="0" w:space="0" w:color="auto"/>
        <w:left w:val="none" w:sz="0" w:space="0" w:color="auto"/>
        <w:bottom w:val="none" w:sz="0" w:space="0" w:color="auto"/>
        <w:right w:val="none" w:sz="0" w:space="0" w:color="auto"/>
      </w:divBdr>
    </w:div>
    <w:div w:id="238248283">
      <w:bodyDiv w:val="1"/>
      <w:marLeft w:val="0"/>
      <w:marRight w:val="0"/>
      <w:marTop w:val="0"/>
      <w:marBottom w:val="0"/>
      <w:divBdr>
        <w:top w:val="none" w:sz="0" w:space="0" w:color="auto"/>
        <w:left w:val="none" w:sz="0" w:space="0" w:color="auto"/>
        <w:bottom w:val="none" w:sz="0" w:space="0" w:color="auto"/>
        <w:right w:val="none" w:sz="0" w:space="0" w:color="auto"/>
      </w:divBdr>
    </w:div>
    <w:div w:id="298193112">
      <w:bodyDiv w:val="1"/>
      <w:marLeft w:val="0"/>
      <w:marRight w:val="0"/>
      <w:marTop w:val="0"/>
      <w:marBottom w:val="0"/>
      <w:divBdr>
        <w:top w:val="none" w:sz="0" w:space="0" w:color="auto"/>
        <w:left w:val="none" w:sz="0" w:space="0" w:color="auto"/>
        <w:bottom w:val="none" w:sz="0" w:space="0" w:color="auto"/>
        <w:right w:val="none" w:sz="0" w:space="0" w:color="auto"/>
      </w:divBdr>
    </w:div>
    <w:div w:id="301616587">
      <w:bodyDiv w:val="1"/>
      <w:marLeft w:val="0"/>
      <w:marRight w:val="0"/>
      <w:marTop w:val="0"/>
      <w:marBottom w:val="0"/>
      <w:divBdr>
        <w:top w:val="none" w:sz="0" w:space="0" w:color="auto"/>
        <w:left w:val="none" w:sz="0" w:space="0" w:color="auto"/>
        <w:bottom w:val="none" w:sz="0" w:space="0" w:color="auto"/>
        <w:right w:val="none" w:sz="0" w:space="0" w:color="auto"/>
      </w:divBdr>
    </w:div>
    <w:div w:id="328139549">
      <w:bodyDiv w:val="1"/>
      <w:marLeft w:val="0"/>
      <w:marRight w:val="0"/>
      <w:marTop w:val="0"/>
      <w:marBottom w:val="0"/>
      <w:divBdr>
        <w:top w:val="none" w:sz="0" w:space="0" w:color="auto"/>
        <w:left w:val="none" w:sz="0" w:space="0" w:color="auto"/>
        <w:bottom w:val="none" w:sz="0" w:space="0" w:color="auto"/>
        <w:right w:val="none" w:sz="0" w:space="0" w:color="auto"/>
      </w:divBdr>
    </w:div>
    <w:div w:id="342126250">
      <w:bodyDiv w:val="1"/>
      <w:marLeft w:val="0"/>
      <w:marRight w:val="0"/>
      <w:marTop w:val="0"/>
      <w:marBottom w:val="0"/>
      <w:divBdr>
        <w:top w:val="none" w:sz="0" w:space="0" w:color="auto"/>
        <w:left w:val="none" w:sz="0" w:space="0" w:color="auto"/>
        <w:bottom w:val="none" w:sz="0" w:space="0" w:color="auto"/>
        <w:right w:val="none" w:sz="0" w:space="0" w:color="auto"/>
      </w:divBdr>
    </w:div>
    <w:div w:id="374429088">
      <w:bodyDiv w:val="1"/>
      <w:marLeft w:val="0"/>
      <w:marRight w:val="0"/>
      <w:marTop w:val="0"/>
      <w:marBottom w:val="0"/>
      <w:divBdr>
        <w:top w:val="none" w:sz="0" w:space="0" w:color="auto"/>
        <w:left w:val="none" w:sz="0" w:space="0" w:color="auto"/>
        <w:bottom w:val="none" w:sz="0" w:space="0" w:color="auto"/>
        <w:right w:val="none" w:sz="0" w:space="0" w:color="auto"/>
      </w:divBdr>
    </w:div>
    <w:div w:id="389958610">
      <w:bodyDiv w:val="1"/>
      <w:marLeft w:val="0"/>
      <w:marRight w:val="0"/>
      <w:marTop w:val="0"/>
      <w:marBottom w:val="0"/>
      <w:divBdr>
        <w:top w:val="none" w:sz="0" w:space="0" w:color="auto"/>
        <w:left w:val="none" w:sz="0" w:space="0" w:color="auto"/>
        <w:bottom w:val="none" w:sz="0" w:space="0" w:color="auto"/>
        <w:right w:val="none" w:sz="0" w:space="0" w:color="auto"/>
      </w:divBdr>
    </w:div>
    <w:div w:id="417093790">
      <w:bodyDiv w:val="1"/>
      <w:marLeft w:val="0"/>
      <w:marRight w:val="0"/>
      <w:marTop w:val="0"/>
      <w:marBottom w:val="0"/>
      <w:divBdr>
        <w:top w:val="none" w:sz="0" w:space="0" w:color="auto"/>
        <w:left w:val="none" w:sz="0" w:space="0" w:color="auto"/>
        <w:bottom w:val="none" w:sz="0" w:space="0" w:color="auto"/>
        <w:right w:val="none" w:sz="0" w:space="0" w:color="auto"/>
      </w:divBdr>
    </w:div>
    <w:div w:id="417404815">
      <w:bodyDiv w:val="1"/>
      <w:marLeft w:val="0"/>
      <w:marRight w:val="0"/>
      <w:marTop w:val="0"/>
      <w:marBottom w:val="0"/>
      <w:divBdr>
        <w:top w:val="none" w:sz="0" w:space="0" w:color="auto"/>
        <w:left w:val="none" w:sz="0" w:space="0" w:color="auto"/>
        <w:bottom w:val="none" w:sz="0" w:space="0" w:color="auto"/>
        <w:right w:val="none" w:sz="0" w:space="0" w:color="auto"/>
      </w:divBdr>
    </w:div>
    <w:div w:id="432363531">
      <w:bodyDiv w:val="1"/>
      <w:marLeft w:val="0"/>
      <w:marRight w:val="0"/>
      <w:marTop w:val="0"/>
      <w:marBottom w:val="0"/>
      <w:divBdr>
        <w:top w:val="none" w:sz="0" w:space="0" w:color="auto"/>
        <w:left w:val="none" w:sz="0" w:space="0" w:color="auto"/>
        <w:bottom w:val="none" w:sz="0" w:space="0" w:color="auto"/>
        <w:right w:val="none" w:sz="0" w:space="0" w:color="auto"/>
      </w:divBdr>
    </w:div>
    <w:div w:id="435902751">
      <w:bodyDiv w:val="1"/>
      <w:marLeft w:val="0"/>
      <w:marRight w:val="0"/>
      <w:marTop w:val="0"/>
      <w:marBottom w:val="0"/>
      <w:divBdr>
        <w:top w:val="none" w:sz="0" w:space="0" w:color="auto"/>
        <w:left w:val="none" w:sz="0" w:space="0" w:color="auto"/>
        <w:bottom w:val="none" w:sz="0" w:space="0" w:color="auto"/>
        <w:right w:val="none" w:sz="0" w:space="0" w:color="auto"/>
      </w:divBdr>
    </w:div>
    <w:div w:id="441269943">
      <w:bodyDiv w:val="1"/>
      <w:marLeft w:val="0"/>
      <w:marRight w:val="0"/>
      <w:marTop w:val="0"/>
      <w:marBottom w:val="0"/>
      <w:divBdr>
        <w:top w:val="none" w:sz="0" w:space="0" w:color="auto"/>
        <w:left w:val="none" w:sz="0" w:space="0" w:color="auto"/>
        <w:bottom w:val="none" w:sz="0" w:space="0" w:color="auto"/>
        <w:right w:val="none" w:sz="0" w:space="0" w:color="auto"/>
      </w:divBdr>
    </w:div>
    <w:div w:id="455173757">
      <w:bodyDiv w:val="1"/>
      <w:marLeft w:val="0"/>
      <w:marRight w:val="0"/>
      <w:marTop w:val="0"/>
      <w:marBottom w:val="0"/>
      <w:divBdr>
        <w:top w:val="none" w:sz="0" w:space="0" w:color="auto"/>
        <w:left w:val="none" w:sz="0" w:space="0" w:color="auto"/>
        <w:bottom w:val="none" w:sz="0" w:space="0" w:color="auto"/>
        <w:right w:val="none" w:sz="0" w:space="0" w:color="auto"/>
      </w:divBdr>
    </w:div>
    <w:div w:id="473914979">
      <w:bodyDiv w:val="1"/>
      <w:marLeft w:val="0"/>
      <w:marRight w:val="0"/>
      <w:marTop w:val="0"/>
      <w:marBottom w:val="0"/>
      <w:divBdr>
        <w:top w:val="none" w:sz="0" w:space="0" w:color="auto"/>
        <w:left w:val="none" w:sz="0" w:space="0" w:color="auto"/>
        <w:bottom w:val="none" w:sz="0" w:space="0" w:color="auto"/>
        <w:right w:val="none" w:sz="0" w:space="0" w:color="auto"/>
      </w:divBdr>
    </w:div>
    <w:div w:id="582376172">
      <w:bodyDiv w:val="1"/>
      <w:marLeft w:val="0"/>
      <w:marRight w:val="0"/>
      <w:marTop w:val="0"/>
      <w:marBottom w:val="0"/>
      <w:divBdr>
        <w:top w:val="none" w:sz="0" w:space="0" w:color="auto"/>
        <w:left w:val="none" w:sz="0" w:space="0" w:color="auto"/>
        <w:bottom w:val="none" w:sz="0" w:space="0" w:color="auto"/>
        <w:right w:val="none" w:sz="0" w:space="0" w:color="auto"/>
      </w:divBdr>
    </w:div>
    <w:div w:id="604463385">
      <w:bodyDiv w:val="1"/>
      <w:marLeft w:val="0"/>
      <w:marRight w:val="0"/>
      <w:marTop w:val="0"/>
      <w:marBottom w:val="0"/>
      <w:divBdr>
        <w:top w:val="none" w:sz="0" w:space="0" w:color="auto"/>
        <w:left w:val="none" w:sz="0" w:space="0" w:color="auto"/>
        <w:bottom w:val="none" w:sz="0" w:space="0" w:color="auto"/>
        <w:right w:val="none" w:sz="0" w:space="0" w:color="auto"/>
      </w:divBdr>
    </w:div>
    <w:div w:id="627472490">
      <w:bodyDiv w:val="1"/>
      <w:marLeft w:val="0"/>
      <w:marRight w:val="0"/>
      <w:marTop w:val="0"/>
      <w:marBottom w:val="0"/>
      <w:divBdr>
        <w:top w:val="none" w:sz="0" w:space="0" w:color="auto"/>
        <w:left w:val="none" w:sz="0" w:space="0" w:color="auto"/>
        <w:bottom w:val="none" w:sz="0" w:space="0" w:color="auto"/>
        <w:right w:val="none" w:sz="0" w:space="0" w:color="auto"/>
      </w:divBdr>
    </w:div>
    <w:div w:id="630676895">
      <w:bodyDiv w:val="1"/>
      <w:marLeft w:val="0"/>
      <w:marRight w:val="0"/>
      <w:marTop w:val="0"/>
      <w:marBottom w:val="0"/>
      <w:divBdr>
        <w:top w:val="none" w:sz="0" w:space="0" w:color="auto"/>
        <w:left w:val="none" w:sz="0" w:space="0" w:color="auto"/>
        <w:bottom w:val="none" w:sz="0" w:space="0" w:color="auto"/>
        <w:right w:val="none" w:sz="0" w:space="0" w:color="auto"/>
      </w:divBdr>
    </w:div>
    <w:div w:id="646788092">
      <w:bodyDiv w:val="1"/>
      <w:marLeft w:val="0"/>
      <w:marRight w:val="0"/>
      <w:marTop w:val="0"/>
      <w:marBottom w:val="0"/>
      <w:divBdr>
        <w:top w:val="none" w:sz="0" w:space="0" w:color="auto"/>
        <w:left w:val="none" w:sz="0" w:space="0" w:color="auto"/>
        <w:bottom w:val="none" w:sz="0" w:space="0" w:color="auto"/>
        <w:right w:val="none" w:sz="0" w:space="0" w:color="auto"/>
      </w:divBdr>
    </w:div>
    <w:div w:id="706030134">
      <w:bodyDiv w:val="1"/>
      <w:marLeft w:val="0"/>
      <w:marRight w:val="0"/>
      <w:marTop w:val="0"/>
      <w:marBottom w:val="0"/>
      <w:divBdr>
        <w:top w:val="none" w:sz="0" w:space="0" w:color="auto"/>
        <w:left w:val="none" w:sz="0" w:space="0" w:color="auto"/>
        <w:bottom w:val="none" w:sz="0" w:space="0" w:color="auto"/>
        <w:right w:val="none" w:sz="0" w:space="0" w:color="auto"/>
      </w:divBdr>
    </w:div>
    <w:div w:id="710690785">
      <w:bodyDiv w:val="1"/>
      <w:marLeft w:val="0"/>
      <w:marRight w:val="0"/>
      <w:marTop w:val="0"/>
      <w:marBottom w:val="0"/>
      <w:divBdr>
        <w:top w:val="none" w:sz="0" w:space="0" w:color="auto"/>
        <w:left w:val="none" w:sz="0" w:space="0" w:color="auto"/>
        <w:bottom w:val="none" w:sz="0" w:space="0" w:color="auto"/>
        <w:right w:val="none" w:sz="0" w:space="0" w:color="auto"/>
      </w:divBdr>
    </w:div>
    <w:div w:id="787243016">
      <w:bodyDiv w:val="1"/>
      <w:marLeft w:val="0"/>
      <w:marRight w:val="0"/>
      <w:marTop w:val="0"/>
      <w:marBottom w:val="0"/>
      <w:divBdr>
        <w:top w:val="none" w:sz="0" w:space="0" w:color="auto"/>
        <w:left w:val="none" w:sz="0" w:space="0" w:color="auto"/>
        <w:bottom w:val="none" w:sz="0" w:space="0" w:color="auto"/>
        <w:right w:val="none" w:sz="0" w:space="0" w:color="auto"/>
      </w:divBdr>
    </w:div>
    <w:div w:id="810825704">
      <w:bodyDiv w:val="1"/>
      <w:marLeft w:val="0"/>
      <w:marRight w:val="0"/>
      <w:marTop w:val="0"/>
      <w:marBottom w:val="0"/>
      <w:divBdr>
        <w:top w:val="none" w:sz="0" w:space="0" w:color="auto"/>
        <w:left w:val="none" w:sz="0" w:space="0" w:color="auto"/>
        <w:bottom w:val="none" w:sz="0" w:space="0" w:color="auto"/>
        <w:right w:val="none" w:sz="0" w:space="0" w:color="auto"/>
      </w:divBdr>
    </w:div>
    <w:div w:id="819154061">
      <w:bodyDiv w:val="1"/>
      <w:marLeft w:val="0"/>
      <w:marRight w:val="0"/>
      <w:marTop w:val="0"/>
      <w:marBottom w:val="0"/>
      <w:divBdr>
        <w:top w:val="none" w:sz="0" w:space="0" w:color="auto"/>
        <w:left w:val="none" w:sz="0" w:space="0" w:color="auto"/>
        <w:bottom w:val="none" w:sz="0" w:space="0" w:color="auto"/>
        <w:right w:val="none" w:sz="0" w:space="0" w:color="auto"/>
      </w:divBdr>
    </w:div>
    <w:div w:id="822509296">
      <w:bodyDiv w:val="1"/>
      <w:marLeft w:val="0"/>
      <w:marRight w:val="0"/>
      <w:marTop w:val="0"/>
      <w:marBottom w:val="0"/>
      <w:divBdr>
        <w:top w:val="none" w:sz="0" w:space="0" w:color="auto"/>
        <w:left w:val="none" w:sz="0" w:space="0" w:color="auto"/>
        <w:bottom w:val="none" w:sz="0" w:space="0" w:color="auto"/>
        <w:right w:val="none" w:sz="0" w:space="0" w:color="auto"/>
      </w:divBdr>
    </w:div>
    <w:div w:id="964777149">
      <w:bodyDiv w:val="1"/>
      <w:marLeft w:val="0"/>
      <w:marRight w:val="0"/>
      <w:marTop w:val="0"/>
      <w:marBottom w:val="0"/>
      <w:divBdr>
        <w:top w:val="none" w:sz="0" w:space="0" w:color="auto"/>
        <w:left w:val="none" w:sz="0" w:space="0" w:color="auto"/>
        <w:bottom w:val="none" w:sz="0" w:space="0" w:color="auto"/>
        <w:right w:val="none" w:sz="0" w:space="0" w:color="auto"/>
      </w:divBdr>
    </w:div>
    <w:div w:id="1010137010">
      <w:bodyDiv w:val="1"/>
      <w:marLeft w:val="0"/>
      <w:marRight w:val="0"/>
      <w:marTop w:val="0"/>
      <w:marBottom w:val="0"/>
      <w:divBdr>
        <w:top w:val="none" w:sz="0" w:space="0" w:color="auto"/>
        <w:left w:val="none" w:sz="0" w:space="0" w:color="auto"/>
        <w:bottom w:val="none" w:sz="0" w:space="0" w:color="auto"/>
        <w:right w:val="none" w:sz="0" w:space="0" w:color="auto"/>
      </w:divBdr>
    </w:div>
    <w:div w:id="1012413204">
      <w:bodyDiv w:val="1"/>
      <w:marLeft w:val="0"/>
      <w:marRight w:val="0"/>
      <w:marTop w:val="0"/>
      <w:marBottom w:val="0"/>
      <w:divBdr>
        <w:top w:val="none" w:sz="0" w:space="0" w:color="auto"/>
        <w:left w:val="none" w:sz="0" w:space="0" w:color="auto"/>
        <w:bottom w:val="none" w:sz="0" w:space="0" w:color="auto"/>
        <w:right w:val="none" w:sz="0" w:space="0" w:color="auto"/>
      </w:divBdr>
    </w:div>
    <w:div w:id="1019549026">
      <w:bodyDiv w:val="1"/>
      <w:marLeft w:val="0"/>
      <w:marRight w:val="0"/>
      <w:marTop w:val="0"/>
      <w:marBottom w:val="0"/>
      <w:divBdr>
        <w:top w:val="none" w:sz="0" w:space="0" w:color="auto"/>
        <w:left w:val="none" w:sz="0" w:space="0" w:color="auto"/>
        <w:bottom w:val="none" w:sz="0" w:space="0" w:color="auto"/>
        <w:right w:val="none" w:sz="0" w:space="0" w:color="auto"/>
      </w:divBdr>
    </w:div>
    <w:div w:id="1065496970">
      <w:bodyDiv w:val="1"/>
      <w:marLeft w:val="0"/>
      <w:marRight w:val="0"/>
      <w:marTop w:val="0"/>
      <w:marBottom w:val="0"/>
      <w:divBdr>
        <w:top w:val="none" w:sz="0" w:space="0" w:color="auto"/>
        <w:left w:val="none" w:sz="0" w:space="0" w:color="auto"/>
        <w:bottom w:val="none" w:sz="0" w:space="0" w:color="auto"/>
        <w:right w:val="none" w:sz="0" w:space="0" w:color="auto"/>
      </w:divBdr>
    </w:div>
    <w:div w:id="1087195520">
      <w:bodyDiv w:val="1"/>
      <w:marLeft w:val="0"/>
      <w:marRight w:val="0"/>
      <w:marTop w:val="0"/>
      <w:marBottom w:val="0"/>
      <w:divBdr>
        <w:top w:val="none" w:sz="0" w:space="0" w:color="auto"/>
        <w:left w:val="none" w:sz="0" w:space="0" w:color="auto"/>
        <w:bottom w:val="none" w:sz="0" w:space="0" w:color="auto"/>
        <w:right w:val="none" w:sz="0" w:space="0" w:color="auto"/>
      </w:divBdr>
    </w:div>
    <w:div w:id="1099134464">
      <w:bodyDiv w:val="1"/>
      <w:marLeft w:val="0"/>
      <w:marRight w:val="0"/>
      <w:marTop w:val="0"/>
      <w:marBottom w:val="0"/>
      <w:divBdr>
        <w:top w:val="none" w:sz="0" w:space="0" w:color="auto"/>
        <w:left w:val="none" w:sz="0" w:space="0" w:color="auto"/>
        <w:bottom w:val="none" w:sz="0" w:space="0" w:color="auto"/>
        <w:right w:val="none" w:sz="0" w:space="0" w:color="auto"/>
      </w:divBdr>
    </w:div>
    <w:div w:id="1106388790">
      <w:bodyDiv w:val="1"/>
      <w:marLeft w:val="0"/>
      <w:marRight w:val="0"/>
      <w:marTop w:val="0"/>
      <w:marBottom w:val="0"/>
      <w:divBdr>
        <w:top w:val="none" w:sz="0" w:space="0" w:color="auto"/>
        <w:left w:val="none" w:sz="0" w:space="0" w:color="auto"/>
        <w:bottom w:val="none" w:sz="0" w:space="0" w:color="auto"/>
        <w:right w:val="none" w:sz="0" w:space="0" w:color="auto"/>
      </w:divBdr>
    </w:div>
    <w:div w:id="1131941124">
      <w:bodyDiv w:val="1"/>
      <w:marLeft w:val="0"/>
      <w:marRight w:val="0"/>
      <w:marTop w:val="0"/>
      <w:marBottom w:val="0"/>
      <w:divBdr>
        <w:top w:val="none" w:sz="0" w:space="0" w:color="auto"/>
        <w:left w:val="none" w:sz="0" w:space="0" w:color="auto"/>
        <w:bottom w:val="none" w:sz="0" w:space="0" w:color="auto"/>
        <w:right w:val="none" w:sz="0" w:space="0" w:color="auto"/>
      </w:divBdr>
    </w:div>
    <w:div w:id="1145511012">
      <w:bodyDiv w:val="1"/>
      <w:marLeft w:val="0"/>
      <w:marRight w:val="0"/>
      <w:marTop w:val="0"/>
      <w:marBottom w:val="0"/>
      <w:divBdr>
        <w:top w:val="none" w:sz="0" w:space="0" w:color="auto"/>
        <w:left w:val="none" w:sz="0" w:space="0" w:color="auto"/>
        <w:bottom w:val="none" w:sz="0" w:space="0" w:color="auto"/>
        <w:right w:val="none" w:sz="0" w:space="0" w:color="auto"/>
      </w:divBdr>
    </w:div>
    <w:div w:id="1161434617">
      <w:bodyDiv w:val="1"/>
      <w:marLeft w:val="0"/>
      <w:marRight w:val="0"/>
      <w:marTop w:val="0"/>
      <w:marBottom w:val="0"/>
      <w:divBdr>
        <w:top w:val="none" w:sz="0" w:space="0" w:color="auto"/>
        <w:left w:val="none" w:sz="0" w:space="0" w:color="auto"/>
        <w:bottom w:val="none" w:sz="0" w:space="0" w:color="auto"/>
        <w:right w:val="none" w:sz="0" w:space="0" w:color="auto"/>
      </w:divBdr>
    </w:div>
    <w:div w:id="1172527785">
      <w:bodyDiv w:val="1"/>
      <w:marLeft w:val="0"/>
      <w:marRight w:val="0"/>
      <w:marTop w:val="0"/>
      <w:marBottom w:val="0"/>
      <w:divBdr>
        <w:top w:val="none" w:sz="0" w:space="0" w:color="auto"/>
        <w:left w:val="none" w:sz="0" w:space="0" w:color="auto"/>
        <w:bottom w:val="none" w:sz="0" w:space="0" w:color="auto"/>
        <w:right w:val="none" w:sz="0" w:space="0" w:color="auto"/>
      </w:divBdr>
    </w:div>
    <w:div w:id="1213926775">
      <w:bodyDiv w:val="1"/>
      <w:marLeft w:val="0"/>
      <w:marRight w:val="0"/>
      <w:marTop w:val="0"/>
      <w:marBottom w:val="0"/>
      <w:divBdr>
        <w:top w:val="none" w:sz="0" w:space="0" w:color="auto"/>
        <w:left w:val="none" w:sz="0" w:space="0" w:color="auto"/>
        <w:bottom w:val="none" w:sz="0" w:space="0" w:color="auto"/>
        <w:right w:val="none" w:sz="0" w:space="0" w:color="auto"/>
      </w:divBdr>
    </w:div>
    <w:div w:id="1221594857">
      <w:bodyDiv w:val="1"/>
      <w:marLeft w:val="0"/>
      <w:marRight w:val="0"/>
      <w:marTop w:val="0"/>
      <w:marBottom w:val="0"/>
      <w:divBdr>
        <w:top w:val="none" w:sz="0" w:space="0" w:color="auto"/>
        <w:left w:val="none" w:sz="0" w:space="0" w:color="auto"/>
        <w:bottom w:val="none" w:sz="0" w:space="0" w:color="auto"/>
        <w:right w:val="none" w:sz="0" w:space="0" w:color="auto"/>
      </w:divBdr>
    </w:div>
    <w:div w:id="1278105265">
      <w:bodyDiv w:val="1"/>
      <w:marLeft w:val="0"/>
      <w:marRight w:val="0"/>
      <w:marTop w:val="0"/>
      <w:marBottom w:val="0"/>
      <w:divBdr>
        <w:top w:val="none" w:sz="0" w:space="0" w:color="auto"/>
        <w:left w:val="none" w:sz="0" w:space="0" w:color="auto"/>
        <w:bottom w:val="none" w:sz="0" w:space="0" w:color="auto"/>
        <w:right w:val="none" w:sz="0" w:space="0" w:color="auto"/>
      </w:divBdr>
    </w:div>
    <w:div w:id="1286306358">
      <w:bodyDiv w:val="1"/>
      <w:marLeft w:val="0"/>
      <w:marRight w:val="0"/>
      <w:marTop w:val="0"/>
      <w:marBottom w:val="0"/>
      <w:divBdr>
        <w:top w:val="none" w:sz="0" w:space="0" w:color="auto"/>
        <w:left w:val="none" w:sz="0" w:space="0" w:color="auto"/>
        <w:bottom w:val="none" w:sz="0" w:space="0" w:color="auto"/>
        <w:right w:val="none" w:sz="0" w:space="0" w:color="auto"/>
      </w:divBdr>
    </w:div>
    <w:div w:id="1316762392">
      <w:bodyDiv w:val="1"/>
      <w:marLeft w:val="0"/>
      <w:marRight w:val="0"/>
      <w:marTop w:val="0"/>
      <w:marBottom w:val="0"/>
      <w:divBdr>
        <w:top w:val="none" w:sz="0" w:space="0" w:color="auto"/>
        <w:left w:val="none" w:sz="0" w:space="0" w:color="auto"/>
        <w:bottom w:val="none" w:sz="0" w:space="0" w:color="auto"/>
        <w:right w:val="none" w:sz="0" w:space="0" w:color="auto"/>
      </w:divBdr>
    </w:div>
    <w:div w:id="1363358386">
      <w:bodyDiv w:val="1"/>
      <w:marLeft w:val="0"/>
      <w:marRight w:val="0"/>
      <w:marTop w:val="0"/>
      <w:marBottom w:val="0"/>
      <w:divBdr>
        <w:top w:val="none" w:sz="0" w:space="0" w:color="auto"/>
        <w:left w:val="none" w:sz="0" w:space="0" w:color="auto"/>
        <w:bottom w:val="none" w:sz="0" w:space="0" w:color="auto"/>
        <w:right w:val="none" w:sz="0" w:space="0" w:color="auto"/>
      </w:divBdr>
    </w:div>
    <w:div w:id="1371300102">
      <w:bodyDiv w:val="1"/>
      <w:marLeft w:val="0"/>
      <w:marRight w:val="0"/>
      <w:marTop w:val="0"/>
      <w:marBottom w:val="0"/>
      <w:divBdr>
        <w:top w:val="none" w:sz="0" w:space="0" w:color="auto"/>
        <w:left w:val="none" w:sz="0" w:space="0" w:color="auto"/>
        <w:bottom w:val="none" w:sz="0" w:space="0" w:color="auto"/>
        <w:right w:val="none" w:sz="0" w:space="0" w:color="auto"/>
      </w:divBdr>
    </w:div>
    <w:div w:id="1410300144">
      <w:bodyDiv w:val="1"/>
      <w:marLeft w:val="0"/>
      <w:marRight w:val="0"/>
      <w:marTop w:val="0"/>
      <w:marBottom w:val="0"/>
      <w:divBdr>
        <w:top w:val="none" w:sz="0" w:space="0" w:color="auto"/>
        <w:left w:val="none" w:sz="0" w:space="0" w:color="auto"/>
        <w:bottom w:val="none" w:sz="0" w:space="0" w:color="auto"/>
        <w:right w:val="none" w:sz="0" w:space="0" w:color="auto"/>
      </w:divBdr>
    </w:div>
    <w:div w:id="1497921332">
      <w:bodyDiv w:val="1"/>
      <w:marLeft w:val="0"/>
      <w:marRight w:val="0"/>
      <w:marTop w:val="0"/>
      <w:marBottom w:val="0"/>
      <w:divBdr>
        <w:top w:val="none" w:sz="0" w:space="0" w:color="auto"/>
        <w:left w:val="none" w:sz="0" w:space="0" w:color="auto"/>
        <w:bottom w:val="none" w:sz="0" w:space="0" w:color="auto"/>
        <w:right w:val="none" w:sz="0" w:space="0" w:color="auto"/>
      </w:divBdr>
    </w:div>
    <w:div w:id="1542864613">
      <w:bodyDiv w:val="1"/>
      <w:marLeft w:val="0"/>
      <w:marRight w:val="0"/>
      <w:marTop w:val="0"/>
      <w:marBottom w:val="0"/>
      <w:divBdr>
        <w:top w:val="none" w:sz="0" w:space="0" w:color="auto"/>
        <w:left w:val="none" w:sz="0" w:space="0" w:color="auto"/>
        <w:bottom w:val="none" w:sz="0" w:space="0" w:color="auto"/>
        <w:right w:val="none" w:sz="0" w:space="0" w:color="auto"/>
      </w:divBdr>
    </w:div>
    <w:div w:id="1671373740">
      <w:bodyDiv w:val="1"/>
      <w:marLeft w:val="0"/>
      <w:marRight w:val="0"/>
      <w:marTop w:val="0"/>
      <w:marBottom w:val="0"/>
      <w:divBdr>
        <w:top w:val="none" w:sz="0" w:space="0" w:color="auto"/>
        <w:left w:val="none" w:sz="0" w:space="0" w:color="auto"/>
        <w:bottom w:val="none" w:sz="0" w:space="0" w:color="auto"/>
        <w:right w:val="none" w:sz="0" w:space="0" w:color="auto"/>
      </w:divBdr>
    </w:div>
    <w:div w:id="1687974920">
      <w:bodyDiv w:val="1"/>
      <w:marLeft w:val="0"/>
      <w:marRight w:val="0"/>
      <w:marTop w:val="0"/>
      <w:marBottom w:val="0"/>
      <w:divBdr>
        <w:top w:val="none" w:sz="0" w:space="0" w:color="auto"/>
        <w:left w:val="none" w:sz="0" w:space="0" w:color="auto"/>
        <w:bottom w:val="none" w:sz="0" w:space="0" w:color="auto"/>
        <w:right w:val="none" w:sz="0" w:space="0" w:color="auto"/>
      </w:divBdr>
    </w:div>
    <w:div w:id="1705474654">
      <w:bodyDiv w:val="1"/>
      <w:marLeft w:val="0"/>
      <w:marRight w:val="0"/>
      <w:marTop w:val="0"/>
      <w:marBottom w:val="0"/>
      <w:divBdr>
        <w:top w:val="none" w:sz="0" w:space="0" w:color="auto"/>
        <w:left w:val="none" w:sz="0" w:space="0" w:color="auto"/>
        <w:bottom w:val="none" w:sz="0" w:space="0" w:color="auto"/>
        <w:right w:val="none" w:sz="0" w:space="0" w:color="auto"/>
      </w:divBdr>
      <w:divsChild>
        <w:div w:id="486434509">
          <w:marLeft w:val="0"/>
          <w:marRight w:val="0"/>
          <w:marTop w:val="0"/>
          <w:marBottom w:val="0"/>
          <w:divBdr>
            <w:top w:val="none" w:sz="0" w:space="0" w:color="auto"/>
            <w:left w:val="none" w:sz="0" w:space="0" w:color="auto"/>
            <w:bottom w:val="none" w:sz="0" w:space="0" w:color="auto"/>
            <w:right w:val="none" w:sz="0" w:space="0" w:color="auto"/>
          </w:divBdr>
          <w:divsChild>
            <w:div w:id="72049401">
              <w:marLeft w:val="0"/>
              <w:marRight w:val="0"/>
              <w:marTop w:val="0"/>
              <w:marBottom w:val="0"/>
              <w:divBdr>
                <w:top w:val="none" w:sz="0" w:space="0" w:color="auto"/>
                <w:left w:val="none" w:sz="0" w:space="0" w:color="auto"/>
                <w:bottom w:val="none" w:sz="0" w:space="0" w:color="auto"/>
                <w:right w:val="none" w:sz="0" w:space="0" w:color="auto"/>
              </w:divBdr>
              <w:divsChild>
                <w:div w:id="300119579">
                  <w:marLeft w:val="360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14304062">
      <w:bodyDiv w:val="1"/>
      <w:marLeft w:val="0"/>
      <w:marRight w:val="0"/>
      <w:marTop w:val="0"/>
      <w:marBottom w:val="0"/>
      <w:divBdr>
        <w:top w:val="none" w:sz="0" w:space="0" w:color="auto"/>
        <w:left w:val="none" w:sz="0" w:space="0" w:color="auto"/>
        <w:bottom w:val="none" w:sz="0" w:space="0" w:color="auto"/>
        <w:right w:val="none" w:sz="0" w:space="0" w:color="auto"/>
      </w:divBdr>
    </w:div>
    <w:div w:id="1871261226">
      <w:bodyDiv w:val="1"/>
      <w:marLeft w:val="0"/>
      <w:marRight w:val="0"/>
      <w:marTop w:val="0"/>
      <w:marBottom w:val="0"/>
      <w:divBdr>
        <w:top w:val="none" w:sz="0" w:space="0" w:color="auto"/>
        <w:left w:val="none" w:sz="0" w:space="0" w:color="auto"/>
        <w:bottom w:val="none" w:sz="0" w:space="0" w:color="auto"/>
        <w:right w:val="none" w:sz="0" w:space="0" w:color="auto"/>
      </w:divBdr>
    </w:div>
    <w:div w:id="1944998961">
      <w:bodyDiv w:val="1"/>
      <w:marLeft w:val="0"/>
      <w:marRight w:val="0"/>
      <w:marTop w:val="0"/>
      <w:marBottom w:val="0"/>
      <w:divBdr>
        <w:top w:val="none" w:sz="0" w:space="0" w:color="auto"/>
        <w:left w:val="none" w:sz="0" w:space="0" w:color="auto"/>
        <w:bottom w:val="none" w:sz="0" w:space="0" w:color="auto"/>
        <w:right w:val="none" w:sz="0" w:space="0" w:color="auto"/>
      </w:divBdr>
    </w:div>
    <w:div w:id="1947151797">
      <w:bodyDiv w:val="1"/>
      <w:marLeft w:val="0"/>
      <w:marRight w:val="0"/>
      <w:marTop w:val="0"/>
      <w:marBottom w:val="0"/>
      <w:divBdr>
        <w:top w:val="none" w:sz="0" w:space="0" w:color="auto"/>
        <w:left w:val="none" w:sz="0" w:space="0" w:color="auto"/>
        <w:bottom w:val="none" w:sz="0" w:space="0" w:color="auto"/>
        <w:right w:val="none" w:sz="0" w:space="0" w:color="auto"/>
      </w:divBdr>
    </w:div>
    <w:div w:id="2022782708">
      <w:bodyDiv w:val="1"/>
      <w:marLeft w:val="0"/>
      <w:marRight w:val="0"/>
      <w:marTop w:val="0"/>
      <w:marBottom w:val="0"/>
      <w:divBdr>
        <w:top w:val="none" w:sz="0" w:space="0" w:color="auto"/>
        <w:left w:val="none" w:sz="0" w:space="0" w:color="auto"/>
        <w:bottom w:val="none" w:sz="0" w:space="0" w:color="auto"/>
        <w:right w:val="none" w:sz="0" w:space="0" w:color="auto"/>
      </w:divBdr>
    </w:div>
    <w:div w:id="2031099036">
      <w:bodyDiv w:val="1"/>
      <w:marLeft w:val="0"/>
      <w:marRight w:val="0"/>
      <w:marTop w:val="0"/>
      <w:marBottom w:val="0"/>
      <w:divBdr>
        <w:top w:val="none" w:sz="0" w:space="0" w:color="auto"/>
        <w:left w:val="none" w:sz="0" w:space="0" w:color="auto"/>
        <w:bottom w:val="none" w:sz="0" w:space="0" w:color="auto"/>
        <w:right w:val="none" w:sz="0" w:space="0" w:color="auto"/>
      </w:divBdr>
    </w:div>
    <w:div w:id="2082211955">
      <w:bodyDiv w:val="1"/>
      <w:marLeft w:val="0"/>
      <w:marRight w:val="0"/>
      <w:marTop w:val="0"/>
      <w:marBottom w:val="0"/>
      <w:divBdr>
        <w:top w:val="none" w:sz="0" w:space="0" w:color="auto"/>
        <w:left w:val="none" w:sz="0" w:space="0" w:color="auto"/>
        <w:bottom w:val="none" w:sz="0" w:space="0" w:color="auto"/>
        <w:right w:val="none" w:sz="0" w:space="0" w:color="auto"/>
      </w:divBdr>
    </w:div>
    <w:div w:id="2092850512">
      <w:bodyDiv w:val="1"/>
      <w:marLeft w:val="0"/>
      <w:marRight w:val="0"/>
      <w:marTop w:val="0"/>
      <w:marBottom w:val="0"/>
      <w:divBdr>
        <w:top w:val="none" w:sz="0" w:space="0" w:color="auto"/>
        <w:left w:val="none" w:sz="0" w:space="0" w:color="auto"/>
        <w:bottom w:val="none" w:sz="0" w:space="0" w:color="auto"/>
        <w:right w:val="none" w:sz="0" w:space="0" w:color="auto"/>
      </w:divBdr>
    </w:div>
    <w:div w:id="2146388985">
      <w:bodyDiv w:val="1"/>
      <w:marLeft w:val="0"/>
      <w:marRight w:val="0"/>
      <w:marTop w:val="0"/>
      <w:marBottom w:val="0"/>
      <w:divBdr>
        <w:top w:val="none" w:sz="0" w:space="0" w:color="auto"/>
        <w:left w:val="none" w:sz="0" w:space="0" w:color="auto"/>
        <w:bottom w:val="none" w:sz="0" w:space="0" w:color="auto"/>
        <w:right w:val="none" w:sz="0" w:space="0" w:color="auto"/>
      </w:divBdr>
      <w:divsChild>
        <w:div w:id="479617578">
          <w:marLeft w:val="0"/>
          <w:marRight w:val="0"/>
          <w:marTop w:val="0"/>
          <w:marBottom w:val="0"/>
          <w:divBdr>
            <w:top w:val="none" w:sz="0" w:space="0" w:color="auto"/>
            <w:left w:val="none" w:sz="0" w:space="0" w:color="auto"/>
            <w:bottom w:val="none" w:sz="0" w:space="0" w:color="auto"/>
            <w:right w:val="none" w:sz="0" w:space="0" w:color="auto"/>
          </w:divBdr>
          <w:divsChild>
            <w:div w:id="1754936534">
              <w:marLeft w:val="0"/>
              <w:marRight w:val="0"/>
              <w:marTop w:val="0"/>
              <w:marBottom w:val="0"/>
              <w:divBdr>
                <w:top w:val="none" w:sz="0" w:space="0" w:color="auto"/>
                <w:left w:val="none" w:sz="0" w:space="0" w:color="auto"/>
                <w:bottom w:val="none" w:sz="0" w:space="0" w:color="auto"/>
                <w:right w:val="none" w:sz="0" w:space="0" w:color="auto"/>
              </w:divBdr>
              <w:divsChild>
                <w:div w:id="1645617697">
                  <w:marLeft w:val="0"/>
                  <w:marRight w:val="0"/>
                  <w:marTop w:val="0"/>
                  <w:marBottom w:val="0"/>
                  <w:divBdr>
                    <w:top w:val="none" w:sz="0" w:space="0" w:color="auto"/>
                    <w:left w:val="none" w:sz="0" w:space="0" w:color="auto"/>
                    <w:bottom w:val="none" w:sz="0" w:space="0" w:color="auto"/>
                    <w:right w:val="none" w:sz="0" w:space="0" w:color="auto"/>
                  </w:divBdr>
                  <w:divsChild>
                    <w:div w:id="684095425">
                      <w:marLeft w:val="0"/>
                      <w:marRight w:val="0"/>
                      <w:marTop w:val="0"/>
                      <w:marBottom w:val="0"/>
                      <w:divBdr>
                        <w:top w:val="none" w:sz="0" w:space="0" w:color="auto"/>
                        <w:left w:val="none" w:sz="0" w:space="0" w:color="auto"/>
                        <w:bottom w:val="none" w:sz="0" w:space="0" w:color="auto"/>
                        <w:right w:val="none" w:sz="0" w:space="0" w:color="auto"/>
                      </w:divBdr>
                      <w:divsChild>
                        <w:div w:id="634333268">
                          <w:marLeft w:val="0"/>
                          <w:marRight w:val="0"/>
                          <w:marTop w:val="0"/>
                          <w:marBottom w:val="0"/>
                          <w:divBdr>
                            <w:top w:val="none" w:sz="0" w:space="0" w:color="auto"/>
                            <w:left w:val="none" w:sz="0" w:space="0" w:color="auto"/>
                            <w:bottom w:val="none" w:sz="0" w:space="0" w:color="auto"/>
                            <w:right w:val="none" w:sz="0" w:space="0" w:color="auto"/>
                          </w:divBdr>
                          <w:divsChild>
                            <w:div w:id="1969706051">
                              <w:marLeft w:val="0"/>
                              <w:marRight w:val="0"/>
                              <w:marTop w:val="0"/>
                              <w:marBottom w:val="0"/>
                              <w:divBdr>
                                <w:top w:val="none" w:sz="0" w:space="0" w:color="auto"/>
                                <w:left w:val="none" w:sz="0" w:space="0" w:color="auto"/>
                                <w:bottom w:val="none" w:sz="0" w:space="0" w:color="auto"/>
                                <w:right w:val="none" w:sz="0" w:space="0" w:color="auto"/>
                              </w:divBdr>
                              <w:divsChild>
                                <w:div w:id="70126966">
                                  <w:marLeft w:val="0"/>
                                  <w:marRight w:val="0"/>
                                  <w:marTop w:val="0"/>
                                  <w:marBottom w:val="0"/>
                                  <w:divBdr>
                                    <w:top w:val="none" w:sz="0" w:space="0" w:color="auto"/>
                                    <w:left w:val="none" w:sz="0" w:space="0" w:color="auto"/>
                                    <w:bottom w:val="none" w:sz="0" w:space="0" w:color="auto"/>
                                    <w:right w:val="none" w:sz="0" w:space="0" w:color="auto"/>
                                  </w:divBdr>
                                  <w:divsChild>
                                    <w:div w:id="492797350">
                                      <w:marLeft w:val="0"/>
                                      <w:marRight w:val="0"/>
                                      <w:marTop w:val="0"/>
                                      <w:marBottom w:val="0"/>
                                      <w:divBdr>
                                        <w:top w:val="none" w:sz="0" w:space="0" w:color="auto"/>
                                        <w:left w:val="none" w:sz="0" w:space="0" w:color="auto"/>
                                        <w:bottom w:val="none" w:sz="0" w:space="0" w:color="auto"/>
                                        <w:right w:val="none" w:sz="0" w:space="0" w:color="auto"/>
                                      </w:divBdr>
                                      <w:divsChild>
                                        <w:div w:id="486634938">
                                          <w:marLeft w:val="0"/>
                                          <w:marRight w:val="0"/>
                                          <w:marTop w:val="0"/>
                                          <w:marBottom w:val="0"/>
                                          <w:divBdr>
                                            <w:top w:val="none" w:sz="0" w:space="0" w:color="auto"/>
                                            <w:left w:val="none" w:sz="0" w:space="0" w:color="auto"/>
                                            <w:bottom w:val="none" w:sz="0" w:space="0" w:color="auto"/>
                                            <w:right w:val="none" w:sz="0" w:space="0" w:color="auto"/>
                                          </w:divBdr>
                                          <w:divsChild>
                                            <w:div w:id="2004579363">
                                              <w:marLeft w:val="0"/>
                                              <w:marRight w:val="0"/>
                                              <w:marTop w:val="0"/>
                                              <w:marBottom w:val="0"/>
                                              <w:divBdr>
                                                <w:top w:val="none" w:sz="0" w:space="0" w:color="auto"/>
                                                <w:left w:val="none" w:sz="0" w:space="0" w:color="auto"/>
                                                <w:bottom w:val="none" w:sz="0" w:space="0" w:color="auto"/>
                                                <w:right w:val="none" w:sz="0" w:space="0" w:color="auto"/>
                                              </w:divBdr>
                                              <w:divsChild>
                                                <w:div w:id="1974746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9" Type="http://schemas.openxmlformats.org/officeDocument/2006/relationships/image" Target="media/image31.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image" Target="media/image26.emf"/><Relationship Id="rId42" Type="http://schemas.openxmlformats.org/officeDocument/2006/relationships/image" Target="media/image34.emf"/><Relationship Id="rId47" Type="http://schemas.openxmlformats.org/officeDocument/2006/relationships/header" Target="header2.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image" Target="media/image25.emf"/><Relationship Id="rId38" Type="http://schemas.openxmlformats.org/officeDocument/2006/relationships/image" Target="media/image30.emf"/><Relationship Id="rId46"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41" Type="http://schemas.openxmlformats.org/officeDocument/2006/relationships/image" Target="media/image33.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image" Target="media/image24.emf"/><Relationship Id="rId37" Type="http://schemas.openxmlformats.org/officeDocument/2006/relationships/image" Target="media/image29.emf"/><Relationship Id="rId40" Type="http://schemas.openxmlformats.org/officeDocument/2006/relationships/image" Target="media/image32.emf"/><Relationship Id="rId45" Type="http://schemas.openxmlformats.org/officeDocument/2006/relationships/image" Target="media/image37.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image" Target="media/image28.emf"/><Relationship Id="rId49"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4" Type="http://schemas.openxmlformats.org/officeDocument/2006/relationships/image" Target="media/image3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image" Target="media/image27.emf"/><Relationship Id="rId43" Type="http://schemas.openxmlformats.org/officeDocument/2006/relationships/image" Target="media/image35.emf"/><Relationship Id="rId48" Type="http://schemas.openxmlformats.org/officeDocument/2006/relationships/footer" Target="footer1.xml"/><Relationship Id="rId8" Type="http://schemas.openxmlformats.org/officeDocument/2006/relationships/endnotes" Target="endnotes.xml"/><Relationship Id="rId51"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si\chapte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296BC-C720-4397-A01F-351D65053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35</TotalTime>
  <Pages>91</Pages>
  <Words>27461</Words>
  <Characters>150851</Characters>
  <Application>Microsoft Office Word</Application>
  <DocSecurity>0</DocSecurity>
  <Lines>1257</Lines>
  <Paragraphs>355</Paragraphs>
  <ScaleCrop>false</ScaleCrop>
  <HeadingPairs>
    <vt:vector size="2" baseType="variant">
      <vt:variant>
        <vt:lpstr>Title</vt:lpstr>
      </vt:variant>
      <vt:variant>
        <vt:i4>1</vt:i4>
      </vt:variant>
    </vt:vector>
  </HeadingPairs>
  <TitlesOfParts>
    <vt:vector size="1" baseType="lpstr">
      <vt:lpstr>Aged care services</vt:lpstr>
    </vt:vector>
  </TitlesOfParts>
  <Company>GB</Company>
  <LinksUpToDate>false</LinksUpToDate>
  <CharactersWithSpaces>177957</CharactersWithSpaces>
  <SharedDoc>false</SharedDoc>
  <HLinks>
    <vt:vector size="24" baseType="variant">
      <vt:variant>
        <vt:i4>5242978</vt:i4>
      </vt:variant>
      <vt:variant>
        <vt:i4>681</vt:i4>
      </vt:variant>
      <vt:variant>
        <vt:i4>0</vt:i4>
      </vt:variant>
      <vt:variant>
        <vt:i4>5</vt:i4>
      </vt:variant>
      <vt:variant>
        <vt:lpwstr>http://www.health.gov.au/internet/main/publishing.nsf/Content_x000b_/ageing-</vt:lpwstr>
      </vt:variant>
      <vt:variant>
        <vt:lpwstr/>
      </vt:variant>
      <vt:variant>
        <vt:i4>2031650</vt:i4>
      </vt:variant>
      <vt:variant>
        <vt:i4>678</vt:i4>
      </vt:variant>
      <vt:variant>
        <vt:i4>0</vt:i4>
      </vt:variant>
      <vt:variant>
        <vt:i4>5</vt:i4>
      </vt:variant>
      <vt:variant>
        <vt:lpwstr>http://www.coag.gov.au/meetings/100206/attachment_d_better_health.rtf</vt:lpwstr>
      </vt:variant>
      <vt:variant>
        <vt:lpwstr/>
      </vt:variant>
      <vt:variant>
        <vt:i4>6160453</vt:i4>
      </vt:variant>
      <vt:variant>
        <vt:i4>669</vt:i4>
      </vt:variant>
      <vt:variant>
        <vt:i4>0</vt:i4>
      </vt:variant>
      <vt:variant>
        <vt:i4>5</vt:i4>
      </vt:variant>
      <vt:variant>
        <vt:lpwstr>C:\Users\hmignot\AppData\Local\Microsoft\Windows\Temporary Internet Files\OLK6FF6\www.pc.gov.au\gsp</vt:lpwstr>
      </vt:variant>
      <vt:variant>
        <vt:lpwstr/>
      </vt:variant>
      <vt:variant>
        <vt:i4>5636127</vt:i4>
      </vt:variant>
      <vt:variant>
        <vt:i4>27</vt:i4>
      </vt:variant>
      <vt:variant>
        <vt:i4>0</vt:i4>
      </vt:variant>
      <vt:variant>
        <vt:i4>5</vt:i4>
      </vt:variant>
      <vt:variant>
        <vt:lpwstr>http://www.pc.gov.au/gsp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Aged care services</dc:title>
  <dc:subject>Report on Government Services 2012</dc:subject>
  <dc:creator>Steering Committee for the Review of Government Service Provision</dc:creator>
  <dc:description>13.</dc:description>
  <cp:lastModifiedBy>Frech, Tanya</cp:lastModifiedBy>
  <cp:revision>14</cp:revision>
  <cp:lastPrinted>2014-01-10T02:34:00Z</cp:lastPrinted>
  <dcterms:created xsi:type="dcterms:W3CDTF">2014-01-14T02:12:00Z</dcterms:created>
  <dcterms:modified xsi:type="dcterms:W3CDTF">2014-01-21T01:52:00Z</dcterms:modified>
</cp:coreProperties>
</file>