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7574B1" w:rsidP="007574B1">
      <w:pPr>
        <w:pStyle w:val="Chapter"/>
        <w:ind w:left="907" w:hanging="907"/>
      </w:pPr>
      <w:bookmarkStart w:id="0" w:name="_AppendixNotByChapter"/>
      <w:bookmarkStart w:id="1" w:name="ChapterNumber"/>
      <w:bookmarkStart w:id="2" w:name="_GoBack"/>
      <w:bookmarkEnd w:id="0"/>
      <w:bookmarkEnd w:id="2"/>
      <w:r>
        <w:t>F</w:t>
      </w:r>
      <w:bookmarkEnd w:id="1"/>
      <w:r>
        <w:tab/>
      </w:r>
      <w:bookmarkStart w:id="3" w:name="ChapterTitle"/>
      <w:r>
        <w:t xml:space="preserve">Community services sector </w:t>
      </w:r>
      <w:bookmarkEnd w:id="3"/>
      <w:r w:rsidR="00DC146F">
        <w:t>overview</w:t>
      </w:r>
    </w:p>
    <w:p w:rsidR="0087496F" w:rsidRDefault="0087496F">
      <w:pPr>
        <w:pStyle w:val="TOC2"/>
      </w:pPr>
      <w:r>
        <w:t>CONTENTS</w:t>
      </w:r>
    </w:p>
    <w:p w:rsidR="009D5CBB" w:rsidRDefault="009D5CBB">
      <w:pPr>
        <w:pStyle w:val="TOC2"/>
        <w:rPr>
          <w:rFonts w:asciiTheme="minorHAnsi" w:eastAsiaTheme="minorEastAsia" w:hAnsiTheme="minorHAnsi" w:cstheme="minorBidi"/>
          <w:b w:val="0"/>
          <w:noProof/>
          <w:sz w:val="22"/>
          <w:szCs w:val="22"/>
        </w:rPr>
      </w:pPr>
      <w:r w:rsidRPr="00F04A70">
        <w:rPr>
          <w:noProof/>
        </w:rPr>
        <w:t>F.1</w:t>
      </w:r>
      <w:r>
        <w:rPr>
          <w:rFonts w:asciiTheme="minorHAnsi" w:eastAsiaTheme="minorEastAsia" w:hAnsiTheme="minorHAnsi" w:cstheme="minorBidi"/>
          <w:b w:val="0"/>
          <w:noProof/>
          <w:sz w:val="22"/>
          <w:szCs w:val="22"/>
        </w:rPr>
        <w:tab/>
      </w:r>
      <w:r w:rsidRPr="00F04A70">
        <w:rPr>
          <w:noProof/>
        </w:rPr>
        <w:t>Introduction</w:t>
      </w:r>
      <w:r>
        <w:rPr>
          <w:noProof/>
          <w:webHidden/>
        </w:rPr>
        <w:tab/>
      </w:r>
      <w:r w:rsidR="00800701">
        <w:rPr>
          <w:noProof/>
          <w:webHidden/>
        </w:rPr>
        <w:t>F.</w:t>
      </w:r>
      <w:r w:rsidR="00914946">
        <w:rPr>
          <w:noProof/>
          <w:webHidden/>
        </w:rPr>
        <w:t>1</w:t>
      </w:r>
    </w:p>
    <w:p w:rsidR="009D5CBB" w:rsidRDefault="009D5CBB">
      <w:pPr>
        <w:pStyle w:val="TOC2"/>
        <w:rPr>
          <w:rFonts w:asciiTheme="minorHAnsi" w:eastAsiaTheme="minorEastAsia" w:hAnsiTheme="minorHAnsi" w:cstheme="minorBidi"/>
          <w:b w:val="0"/>
          <w:noProof/>
          <w:sz w:val="22"/>
          <w:szCs w:val="22"/>
        </w:rPr>
      </w:pPr>
      <w:r w:rsidRPr="00F04A70">
        <w:rPr>
          <w:noProof/>
        </w:rPr>
        <w:t>F.2</w:t>
      </w:r>
      <w:r>
        <w:rPr>
          <w:rFonts w:asciiTheme="minorHAnsi" w:eastAsiaTheme="minorEastAsia" w:hAnsiTheme="minorHAnsi" w:cstheme="minorBidi"/>
          <w:b w:val="0"/>
          <w:noProof/>
          <w:sz w:val="22"/>
          <w:szCs w:val="22"/>
        </w:rPr>
        <w:tab/>
      </w:r>
      <w:r w:rsidRPr="00F04A70">
        <w:rPr>
          <w:noProof/>
        </w:rPr>
        <w:t>Sector performance indicator framework</w:t>
      </w:r>
      <w:r>
        <w:rPr>
          <w:noProof/>
          <w:webHidden/>
        </w:rPr>
        <w:tab/>
      </w:r>
      <w:r w:rsidR="00800701">
        <w:rPr>
          <w:noProof/>
          <w:webHidden/>
        </w:rPr>
        <w:t>F.</w:t>
      </w:r>
      <w:r w:rsidR="00914946">
        <w:rPr>
          <w:noProof/>
          <w:webHidden/>
        </w:rPr>
        <w:t>13</w:t>
      </w:r>
    </w:p>
    <w:p w:rsidR="009D5CBB" w:rsidRDefault="009D5CBB">
      <w:pPr>
        <w:pStyle w:val="TOC2"/>
        <w:rPr>
          <w:rFonts w:asciiTheme="minorHAnsi" w:eastAsiaTheme="minorEastAsia" w:hAnsiTheme="minorHAnsi" w:cstheme="minorBidi"/>
          <w:b w:val="0"/>
          <w:noProof/>
          <w:sz w:val="22"/>
          <w:szCs w:val="22"/>
        </w:rPr>
      </w:pPr>
      <w:r w:rsidRPr="00F04A70">
        <w:rPr>
          <w:noProof/>
        </w:rPr>
        <w:t>F.3</w:t>
      </w:r>
      <w:r>
        <w:rPr>
          <w:rFonts w:asciiTheme="minorHAnsi" w:eastAsiaTheme="minorEastAsia" w:hAnsiTheme="minorHAnsi" w:cstheme="minorBidi"/>
          <w:b w:val="0"/>
          <w:noProof/>
          <w:sz w:val="22"/>
          <w:szCs w:val="22"/>
        </w:rPr>
        <w:tab/>
      </w:r>
      <w:r w:rsidRPr="00F04A70">
        <w:rPr>
          <w:noProof/>
        </w:rPr>
        <w:t>Cross-cutting and interface issues</w:t>
      </w:r>
      <w:r>
        <w:rPr>
          <w:noProof/>
          <w:webHidden/>
        </w:rPr>
        <w:tab/>
      </w:r>
      <w:r w:rsidR="00800701">
        <w:rPr>
          <w:noProof/>
          <w:webHidden/>
        </w:rPr>
        <w:t>F.</w:t>
      </w:r>
      <w:r w:rsidR="000D7CDD">
        <w:rPr>
          <w:noProof/>
          <w:webHidden/>
        </w:rPr>
        <w:t>39</w:t>
      </w:r>
    </w:p>
    <w:p w:rsidR="009D5CBB" w:rsidRDefault="009D5CBB">
      <w:pPr>
        <w:pStyle w:val="TOC2"/>
        <w:rPr>
          <w:rFonts w:asciiTheme="minorHAnsi" w:eastAsiaTheme="minorEastAsia" w:hAnsiTheme="minorHAnsi" w:cstheme="minorBidi"/>
          <w:b w:val="0"/>
          <w:noProof/>
          <w:sz w:val="22"/>
          <w:szCs w:val="22"/>
        </w:rPr>
      </w:pPr>
      <w:r w:rsidRPr="00F04A70">
        <w:rPr>
          <w:noProof/>
        </w:rPr>
        <w:t>F.4</w:t>
      </w:r>
      <w:r>
        <w:rPr>
          <w:rFonts w:asciiTheme="minorHAnsi" w:eastAsiaTheme="minorEastAsia" w:hAnsiTheme="minorHAnsi" w:cstheme="minorBidi"/>
          <w:b w:val="0"/>
          <w:noProof/>
          <w:sz w:val="22"/>
          <w:szCs w:val="22"/>
        </w:rPr>
        <w:tab/>
      </w:r>
      <w:r w:rsidRPr="00F04A70">
        <w:rPr>
          <w:noProof/>
        </w:rPr>
        <w:t>Future directions in performance reporting</w:t>
      </w:r>
      <w:r>
        <w:rPr>
          <w:noProof/>
          <w:webHidden/>
        </w:rPr>
        <w:tab/>
      </w:r>
      <w:r w:rsidR="00800701">
        <w:rPr>
          <w:noProof/>
          <w:webHidden/>
        </w:rPr>
        <w:t>F.</w:t>
      </w:r>
      <w:r w:rsidR="00914946">
        <w:rPr>
          <w:noProof/>
          <w:webHidden/>
        </w:rPr>
        <w:t>4</w:t>
      </w:r>
      <w:r w:rsidR="000D7CDD">
        <w:rPr>
          <w:noProof/>
          <w:webHidden/>
        </w:rPr>
        <w:t>4</w:t>
      </w:r>
    </w:p>
    <w:p w:rsidR="009D5CBB" w:rsidRDefault="009D5CBB">
      <w:pPr>
        <w:pStyle w:val="TOC2"/>
        <w:rPr>
          <w:rFonts w:asciiTheme="minorHAnsi" w:eastAsiaTheme="minorEastAsia" w:hAnsiTheme="minorHAnsi" w:cstheme="minorBidi"/>
          <w:b w:val="0"/>
          <w:noProof/>
          <w:sz w:val="22"/>
          <w:szCs w:val="22"/>
        </w:rPr>
      </w:pPr>
      <w:r w:rsidRPr="00F04A70">
        <w:rPr>
          <w:noProof/>
        </w:rPr>
        <w:t>F.5</w:t>
      </w:r>
      <w:r w:rsidRPr="009D5CBB">
        <w:rPr>
          <w:rFonts w:eastAsiaTheme="minorEastAsia"/>
          <w:b w:val="0"/>
          <w:noProof/>
          <w:sz w:val="22"/>
          <w:szCs w:val="22"/>
        </w:rPr>
        <w:tab/>
      </w:r>
      <w:r w:rsidRPr="00F04A70">
        <w:rPr>
          <w:noProof/>
        </w:rPr>
        <w:t>List of attachment tables</w:t>
      </w:r>
      <w:r>
        <w:rPr>
          <w:noProof/>
          <w:webHidden/>
        </w:rPr>
        <w:tab/>
      </w:r>
      <w:r w:rsidR="00800701">
        <w:rPr>
          <w:noProof/>
          <w:webHidden/>
        </w:rPr>
        <w:t>F.</w:t>
      </w:r>
      <w:r w:rsidR="00914946">
        <w:rPr>
          <w:noProof/>
          <w:webHidden/>
        </w:rPr>
        <w:t>4</w:t>
      </w:r>
      <w:r w:rsidR="000D7CDD">
        <w:rPr>
          <w:noProof/>
          <w:webHidden/>
        </w:rPr>
        <w:t>4</w:t>
      </w:r>
    </w:p>
    <w:p w:rsidR="009D5CBB" w:rsidRDefault="009D5CBB">
      <w:pPr>
        <w:pStyle w:val="TOC2"/>
        <w:rPr>
          <w:rFonts w:asciiTheme="minorHAnsi" w:eastAsiaTheme="minorEastAsia" w:hAnsiTheme="minorHAnsi" w:cstheme="minorBidi"/>
          <w:b w:val="0"/>
          <w:noProof/>
          <w:sz w:val="22"/>
          <w:szCs w:val="22"/>
        </w:rPr>
      </w:pPr>
      <w:r w:rsidRPr="00F04A70">
        <w:rPr>
          <w:noProof/>
        </w:rPr>
        <w:t>F.6</w:t>
      </w:r>
      <w:r>
        <w:rPr>
          <w:rFonts w:asciiTheme="minorHAnsi" w:eastAsiaTheme="minorEastAsia" w:hAnsiTheme="minorHAnsi" w:cstheme="minorBidi"/>
          <w:b w:val="0"/>
          <w:noProof/>
          <w:sz w:val="22"/>
          <w:szCs w:val="22"/>
        </w:rPr>
        <w:tab/>
      </w:r>
      <w:r w:rsidRPr="00F04A70">
        <w:rPr>
          <w:noProof/>
        </w:rPr>
        <w:t>References</w:t>
      </w:r>
      <w:r>
        <w:rPr>
          <w:noProof/>
          <w:webHidden/>
        </w:rPr>
        <w:tab/>
      </w:r>
      <w:r w:rsidR="00800701">
        <w:rPr>
          <w:noProof/>
          <w:webHidden/>
        </w:rPr>
        <w:t>F.</w:t>
      </w:r>
      <w:r w:rsidR="00914946">
        <w:rPr>
          <w:noProof/>
          <w:webHidden/>
        </w:rPr>
        <w:t>4</w:t>
      </w:r>
      <w:r w:rsidR="000D7CDD">
        <w:rPr>
          <w:noProof/>
          <w:webHidden/>
        </w:rPr>
        <w:t>5</w:t>
      </w:r>
    </w:p>
    <w:p w:rsidR="00182C03" w:rsidRPr="006B31F0" w:rsidRDefault="00182C03" w:rsidP="00182C03">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82C03" w:rsidRPr="006B31F0" w:rsidTr="00182C03">
        <w:tc>
          <w:tcPr>
            <w:tcW w:w="8771" w:type="dxa"/>
            <w:tcBorders>
              <w:top w:val="single" w:sz="6" w:space="0" w:color="auto"/>
              <w:bottom w:val="nil"/>
            </w:tcBorders>
            <w:shd w:val="clear" w:color="auto" w:fill="E0E0E0"/>
          </w:tcPr>
          <w:p w:rsidR="00182C03" w:rsidRPr="006B31F0" w:rsidRDefault="00182C03" w:rsidP="00182C03">
            <w:pPr>
              <w:pStyle w:val="BoxTitle"/>
            </w:pPr>
            <w:r w:rsidRPr="006B31F0">
              <w:t>Attachment tables</w:t>
            </w:r>
          </w:p>
        </w:tc>
      </w:tr>
      <w:tr w:rsidR="00182C03" w:rsidRPr="006B31F0" w:rsidTr="00182C03">
        <w:trPr>
          <w:cantSplit/>
        </w:trPr>
        <w:tc>
          <w:tcPr>
            <w:tcW w:w="8771" w:type="dxa"/>
            <w:tcBorders>
              <w:top w:val="nil"/>
              <w:left w:val="single" w:sz="6" w:space="0" w:color="auto"/>
              <w:bottom w:val="nil"/>
              <w:right w:val="single" w:sz="6" w:space="0" w:color="auto"/>
            </w:tcBorders>
            <w:shd w:val="clear" w:color="auto" w:fill="E0E0E0"/>
          </w:tcPr>
          <w:p w:rsidR="00182C03" w:rsidRPr="00E175F0" w:rsidRDefault="00E175F0" w:rsidP="00182C03">
            <w:pPr>
              <w:pStyle w:val="Box"/>
            </w:pPr>
            <w:r w:rsidRPr="00E175F0">
              <w:t>Attachment tables are identified in references throug</w:t>
            </w:r>
            <w:r>
              <w:t xml:space="preserve">hout this sector </w:t>
            </w:r>
            <w:r w:rsidR="0004040E">
              <w:t>overview</w:t>
            </w:r>
            <w:r>
              <w:t xml:space="preserve"> by a ‘FA’ </w:t>
            </w:r>
            <w:r w:rsidR="00114335">
              <w:t>pre</w:t>
            </w:r>
            <w:r>
              <w:t>fix (for example, table F</w:t>
            </w:r>
            <w:r w:rsidRPr="00E175F0">
              <w:t xml:space="preserve">A.1). A full list of attachment tables is provided at the end of this sector </w:t>
            </w:r>
            <w:r w:rsidR="0004040E">
              <w:t>overview</w:t>
            </w:r>
            <w:r w:rsidRPr="00E175F0">
              <w:t>, and the attachment tables are available from the Review website at www.pc.gov.au/gsp.</w:t>
            </w:r>
          </w:p>
        </w:tc>
      </w:tr>
      <w:tr w:rsidR="00182C03" w:rsidRPr="006B31F0" w:rsidTr="00182C03">
        <w:trPr>
          <w:cantSplit/>
        </w:trPr>
        <w:tc>
          <w:tcPr>
            <w:tcW w:w="8771" w:type="dxa"/>
            <w:tcBorders>
              <w:top w:val="nil"/>
              <w:left w:val="single" w:sz="6" w:space="0" w:color="auto"/>
              <w:bottom w:val="single" w:sz="6" w:space="0" w:color="auto"/>
              <w:right w:val="single" w:sz="6" w:space="0" w:color="auto"/>
            </w:tcBorders>
            <w:shd w:val="clear" w:color="auto" w:fill="E0E0E0"/>
          </w:tcPr>
          <w:p w:rsidR="00182C03" w:rsidRPr="006B31F0" w:rsidRDefault="00182C03" w:rsidP="00182C03">
            <w:pPr>
              <w:pStyle w:val="Box"/>
              <w:spacing w:before="0" w:line="120" w:lineRule="exact"/>
            </w:pPr>
          </w:p>
        </w:tc>
      </w:tr>
      <w:tr w:rsidR="00182C03" w:rsidRPr="006B31F0" w:rsidTr="00182C03">
        <w:tc>
          <w:tcPr>
            <w:tcW w:w="8771" w:type="dxa"/>
            <w:tcBorders>
              <w:top w:val="nil"/>
              <w:left w:val="nil"/>
              <w:bottom w:val="nil"/>
              <w:right w:val="nil"/>
            </w:tcBorders>
          </w:tcPr>
          <w:p w:rsidR="00182C03" w:rsidRPr="006B31F0" w:rsidRDefault="00182C03" w:rsidP="00182C03">
            <w:pPr>
              <w:spacing w:before="60" w:after="60" w:line="80" w:lineRule="exact"/>
              <w:rPr>
                <w:b/>
                <w:color w:val="FF00FF"/>
                <w:sz w:val="14"/>
              </w:rPr>
            </w:pPr>
          </w:p>
        </w:tc>
      </w:tr>
    </w:tbl>
    <w:p w:rsidR="00182C03" w:rsidRDefault="003C2C54" w:rsidP="00182C03">
      <w:pPr>
        <w:pStyle w:val="Heading2"/>
      </w:pPr>
      <w:bookmarkStart w:id="4" w:name="_Toc272325755"/>
      <w:bookmarkStart w:id="5" w:name="_Toc338234650"/>
      <w:r>
        <w:t>F.</w:t>
      </w:r>
      <w:r w:rsidR="00914946">
        <w:rPr>
          <w:noProof/>
        </w:rPr>
        <w:t>1</w:t>
      </w:r>
      <w:r>
        <w:tab/>
      </w:r>
      <w:r w:rsidR="00182C03">
        <w:t>Introduction</w:t>
      </w:r>
      <w:bookmarkEnd w:id="4"/>
      <w:bookmarkEnd w:id="5"/>
    </w:p>
    <w:p w:rsidR="00A52468" w:rsidRDefault="0081363C" w:rsidP="00182C03">
      <w:pPr>
        <w:pStyle w:val="BodyText"/>
      </w:pPr>
      <w:r w:rsidRPr="0081363C">
        <w:t xml:space="preserve">This sector </w:t>
      </w:r>
      <w:r w:rsidR="0004040E">
        <w:t>overview</w:t>
      </w:r>
      <w:r w:rsidRPr="0081363C">
        <w:t xml:space="preserve"> provides an introduction to the </w:t>
      </w:r>
      <w:r w:rsidR="006F0991">
        <w:t>Aged care</w:t>
      </w:r>
      <w:r w:rsidRPr="0081363C">
        <w:t xml:space="preserve"> </w:t>
      </w:r>
      <w:r w:rsidR="006F0991">
        <w:t>service</w:t>
      </w:r>
      <w:r w:rsidR="0033601E">
        <w:t xml:space="preserve">s </w:t>
      </w:r>
      <w:r w:rsidRPr="0081363C">
        <w:t>(chapter</w:t>
      </w:r>
      <w:r w:rsidR="007B1909">
        <w:t> </w:t>
      </w:r>
      <w:r w:rsidRPr="0081363C">
        <w:t>1</w:t>
      </w:r>
      <w:r w:rsidR="006F0991">
        <w:t>3</w:t>
      </w:r>
      <w:r w:rsidRPr="0081363C">
        <w:t>)</w:t>
      </w:r>
      <w:r w:rsidR="006F0991">
        <w:t>, Services for people with disability</w:t>
      </w:r>
      <w:r w:rsidRPr="0081363C">
        <w:t xml:space="preserve"> (chapter 1</w:t>
      </w:r>
      <w:r w:rsidR="006F0991">
        <w:t>4</w:t>
      </w:r>
      <w:r w:rsidRPr="0081363C">
        <w:t>)</w:t>
      </w:r>
      <w:r w:rsidR="00F17222">
        <w:t>,</w:t>
      </w:r>
      <w:r w:rsidR="006F0991">
        <w:t xml:space="preserve"> </w:t>
      </w:r>
      <w:r w:rsidR="00FD2A09" w:rsidRPr="00C51941">
        <w:t xml:space="preserve">Child protection </w:t>
      </w:r>
      <w:r w:rsidR="00F17222">
        <w:t>service</w:t>
      </w:r>
      <w:r w:rsidR="006B1005">
        <w:t>s</w:t>
      </w:r>
      <w:r w:rsidR="00F17222">
        <w:t xml:space="preserve"> (chapter 15) </w:t>
      </w:r>
      <w:r w:rsidR="00FD2A09" w:rsidRPr="00C51941">
        <w:t xml:space="preserve">and </w:t>
      </w:r>
      <w:r w:rsidR="00F17222">
        <w:t>Y</w:t>
      </w:r>
      <w:r w:rsidR="00FD2A09" w:rsidRPr="00C51941">
        <w:t xml:space="preserve">outh justice </w:t>
      </w:r>
      <w:r w:rsidR="006F0991" w:rsidRPr="00C51941">
        <w:t>services</w:t>
      </w:r>
      <w:r w:rsidR="006F0991">
        <w:t xml:space="preserve"> (chapter 1</w:t>
      </w:r>
      <w:r w:rsidR="00F17222">
        <w:t>6</w:t>
      </w:r>
      <w:r w:rsidR="006F0991">
        <w:t xml:space="preserve">) </w:t>
      </w:r>
      <w:r w:rsidRPr="0081363C">
        <w:t xml:space="preserve">chapters of this Report. It provides an overview of the </w:t>
      </w:r>
      <w:r w:rsidR="006F0991">
        <w:t>community services</w:t>
      </w:r>
      <w:r w:rsidRPr="0081363C">
        <w:t xml:space="preserve"> sector, presenting both contextual information and high level performance information.</w:t>
      </w:r>
    </w:p>
    <w:p w:rsidR="00926D0A" w:rsidRPr="0081363C" w:rsidRDefault="00926D0A" w:rsidP="00182C03">
      <w:pPr>
        <w:pStyle w:val="BodyText"/>
      </w:pPr>
      <w:r>
        <w:t xml:space="preserve">Major improvements in reporting on </w:t>
      </w:r>
      <w:r w:rsidR="006F0991">
        <w:t>community services</w:t>
      </w:r>
      <w:r>
        <w:t xml:space="preserve"> this year are identified in each of the service-specific </w:t>
      </w:r>
      <w:r w:rsidR="006F0991">
        <w:t>community services</w:t>
      </w:r>
      <w:r>
        <w:t xml:space="preserve"> chapters.</w:t>
      </w:r>
    </w:p>
    <w:p w:rsidR="009664FC" w:rsidRDefault="009664FC" w:rsidP="009664FC">
      <w:pPr>
        <w:pStyle w:val="Heading4"/>
      </w:pPr>
      <w:bookmarkStart w:id="6" w:name="_Toc272325756"/>
      <w:r>
        <w:lastRenderedPageBreak/>
        <w:t>Policy context</w:t>
      </w:r>
    </w:p>
    <w:p w:rsidR="00BA1822" w:rsidRPr="00AC617B" w:rsidRDefault="00BA1822" w:rsidP="00BA1822">
      <w:pPr>
        <w:pStyle w:val="BodyText"/>
      </w:pPr>
      <w:r w:rsidRPr="00AC617B">
        <w:t>Families are the principal providers of care for children, older people and people with disability (</w:t>
      </w:r>
      <w:r w:rsidRPr="00012EEC">
        <w:t>ABS 2010; Australian Government 2008</w:t>
      </w:r>
      <w:r w:rsidRPr="00AC617B">
        <w:t>). Community services aim to:</w:t>
      </w:r>
    </w:p>
    <w:p w:rsidR="00BA1822" w:rsidRPr="00AC617B" w:rsidRDefault="00BA1822" w:rsidP="00BA1822">
      <w:pPr>
        <w:pStyle w:val="ListBullet"/>
      </w:pPr>
      <w:r w:rsidRPr="00AC617B">
        <w:t>support families to fulfil their caring roles</w:t>
      </w:r>
    </w:p>
    <w:p w:rsidR="00BA1822" w:rsidRPr="00AC617B" w:rsidRDefault="00BA1822" w:rsidP="00BA1822">
      <w:pPr>
        <w:pStyle w:val="ListBullet"/>
      </w:pPr>
      <w:r w:rsidRPr="00AC617B">
        <w:t>provide care when families are unable to</w:t>
      </w:r>
    </w:p>
    <w:p w:rsidR="00BA1822" w:rsidRPr="00AC617B" w:rsidRDefault="008F40DD" w:rsidP="00BA1822">
      <w:pPr>
        <w:pStyle w:val="ListBullet"/>
      </w:pPr>
      <w:r w:rsidRPr="00AC617B">
        <w:t>p</w:t>
      </w:r>
      <w:r w:rsidRPr="00AC617B">
        <w:rPr>
          <w:rStyle w:val="ListBulletChar"/>
        </w:rPr>
        <w:t>r</w:t>
      </w:r>
      <w:r w:rsidRPr="00AC617B">
        <w:t>ovide interventions whe</w:t>
      </w:r>
      <w:r>
        <w:t>n</w:t>
      </w:r>
      <w:r w:rsidRPr="00AC617B">
        <w:t xml:space="preserve"> </w:t>
      </w:r>
      <w:r>
        <w:t xml:space="preserve">a person’s </w:t>
      </w:r>
      <w:r w:rsidRPr="00AC617B">
        <w:t>needs are not able to be met within the community without special intervention</w:t>
      </w:r>
      <w:r w:rsidR="00BA1822" w:rsidRPr="00AC617B">
        <w:t>.</w:t>
      </w:r>
    </w:p>
    <w:p w:rsidR="00BA1822" w:rsidRPr="00AC617B" w:rsidRDefault="00BA1822" w:rsidP="00BA1822">
      <w:pPr>
        <w:pStyle w:val="BodyText"/>
      </w:pPr>
      <w:r w:rsidRPr="00AC617B">
        <w:t xml:space="preserve">Community services provide support to sustain and nurture the functioning of individuals, families and groups, to maximise their potential and to enhance community wellbeing </w:t>
      </w:r>
      <w:r w:rsidRPr="00012EEC">
        <w:t>(Australian Council of Social Service 2009). Although community services generally target individuals, they can be delivered at an institutional level. Services are typically provided by government and the not</w:t>
      </w:r>
      <w:r w:rsidRPr="00012EEC">
        <w:noBreakHyphen/>
        <w:t>for</w:t>
      </w:r>
      <w:r w:rsidRPr="00012EEC">
        <w:noBreakHyphen/>
        <w:t>profit sector, but the for-profit sector also has an important role (for example, as owners of aged care facilities). Community services also contribute to the development of community infrastructure to service needs (AIHW 2005).</w:t>
      </w:r>
    </w:p>
    <w:p w:rsidR="005D506C" w:rsidRDefault="005D506C" w:rsidP="005D506C">
      <w:pPr>
        <w:pStyle w:val="Heading3"/>
      </w:pPr>
      <w:r>
        <w:t>Sector scope</w:t>
      </w:r>
      <w:bookmarkEnd w:id="6"/>
    </w:p>
    <w:p w:rsidR="00BA1822" w:rsidRPr="00AC617B" w:rsidRDefault="00BA1822" w:rsidP="00BA1822">
      <w:pPr>
        <w:pStyle w:val="BodyText"/>
      </w:pPr>
      <w:r w:rsidRPr="00AC617B">
        <w:t>Although there is a broad understanding of the nature of community services, the sector is complex, and consistent aggregate reporting across the community services sector is not possible at this time.</w:t>
      </w:r>
    </w:p>
    <w:p w:rsidR="00BA1822" w:rsidRPr="00AC617B" w:rsidRDefault="00BA1822" w:rsidP="00BA1822">
      <w:pPr>
        <w:pStyle w:val="BodyText"/>
      </w:pPr>
      <w:r w:rsidRPr="00AC617B">
        <w:t>Definitions of the sector vary in their scope and can change over time. Community service</w:t>
      </w:r>
      <w:r w:rsidR="006B1005">
        <w:t>s’</w:t>
      </w:r>
      <w:r w:rsidRPr="00AC617B">
        <w:t xml:space="preserve"> activities typically include activities that support individual and family functioning. They can include financial assistance and relief to people in crisis </w:t>
      </w:r>
      <w:r w:rsidR="00985A2B">
        <w:t>but</w:t>
      </w:r>
      <w:r w:rsidRPr="00AC617B">
        <w:t xml:space="preserve"> exclude acute health care services</w:t>
      </w:r>
      <w:r w:rsidR="00277E32">
        <w:t xml:space="preserve"> and</w:t>
      </w:r>
      <w:r w:rsidRPr="00AC617B">
        <w:t xml:space="preserve"> long term housing assistance. Some of these interventions are included elsewhere in this Report; for example, Public hospitals (chapter 10), </w:t>
      </w:r>
      <w:r w:rsidR="00A51E47">
        <w:t>Mental h</w:t>
      </w:r>
      <w:r w:rsidR="00A51E47" w:rsidRPr="00AC617B">
        <w:t xml:space="preserve">ealth </w:t>
      </w:r>
      <w:r w:rsidRPr="00AC617B">
        <w:t xml:space="preserve">management </w:t>
      </w:r>
      <w:r w:rsidR="008F40DD">
        <w:t xml:space="preserve">(chapter 12), Housing </w:t>
      </w:r>
      <w:r w:rsidRPr="00AC617B">
        <w:t>(chapter 1</w:t>
      </w:r>
      <w:r w:rsidR="00F17222">
        <w:t>7</w:t>
      </w:r>
      <w:r w:rsidRPr="00AC617B">
        <w:t>)</w:t>
      </w:r>
      <w:r w:rsidR="008F40DD">
        <w:t>,</w:t>
      </w:r>
      <w:r w:rsidRPr="00AC617B">
        <w:t xml:space="preserve"> and Homelessness services (chapter 1</w:t>
      </w:r>
      <w:r w:rsidR="00F17222">
        <w:t>8</w:t>
      </w:r>
      <w:r w:rsidRPr="00AC617B">
        <w:t xml:space="preserve">). </w:t>
      </w:r>
    </w:p>
    <w:p w:rsidR="00BA1822" w:rsidRPr="00AC617B" w:rsidRDefault="00BA1822" w:rsidP="00BA1822">
      <w:pPr>
        <w:pStyle w:val="BodyText"/>
      </w:pPr>
      <w:r w:rsidRPr="00AC617B">
        <w:t xml:space="preserve">The definition of community services activities in this </w:t>
      </w:r>
      <w:r w:rsidR="007A0F8C">
        <w:t xml:space="preserve">sector </w:t>
      </w:r>
      <w:r w:rsidR="0004040E">
        <w:t>overview</w:t>
      </w:r>
      <w:r w:rsidR="007A0F8C" w:rsidRPr="00AC617B">
        <w:t xml:space="preserve"> </w:t>
      </w:r>
      <w:r w:rsidRPr="00AC617B">
        <w:t xml:space="preserve">is based on the National Classification of Community Services developed by the Australian Institute of Health and </w:t>
      </w:r>
      <w:r w:rsidRPr="00012EEC">
        <w:t>Welfare (AIHW 2003) (box</w:t>
      </w:r>
      <w:r w:rsidRPr="00AC617B">
        <w:t xml:space="preserve"> F.1). The scope of </w:t>
      </w:r>
      <w:r w:rsidRPr="00285D58">
        <w:t xml:space="preserve">the </w:t>
      </w:r>
      <w:r w:rsidR="0033601E" w:rsidRPr="00285D58">
        <w:t xml:space="preserve">sector </w:t>
      </w:r>
      <w:r w:rsidR="0004040E">
        <w:t>overview</w:t>
      </w:r>
      <w:r w:rsidR="0033601E" w:rsidRPr="00285D58">
        <w:t xml:space="preserve"> </w:t>
      </w:r>
      <w:r w:rsidRPr="00285D58">
        <w:t xml:space="preserve">is therefore somewhat broader than the </w:t>
      </w:r>
      <w:r w:rsidR="006B1005">
        <w:t>four</w:t>
      </w:r>
      <w:r w:rsidRPr="00285D58">
        <w:t xml:space="preserve"> service</w:t>
      </w:r>
      <w:r w:rsidR="0004040E">
        <w:t>-</w:t>
      </w:r>
      <w:r w:rsidRPr="00285D58">
        <w:t>specific chapters</w:t>
      </w:r>
      <w:r w:rsidRPr="00AC617B">
        <w:t xml:space="preserve"> in this section of the Report (Aged care services, Services for people with disability, </w:t>
      </w:r>
      <w:r w:rsidR="00FD2A09">
        <w:t xml:space="preserve">Child protection </w:t>
      </w:r>
      <w:r w:rsidR="00F17222">
        <w:t xml:space="preserve">services </w:t>
      </w:r>
      <w:r w:rsidR="00FD2A09">
        <w:t xml:space="preserve">and </w:t>
      </w:r>
      <w:r w:rsidR="00F17222">
        <w:t>Y</w:t>
      </w:r>
      <w:r w:rsidR="00FD2A09">
        <w:t>outh justice</w:t>
      </w:r>
      <w:r w:rsidRPr="00AC617B">
        <w:t xml:space="preserve"> services).</w:t>
      </w:r>
    </w:p>
    <w:p w:rsidR="0033601E" w:rsidRDefault="003360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601E">
        <w:tc>
          <w:tcPr>
            <w:tcW w:w="8771" w:type="dxa"/>
            <w:tcBorders>
              <w:top w:val="single" w:sz="6" w:space="0" w:color="auto"/>
              <w:bottom w:val="nil"/>
            </w:tcBorders>
          </w:tcPr>
          <w:p w:rsidR="0033601E" w:rsidRDefault="0033601E">
            <w:pPr>
              <w:pStyle w:val="BoxTitle"/>
            </w:pPr>
            <w:r w:rsidRPr="00AC617B">
              <w:rPr>
                <w:b w:val="0"/>
              </w:rPr>
              <w:t xml:space="preserve">Box </w:t>
            </w:r>
            <w:r w:rsidR="007574B1">
              <w:rPr>
                <w:b w:val="0"/>
              </w:rPr>
              <w:t>F.</w:t>
            </w:r>
            <w:r w:rsidR="00914946">
              <w:rPr>
                <w:b w:val="0"/>
                <w:noProof/>
              </w:rPr>
              <w:t>1</w:t>
            </w:r>
            <w:r w:rsidRPr="00AC617B">
              <w:tab/>
              <w:t>Community services</w:t>
            </w:r>
            <w:r w:rsidR="006B1005">
              <w:t>’</w:t>
            </w:r>
            <w:r w:rsidRPr="00AC617B">
              <w:t xml:space="preserve"> activities</w:t>
            </w:r>
          </w:p>
        </w:tc>
      </w:tr>
      <w:tr w:rsidR="0033601E">
        <w:trPr>
          <w:cantSplit/>
        </w:trPr>
        <w:tc>
          <w:tcPr>
            <w:tcW w:w="8771" w:type="dxa"/>
            <w:tcBorders>
              <w:top w:val="nil"/>
              <w:left w:val="single" w:sz="6" w:space="0" w:color="auto"/>
              <w:bottom w:val="nil"/>
              <w:right w:val="single" w:sz="6" w:space="0" w:color="auto"/>
            </w:tcBorders>
          </w:tcPr>
          <w:p w:rsidR="0033601E" w:rsidRPr="00AC617B" w:rsidRDefault="0033601E" w:rsidP="0033601E">
            <w:pPr>
              <w:pStyle w:val="Box"/>
            </w:pPr>
            <w:r w:rsidRPr="00AC617B">
              <w:t>Community services</w:t>
            </w:r>
            <w:r w:rsidR="006B1005">
              <w:t>’</w:t>
            </w:r>
            <w:r w:rsidRPr="00AC617B">
              <w:t xml:space="preserve"> activities include:</w:t>
            </w:r>
          </w:p>
          <w:p w:rsidR="0033601E" w:rsidRPr="00AC617B" w:rsidRDefault="0033601E" w:rsidP="0033601E">
            <w:pPr>
              <w:pStyle w:val="Box"/>
            </w:pPr>
            <w:r w:rsidRPr="00AC617B">
              <w:rPr>
                <w:b/>
              </w:rPr>
              <w:t>Personal and social support</w:t>
            </w:r>
            <w:r w:rsidR="00714438">
              <w:rPr>
                <w:b/>
              </w:rPr>
              <w:t xml:space="preserve"> </w:t>
            </w:r>
            <w:r w:rsidRPr="00AC617B">
              <w:t>—</w:t>
            </w:r>
            <w:r w:rsidR="00714438">
              <w:t xml:space="preserve"> </w:t>
            </w:r>
            <w:r w:rsidRPr="00AC617B">
              <w:t>activities that provide support for personal or social functioning in daily life. Such activities promote the development of personal skills for successful functioning as individuals, family members and members of the wider community. Personal and social support activities include</w:t>
            </w:r>
            <w:r w:rsidR="0004040E">
              <w:t>:</w:t>
            </w:r>
            <w:r w:rsidRPr="00AC617B">
              <w:t xml:space="preserve"> the provision of information, advice and referral</w:t>
            </w:r>
            <w:r w:rsidR="004D4DD2">
              <w:t>;</w:t>
            </w:r>
            <w:r w:rsidRPr="00AC617B">
              <w:t xml:space="preserve"> personal</w:t>
            </w:r>
            <w:r w:rsidR="000B70A7">
              <w:t xml:space="preserve">, social and systemic </w:t>
            </w:r>
            <w:r w:rsidRPr="00AC617B">
              <w:t>advocacy</w:t>
            </w:r>
            <w:r w:rsidR="004D4DD2">
              <w:t>;</w:t>
            </w:r>
            <w:r w:rsidRPr="00AC617B">
              <w:t xml:space="preserve"> counselling</w:t>
            </w:r>
            <w:r w:rsidR="004D4DD2">
              <w:t>;</w:t>
            </w:r>
            <w:r w:rsidRPr="00AC617B">
              <w:t xml:space="preserve"> domestic assistance</w:t>
            </w:r>
            <w:r w:rsidR="004D4DD2">
              <w:t>;</w:t>
            </w:r>
            <w:r w:rsidRPr="00AC617B">
              <w:t xml:space="preserve"> provision of services that enable people to remain in their homes</w:t>
            </w:r>
            <w:r w:rsidR="004D4DD2">
              <w:t>;</w:t>
            </w:r>
            <w:r w:rsidRPr="00AC617B">
              <w:t xml:space="preserve"> disability services and other personal assistance services. The purpose of such support is to enable individuals to live and function in their own homes or normal places of residence.</w:t>
            </w:r>
          </w:p>
          <w:p w:rsidR="0033601E" w:rsidRPr="00AC617B" w:rsidRDefault="0033601E" w:rsidP="0033601E">
            <w:pPr>
              <w:pStyle w:val="Box"/>
            </w:pPr>
            <w:r w:rsidRPr="00AC617B">
              <w:rPr>
                <w:b/>
              </w:rPr>
              <w:t>Support for children, families and carers</w:t>
            </w:r>
            <w:r w:rsidR="00714438">
              <w:rPr>
                <w:b/>
              </w:rPr>
              <w:t xml:space="preserve"> </w:t>
            </w:r>
            <w:r w:rsidRPr="00AC617B">
              <w:t>—</w:t>
            </w:r>
            <w:r w:rsidR="00714438">
              <w:t xml:space="preserve"> </w:t>
            </w:r>
            <w:r w:rsidRPr="00AC617B">
              <w:t>activities that seek to promote child and family welfare by supporting families and protecting children from abuse and neglect or harm through statutory intervention.</w:t>
            </w:r>
          </w:p>
          <w:p w:rsidR="0033601E" w:rsidRPr="00AC617B" w:rsidRDefault="0033601E" w:rsidP="0033601E">
            <w:pPr>
              <w:pStyle w:val="Box"/>
            </w:pPr>
            <w:r w:rsidRPr="00AC617B">
              <w:rPr>
                <w:b/>
              </w:rPr>
              <w:t>Training, vocational rehabilitation and employment</w:t>
            </w:r>
            <w:r w:rsidR="00714438">
              <w:rPr>
                <w:b/>
              </w:rPr>
              <w:t xml:space="preserve"> </w:t>
            </w:r>
            <w:r w:rsidRPr="00AC617B">
              <w:t>—</w:t>
            </w:r>
            <w:r w:rsidR="00714438">
              <w:t xml:space="preserve"> </w:t>
            </w:r>
            <w:r w:rsidRPr="00AC617B">
              <w:t>activities that assist people who are disadvantaged in the labour market by providing training, job search skills, help in finding work, placement and support in open employment or, where appropriate, supported employment.</w:t>
            </w:r>
          </w:p>
          <w:p w:rsidR="0033601E" w:rsidRPr="00AC617B" w:rsidRDefault="0033601E" w:rsidP="0033601E">
            <w:pPr>
              <w:pStyle w:val="Box"/>
            </w:pPr>
            <w:r w:rsidRPr="00AC617B">
              <w:rPr>
                <w:b/>
              </w:rPr>
              <w:t>Financial and material assistance</w:t>
            </w:r>
            <w:r w:rsidR="00714438">
              <w:rPr>
                <w:b/>
              </w:rPr>
              <w:t xml:space="preserve"> </w:t>
            </w:r>
            <w:r w:rsidRPr="00AC617B">
              <w:t>—</w:t>
            </w:r>
            <w:r w:rsidR="00714438">
              <w:t xml:space="preserve"> </w:t>
            </w:r>
            <w:r w:rsidRPr="00AC617B">
              <w:t>activities that enhance personal functioning and facilitate access to community services, through the provision of emergency or immediate financial assistance and material goods.</w:t>
            </w:r>
          </w:p>
          <w:p w:rsidR="0033601E" w:rsidRPr="00AC617B" w:rsidRDefault="0033601E" w:rsidP="0033601E">
            <w:pPr>
              <w:pStyle w:val="Box"/>
            </w:pPr>
            <w:r w:rsidRPr="00AC617B">
              <w:rPr>
                <w:b/>
              </w:rPr>
              <w:t xml:space="preserve">Residential care and supported </w:t>
            </w:r>
            <w:r w:rsidRPr="00551B18">
              <w:rPr>
                <w:b/>
              </w:rPr>
              <w:t>accommodation</w:t>
            </w:r>
            <w:r w:rsidR="00724576" w:rsidRPr="00551B18">
              <w:rPr>
                <w:b/>
              </w:rPr>
              <w:t xml:space="preserve"> </w:t>
            </w:r>
            <w:r w:rsidRPr="00551B18">
              <w:t>—</w:t>
            </w:r>
            <w:r w:rsidR="00714438">
              <w:t xml:space="preserve"> </w:t>
            </w:r>
            <w:r w:rsidRPr="00AC617B">
              <w:t>activities that are provided in special purpose residential facilities, including accommodation in conjunction with other types of support, such as assistance with necessary day-to-day living tasks and intensive forms of care such as nursing care.</w:t>
            </w:r>
            <w:r w:rsidR="00724576">
              <w:t xml:space="preserve"> </w:t>
            </w:r>
          </w:p>
          <w:p w:rsidR="00703EF5" w:rsidRDefault="0033601E">
            <w:pPr>
              <w:pStyle w:val="Box"/>
              <w:rPr>
                <w:rStyle w:val="NoteLabel"/>
              </w:rPr>
            </w:pPr>
            <w:r w:rsidRPr="00AC617B">
              <w:rPr>
                <w:b/>
              </w:rPr>
              <w:t>Corrective services</w:t>
            </w:r>
            <w:r w:rsidR="00714438">
              <w:t xml:space="preserve"> </w:t>
            </w:r>
            <w:r w:rsidRPr="00AC617B">
              <w:t>—</w:t>
            </w:r>
            <w:r w:rsidR="00714438">
              <w:t xml:space="preserve"> </w:t>
            </w:r>
            <w:r w:rsidRPr="00AC617B">
              <w:t>activities in relation to young people and people with intellectual and psychiatric disabilities on court orders that involve correctional and rehabilitative supervision and the protection of public safety, through corrective arrangements and advice to courts and releasing authorities.</w:t>
            </w:r>
            <w:r w:rsidRPr="00AC617B">
              <w:rPr>
                <w:rStyle w:val="NoteLabel"/>
              </w:rPr>
              <w:t>a</w:t>
            </w:r>
          </w:p>
          <w:p w:rsidR="0033601E" w:rsidRDefault="00703EF5">
            <w:pPr>
              <w:pStyle w:val="Box"/>
              <w:rPr>
                <w:rStyle w:val="NoteLabel"/>
              </w:rPr>
            </w:pPr>
            <w:r w:rsidRPr="00AC617B">
              <w:rPr>
                <w:b/>
              </w:rPr>
              <w:t>Service and community development and support</w:t>
            </w:r>
            <w:r w:rsidR="00714438">
              <w:rPr>
                <w:b/>
              </w:rPr>
              <w:t xml:space="preserve"> </w:t>
            </w:r>
            <w:r w:rsidRPr="00AC617B">
              <w:t>—</w:t>
            </w:r>
            <w:r w:rsidR="00714438">
              <w:t xml:space="preserve"> </w:t>
            </w:r>
            <w:r w:rsidRPr="00AC617B">
              <w:t>activities that provide support aimed at articulating and promoting improved social policies; promoting greater public awareness of social issues; developing and supporting community based activities, special interest and cultural groups; and developing and facilitating the delivery of quality community services. Activities include the development of public policy submissions, social planning and social action, the provision of expert advice, coordination, training, staff and volunteer development, and managemen</w:t>
            </w:r>
            <w:r>
              <w:t>t support to service providers.</w:t>
            </w:r>
          </w:p>
          <w:p w:rsidR="0033601E" w:rsidRDefault="0033601E" w:rsidP="00F17222">
            <w:pPr>
              <w:pStyle w:val="Box"/>
            </w:pPr>
            <w:r w:rsidRPr="00AC617B">
              <w:rPr>
                <w:rStyle w:val="NoteLabel"/>
              </w:rPr>
              <w:t>a </w:t>
            </w:r>
            <w:r w:rsidRPr="00AC617B">
              <w:rPr>
                <w:rFonts w:ascii="Times New Roman" w:hAnsi="Times New Roman"/>
                <w:szCs w:val="22"/>
              </w:rPr>
              <w:t>This Report uses the term ‘</w:t>
            </w:r>
            <w:r w:rsidR="004D4DD2">
              <w:rPr>
                <w:rFonts w:ascii="Times New Roman" w:hAnsi="Times New Roman"/>
                <w:szCs w:val="22"/>
              </w:rPr>
              <w:t>youth</w:t>
            </w:r>
            <w:r w:rsidRPr="00AC617B">
              <w:rPr>
                <w:rFonts w:ascii="Times New Roman" w:hAnsi="Times New Roman"/>
                <w:szCs w:val="22"/>
              </w:rPr>
              <w:t xml:space="preserve"> justice’ to r</w:t>
            </w:r>
            <w:r w:rsidR="000573FC">
              <w:rPr>
                <w:rFonts w:ascii="Times New Roman" w:hAnsi="Times New Roman"/>
                <w:szCs w:val="22"/>
              </w:rPr>
              <w:t>efer to detention and community-</w:t>
            </w:r>
            <w:r w:rsidRPr="00AC617B">
              <w:rPr>
                <w:rFonts w:ascii="Times New Roman" w:hAnsi="Times New Roman"/>
                <w:szCs w:val="22"/>
              </w:rPr>
              <w:t>based supervision services for young people who have committed or allegedly committed an offence while considered by law to be a juvenile (chapter 1</w:t>
            </w:r>
            <w:r w:rsidR="00F17222">
              <w:rPr>
                <w:rFonts w:ascii="Times New Roman" w:hAnsi="Times New Roman"/>
                <w:szCs w:val="22"/>
              </w:rPr>
              <w:t>6</w:t>
            </w:r>
            <w:r w:rsidRPr="00AC617B">
              <w:rPr>
                <w:rFonts w:ascii="Times New Roman" w:hAnsi="Times New Roman"/>
                <w:szCs w:val="22"/>
              </w:rPr>
              <w:t>)</w:t>
            </w:r>
            <w:r w:rsidRPr="00AC617B">
              <w:rPr>
                <w:rFonts w:ascii="Times New Roman" w:hAnsi="Times New Roman"/>
              </w:rPr>
              <w:t>.</w:t>
            </w:r>
          </w:p>
        </w:tc>
      </w:tr>
      <w:tr w:rsidR="0033601E">
        <w:trPr>
          <w:cantSplit/>
        </w:trPr>
        <w:tc>
          <w:tcPr>
            <w:tcW w:w="8771" w:type="dxa"/>
            <w:tcBorders>
              <w:top w:val="nil"/>
              <w:left w:val="single" w:sz="6" w:space="0" w:color="auto"/>
              <w:bottom w:val="nil"/>
              <w:right w:val="single" w:sz="6" w:space="0" w:color="auto"/>
            </w:tcBorders>
          </w:tcPr>
          <w:p w:rsidR="0033601E" w:rsidRDefault="00703EF5" w:rsidP="00703EF5">
            <w:pPr>
              <w:pStyle w:val="BoxSource"/>
            </w:pPr>
            <w:r w:rsidRPr="00AC617B">
              <w:rPr>
                <w:i/>
              </w:rPr>
              <w:t>Source</w:t>
            </w:r>
            <w:r w:rsidRPr="00AC617B">
              <w:t>: AIHW (2003); State and Territory governments (unpublished).</w:t>
            </w:r>
            <w:r>
              <w:t xml:space="preserve"> </w:t>
            </w:r>
          </w:p>
        </w:tc>
      </w:tr>
      <w:tr w:rsidR="0033601E">
        <w:trPr>
          <w:cantSplit/>
        </w:trPr>
        <w:tc>
          <w:tcPr>
            <w:tcW w:w="8771" w:type="dxa"/>
            <w:tcBorders>
              <w:top w:val="nil"/>
              <w:left w:val="single" w:sz="6" w:space="0" w:color="auto"/>
              <w:bottom w:val="single" w:sz="6" w:space="0" w:color="auto"/>
              <w:right w:val="single" w:sz="6" w:space="0" w:color="auto"/>
            </w:tcBorders>
          </w:tcPr>
          <w:p w:rsidR="0033601E" w:rsidRDefault="0033601E">
            <w:pPr>
              <w:pStyle w:val="Box"/>
              <w:spacing w:before="0" w:line="120" w:lineRule="exact"/>
            </w:pPr>
          </w:p>
        </w:tc>
      </w:tr>
      <w:tr w:rsidR="0033601E">
        <w:tc>
          <w:tcPr>
            <w:tcW w:w="8771" w:type="dxa"/>
            <w:tcBorders>
              <w:top w:val="nil"/>
              <w:left w:val="nil"/>
              <w:bottom w:val="nil"/>
              <w:right w:val="nil"/>
            </w:tcBorders>
          </w:tcPr>
          <w:p w:rsidR="0033601E" w:rsidRDefault="0033601E">
            <w:pPr>
              <w:pStyle w:val="Box"/>
              <w:keepNext w:val="0"/>
              <w:spacing w:before="60" w:after="60" w:line="80" w:lineRule="exact"/>
              <w:rPr>
                <w:b/>
                <w:color w:val="FF00FF"/>
                <w:sz w:val="14"/>
              </w:rPr>
            </w:pPr>
          </w:p>
        </w:tc>
      </w:tr>
    </w:tbl>
    <w:p w:rsidR="00703EF5" w:rsidRPr="0033601E" w:rsidRDefault="00703EF5" w:rsidP="00703EF5">
      <w:pPr>
        <w:pStyle w:val="BodyText"/>
      </w:pPr>
      <w:r w:rsidRPr="00B97802">
        <w:lastRenderedPageBreak/>
        <w:t>Other definitions of community services have even broader scope</w:t>
      </w:r>
      <w:r w:rsidR="00B2052D" w:rsidRPr="00B97802">
        <w:t xml:space="preserve"> and include activities such as</w:t>
      </w:r>
      <w:r w:rsidRPr="00B97802">
        <w:t xml:space="preserve"> </w:t>
      </w:r>
      <w:r w:rsidR="00B2052D" w:rsidRPr="00B97802">
        <w:t xml:space="preserve">the provision of income support and concessions, </w:t>
      </w:r>
      <w:r w:rsidRPr="00B97802">
        <w:t>advocacy, public transport, community safety</w:t>
      </w:r>
      <w:r w:rsidR="00B2052D" w:rsidRPr="00B97802">
        <w:t xml:space="preserve">, </w:t>
      </w:r>
      <w:r w:rsidRPr="00B97802">
        <w:t>and emotional support.</w:t>
      </w:r>
    </w:p>
    <w:p w:rsidR="00CD37EF" w:rsidRPr="00AC617B" w:rsidRDefault="00CD37EF" w:rsidP="008655A2">
      <w:pPr>
        <w:pStyle w:val="Heading3"/>
      </w:pPr>
      <w:r w:rsidRPr="00AC617B">
        <w:t xml:space="preserve">Profile of </w:t>
      </w:r>
      <w:r w:rsidR="00002906">
        <w:t xml:space="preserve">the </w:t>
      </w:r>
      <w:r w:rsidRPr="00AC617B">
        <w:t>community services</w:t>
      </w:r>
      <w:r w:rsidR="00002906">
        <w:t xml:space="preserve"> sector</w:t>
      </w:r>
    </w:p>
    <w:p w:rsidR="00002906" w:rsidRDefault="00CD37EF" w:rsidP="00002906">
      <w:pPr>
        <w:pStyle w:val="BodyText"/>
      </w:pPr>
      <w:r w:rsidRPr="00AC617B">
        <w:t>This section examines the size and scope of the community services sector and the role of government in providing community services.</w:t>
      </w:r>
      <w:r w:rsidR="00002906">
        <w:t xml:space="preserve"> Detailed profiles for </w:t>
      </w:r>
      <w:r w:rsidR="00AF0054">
        <w:t xml:space="preserve">the </w:t>
      </w:r>
      <w:r w:rsidR="00002906">
        <w:t xml:space="preserve">services within the </w:t>
      </w:r>
      <w:r w:rsidR="00002906" w:rsidRPr="00AC617B">
        <w:t xml:space="preserve">community services </w:t>
      </w:r>
      <w:r w:rsidR="00002906">
        <w:t>sector are reported in chapters 13, 14</w:t>
      </w:r>
      <w:r w:rsidR="00270756">
        <w:t>, 15</w:t>
      </w:r>
      <w:r w:rsidR="00002906">
        <w:t xml:space="preserve"> and 1</w:t>
      </w:r>
      <w:r w:rsidR="00270756">
        <w:t>6</w:t>
      </w:r>
      <w:r w:rsidR="00002906">
        <w:t>, and cover:</w:t>
      </w:r>
    </w:p>
    <w:p w:rsidR="00002906" w:rsidRDefault="00002906" w:rsidP="00002906">
      <w:pPr>
        <w:pStyle w:val="ListBullet"/>
      </w:pPr>
      <w:r>
        <w:t>size and scope of the individual service types</w:t>
      </w:r>
    </w:p>
    <w:p w:rsidR="00CD37EF" w:rsidRPr="00AC617B" w:rsidRDefault="00002906" w:rsidP="00002906">
      <w:pPr>
        <w:pStyle w:val="ListBullet"/>
      </w:pPr>
      <w:r>
        <w:t>funding and expenditure.</w:t>
      </w:r>
    </w:p>
    <w:p w:rsidR="00CD37EF" w:rsidRPr="00AC617B" w:rsidRDefault="00CD37EF" w:rsidP="008655A2">
      <w:pPr>
        <w:pStyle w:val="Heading4"/>
      </w:pPr>
      <w:r w:rsidRPr="00AC617B">
        <w:t>Roles and responsibilities</w:t>
      </w:r>
    </w:p>
    <w:p w:rsidR="00177BA6" w:rsidRDefault="00CD37EF" w:rsidP="00CD37EF">
      <w:pPr>
        <w:pStyle w:val="BodyText"/>
      </w:pPr>
      <w:r w:rsidRPr="00AC617B">
        <w:t>The Australian, State and Territory governments have major role</w:t>
      </w:r>
      <w:r w:rsidR="00930FE5">
        <w:t>s</w:t>
      </w:r>
      <w:r w:rsidRPr="00AC617B">
        <w:t xml:space="preserve"> in the provision of community services. Th</w:t>
      </w:r>
      <w:r w:rsidR="00930FE5">
        <w:t>ese</w:t>
      </w:r>
      <w:r w:rsidRPr="00AC617B">
        <w:t xml:space="preserve"> role</w:t>
      </w:r>
      <w:r w:rsidR="00930FE5">
        <w:t>s</w:t>
      </w:r>
      <w:r w:rsidRPr="00AC617B">
        <w:t xml:space="preserve"> </w:t>
      </w:r>
      <w:r w:rsidR="00930FE5">
        <w:t>are</w:t>
      </w:r>
      <w:r w:rsidRPr="00AC617B">
        <w:t xml:space="preserve"> based on mandate</w:t>
      </w:r>
      <w:r w:rsidR="00930FE5">
        <w:t>s</w:t>
      </w:r>
      <w:r w:rsidRPr="00AC617B">
        <w:t xml:space="preserve"> to ensure basic rights and an acceptable standard of living, and a requirement to protect and support vulnerable people in society. </w:t>
      </w:r>
    </w:p>
    <w:p w:rsidR="00CD37EF" w:rsidRDefault="00CD37EF" w:rsidP="00CD37EF">
      <w:pPr>
        <w:pStyle w:val="BodyText"/>
      </w:pPr>
      <w:r w:rsidRPr="00AC617B">
        <w:t xml:space="preserve">Local governments are also funders and providers of </w:t>
      </w:r>
      <w:r w:rsidRPr="00012EEC">
        <w:t>community services (AIHW</w:t>
      </w:r>
      <w:r w:rsidR="00BE0972">
        <w:t> </w:t>
      </w:r>
      <w:r w:rsidRPr="00AC617B">
        <w:t>2005). However, community services funded solely by local government are not included in this Report.</w:t>
      </w:r>
    </w:p>
    <w:p w:rsidR="00177BA6" w:rsidRPr="00AC617B" w:rsidRDefault="00177BA6" w:rsidP="00C51941">
      <w:pPr>
        <w:pStyle w:val="BodyText"/>
      </w:pPr>
      <w:r>
        <w:t xml:space="preserve">Roles and </w:t>
      </w:r>
      <w:r w:rsidR="00823E32">
        <w:t>responsibilities</w:t>
      </w:r>
      <w:r>
        <w:t xml:space="preserve"> for the health sector were confirmed by COAG under the </w:t>
      </w:r>
      <w:r w:rsidRPr="004019F7">
        <w:rPr>
          <w:i/>
        </w:rPr>
        <w:t>National Health Ref</w:t>
      </w:r>
      <w:r w:rsidR="00FA2D26" w:rsidRPr="004019F7">
        <w:rPr>
          <w:i/>
        </w:rPr>
        <w:t>or</w:t>
      </w:r>
      <w:r w:rsidRPr="004019F7">
        <w:rPr>
          <w:i/>
        </w:rPr>
        <w:t>m Agreement</w:t>
      </w:r>
      <w:r w:rsidR="004019F7">
        <w:rPr>
          <w:i/>
        </w:rPr>
        <w:t xml:space="preserve"> </w:t>
      </w:r>
      <w:r w:rsidR="00EF47B0" w:rsidRPr="00EF47B0">
        <w:t xml:space="preserve">during </w:t>
      </w:r>
      <w:r w:rsidR="004019F7" w:rsidRPr="00EF47B0">
        <w:t>2011</w:t>
      </w:r>
      <w:r w:rsidR="004019F7">
        <w:t>.</w:t>
      </w:r>
      <w:r>
        <w:t xml:space="preserve"> </w:t>
      </w:r>
      <w:r w:rsidR="004019F7">
        <w:t xml:space="preserve">Under that Agreement, changes in roles and responsibilities for the </w:t>
      </w:r>
      <w:r w:rsidR="001860A8" w:rsidRPr="00551B18">
        <w:t xml:space="preserve">Home and </w:t>
      </w:r>
      <w:r w:rsidR="001860A8" w:rsidRPr="008306F9">
        <w:t>Community</w:t>
      </w:r>
      <w:r w:rsidR="001860A8" w:rsidRPr="00551B18">
        <w:t xml:space="preserve"> Care (</w:t>
      </w:r>
      <w:r w:rsidR="004019F7">
        <w:t>HACC</w:t>
      </w:r>
      <w:r w:rsidR="001860A8">
        <w:t>)</w:t>
      </w:r>
      <w:r w:rsidR="004019F7" w:rsidRPr="004019F7">
        <w:t xml:space="preserve"> </w:t>
      </w:r>
      <w:r w:rsidR="00EF47B0">
        <w:t xml:space="preserve">program </w:t>
      </w:r>
      <w:r w:rsidR="004019F7">
        <w:t>across the aged care and disability service</w:t>
      </w:r>
      <w:r w:rsidR="001860A8">
        <w:t>s’</w:t>
      </w:r>
      <w:r w:rsidR="004019F7">
        <w:t xml:space="preserve"> sectors also</w:t>
      </w:r>
      <w:r w:rsidR="00EF47B0">
        <w:t xml:space="preserve"> came into effect on </w:t>
      </w:r>
      <w:r w:rsidR="004019F7">
        <w:t xml:space="preserve">1 July 2011 (for more detail see section </w:t>
      </w:r>
      <w:r w:rsidR="004019F7" w:rsidRPr="00A26900">
        <w:t>F.3</w:t>
      </w:r>
      <w:r w:rsidR="004019F7">
        <w:t xml:space="preserve">, </w:t>
      </w:r>
      <w:r w:rsidR="004019F7" w:rsidRPr="00737CB4">
        <w:t>box 13.1</w:t>
      </w:r>
      <w:r w:rsidR="004019F7">
        <w:t xml:space="preserve"> and box 14.5).</w:t>
      </w:r>
    </w:p>
    <w:p w:rsidR="00CD37EF" w:rsidRPr="00AC617B" w:rsidRDefault="00CD37EF" w:rsidP="00CD37EF">
      <w:pPr>
        <w:pStyle w:val="BodyText"/>
      </w:pPr>
      <w:r w:rsidRPr="00AC617B">
        <w:t>Government involvement in community services includes:</w:t>
      </w:r>
    </w:p>
    <w:p w:rsidR="00CD37EF" w:rsidRPr="00AC617B" w:rsidRDefault="00CD37EF" w:rsidP="00CD37EF">
      <w:pPr>
        <w:pStyle w:val="ListBullet"/>
      </w:pPr>
      <w:r w:rsidRPr="00AC617B">
        <w:t>providing services directly to clients</w:t>
      </w:r>
    </w:p>
    <w:p w:rsidR="00CD37EF" w:rsidRPr="00AC617B" w:rsidRDefault="00CD37EF" w:rsidP="00CD37EF">
      <w:pPr>
        <w:pStyle w:val="ListBullet"/>
      </w:pPr>
      <w:r w:rsidRPr="00AC617B">
        <w:t>funding non-government community service providers (which then provide services to clients)</w:t>
      </w:r>
    </w:p>
    <w:p w:rsidR="00CD37EF" w:rsidRPr="00AC617B" w:rsidRDefault="00CD37EF" w:rsidP="00CD37EF">
      <w:pPr>
        <w:pStyle w:val="ListBullet"/>
      </w:pPr>
      <w:r w:rsidRPr="00AC617B">
        <w:t>legislating for, and regulating, government and non-government providers</w:t>
      </w:r>
    </w:p>
    <w:p w:rsidR="00CD37EF" w:rsidRPr="00AC617B" w:rsidRDefault="00CD37EF" w:rsidP="00C51941">
      <w:pPr>
        <w:pStyle w:val="ListBullet"/>
      </w:pPr>
      <w:r w:rsidRPr="00AC617B">
        <w:t>undertaking</w:t>
      </w:r>
      <w:r w:rsidR="00950BCA">
        <w:t xml:space="preserve"> </w:t>
      </w:r>
      <w:r w:rsidR="00950BCA" w:rsidRPr="00C51941">
        <w:t>strategic planning,</w:t>
      </w:r>
      <w:r w:rsidRPr="00AC617B">
        <w:t xml:space="preserve"> policy development and administration</w:t>
      </w:r>
    </w:p>
    <w:p w:rsidR="00CD37EF" w:rsidRPr="00AC617B" w:rsidRDefault="00CD37EF" w:rsidP="00CD37EF">
      <w:pPr>
        <w:pStyle w:val="ListBullet"/>
      </w:pPr>
      <w:r w:rsidRPr="00AC617B">
        <w:t xml:space="preserve">undertaking </w:t>
      </w:r>
      <w:r w:rsidR="000B70A7">
        <w:t xml:space="preserve">monitoring and </w:t>
      </w:r>
      <w:r w:rsidRPr="00AC617B">
        <w:t>evaluation of community services</w:t>
      </w:r>
      <w:r w:rsidR="007354B5">
        <w:t>’</w:t>
      </w:r>
      <w:r w:rsidRPr="00AC617B">
        <w:t xml:space="preserve"> programs.</w:t>
      </w:r>
    </w:p>
    <w:p w:rsidR="00CD37EF" w:rsidRPr="00AC617B" w:rsidRDefault="00CD37EF" w:rsidP="00CD37EF">
      <w:pPr>
        <w:pStyle w:val="BodyText"/>
      </w:pPr>
      <w:r w:rsidRPr="00AC617B">
        <w:lastRenderedPageBreak/>
        <w:t xml:space="preserve">The roles and funding arrangements for community services vary across service areas and programs: </w:t>
      </w:r>
    </w:p>
    <w:p w:rsidR="00CD37EF" w:rsidRPr="00AC617B" w:rsidRDefault="00CD37EF" w:rsidP="00CD37EF">
      <w:pPr>
        <w:pStyle w:val="ListBullet"/>
      </w:pPr>
      <w:r w:rsidRPr="00AC617B">
        <w:t xml:space="preserve">statutory child protection, out-of-home care services, intensive family support services and </w:t>
      </w:r>
      <w:r w:rsidR="004D4DD2">
        <w:t>youth</w:t>
      </w:r>
      <w:r w:rsidRPr="00AC617B">
        <w:t xml:space="preserve"> justice services are funded </w:t>
      </w:r>
      <w:r w:rsidR="007A0F8C">
        <w:t xml:space="preserve">and delivered </w:t>
      </w:r>
      <w:r w:rsidR="007A0F8C" w:rsidRPr="00AC617B">
        <w:t xml:space="preserve">primarily </w:t>
      </w:r>
      <w:r w:rsidRPr="00AC617B">
        <w:t xml:space="preserve">by State and Territory governments, with some non-government sector involvement, particularly in the delivery of out-of-home care services. Family support and early intervention (assessment and referral) services are funded by State and Territory governments and services are delivered </w:t>
      </w:r>
      <w:r w:rsidR="007A0F8C" w:rsidRPr="00AC617B">
        <w:t xml:space="preserve">primarily </w:t>
      </w:r>
      <w:r w:rsidRPr="00AC617B">
        <w:t>by non-government organisations</w:t>
      </w:r>
    </w:p>
    <w:p w:rsidR="00CD37EF" w:rsidRPr="00551B18" w:rsidRDefault="00CD37EF" w:rsidP="00551B18">
      <w:pPr>
        <w:pStyle w:val="ListBullet"/>
      </w:pPr>
      <w:r w:rsidRPr="00AC617B">
        <w:t>specialist disability services</w:t>
      </w:r>
      <w:r w:rsidR="00A34F52" w:rsidRPr="00551B18">
        <w:t>, excluding employment services,</w:t>
      </w:r>
      <w:r w:rsidRPr="00551B18">
        <w:t xml:space="preserve"> are funded </w:t>
      </w:r>
      <w:r w:rsidR="007A0F8C" w:rsidRPr="00551B18">
        <w:t xml:space="preserve">primarily </w:t>
      </w:r>
      <w:r w:rsidRPr="00551B18">
        <w:t xml:space="preserve">by State and Territory governments (with some Australian Government contribution) and are delivered </w:t>
      </w:r>
      <w:r w:rsidR="007A0F8C" w:rsidRPr="00551B18">
        <w:t xml:space="preserve">primarily </w:t>
      </w:r>
      <w:r w:rsidRPr="00551B18">
        <w:t>by State and Territory governments and the non-government sector</w:t>
      </w:r>
      <w:r w:rsidR="00930FE5">
        <w:t>. Employment services are funded and provided primarily by the Australian Government</w:t>
      </w:r>
    </w:p>
    <w:p w:rsidR="00CD37EF" w:rsidRPr="00551B18" w:rsidRDefault="00CD37EF" w:rsidP="00CD37EF">
      <w:pPr>
        <w:pStyle w:val="ListBullet"/>
      </w:pPr>
      <w:r w:rsidRPr="00551B18">
        <w:t xml:space="preserve">residential </w:t>
      </w:r>
      <w:r w:rsidR="000B70A7" w:rsidRPr="00551B18">
        <w:t xml:space="preserve">aged </w:t>
      </w:r>
      <w:r w:rsidRPr="00551B18">
        <w:t xml:space="preserve">care is funded </w:t>
      </w:r>
      <w:r w:rsidR="007A0F8C" w:rsidRPr="00551B18">
        <w:t xml:space="preserve">primarily </w:t>
      </w:r>
      <w:r w:rsidRPr="00551B18">
        <w:t xml:space="preserve">by the Australian Government and services are delivered </w:t>
      </w:r>
      <w:r w:rsidR="007A0F8C" w:rsidRPr="00551B18">
        <w:t xml:space="preserve">primarily </w:t>
      </w:r>
      <w:r w:rsidRPr="00C51941">
        <w:t>by the non</w:t>
      </w:r>
      <w:r w:rsidR="001860A8">
        <w:t>-</w:t>
      </w:r>
      <w:r w:rsidRPr="00551B18">
        <w:t>government sector</w:t>
      </w:r>
    </w:p>
    <w:p w:rsidR="00CD37EF" w:rsidRPr="00AC617B" w:rsidRDefault="009205A8" w:rsidP="00C51941">
      <w:pPr>
        <w:pStyle w:val="ListBullet"/>
      </w:pPr>
      <w:r>
        <w:t>t</w:t>
      </w:r>
      <w:r w:rsidR="00950BCA">
        <w:t xml:space="preserve">he funding </w:t>
      </w:r>
      <w:r>
        <w:t xml:space="preserve">and program </w:t>
      </w:r>
      <w:r w:rsidR="00950BCA">
        <w:t xml:space="preserve">responsibilities for HACC services across states and territories (except </w:t>
      </w:r>
      <w:r>
        <w:t>in Victoria and WA) are split</w:t>
      </w:r>
      <w:r w:rsidR="001860A8">
        <w:t xml:space="preserve"> ―</w:t>
      </w:r>
      <w:r>
        <w:t xml:space="preserve"> </w:t>
      </w:r>
      <w:r w:rsidR="00950BCA">
        <w:t xml:space="preserve">the Australian Government </w:t>
      </w:r>
      <w:r w:rsidR="000C3390">
        <w:t>fund</w:t>
      </w:r>
      <w:r w:rsidR="00560CC9">
        <w:t>s</w:t>
      </w:r>
      <w:r w:rsidR="00950BCA">
        <w:t xml:space="preserve"> services </w:t>
      </w:r>
      <w:r w:rsidR="000C3390">
        <w:t>for</w:t>
      </w:r>
      <w:r w:rsidR="00950BCA">
        <w:t xml:space="preserve"> older people and State and Territory governments </w:t>
      </w:r>
      <w:r w:rsidR="000C3390">
        <w:t>fund</w:t>
      </w:r>
      <w:r>
        <w:t xml:space="preserve"> services</w:t>
      </w:r>
      <w:r w:rsidR="00950BCA">
        <w:t xml:space="preserve"> </w:t>
      </w:r>
      <w:r w:rsidR="000C3390">
        <w:t>for</w:t>
      </w:r>
      <w:r>
        <w:t xml:space="preserve"> </w:t>
      </w:r>
      <w:r w:rsidR="00950BCA">
        <w:t xml:space="preserve">younger people. </w:t>
      </w:r>
      <w:r w:rsidR="00CD37EF" w:rsidRPr="00551B18">
        <w:t xml:space="preserve">HACC services </w:t>
      </w:r>
      <w:r w:rsidR="00950BCA">
        <w:t xml:space="preserve">for older people and younger people </w:t>
      </w:r>
      <w:r w:rsidR="00337C38" w:rsidRPr="00551B18">
        <w:t xml:space="preserve">are </w:t>
      </w:r>
      <w:r w:rsidR="000B70A7" w:rsidRPr="00551B18">
        <w:t>jointly funded by the Australian</w:t>
      </w:r>
      <w:r w:rsidR="00B14CCA" w:rsidRPr="00B14CCA">
        <w:t xml:space="preserve"> </w:t>
      </w:r>
      <w:r w:rsidR="00B14CCA">
        <w:t xml:space="preserve">and </w:t>
      </w:r>
      <w:r w:rsidR="00B14CCA" w:rsidRPr="00534183">
        <w:t xml:space="preserve">Victorian </w:t>
      </w:r>
      <w:r w:rsidR="00B14CCA">
        <w:t xml:space="preserve">governments in Victoria </w:t>
      </w:r>
      <w:r w:rsidR="00B14CCA" w:rsidRPr="00534183">
        <w:t xml:space="preserve">and </w:t>
      </w:r>
      <w:r w:rsidR="00B14CCA">
        <w:t xml:space="preserve">the Australian and </w:t>
      </w:r>
      <w:r w:rsidR="00B14CCA" w:rsidRPr="00534183">
        <w:t>WA governments</w:t>
      </w:r>
      <w:r w:rsidR="00B14CCA">
        <w:t xml:space="preserve"> in WA</w:t>
      </w:r>
      <w:r w:rsidR="00950BCA">
        <w:t xml:space="preserve">. Services are </w:t>
      </w:r>
      <w:r w:rsidR="00337C38" w:rsidRPr="00551B18">
        <w:t>delivered</w:t>
      </w:r>
      <w:r w:rsidR="000B70A7" w:rsidRPr="00551B18">
        <w:t xml:space="preserve"> </w:t>
      </w:r>
      <w:r w:rsidR="00337C38" w:rsidRPr="00551B18">
        <w:t>by</w:t>
      </w:r>
      <w:r w:rsidR="000B70A7" w:rsidRPr="00551B18">
        <w:t xml:space="preserve"> </w:t>
      </w:r>
      <w:r w:rsidR="00353222">
        <w:t xml:space="preserve">a combination of </w:t>
      </w:r>
      <w:r w:rsidR="00337C38" w:rsidRPr="00551B18">
        <w:t>local government, non-government</w:t>
      </w:r>
      <w:r w:rsidR="00337C38" w:rsidRPr="00337C38">
        <w:t xml:space="preserve"> community organisations, religious or charitable bodies, </w:t>
      </w:r>
      <w:r w:rsidR="00B853A3">
        <w:t>S</w:t>
      </w:r>
      <w:r w:rsidR="00337C38" w:rsidRPr="00337C38">
        <w:t xml:space="preserve">tate and </w:t>
      </w:r>
      <w:r w:rsidR="00B853A3">
        <w:t>T</w:t>
      </w:r>
      <w:r w:rsidR="00337C38" w:rsidRPr="00337C38">
        <w:t>erritory government agencies, and private (for profit) organisations</w:t>
      </w:r>
      <w:r w:rsidR="00930FE5">
        <w:t>.</w:t>
      </w:r>
      <w:r w:rsidR="00BA23FD">
        <w:t xml:space="preserve">  </w:t>
      </w:r>
    </w:p>
    <w:p w:rsidR="00CD37EF" w:rsidRPr="00AC617B" w:rsidRDefault="00CD37EF" w:rsidP="00CD37EF">
      <w:pPr>
        <w:pStyle w:val="BodyText"/>
      </w:pPr>
      <w:r w:rsidRPr="00AC617B">
        <w:t>Effective regulation of non-government agencies (through licensing, accreditation and quality assurance) enables agencies to provide services within a</w:t>
      </w:r>
      <w:r w:rsidR="008F40DD">
        <w:t xml:space="preserve"> </w:t>
      </w:r>
      <w:r w:rsidRPr="00AC617B">
        <w:t xml:space="preserve">framework of agreed standards. Examples include the accreditation of residential aged care services and </w:t>
      </w:r>
      <w:r w:rsidR="005C158E">
        <w:t xml:space="preserve">the Community Care Common Standards that came into effect on 1 March 2011. The </w:t>
      </w:r>
      <w:r w:rsidR="009205A8" w:rsidRPr="00C51941">
        <w:t>Community Care</w:t>
      </w:r>
      <w:r w:rsidR="009205A8">
        <w:t xml:space="preserve"> </w:t>
      </w:r>
      <w:r w:rsidR="005C158E">
        <w:t>Common Standards apply for the HACC program, Community Aged Care Packages (CACP), Extended Aged Care at Home (EACH), EACH</w:t>
      </w:r>
      <w:r w:rsidR="00B853A3">
        <w:noBreakHyphen/>
      </w:r>
      <w:r w:rsidR="005C158E">
        <w:t xml:space="preserve">Dementia (EACH-D) and National Respite for Carers Program (NRCP). </w:t>
      </w:r>
    </w:p>
    <w:p w:rsidR="00CD37EF" w:rsidRPr="00AC617B" w:rsidRDefault="00CD37EF" w:rsidP="008655A2">
      <w:pPr>
        <w:pStyle w:val="Heading4"/>
      </w:pPr>
      <w:r w:rsidRPr="00AC617B">
        <w:lastRenderedPageBreak/>
        <w:t>Expenditure</w:t>
      </w:r>
    </w:p>
    <w:p w:rsidR="00CD37EF" w:rsidRPr="00AC617B" w:rsidRDefault="00CD37EF" w:rsidP="008655A2">
      <w:pPr>
        <w:pStyle w:val="Heading5"/>
      </w:pPr>
      <w:r w:rsidRPr="00AC617B">
        <w:t>Community services expenditure</w:t>
      </w:r>
    </w:p>
    <w:p w:rsidR="00CD37EF" w:rsidRPr="00551B18" w:rsidRDefault="00CD37EF" w:rsidP="00CD37EF">
      <w:pPr>
        <w:pStyle w:val="BodyText"/>
      </w:pPr>
      <w:r w:rsidRPr="00AC617B">
        <w:t xml:space="preserve">Estimates of community services expenditure are influenced by the scope of the services to be included. The following broad estimates of community services expenditure provide context for material included in the relevant chapters of this </w:t>
      </w:r>
      <w:r w:rsidRPr="00551B18">
        <w:t>Report.</w:t>
      </w:r>
    </w:p>
    <w:p w:rsidR="00255C2C" w:rsidRPr="00551B18" w:rsidRDefault="00255C2C" w:rsidP="00551B18">
      <w:pPr>
        <w:pStyle w:val="BodyText"/>
      </w:pPr>
      <w:r w:rsidRPr="00551B18">
        <w:rPr>
          <w:i/>
        </w:rPr>
        <w:t>Australia’s welfare 201</w:t>
      </w:r>
      <w:r w:rsidR="00F17222">
        <w:rPr>
          <w:i/>
        </w:rPr>
        <w:t>3</w:t>
      </w:r>
      <w:r w:rsidRPr="00551B18">
        <w:t xml:space="preserve"> (AIHW 201</w:t>
      </w:r>
      <w:r w:rsidR="00F17222">
        <w:t>3</w:t>
      </w:r>
      <w:r w:rsidRPr="00551B18">
        <w:t>) analyses community services expenditure incurred by governments, non-government organisations and individual households in providing services to assist members of the community with special needs (families and children, older people, people with disability and other disadvantaged groups). It estimates that:</w:t>
      </w:r>
    </w:p>
    <w:p w:rsidR="00255C2C" w:rsidRPr="00551B18" w:rsidRDefault="003C70B0" w:rsidP="00551B18">
      <w:pPr>
        <w:pStyle w:val="ListBullet"/>
      </w:pPr>
      <w:r>
        <w:t>w</w:t>
      </w:r>
      <w:r w:rsidR="00255C2C" w:rsidRPr="00551B18">
        <w:t>elfare expenditure broadly comprises spending on welfare services and cash payments. In 20</w:t>
      </w:r>
      <w:r w:rsidR="007F14CC">
        <w:t>10</w:t>
      </w:r>
      <w:r w:rsidR="00255C2C" w:rsidRPr="00551B18">
        <w:t>–</w:t>
      </w:r>
      <w:r w:rsidR="007F14CC">
        <w:t>11</w:t>
      </w:r>
      <w:r w:rsidR="00255C2C" w:rsidRPr="00551B18">
        <w:t>, welfare expenditure was estimated to be $1</w:t>
      </w:r>
      <w:r w:rsidR="007F14CC">
        <w:t>19.4</w:t>
      </w:r>
      <w:r w:rsidR="00255C2C" w:rsidRPr="00551B18">
        <w:t xml:space="preserve"> billion, $9</w:t>
      </w:r>
      <w:r w:rsidR="007F14CC">
        <w:t>0.0</w:t>
      </w:r>
      <w:r w:rsidR="00255C2C" w:rsidRPr="00551B18">
        <w:t xml:space="preserve"> billion</w:t>
      </w:r>
      <w:r w:rsidR="007F14CC">
        <w:t xml:space="preserve"> (75 per cent)</w:t>
      </w:r>
      <w:r w:rsidR="00255C2C" w:rsidRPr="00551B18">
        <w:t xml:space="preserve"> of this was </w:t>
      </w:r>
      <w:r w:rsidR="007F14CC">
        <w:t>in</w:t>
      </w:r>
      <w:r w:rsidR="007F14CC" w:rsidRPr="00551B18">
        <w:t xml:space="preserve"> </w:t>
      </w:r>
      <w:r w:rsidR="00255C2C" w:rsidRPr="00551B18">
        <w:t>cash payments while $</w:t>
      </w:r>
      <w:r w:rsidR="007F14CC">
        <w:t>29.4</w:t>
      </w:r>
      <w:r w:rsidR="00255C2C" w:rsidRPr="00551B18">
        <w:t xml:space="preserve"> billion </w:t>
      </w:r>
      <w:r w:rsidR="007354B5">
        <w:t>(25 </w:t>
      </w:r>
      <w:r w:rsidR="007F14CC">
        <w:t xml:space="preserve">per cent) </w:t>
      </w:r>
      <w:r w:rsidR="00255C2C" w:rsidRPr="00551B18">
        <w:t>was for welfare services (AIHW 201</w:t>
      </w:r>
      <w:r w:rsidR="007F14CC">
        <w:t>3</w:t>
      </w:r>
      <w:r w:rsidR="00255C2C" w:rsidRPr="00551B18">
        <w:t>)</w:t>
      </w:r>
    </w:p>
    <w:p w:rsidR="00255C2C" w:rsidRPr="00551B18" w:rsidRDefault="00070088" w:rsidP="00070088">
      <w:pPr>
        <w:pStyle w:val="ListBullet"/>
      </w:pPr>
      <w:r>
        <w:t>o</w:t>
      </w:r>
      <w:r w:rsidRPr="00070088">
        <w:t>ver the decade to 2010–11, the percentage of gross domestic product spent</w:t>
      </w:r>
      <w:r>
        <w:t xml:space="preserve"> </w:t>
      </w:r>
      <w:r w:rsidRPr="00070088">
        <w:t>annually on welfare ranged from 8.4</w:t>
      </w:r>
      <w:r w:rsidR="007354B5">
        <w:t xml:space="preserve"> per cent</w:t>
      </w:r>
      <w:r w:rsidRPr="00070088">
        <w:t xml:space="preserve"> to 9.6</w:t>
      </w:r>
      <w:r w:rsidR="007354B5">
        <w:t xml:space="preserve"> per cent</w:t>
      </w:r>
      <w:r w:rsidRPr="00070088">
        <w:t>. The exception was the 10.4</w:t>
      </w:r>
      <w:r w:rsidR="007354B5">
        <w:t xml:space="preserve"> per cent</w:t>
      </w:r>
      <w:r>
        <w:t xml:space="preserve"> </w:t>
      </w:r>
      <w:r w:rsidRPr="00070088">
        <w:t>recorded in 2008–09, which coincided with the Australian Government’s Economic</w:t>
      </w:r>
      <w:r>
        <w:t xml:space="preserve"> </w:t>
      </w:r>
      <w:r w:rsidRPr="00070088">
        <w:t>Security Strategy in response to the global financial cri</w:t>
      </w:r>
      <w:r w:rsidRPr="007354B5">
        <w:t>sis</w:t>
      </w:r>
      <w:r w:rsidR="00255C2C" w:rsidRPr="00551B18">
        <w:t xml:space="preserve"> (AIHW 2011)</w:t>
      </w:r>
    </w:p>
    <w:p w:rsidR="00255C2C" w:rsidRPr="00551B18" w:rsidRDefault="00070088" w:rsidP="00070088">
      <w:pPr>
        <w:pStyle w:val="ListBullet"/>
      </w:pPr>
      <w:r>
        <w:t>o</w:t>
      </w:r>
      <w:r w:rsidRPr="00070088">
        <w:t>f the $90.0 billion in cash payments, $36.3 billion was for older people and</w:t>
      </w:r>
      <w:r>
        <w:t xml:space="preserve"> </w:t>
      </w:r>
      <w:r w:rsidRPr="00070088">
        <w:t>$25.5 billion was for families and children</w:t>
      </w:r>
      <w:r>
        <w:t>. The average amount spent by governments on welfare service per Australian resident in 2010-11 was $1308</w:t>
      </w:r>
      <w:r w:rsidR="00255C2C" w:rsidRPr="00551B18">
        <w:t xml:space="preserve"> (AIHW 2011)</w:t>
      </w:r>
      <w:r w:rsidR="007612E5">
        <w:t>.</w:t>
      </w:r>
      <w:r w:rsidR="00255C2C" w:rsidRPr="00551B18">
        <w:t xml:space="preserve"> </w:t>
      </w:r>
    </w:p>
    <w:p w:rsidR="00255C2C" w:rsidRPr="00551B18" w:rsidRDefault="00255C2C" w:rsidP="00255C2C">
      <w:pPr>
        <w:pStyle w:val="BodyText"/>
      </w:pPr>
      <w:r w:rsidRPr="00551B18">
        <w:rPr>
          <w:i/>
        </w:rPr>
        <w:t>Community Services Australia, 2008-09</w:t>
      </w:r>
      <w:r w:rsidRPr="00551B18">
        <w:t xml:space="preserve"> (ABS 2010) provides data on community services expenditure incurred by governments and non-government organisations (for-profit and not-for-profit) in providing services to assist members of the community with special needs, including personal and social support, residential care and other social assistance services. These data apply to organisations engaged in providing a wide variety of social support services directly to clients</w:t>
      </w:r>
      <w:r w:rsidR="0023638B">
        <w:t>,</w:t>
      </w:r>
      <w:r w:rsidRPr="00551B18">
        <w:t xml:space="preserve"> including (but not limited to), welfare services, disabilities assistance and </w:t>
      </w:r>
      <w:r w:rsidR="0023638B">
        <w:t xml:space="preserve">the operation of </w:t>
      </w:r>
      <w:r w:rsidRPr="00551B18">
        <w:t>adult day care centre</w:t>
      </w:r>
      <w:r w:rsidR="0023638B">
        <w:t>s</w:t>
      </w:r>
      <w:r w:rsidRPr="00551B18">
        <w:t xml:space="preserve">. </w:t>
      </w:r>
    </w:p>
    <w:p w:rsidR="00CD37EF" w:rsidRPr="001D2266" w:rsidRDefault="0023638B" w:rsidP="00CD37EF">
      <w:pPr>
        <w:pStyle w:val="BodyText"/>
      </w:pPr>
      <w:r>
        <w:t>Community Services Australia</w:t>
      </w:r>
      <w:r w:rsidR="008F40DD" w:rsidRPr="00551B18">
        <w:t xml:space="preserve"> estimates that</w:t>
      </w:r>
      <w:r>
        <w:t>,</w:t>
      </w:r>
      <w:r w:rsidR="008F40DD" w:rsidRPr="00551B18">
        <w:t xml:space="preserve"> during </w:t>
      </w:r>
      <w:r w:rsidR="00255C2C" w:rsidRPr="00551B18">
        <w:t>2008</w:t>
      </w:r>
      <w:r w:rsidR="008F40DD" w:rsidRPr="00551B18">
        <w:t>-</w:t>
      </w:r>
      <w:r w:rsidR="00255C2C" w:rsidRPr="00551B18">
        <w:t>09</w:t>
      </w:r>
      <w:r>
        <w:t>,</w:t>
      </w:r>
      <w:r w:rsidR="00C92260" w:rsidRPr="00551B18">
        <w:t xml:space="preserve"> </w:t>
      </w:r>
      <w:r w:rsidR="008F40DD" w:rsidRPr="00551B18">
        <w:t>$25.</w:t>
      </w:r>
      <w:r w:rsidR="00255C2C" w:rsidRPr="00551B18">
        <w:t xml:space="preserve">2 </w:t>
      </w:r>
      <w:r w:rsidR="008F40DD" w:rsidRPr="00551B18">
        <w:t>billion was spent on direct community services activities and a further $4.0 billion on non</w:t>
      </w:r>
      <w:r>
        <w:noBreakHyphen/>
      </w:r>
      <w:r w:rsidR="008F40DD" w:rsidRPr="00551B18">
        <w:t>direct and related community services activities.</w:t>
      </w:r>
      <w:r w:rsidR="00BB0AFC" w:rsidRPr="00551B18">
        <w:t xml:space="preserve"> The majority of services </w:t>
      </w:r>
      <w:r>
        <w:t>were</w:t>
      </w:r>
      <w:r w:rsidR="00BB0AFC" w:rsidRPr="00551B18">
        <w:t xml:space="preserve"> provided by the not</w:t>
      </w:r>
      <w:r>
        <w:noBreakHyphen/>
      </w:r>
      <w:r w:rsidR="00BB0AFC" w:rsidRPr="00551B18">
        <w:t>for</w:t>
      </w:r>
      <w:r>
        <w:noBreakHyphen/>
      </w:r>
      <w:r w:rsidR="009D4D19" w:rsidRPr="00551B18">
        <w:t>profit</w:t>
      </w:r>
      <w:r w:rsidR="00BB0AFC" w:rsidRPr="00551B18">
        <w:t xml:space="preserve"> sector</w:t>
      </w:r>
      <w:r>
        <w:t>,</w:t>
      </w:r>
      <w:r w:rsidR="00BB0AFC" w:rsidRPr="00551B18">
        <w:t xml:space="preserve"> </w:t>
      </w:r>
      <w:r w:rsidR="009C7596" w:rsidRPr="00551B18">
        <w:t>which</w:t>
      </w:r>
      <w:r w:rsidR="004407DE" w:rsidRPr="00551B18">
        <w:t xml:space="preserve"> </w:t>
      </w:r>
      <w:r w:rsidR="00BB0AFC" w:rsidRPr="00551B18">
        <w:t>receive</w:t>
      </w:r>
      <w:r>
        <w:t>d</w:t>
      </w:r>
      <w:r w:rsidR="00BB0AFC" w:rsidRPr="00551B18">
        <w:t xml:space="preserve"> most of its funding from </w:t>
      </w:r>
      <w:r w:rsidR="00BB0AFC" w:rsidRPr="00551B18">
        <w:lastRenderedPageBreak/>
        <w:t xml:space="preserve">government. </w:t>
      </w:r>
      <w:r w:rsidR="008F40DD" w:rsidRPr="00551B18">
        <w:t>Total expenditure on direct activities comprised $13.8 billion by not</w:t>
      </w:r>
      <w:r w:rsidR="008F40DD" w:rsidRPr="00551B18">
        <w:noBreakHyphen/>
        <w:t>for</w:t>
      </w:r>
      <w:r w:rsidR="008F40DD" w:rsidRPr="00551B18">
        <w:noBreakHyphen/>
        <w:t>profit organisations, $6.7 billion by for</w:t>
      </w:r>
      <w:r w:rsidR="008F40DD" w:rsidRPr="001D2266">
        <w:noBreakHyphen/>
        <w:t>profit organisations, $3.8 billion by Australian, State and Territory government</w:t>
      </w:r>
      <w:r w:rsidR="004407DE" w:rsidRPr="001D2266">
        <w:t>s</w:t>
      </w:r>
      <w:r w:rsidR="008F40DD" w:rsidRPr="001D2266">
        <w:t xml:space="preserve"> and $0.9 billion by local government. In addition, Australian, State and Territory governments provided funding of $9.5</w:t>
      </w:r>
      <w:r>
        <w:t> </w:t>
      </w:r>
      <w:r w:rsidR="008F40DD" w:rsidRPr="001D2266">
        <w:t>billion to other private organisations and self-employed contractors for the direct provision of community services:</w:t>
      </w:r>
    </w:p>
    <w:p w:rsidR="00CD37EF" w:rsidRPr="001D2266" w:rsidRDefault="00CD37EF" w:rsidP="00CD37EF">
      <w:pPr>
        <w:pStyle w:val="ListBullet"/>
      </w:pPr>
      <w:r w:rsidRPr="001D2266">
        <w:t>Personal and social support comprises activities relating to information, advice and referral, individual and family support, independent and community living support</w:t>
      </w:r>
      <w:r w:rsidR="004407DE" w:rsidRPr="001D2266">
        <w:t>,</w:t>
      </w:r>
      <w:r w:rsidRPr="001D2266">
        <w:t xml:space="preserve"> and support in the home. During 2008–09, total expenditure on personal and social support was $5.9 billion</w:t>
      </w:r>
      <w:r w:rsidR="0023638B">
        <w:t>,</w:t>
      </w:r>
      <w:r w:rsidRPr="001D2266">
        <w:t xml:space="preserve"> which accounted for 24 per cent of all direct community services expenditure. Not</w:t>
      </w:r>
      <w:r w:rsidRPr="001D2266">
        <w:noBreakHyphen/>
        <w:t>for</w:t>
      </w:r>
      <w:r w:rsidRPr="001D2266">
        <w:noBreakHyphen/>
        <w:t xml:space="preserve">profit organisations </w:t>
      </w:r>
      <w:r w:rsidR="0023638B">
        <w:t>received</w:t>
      </w:r>
      <w:r w:rsidR="00177BA6" w:rsidRPr="001D2266">
        <w:t xml:space="preserve"> </w:t>
      </w:r>
      <w:r w:rsidRPr="001D2266">
        <w:t xml:space="preserve">the majority of this </w:t>
      </w:r>
      <w:r w:rsidR="0023638B">
        <w:t>(</w:t>
      </w:r>
      <w:r w:rsidRPr="001D2266">
        <w:t>$4.3 billion</w:t>
      </w:r>
      <w:r w:rsidR="0023638B">
        <w:t>)</w:t>
      </w:r>
      <w:r w:rsidRPr="001D2266">
        <w:t>. The main components of personal and social support expenditure were $1.6 billion for individual and family support, $1.5 billion for support in the home, and $1.5 billion for other personal and social support</w:t>
      </w:r>
      <w:r w:rsidR="0023638B">
        <w:t>.</w:t>
      </w:r>
    </w:p>
    <w:p w:rsidR="00CD37EF" w:rsidRDefault="00CD37EF" w:rsidP="00551B18">
      <w:pPr>
        <w:pStyle w:val="ListBullet"/>
      </w:pPr>
      <w:r w:rsidRPr="00551B18">
        <w:t xml:space="preserve">Direct expenditure on residential care </w:t>
      </w:r>
      <w:r w:rsidR="00FF2BC8" w:rsidRPr="00551B18">
        <w:t xml:space="preserve">across the community services sector </w:t>
      </w:r>
      <w:r w:rsidRPr="00551B18">
        <w:t>was $12.6 billion</w:t>
      </w:r>
      <w:r w:rsidR="00FF2BC8" w:rsidRPr="00551B18">
        <w:t xml:space="preserve"> in 2008–09</w:t>
      </w:r>
      <w:r w:rsidRPr="00551B18">
        <w:t>. Not</w:t>
      </w:r>
      <w:r w:rsidRPr="00551B18">
        <w:noBreakHyphen/>
        <w:t>for</w:t>
      </w:r>
      <w:r w:rsidRPr="00551B18">
        <w:noBreakHyphen/>
        <w:t>profit organisations had the largest allocation with $7.2 billion, followed by for</w:t>
      </w:r>
      <w:r w:rsidRPr="00551B18">
        <w:noBreakHyphen/>
        <w:t>profit organisations with $3.3 billion, and government organisations with $2.0 billion. Aged and disability care was the most significant activity within residential</w:t>
      </w:r>
      <w:r w:rsidRPr="00AC617B">
        <w:t xml:space="preserve"> care, </w:t>
      </w:r>
      <w:r w:rsidR="0023638B">
        <w:t>accounting for</w:t>
      </w:r>
      <w:r w:rsidRPr="007A22A8">
        <w:t xml:space="preserve"> $10.3 billion </w:t>
      </w:r>
      <w:r w:rsidR="0023638B">
        <w:t>of</w:t>
      </w:r>
      <w:r w:rsidRPr="007A22A8">
        <w:t xml:space="preserve"> total expenditure. The main components of this were high </w:t>
      </w:r>
      <w:r w:rsidR="00EF6FF7" w:rsidRPr="007A22A8">
        <w:t>level</w:t>
      </w:r>
      <w:r w:rsidR="004407DE" w:rsidRPr="007A22A8">
        <w:t xml:space="preserve"> </w:t>
      </w:r>
      <w:r w:rsidRPr="007A22A8">
        <w:t xml:space="preserve">care </w:t>
      </w:r>
      <w:r w:rsidR="0023638B">
        <w:t>(</w:t>
      </w:r>
      <w:r w:rsidRPr="007A22A8">
        <w:t xml:space="preserve">$6.8 billion </w:t>
      </w:r>
      <w:r w:rsidR="0023638B">
        <w:t xml:space="preserve">or </w:t>
      </w:r>
      <w:r w:rsidRPr="007A22A8">
        <w:t>66 per cent</w:t>
      </w:r>
      <w:r w:rsidR="0023638B">
        <w:t>)</w:t>
      </w:r>
      <w:r w:rsidRPr="007A22A8">
        <w:t xml:space="preserve">, and low </w:t>
      </w:r>
      <w:r w:rsidR="00EF6FF7" w:rsidRPr="007A22A8">
        <w:t>level</w:t>
      </w:r>
      <w:r w:rsidR="004407DE" w:rsidRPr="007A22A8">
        <w:t xml:space="preserve"> </w:t>
      </w:r>
      <w:r w:rsidRPr="007A22A8">
        <w:t xml:space="preserve">care </w:t>
      </w:r>
      <w:r w:rsidR="0023638B">
        <w:t>(</w:t>
      </w:r>
      <w:r w:rsidRPr="007A22A8">
        <w:t xml:space="preserve">$3.5 billion </w:t>
      </w:r>
      <w:r w:rsidR="0023638B">
        <w:t xml:space="preserve">or </w:t>
      </w:r>
      <w:r w:rsidRPr="007A22A8">
        <w:t>34</w:t>
      </w:r>
      <w:r w:rsidR="00A76491">
        <w:t> </w:t>
      </w:r>
      <w:r w:rsidRPr="007A22A8">
        <w:t>per</w:t>
      </w:r>
      <w:r w:rsidR="00A76491">
        <w:t> </w:t>
      </w:r>
      <w:r w:rsidRPr="007A22A8">
        <w:t>cent)</w:t>
      </w:r>
      <w:r w:rsidR="0023638B">
        <w:t>.</w:t>
      </w:r>
      <w:r w:rsidRPr="007A22A8">
        <w:t xml:space="preserve"> </w:t>
      </w:r>
      <w:r w:rsidR="0023638B">
        <w:t>N</w:t>
      </w:r>
      <w:r w:rsidRPr="007A22A8">
        <w:t>ot</w:t>
      </w:r>
      <w:r w:rsidR="0023638B">
        <w:noBreakHyphen/>
      </w:r>
      <w:r w:rsidRPr="007A22A8">
        <w:t>for</w:t>
      </w:r>
      <w:r w:rsidR="0023638B">
        <w:noBreakHyphen/>
      </w:r>
      <w:r w:rsidRPr="007A22A8">
        <w:t>profit organisations accounted for $3.3 billion (48</w:t>
      </w:r>
      <w:r w:rsidR="00A76491">
        <w:t> </w:t>
      </w:r>
      <w:r w:rsidRPr="007A22A8">
        <w:t>per</w:t>
      </w:r>
      <w:r w:rsidR="00A76491">
        <w:t> </w:t>
      </w:r>
      <w:r w:rsidRPr="007A22A8">
        <w:t>cent)</w:t>
      </w:r>
      <w:r w:rsidR="0023638B">
        <w:t xml:space="preserve"> of the high level care expenditure</w:t>
      </w:r>
      <w:r w:rsidRPr="007A22A8">
        <w:t xml:space="preserve"> and $2.5 billion (73 per cent) </w:t>
      </w:r>
      <w:r w:rsidR="0023638B">
        <w:t>of the low level care expenditure</w:t>
      </w:r>
      <w:r w:rsidRPr="007A22A8">
        <w:t>.</w:t>
      </w:r>
    </w:p>
    <w:p w:rsidR="00CD37EF" w:rsidRPr="00AC617B" w:rsidRDefault="00CD37EF" w:rsidP="008655A2">
      <w:pPr>
        <w:pStyle w:val="Heading5"/>
      </w:pPr>
      <w:r w:rsidRPr="00AC617B">
        <w:t>Community services expenditure included in this Report</w:t>
      </w:r>
    </w:p>
    <w:p w:rsidR="00CD37EF" w:rsidRPr="00AC617B" w:rsidRDefault="00CD37EF" w:rsidP="00CD37EF">
      <w:pPr>
        <w:pStyle w:val="BodyText"/>
      </w:pPr>
      <w:r w:rsidRPr="00AC617B">
        <w:t xml:space="preserve">The following analysis relates only to expenditure </w:t>
      </w:r>
      <w:r w:rsidR="00965531">
        <w:t xml:space="preserve">on programs </w:t>
      </w:r>
      <w:r w:rsidRPr="00AC617B">
        <w:t>reported in the community services</w:t>
      </w:r>
      <w:r w:rsidR="00680178">
        <w:t>’</w:t>
      </w:r>
      <w:r w:rsidRPr="00AC617B">
        <w:t xml:space="preserve"> chapters of this Report (box F.2). </w:t>
      </w:r>
    </w:p>
    <w:p w:rsidR="00CD37EF" w:rsidRPr="00AC617B" w:rsidRDefault="00CD37EF" w:rsidP="00CD37E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D37EF" w:rsidRPr="00AC617B" w:rsidTr="00331B2C">
        <w:tc>
          <w:tcPr>
            <w:tcW w:w="8771" w:type="dxa"/>
            <w:tcBorders>
              <w:top w:val="single" w:sz="6" w:space="0" w:color="auto"/>
              <w:bottom w:val="nil"/>
            </w:tcBorders>
          </w:tcPr>
          <w:p w:rsidR="00CD37EF" w:rsidRPr="00AC617B" w:rsidRDefault="00CD37EF" w:rsidP="001443C8">
            <w:pPr>
              <w:pStyle w:val="BoxTitle"/>
            </w:pPr>
            <w:r w:rsidRPr="00AC617B">
              <w:rPr>
                <w:b w:val="0"/>
              </w:rPr>
              <w:t xml:space="preserve">Box </w:t>
            </w:r>
            <w:r w:rsidR="003534F9">
              <w:rPr>
                <w:b w:val="0"/>
              </w:rPr>
              <w:t>F.</w:t>
            </w:r>
            <w:r w:rsidR="00914946">
              <w:rPr>
                <w:b w:val="0"/>
                <w:noProof/>
              </w:rPr>
              <w:t>2</w:t>
            </w:r>
            <w:r w:rsidRPr="00AC617B">
              <w:tab/>
              <w:t>Major programs included in community services</w:t>
            </w:r>
            <w:r w:rsidR="00680178">
              <w:t>’</w:t>
            </w:r>
            <w:r w:rsidRPr="00AC617B">
              <w:t xml:space="preserve"> expenditure in the Report</w:t>
            </w:r>
          </w:p>
        </w:tc>
      </w:tr>
      <w:tr w:rsidR="00CD37EF" w:rsidRPr="00AC617B" w:rsidTr="00331B2C">
        <w:trPr>
          <w:cantSplit/>
        </w:trPr>
        <w:tc>
          <w:tcPr>
            <w:tcW w:w="8771" w:type="dxa"/>
            <w:tcBorders>
              <w:top w:val="nil"/>
              <w:left w:val="single" w:sz="6" w:space="0" w:color="auto"/>
              <w:bottom w:val="nil"/>
              <w:right w:val="single" w:sz="4" w:space="0" w:color="auto"/>
            </w:tcBorders>
          </w:tcPr>
          <w:p w:rsidR="00CD37EF" w:rsidRPr="00AC617B" w:rsidRDefault="00CD37EF" w:rsidP="001443C8">
            <w:pPr>
              <w:pStyle w:val="Box"/>
            </w:pPr>
            <w:r w:rsidRPr="00AC617B">
              <w:t>The major programs reported on include:</w:t>
            </w:r>
          </w:p>
          <w:p w:rsidR="00D5429A" w:rsidRDefault="00D5429A" w:rsidP="00D5429A">
            <w:pPr>
              <w:pStyle w:val="BoxListBullet"/>
            </w:pPr>
            <w:r>
              <w:t>aged care services — aged care assessment, residential care</w:t>
            </w:r>
            <w:r w:rsidR="00743599">
              <w:t xml:space="preserve"> and </w:t>
            </w:r>
            <w:r>
              <w:t>community care</w:t>
            </w:r>
            <w:r w:rsidR="00743599">
              <w:t>, including</w:t>
            </w:r>
            <w:r>
              <w:t xml:space="preserve"> HACC</w:t>
            </w:r>
            <w:r w:rsidR="002F13FD">
              <w:t xml:space="preserve"> services</w:t>
            </w:r>
            <w:r w:rsidR="00641CB1">
              <w:t xml:space="preserve"> </w:t>
            </w:r>
          </w:p>
          <w:p w:rsidR="00D5429A" w:rsidRDefault="00D5429A" w:rsidP="008761A4">
            <w:pPr>
              <w:pStyle w:val="BoxListBullet"/>
            </w:pPr>
            <w:r>
              <w:t>services for people with disability — services as outlined in the National Disability Agreement</w:t>
            </w:r>
            <w:r w:rsidR="002F13FD">
              <w:t xml:space="preserve"> </w:t>
            </w:r>
          </w:p>
          <w:p w:rsidR="00D5429A" w:rsidRDefault="00FD2A09" w:rsidP="00D5429A">
            <w:pPr>
              <w:pStyle w:val="BoxListBullet"/>
            </w:pPr>
            <w:r>
              <w:t xml:space="preserve">child protection </w:t>
            </w:r>
            <w:r w:rsidR="00D5429A">
              <w:t>services — child protect</w:t>
            </w:r>
            <w:r w:rsidR="006B4A7F">
              <w:t>ion, out-of-home care and</w:t>
            </w:r>
            <w:r w:rsidR="00D5429A">
              <w:t xml:space="preserve"> intensive family support services</w:t>
            </w:r>
          </w:p>
          <w:p w:rsidR="006B4A7F" w:rsidRDefault="006B4A7F" w:rsidP="00D5429A">
            <w:pPr>
              <w:pStyle w:val="BoxListBullet"/>
            </w:pPr>
            <w:r>
              <w:t xml:space="preserve">youth justice services — </w:t>
            </w:r>
            <w:r w:rsidRPr="00B76EC1">
              <w:t>community and detention-based supervision and group conferencing</w:t>
            </w:r>
            <w:r>
              <w:t>.</w:t>
            </w:r>
          </w:p>
          <w:p w:rsidR="00CD37EF" w:rsidRPr="00AC617B" w:rsidRDefault="00CD37EF" w:rsidP="00D5429A">
            <w:pPr>
              <w:pStyle w:val="Box"/>
            </w:pPr>
            <w:r w:rsidRPr="00AC617B">
              <w:t>Each chapter includes more detailed analysis of expenditure items reported.</w:t>
            </w:r>
          </w:p>
        </w:tc>
      </w:tr>
      <w:tr w:rsidR="00CD37EF" w:rsidRPr="00AC617B" w:rsidTr="001443C8">
        <w:trPr>
          <w:cantSplit/>
        </w:trPr>
        <w:tc>
          <w:tcPr>
            <w:tcW w:w="8771" w:type="dxa"/>
            <w:tcBorders>
              <w:top w:val="nil"/>
              <w:left w:val="single" w:sz="6" w:space="0" w:color="auto"/>
              <w:bottom w:val="single" w:sz="6" w:space="0" w:color="auto"/>
              <w:right w:val="single" w:sz="6" w:space="0" w:color="auto"/>
            </w:tcBorders>
          </w:tcPr>
          <w:p w:rsidR="00CD37EF" w:rsidRPr="00AC617B" w:rsidRDefault="00CD37EF" w:rsidP="001443C8">
            <w:pPr>
              <w:pStyle w:val="Box"/>
              <w:spacing w:before="0" w:line="120" w:lineRule="exact"/>
            </w:pPr>
          </w:p>
        </w:tc>
      </w:tr>
      <w:tr w:rsidR="00CD37EF" w:rsidRPr="00AC617B" w:rsidTr="001443C8">
        <w:tc>
          <w:tcPr>
            <w:tcW w:w="8771" w:type="dxa"/>
            <w:tcBorders>
              <w:top w:val="nil"/>
              <w:left w:val="nil"/>
              <w:bottom w:val="nil"/>
              <w:right w:val="nil"/>
            </w:tcBorders>
          </w:tcPr>
          <w:p w:rsidR="00CD37EF" w:rsidRPr="00AC617B" w:rsidRDefault="00CD37EF" w:rsidP="001443C8">
            <w:pPr>
              <w:pStyle w:val="Box"/>
              <w:keepNext w:val="0"/>
              <w:spacing w:before="60" w:after="60" w:line="80" w:lineRule="exact"/>
              <w:rPr>
                <w:b/>
                <w:color w:val="FF00FF"/>
                <w:sz w:val="14"/>
              </w:rPr>
            </w:pPr>
          </w:p>
        </w:tc>
      </w:tr>
    </w:tbl>
    <w:p w:rsidR="00CD37EF" w:rsidRPr="00AC617B" w:rsidRDefault="00CD37EF" w:rsidP="00FC11CB">
      <w:pPr>
        <w:pStyle w:val="Heading5"/>
        <w:spacing w:before="360"/>
      </w:pPr>
      <w:r w:rsidRPr="00AC617B">
        <w:t>Recurrent expenditure included in the Report</w:t>
      </w:r>
    </w:p>
    <w:p w:rsidR="00CD37EF" w:rsidRPr="00B97802" w:rsidRDefault="00CD37EF" w:rsidP="00743599">
      <w:pPr>
        <w:pStyle w:val="BodyText"/>
        <w:tabs>
          <w:tab w:val="left" w:pos="5812"/>
        </w:tabs>
      </w:pPr>
      <w:r w:rsidRPr="005B25A8">
        <w:t>Total Australia</w:t>
      </w:r>
      <w:r w:rsidR="00965531" w:rsidRPr="005B25A8">
        <w:t>n</w:t>
      </w:r>
      <w:r w:rsidRPr="005B25A8">
        <w:t xml:space="preserve">, State and Territory government recurrent expenditure on community services covered by this Report was estimated </w:t>
      </w:r>
      <w:r w:rsidRPr="00B97802">
        <w:t>to be $</w:t>
      </w:r>
      <w:r w:rsidR="00E6745A" w:rsidRPr="00B97802">
        <w:t>2</w:t>
      </w:r>
      <w:r w:rsidR="00003939" w:rsidRPr="00B97802">
        <w:t>5.</w:t>
      </w:r>
      <w:r w:rsidR="00E317F0" w:rsidRPr="00B97802">
        <w:t>3</w:t>
      </w:r>
      <w:r w:rsidRPr="00B97802">
        <w:t xml:space="preserve"> billion in </w:t>
      </w:r>
      <w:r w:rsidR="00826D7B" w:rsidRPr="00B97802">
        <w:t>201</w:t>
      </w:r>
      <w:r w:rsidR="00003939" w:rsidRPr="00B97802">
        <w:t>2</w:t>
      </w:r>
      <w:r w:rsidRPr="00B97802">
        <w:t>-</w:t>
      </w:r>
      <w:r w:rsidR="00826D7B" w:rsidRPr="00B97802">
        <w:t>1</w:t>
      </w:r>
      <w:r w:rsidR="00003939" w:rsidRPr="00B97802">
        <w:t>3</w:t>
      </w:r>
      <w:r w:rsidR="00826D7B" w:rsidRPr="00B97802">
        <w:t xml:space="preserve"> </w:t>
      </w:r>
      <w:r w:rsidRPr="00B97802">
        <w:t>(table F.1). This was equivalent to 1.</w:t>
      </w:r>
      <w:r w:rsidR="00E6745A" w:rsidRPr="00B97802">
        <w:t>7</w:t>
      </w:r>
      <w:r w:rsidR="007E1B14" w:rsidRPr="00B97802">
        <w:t> </w:t>
      </w:r>
      <w:r w:rsidRPr="00B97802">
        <w:t xml:space="preserve">per cent of GDP in that year, and </w:t>
      </w:r>
      <w:r w:rsidR="00E6745A" w:rsidRPr="00B97802">
        <w:t>9.3</w:t>
      </w:r>
      <w:r w:rsidR="007E1B14" w:rsidRPr="00B97802">
        <w:t> </w:t>
      </w:r>
      <w:r w:rsidRPr="00B97802">
        <w:t xml:space="preserve">per cent of total government outlays (table F.1 and ABS </w:t>
      </w:r>
      <w:r w:rsidR="00EB485C" w:rsidRPr="00B97802">
        <w:t>201</w:t>
      </w:r>
      <w:r w:rsidR="0019200C" w:rsidRPr="00B97802">
        <w:t>3</w:t>
      </w:r>
      <w:r w:rsidRPr="00B97802">
        <w:t>).</w:t>
      </w:r>
    </w:p>
    <w:p w:rsidR="00BB7001" w:rsidRDefault="001A00CC" w:rsidP="00551B18">
      <w:pPr>
        <w:pStyle w:val="BodyText"/>
      </w:pPr>
      <w:r w:rsidRPr="00B97802">
        <w:t xml:space="preserve">Between </w:t>
      </w:r>
      <w:r w:rsidR="00BB7001" w:rsidRPr="00B97802">
        <w:t>2008</w:t>
      </w:r>
      <w:r w:rsidRPr="00B97802">
        <w:t>-</w:t>
      </w:r>
      <w:r w:rsidR="00BB7001" w:rsidRPr="00B97802">
        <w:t xml:space="preserve">09 </w:t>
      </w:r>
      <w:r w:rsidRPr="00B97802">
        <w:t xml:space="preserve">and </w:t>
      </w:r>
      <w:r w:rsidR="00BB7001" w:rsidRPr="00B97802">
        <w:t>2012</w:t>
      </w:r>
      <w:r w:rsidRPr="00B97802">
        <w:t>-</w:t>
      </w:r>
      <w:r w:rsidR="00BB7001" w:rsidRPr="00B97802">
        <w:t>13</w:t>
      </w:r>
      <w:r w:rsidRPr="00B97802">
        <w:t xml:space="preserve">, real government recurrent expenditure on </w:t>
      </w:r>
      <w:r w:rsidR="00BA3C40" w:rsidRPr="00B97802">
        <w:t>these</w:t>
      </w:r>
      <w:r w:rsidRPr="00B97802">
        <w:t xml:space="preserve"> services increased by $</w:t>
      </w:r>
      <w:r w:rsidR="00E317F0" w:rsidRPr="00B97802">
        <w:t>5.6</w:t>
      </w:r>
      <w:r w:rsidR="00AE510F" w:rsidRPr="00B97802">
        <w:t xml:space="preserve"> </w:t>
      </w:r>
      <w:r w:rsidRPr="00B97802">
        <w:t xml:space="preserve">billion </w:t>
      </w:r>
      <w:r w:rsidR="009C7596" w:rsidRPr="00B97802">
        <w:t xml:space="preserve">or </w:t>
      </w:r>
      <w:r w:rsidR="00E317F0" w:rsidRPr="00B97802">
        <w:t>28.2</w:t>
      </w:r>
      <w:r w:rsidR="009C7596" w:rsidRPr="00B97802">
        <w:t xml:space="preserve"> per cent</w:t>
      </w:r>
      <w:r w:rsidRPr="00B97802">
        <w:t>. The largest proportional</w:t>
      </w:r>
      <w:r w:rsidRPr="00B76EC1">
        <w:t xml:space="preserve"> increase in real expenditure was on </w:t>
      </w:r>
      <w:r w:rsidR="00B76EC1" w:rsidRPr="00C51941">
        <w:t>child protection services</w:t>
      </w:r>
      <w:r w:rsidRPr="00B76EC1">
        <w:t xml:space="preserve">, which increased by </w:t>
      </w:r>
      <w:r w:rsidR="00BB7001">
        <w:t>40.8</w:t>
      </w:r>
      <w:r w:rsidRPr="00B76EC1">
        <w:t> p</w:t>
      </w:r>
      <w:r w:rsidRPr="001B3E37">
        <w:t xml:space="preserve">er cent between </w:t>
      </w:r>
      <w:r w:rsidR="00BB7001" w:rsidRPr="005B25A8">
        <w:t>200</w:t>
      </w:r>
      <w:r w:rsidR="00BB7001">
        <w:t>8</w:t>
      </w:r>
      <w:r w:rsidR="00BB7001" w:rsidRPr="005B25A8">
        <w:t>-0</w:t>
      </w:r>
      <w:r w:rsidR="00BB7001">
        <w:t>9</w:t>
      </w:r>
      <w:r w:rsidR="00BB7001" w:rsidRPr="005B25A8">
        <w:t xml:space="preserve"> and 201</w:t>
      </w:r>
      <w:r w:rsidR="00BB7001">
        <w:t>2</w:t>
      </w:r>
      <w:r w:rsidR="00BB7001" w:rsidRPr="005B25A8">
        <w:t>-1</w:t>
      </w:r>
      <w:r w:rsidR="00BB7001">
        <w:t>3</w:t>
      </w:r>
      <w:r w:rsidRPr="001B3E37">
        <w:t>.</w:t>
      </w:r>
      <w:r w:rsidR="0001168A">
        <w:t xml:space="preserve"> </w:t>
      </w:r>
      <w:r w:rsidR="009222D5">
        <w:t>P</w:t>
      </w:r>
      <w:r w:rsidR="0001168A">
        <w:t xml:space="preserve">art </w:t>
      </w:r>
      <w:r w:rsidR="009222D5">
        <w:t xml:space="preserve">of </w:t>
      </w:r>
      <w:r w:rsidR="0001168A">
        <w:t xml:space="preserve">this increase is explained by the addition </w:t>
      </w:r>
      <w:r w:rsidR="002A6DDA">
        <w:t xml:space="preserve">from </w:t>
      </w:r>
      <w:r w:rsidR="0001168A">
        <w:t xml:space="preserve">2011-12 </w:t>
      </w:r>
      <w:r w:rsidR="002A6DDA">
        <w:t xml:space="preserve">onwards </w:t>
      </w:r>
      <w:r w:rsidR="0001168A">
        <w:t>of expenditure data for family support services.</w:t>
      </w:r>
      <w:r w:rsidR="00BB7001">
        <w:t xml:space="preserve"> </w:t>
      </w:r>
      <w:r w:rsidRPr="001B3E37">
        <w:t xml:space="preserve">The largest absolute dollar increase for a particular service between </w:t>
      </w:r>
      <w:r w:rsidR="00BB7001" w:rsidRPr="005B25A8">
        <w:t>200</w:t>
      </w:r>
      <w:r w:rsidR="00BB7001">
        <w:t>8</w:t>
      </w:r>
      <w:r w:rsidR="00BB7001" w:rsidRPr="005B25A8">
        <w:t>-0</w:t>
      </w:r>
      <w:r w:rsidR="00BB7001">
        <w:t>9</w:t>
      </w:r>
      <w:r w:rsidR="00BB7001" w:rsidRPr="005B25A8">
        <w:t xml:space="preserve"> and 201</w:t>
      </w:r>
      <w:r w:rsidR="00BB7001">
        <w:t>2</w:t>
      </w:r>
      <w:r w:rsidR="002A6DDA">
        <w:noBreakHyphen/>
      </w:r>
      <w:r w:rsidR="00BB7001" w:rsidRPr="005B25A8">
        <w:t>1</w:t>
      </w:r>
      <w:r w:rsidR="00BB7001">
        <w:t>3</w:t>
      </w:r>
      <w:r w:rsidRPr="001B3E37">
        <w:t xml:space="preserve"> was </w:t>
      </w:r>
      <w:r w:rsidRPr="00E6745A">
        <w:t>$2.</w:t>
      </w:r>
      <w:r w:rsidR="00BB7001">
        <w:t>5</w:t>
      </w:r>
      <w:r w:rsidR="00BB7001" w:rsidRPr="001B3E37">
        <w:t> </w:t>
      </w:r>
      <w:r w:rsidRPr="001B3E37">
        <w:t>billion for aged care services (table F.1).</w:t>
      </w:r>
    </w:p>
    <w:p w:rsidR="00BB7001" w:rsidRDefault="00BB7001" w:rsidP="006B1005">
      <w:pPr>
        <w:pStyle w:val="BodyText"/>
      </w:pPr>
      <w:r>
        <w:br w:type="page"/>
      </w:r>
    </w:p>
    <w:p w:rsidR="00CD37EF" w:rsidRPr="00B76EC1" w:rsidRDefault="00CD37EF" w:rsidP="00B76EC1">
      <w:pPr>
        <w:pStyle w:val="TableTitle"/>
        <w:spacing w:before="240"/>
        <w:rPr>
          <w:b w:val="0"/>
        </w:rPr>
      </w:pPr>
      <w:r w:rsidRPr="00AC617B">
        <w:rPr>
          <w:b w:val="0"/>
        </w:rPr>
        <w:lastRenderedPageBreak/>
        <w:t xml:space="preserve">Table </w:t>
      </w:r>
      <w:r w:rsidR="007574B1">
        <w:rPr>
          <w:b w:val="0"/>
        </w:rPr>
        <w:t>F.</w:t>
      </w:r>
      <w:r w:rsidR="00914946">
        <w:rPr>
          <w:b w:val="0"/>
          <w:noProof/>
        </w:rPr>
        <w:t>1</w:t>
      </w:r>
      <w:r w:rsidRPr="00AC617B">
        <w:tab/>
        <w:t>Real government recurrent expenditure on community services (</w:t>
      </w:r>
      <w:r w:rsidR="00BB7001" w:rsidRPr="00AC617B">
        <w:t>20</w:t>
      </w:r>
      <w:r w:rsidR="00BB7001">
        <w:t>12</w:t>
      </w:r>
      <w:r w:rsidRPr="00AC617B">
        <w:t>-</w:t>
      </w:r>
      <w:r w:rsidR="00BB7001" w:rsidRPr="00AC617B">
        <w:t>1</w:t>
      </w:r>
      <w:r w:rsidR="00BB7001">
        <w:t>3</w:t>
      </w:r>
      <w:r w:rsidR="00BB7001" w:rsidRPr="00AC617B">
        <w:t xml:space="preserve"> </w:t>
      </w:r>
      <w:r w:rsidRPr="00AC617B">
        <w:t>dollars)</w:t>
      </w:r>
      <w:r w:rsidRPr="00AC617B">
        <w:rPr>
          <w:rStyle w:val="NoteLabel"/>
          <w:b/>
        </w:rPr>
        <w:t>a</w:t>
      </w:r>
      <w:r w:rsidRPr="00B76EC1">
        <w:rPr>
          <w:rStyle w:val="NoteLabel"/>
          <w:b/>
        </w:rPr>
        <w:t>, b, c, d</w:t>
      </w:r>
      <w:r w:rsidR="000F2940">
        <w:rPr>
          <w:rStyle w:val="NoteLabel"/>
          <w:b/>
        </w:rPr>
        <w:t>, e</w:t>
      </w:r>
    </w:p>
    <w:tbl>
      <w:tblPr>
        <w:tblW w:w="5000" w:type="pct"/>
        <w:tblCellMar>
          <w:left w:w="0" w:type="dxa"/>
          <w:right w:w="0" w:type="dxa"/>
        </w:tblCellMar>
        <w:tblLook w:val="0000" w:firstRow="0" w:lastRow="0" w:firstColumn="0" w:lastColumn="0" w:noHBand="0" w:noVBand="0"/>
      </w:tblPr>
      <w:tblGrid>
        <w:gridCol w:w="1625"/>
        <w:gridCol w:w="475"/>
        <w:gridCol w:w="1264"/>
        <w:gridCol w:w="1735"/>
        <w:gridCol w:w="1552"/>
        <w:gridCol w:w="1067"/>
        <w:gridCol w:w="1071"/>
      </w:tblGrid>
      <w:tr w:rsidR="0009588B" w:rsidRPr="00B76EC1" w:rsidTr="006B1005">
        <w:tc>
          <w:tcPr>
            <w:tcW w:w="924" w:type="pct"/>
            <w:tcBorders>
              <w:top w:val="single" w:sz="6" w:space="0" w:color="auto"/>
              <w:bottom w:val="single" w:sz="6" w:space="0" w:color="auto"/>
            </w:tcBorders>
            <w:shd w:val="clear" w:color="auto" w:fill="auto"/>
          </w:tcPr>
          <w:p w:rsidR="0009588B" w:rsidRPr="00B76EC1" w:rsidRDefault="0009588B" w:rsidP="00B76EC1">
            <w:pPr>
              <w:pStyle w:val="TableColumnHeading"/>
              <w:jc w:val="left"/>
            </w:pPr>
          </w:p>
        </w:tc>
        <w:tc>
          <w:tcPr>
            <w:tcW w:w="270" w:type="pct"/>
            <w:tcBorders>
              <w:top w:val="single" w:sz="6" w:space="0" w:color="auto"/>
              <w:bottom w:val="single" w:sz="6" w:space="0" w:color="auto"/>
            </w:tcBorders>
            <w:shd w:val="clear" w:color="auto" w:fill="auto"/>
          </w:tcPr>
          <w:p w:rsidR="0009588B" w:rsidRPr="00B76EC1" w:rsidRDefault="0009588B" w:rsidP="00B76EC1">
            <w:pPr>
              <w:pStyle w:val="TableColumnHeading"/>
            </w:pPr>
            <w:r w:rsidRPr="00B76EC1">
              <w:t>Unit</w:t>
            </w:r>
          </w:p>
        </w:tc>
        <w:tc>
          <w:tcPr>
            <w:tcW w:w="719" w:type="pct"/>
            <w:tcBorders>
              <w:top w:val="single" w:sz="6" w:space="0" w:color="auto"/>
              <w:bottom w:val="single" w:sz="6" w:space="0" w:color="auto"/>
            </w:tcBorders>
            <w:shd w:val="clear" w:color="auto" w:fill="auto"/>
          </w:tcPr>
          <w:p w:rsidR="0009588B" w:rsidRPr="00B76EC1" w:rsidRDefault="0009588B" w:rsidP="00B76EC1">
            <w:pPr>
              <w:pStyle w:val="TableColumnHeading"/>
            </w:pPr>
            <w:r>
              <w:t>ACS</w:t>
            </w:r>
          </w:p>
        </w:tc>
        <w:tc>
          <w:tcPr>
            <w:tcW w:w="987" w:type="pct"/>
            <w:tcBorders>
              <w:top w:val="single" w:sz="6" w:space="0" w:color="auto"/>
              <w:bottom w:val="single" w:sz="6" w:space="0" w:color="auto"/>
            </w:tcBorders>
            <w:shd w:val="clear" w:color="auto" w:fill="auto"/>
          </w:tcPr>
          <w:p w:rsidR="0009588B" w:rsidRPr="00B76EC1" w:rsidRDefault="0009588B" w:rsidP="00B76EC1">
            <w:pPr>
              <w:pStyle w:val="TableColumnHeading"/>
            </w:pPr>
            <w:r>
              <w:t>SPDW</w:t>
            </w:r>
          </w:p>
        </w:tc>
        <w:tc>
          <w:tcPr>
            <w:tcW w:w="883" w:type="pct"/>
            <w:tcBorders>
              <w:top w:val="single" w:sz="4" w:space="0" w:color="auto"/>
              <w:bottom w:val="single" w:sz="4" w:space="0" w:color="auto"/>
            </w:tcBorders>
            <w:shd w:val="clear" w:color="auto" w:fill="auto"/>
          </w:tcPr>
          <w:p w:rsidR="0009588B" w:rsidRPr="00B76EC1" w:rsidRDefault="0009588B">
            <w:pPr>
              <w:pStyle w:val="TableColumnHeading"/>
            </w:pPr>
            <w:r>
              <w:t>CP</w:t>
            </w:r>
            <w:r w:rsidR="00BB7001">
              <w:t>S (f)</w:t>
            </w:r>
            <w:r w:rsidRPr="00B76EC1">
              <w:t xml:space="preserve"> </w:t>
            </w:r>
          </w:p>
        </w:tc>
        <w:tc>
          <w:tcPr>
            <w:tcW w:w="607" w:type="pct"/>
            <w:tcBorders>
              <w:top w:val="single" w:sz="6" w:space="0" w:color="auto"/>
              <w:bottom w:val="single" w:sz="4" w:space="0" w:color="auto"/>
              <w:right w:val="nil"/>
            </w:tcBorders>
          </w:tcPr>
          <w:p w:rsidR="0009588B" w:rsidRPr="00B76EC1" w:rsidRDefault="0009588B" w:rsidP="00B76EC1">
            <w:pPr>
              <w:pStyle w:val="TableColumnHeading"/>
            </w:pPr>
            <w:r>
              <w:t>YJ</w:t>
            </w:r>
            <w:r w:rsidR="00BB7001">
              <w:t>S (g)</w:t>
            </w:r>
          </w:p>
        </w:tc>
        <w:tc>
          <w:tcPr>
            <w:tcW w:w="609" w:type="pct"/>
            <w:tcBorders>
              <w:top w:val="single" w:sz="6" w:space="0" w:color="auto"/>
              <w:left w:val="nil"/>
              <w:bottom w:val="single" w:sz="4" w:space="0" w:color="auto"/>
            </w:tcBorders>
            <w:shd w:val="clear" w:color="auto" w:fill="auto"/>
          </w:tcPr>
          <w:p w:rsidR="0009588B" w:rsidRPr="00B76EC1" w:rsidRDefault="0009588B" w:rsidP="00B76EC1">
            <w:pPr>
              <w:pStyle w:val="TableColumnHeading"/>
            </w:pPr>
            <w:r w:rsidRPr="00B76EC1">
              <w:t>Total</w:t>
            </w:r>
          </w:p>
        </w:tc>
      </w:tr>
      <w:tr w:rsidR="009D700D" w:rsidRPr="00B97802" w:rsidTr="006B1005">
        <w:tc>
          <w:tcPr>
            <w:tcW w:w="924" w:type="pct"/>
            <w:tcBorders>
              <w:top w:val="single" w:sz="6" w:space="0" w:color="auto"/>
            </w:tcBorders>
            <w:vAlign w:val="bottom"/>
          </w:tcPr>
          <w:p w:rsidR="009D700D" w:rsidRPr="00B97802" w:rsidRDefault="009D700D" w:rsidP="00BB7001">
            <w:pPr>
              <w:pStyle w:val="TableBodyText"/>
              <w:jc w:val="left"/>
            </w:pPr>
            <w:r w:rsidRPr="00B97802">
              <w:t>2008-09</w:t>
            </w:r>
          </w:p>
        </w:tc>
        <w:tc>
          <w:tcPr>
            <w:tcW w:w="270" w:type="pct"/>
            <w:tcBorders>
              <w:top w:val="single" w:sz="6" w:space="0" w:color="auto"/>
            </w:tcBorders>
            <w:vAlign w:val="bottom"/>
          </w:tcPr>
          <w:p w:rsidR="009D700D" w:rsidRPr="00B97802" w:rsidRDefault="009D700D" w:rsidP="00B76EC1">
            <w:pPr>
              <w:pStyle w:val="TableBodyText"/>
            </w:pPr>
            <w:r w:rsidRPr="00B97802">
              <w:t>$m</w:t>
            </w:r>
          </w:p>
        </w:tc>
        <w:tc>
          <w:tcPr>
            <w:tcW w:w="719" w:type="pct"/>
            <w:tcBorders>
              <w:top w:val="single" w:sz="6" w:space="0" w:color="auto"/>
            </w:tcBorders>
            <w:vAlign w:val="center"/>
          </w:tcPr>
          <w:p w:rsidR="009D700D" w:rsidRPr="00B97802" w:rsidRDefault="009D700D" w:rsidP="00B76EC1">
            <w:pPr>
              <w:pStyle w:val="TableBodyText"/>
              <w:rPr>
                <w:rFonts w:cs="Arial"/>
              </w:rPr>
            </w:pPr>
            <w:bookmarkStart w:id="7" w:name="RANGE!C3"/>
            <w:r w:rsidRPr="00B97802">
              <w:rPr>
                <w:rFonts w:cs="Arial"/>
              </w:rPr>
              <w:t xml:space="preserve"> 11 174.4</w:t>
            </w:r>
            <w:bookmarkEnd w:id="7"/>
          </w:p>
        </w:tc>
        <w:tc>
          <w:tcPr>
            <w:tcW w:w="987" w:type="pct"/>
            <w:tcBorders>
              <w:top w:val="single" w:sz="6" w:space="0" w:color="auto"/>
              <w:left w:val="nil"/>
            </w:tcBorders>
            <w:vAlign w:val="center"/>
          </w:tcPr>
          <w:p w:rsidR="009D700D" w:rsidRPr="00B97802" w:rsidRDefault="009D700D" w:rsidP="009D700D">
            <w:pPr>
              <w:pStyle w:val="TableBodyText"/>
              <w:rPr>
                <w:rFonts w:cs="Arial"/>
              </w:rPr>
            </w:pPr>
            <w:r w:rsidRPr="00B97802">
              <w:rPr>
                <w:rFonts w:cs="Arial"/>
              </w:rPr>
              <w:t xml:space="preserve"> 5 817.9</w:t>
            </w:r>
          </w:p>
        </w:tc>
        <w:tc>
          <w:tcPr>
            <w:tcW w:w="883" w:type="pct"/>
            <w:tcBorders>
              <w:top w:val="single" w:sz="4" w:space="0" w:color="auto"/>
              <w:left w:val="nil"/>
            </w:tcBorders>
            <w:shd w:val="clear" w:color="auto" w:fill="auto"/>
            <w:vAlign w:val="center"/>
          </w:tcPr>
          <w:p w:rsidR="009D700D" w:rsidRPr="00B97802" w:rsidRDefault="009D700D" w:rsidP="009D700D">
            <w:pPr>
              <w:pStyle w:val="TableBodyText"/>
              <w:rPr>
                <w:rFonts w:cs="Arial"/>
              </w:rPr>
            </w:pPr>
            <w:r w:rsidRPr="00B97802">
              <w:rPr>
                <w:rFonts w:cs="Arial"/>
              </w:rPr>
              <w:t xml:space="preserve"> 2 756.5</w:t>
            </w:r>
          </w:p>
        </w:tc>
        <w:tc>
          <w:tcPr>
            <w:tcW w:w="607" w:type="pct"/>
            <w:tcBorders>
              <w:top w:val="single" w:sz="4" w:space="0" w:color="auto"/>
            </w:tcBorders>
            <w:vAlign w:val="center"/>
          </w:tcPr>
          <w:p w:rsidR="009D700D" w:rsidRPr="00B97802" w:rsidRDefault="009D700D" w:rsidP="00B76EC1">
            <w:pPr>
              <w:pStyle w:val="TableBodyText"/>
              <w:rPr>
                <w:rFonts w:cs="Arial"/>
              </w:rPr>
            </w:pPr>
          </w:p>
        </w:tc>
        <w:tc>
          <w:tcPr>
            <w:tcW w:w="609" w:type="pct"/>
            <w:tcBorders>
              <w:top w:val="single" w:sz="4" w:space="0" w:color="auto"/>
            </w:tcBorders>
            <w:vAlign w:val="center"/>
          </w:tcPr>
          <w:p w:rsidR="009D700D" w:rsidRPr="00B97802" w:rsidRDefault="009D700D" w:rsidP="009D700D">
            <w:pPr>
              <w:pStyle w:val="TableBodyText"/>
              <w:rPr>
                <w:rFonts w:cs="Arial"/>
              </w:rPr>
            </w:pPr>
            <w:r w:rsidRPr="00B97802">
              <w:rPr>
                <w:rFonts w:cs="Arial"/>
              </w:rPr>
              <w:t xml:space="preserve"> 19 748.7</w:t>
            </w:r>
          </w:p>
        </w:tc>
      </w:tr>
      <w:tr w:rsidR="009D700D" w:rsidRPr="00B97802" w:rsidTr="006B1005">
        <w:tc>
          <w:tcPr>
            <w:tcW w:w="924" w:type="pct"/>
            <w:vAlign w:val="bottom"/>
          </w:tcPr>
          <w:p w:rsidR="009D700D" w:rsidRPr="00B97802" w:rsidRDefault="009D700D" w:rsidP="00BB7001">
            <w:pPr>
              <w:pStyle w:val="TableBodyText"/>
              <w:jc w:val="left"/>
            </w:pPr>
            <w:r w:rsidRPr="00B97802">
              <w:t>2009-10</w:t>
            </w:r>
          </w:p>
        </w:tc>
        <w:tc>
          <w:tcPr>
            <w:tcW w:w="270" w:type="pct"/>
            <w:vAlign w:val="bottom"/>
          </w:tcPr>
          <w:p w:rsidR="009D700D" w:rsidRPr="00B97802" w:rsidRDefault="009D700D" w:rsidP="00B76EC1">
            <w:pPr>
              <w:pStyle w:val="TableBodyText"/>
            </w:pPr>
            <w:r w:rsidRPr="00B97802">
              <w:t>$m</w:t>
            </w:r>
          </w:p>
        </w:tc>
        <w:tc>
          <w:tcPr>
            <w:tcW w:w="719" w:type="pct"/>
            <w:vAlign w:val="center"/>
          </w:tcPr>
          <w:p w:rsidR="009D700D" w:rsidRPr="00B97802" w:rsidRDefault="009D700D" w:rsidP="00B76EC1">
            <w:pPr>
              <w:pStyle w:val="TableBodyText"/>
              <w:rPr>
                <w:rFonts w:cs="Arial"/>
              </w:rPr>
            </w:pPr>
            <w:r w:rsidRPr="00B97802">
              <w:rPr>
                <w:rFonts w:cs="Arial"/>
              </w:rPr>
              <w:t xml:space="preserve"> 11 893.7</w:t>
            </w:r>
          </w:p>
        </w:tc>
        <w:tc>
          <w:tcPr>
            <w:tcW w:w="987" w:type="pct"/>
            <w:tcBorders>
              <w:left w:val="nil"/>
            </w:tcBorders>
            <w:vAlign w:val="center"/>
          </w:tcPr>
          <w:p w:rsidR="009D700D" w:rsidRPr="00B97802" w:rsidRDefault="009D700D" w:rsidP="009D700D">
            <w:pPr>
              <w:pStyle w:val="TableBodyText"/>
              <w:rPr>
                <w:rFonts w:cs="Arial"/>
              </w:rPr>
            </w:pPr>
            <w:r w:rsidRPr="00B97802">
              <w:rPr>
                <w:rFonts w:cs="Arial"/>
              </w:rPr>
              <w:t xml:space="preserve"> 6 207.0</w:t>
            </w:r>
          </w:p>
        </w:tc>
        <w:tc>
          <w:tcPr>
            <w:tcW w:w="883" w:type="pct"/>
            <w:tcBorders>
              <w:left w:val="nil"/>
            </w:tcBorders>
            <w:shd w:val="clear" w:color="auto" w:fill="auto"/>
            <w:vAlign w:val="center"/>
          </w:tcPr>
          <w:p w:rsidR="009D700D" w:rsidRPr="00B97802" w:rsidRDefault="009D700D" w:rsidP="009D700D">
            <w:pPr>
              <w:pStyle w:val="TableBodyText"/>
              <w:rPr>
                <w:rFonts w:cs="Arial"/>
              </w:rPr>
            </w:pPr>
            <w:r w:rsidRPr="00B97802">
              <w:rPr>
                <w:rFonts w:cs="Arial"/>
              </w:rPr>
              <w:t xml:space="preserve"> 3 050.8</w:t>
            </w:r>
          </w:p>
        </w:tc>
        <w:tc>
          <w:tcPr>
            <w:tcW w:w="607" w:type="pct"/>
            <w:vAlign w:val="center"/>
          </w:tcPr>
          <w:p w:rsidR="009D700D" w:rsidRPr="00B97802" w:rsidRDefault="009D700D" w:rsidP="00B76EC1">
            <w:pPr>
              <w:pStyle w:val="TableBodyText"/>
              <w:rPr>
                <w:rFonts w:cs="Arial"/>
              </w:rPr>
            </w:pPr>
          </w:p>
        </w:tc>
        <w:tc>
          <w:tcPr>
            <w:tcW w:w="609" w:type="pct"/>
            <w:vAlign w:val="center"/>
          </w:tcPr>
          <w:p w:rsidR="009D700D" w:rsidRPr="00B97802" w:rsidRDefault="009D700D" w:rsidP="009D700D">
            <w:pPr>
              <w:pStyle w:val="TableBodyText"/>
              <w:rPr>
                <w:rFonts w:cs="Arial"/>
              </w:rPr>
            </w:pPr>
            <w:r w:rsidRPr="00B97802">
              <w:rPr>
                <w:rFonts w:cs="Arial"/>
              </w:rPr>
              <w:t xml:space="preserve"> 21 151.5</w:t>
            </w:r>
          </w:p>
        </w:tc>
      </w:tr>
      <w:tr w:rsidR="009D700D" w:rsidRPr="00B97802" w:rsidTr="006B1005">
        <w:tc>
          <w:tcPr>
            <w:tcW w:w="924" w:type="pct"/>
            <w:vAlign w:val="bottom"/>
          </w:tcPr>
          <w:p w:rsidR="009D700D" w:rsidRPr="00B97802" w:rsidRDefault="009D700D" w:rsidP="00BB7001">
            <w:pPr>
              <w:pStyle w:val="TableBodyText"/>
              <w:jc w:val="left"/>
            </w:pPr>
            <w:r w:rsidRPr="00B97802">
              <w:t>2010-11</w:t>
            </w:r>
          </w:p>
        </w:tc>
        <w:tc>
          <w:tcPr>
            <w:tcW w:w="270" w:type="pct"/>
            <w:vAlign w:val="bottom"/>
          </w:tcPr>
          <w:p w:rsidR="009D700D" w:rsidRPr="00B97802" w:rsidRDefault="009D700D" w:rsidP="00B76EC1">
            <w:pPr>
              <w:pStyle w:val="TableBodyText"/>
            </w:pPr>
            <w:r w:rsidRPr="00B97802">
              <w:t>$m</w:t>
            </w:r>
          </w:p>
        </w:tc>
        <w:tc>
          <w:tcPr>
            <w:tcW w:w="719" w:type="pct"/>
            <w:vAlign w:val="center"/>
          </w:tcPr>
          <w:p w:rsidR="009D700D" w:rsidRPr="00B97802" w:rsidRDefault="009D700D" w:rsidP="00B76EC1">
            <w:pPr>
              <w:pStyle w:val="TableBodyText"/>
              <w:rPr>
                <w:rFonts w:cs="Arial"/>
              </w:rPr>
            </w:pPr>
            <w:r w:rsidRPr="00B97802">
              <w:rPr>
                <w:rFonts w:cs="Arial"/>
              </w:rPr>
              <w:t xml:space="preserve"> 12 601.7</w:t>
            </w:r>
          </w:p>
        </w:tc>
        <w:tc>
          <w:tcPr>
            <w:tcW w:w="987" w:type="pct"/>
            <w:tcBorders>
              <w:left w:val="nil"/>
            </w:tcBorders>
            <w:vAlign w:val="center"/>
          </w:tcPr>
          <w:p w:rsidR="009D700D" w:rsidRPr="00B97802" w:rsidRDefault="009D700D" w:rsidP="009D700D">
            <w:pPr>
              <w:pStyle w:val="TableBodyText"/>
              <w:rPr>
                <w:rFonts w:cs="Arial"/>
              </w:rPr>
            </w:pPr>
            <w:r w:rsidRPr="00B97802">
              <w:rPr>
                <w:rFonts w:cs="Arial"/>
              </w:rPr>
              <w:t xml:space="preserve"> 6 419.3</w:t>
            </w:r>
          </w:p>
        </w:tc>
        <w:tc>
          <w:tcPr>
            <w:tcW w:w="883" w:type="pct"/>
            <w:tcBorders>
              <w:left w:val="nil"/>
            </w:tcBorders>
            <w:shd w:val="clear" w:color="auto" w:fill="auto"/>
            <w:vAlign w:val="center"/>
          </w:tcPr>
          <w:p w:rsidR="009D700D" w:rsidRPr="00B97802" w:rsidRDefault="009D700D" w:rsidP="009D700D">
            <w:pPr>
              <w:pStyle w:val="TableBodyText"/>
              <w:rPr>
                <w:rFonts w:cs="Arial"/>
              </w:rPr>
            </w:pPr>
            <w:r w:rsidRPr="00B97802">
              <w:rPr>
                <w:rFonts w:cs="Arial"/>
              </w:rPr>
              <w:t xml:space="preserve"> 3 231.2</w:t>
            </w:r>
          </w:p>
        </w:tc>
        <w:tc>
          <w:tcPr>
            <w:tcW w:w="607" w:type="pct"/>
            <w:vAlign w:val="center"/>
          </w:tcPr>
          <w:p w:rsidR="009D700D" w:rsidRPr="00B97802" w:rsidRDefault="009D700D" w:rsidP="00B76EC1">
            <w:pPr>
              <w:pStyle w:val="TableBodyText"/>
              <w:rPr>
                <w:rFonts w:cs="Arial"/>
              </w:rPr>
            </w:pPr>
          </w:p>
        </w:tc>
        <w:tc>
          <w:tcPr>
            <w:tcW w:w="609" w:type="pct"/>
            <w:vAlign w:val="center"/>
          </w:tcPr>
          <w:p w:rsidR="009D700D" w:rsidRPr="00B97802" w:rsidRDefault="009D700D" w:rsidP="009D700D">
            <w:pPr>
              <w:pStyle w:val="TableBodyText"/>
              <w:rPr>
                <w:rFonts w:cs="Arial"/>
              </w:rPr>
            </w:pPr>
            <w:r w:rsidRPr="00B97802">
              <w:rPr>
                <w:rFonts w:cs="Arial"/>
              </w:rPr>
              <w:t xml:space="preserve"> 22 252.3</w:t>
            </w:r>
          </w:p>
        </w:tc>
      </w:tr>
      <w:tr w:rsidR="009D700D" w:rsidRPr="00B97802" w:rsidTr="006B1005">
        <w:tc>
          <w:tcPr>
            <w:tcW w:w="924" w:type="pct"/>
            <w:vAlign w:val="bottom"/>
          </w:tcPr>
          <w:p w:rsidR="009D700D" w:rsidRPr="00B97802" w:rsidRDefault="009D700D" w:rsidP="00BB7001">
            <w:pPr>
              <w:pStyle w:val="TableBodyText"/>
              <w:jc w:val="left"/>
            </w:pPr>
            <w:r w:rsidRPr="00B97802">
              <w:t>2011-12</w:t>
            </w:r>
          </w:p>
        </w:tc>
        <w:tc>
          <w:tcPr>
            <w:tcW w:w="270" w:type="pct"/>
            <w:vAlign w:val="bottom"/>
          </w:tcPr>
          <w:p w:rsidR="009D700D" w:rsidRPr="00B97802" w:rsidRDefault="009D700D" w:rsidP="00B76EC1">
            <w:pPr>
              <w:pStyle w:val="TableBodyText"/>
            </w:pPr>
            <w:r w:rsidRPr="00B97802">
              <w:t>$m</w:t>
            </w:r>
          </w:p>
        </w:tc>
        <w:tc>
          <w:tcPr>
            <w:tcW w:w="719" w:type="pct"/>
            <w:vAlign w:val="center"/>
          </w:tcPr>
          <w:p w:rsidR="009D700D" w:rsidRPr="00B97802" w:rsidRDefault="009D700D" w:rsidP="00B76EC1">
            <w:pPr>
              <w:pStyle w:val="TableBodyText"/>
              <w:rPr>
                <w:rFonts w:cs="Arial"/>
              </w:rPr>
            </w:pPr>
            <w:r w:rsidRPr="00B97802">
              <w:rPr>
                <w:rFonts w:cs="Arial"/>
              </w:rPr>
              <w:t xml:space="preserve"> 13 070.4</w:t>
            </w:r>
          </w:p>
        </w:tc>
        <w:tc>
          <w:tcPr>
            <w:tcW w:w="987" w:type="pct"/>
            <w:tcBorders>
              <w:left w:val="nil"/>
            </w:tcBorders>
            <w:vAlign w:val="center"/>
          </w:tcPr>
          <w:p w:rsidR="009D700D" w:rsidRPr="00B97802" w:rsidRDefault="009D700D" w:rsidP="009D700D">
            <w:pPr>
              <w:pStyle w:val="TableBodyText"/>
              <w:rPr>
                <w:rFonts w:cs="Arial"/>
              </w:rPr>
            </w:pPr>
            <w:r w:rsidRPr="00B97802">
              <w:rPr>
                <w:rFonts w:cs="Arial"/>
              </w:rPr>
              <w:t xml:space="preserve"> 6 893.6</w:t>
            </w:r>
          </w:p>
        </w:tc>
        <w:tc>
          <w:tcPr>
            <w:tcW w:w="883" w:type="pct"/>
            <w:tcBorders>
              <w:left w:val="nil"/>
            </w:tcBorders>
            <w:shd w:val="clear" w:color="auto" w:fill="auto"/>
            <w:vAlign w:val="center"/>
          </w:tcPr>
          <w:p w:rsidR="009D700D" w:rsidRPr="00B97802" w:rsidRDefault="009D700D" w:rsidP="009D700D">
            <w:pPr>
              <w:pStyle w:val="TableBodyText"/>
              <w:rPr>
                <w:rFonts w:cs="Arial"/>
              </w:rPr>
            </w:pPr>
            <w:r w:rsidRPr="00B97802">
              <w:rPr>
                <w:rFonts w:cs="Arial"/>
              </w:rPr>
              <w:t xml:space="preserve"> 3 762.4</w:t>
            </w:r>
          </w:p>
        </w:tc>
        <w:tc>
          <w:tcPr>
            <w:tcW w:w="607" w:type="pct"/>
            <w:vAlign w:val="center"/>
          </w:tcPr>
          <w:p w:rsidR="009D700D" w:rsidRPr="00B97802" w:rsidRDefault="009D700D" w:rsidP="009D700D">
            <w:pPr>
              <w:pStyle w:val="TableBodyText"/>
              <w:rPr>
                <w:rFonts w:cs="Arial"/>
              </w:rPr>
            </w:pPr>
            <w:r w:rsidRPr="00B97802">
              <w:rPr>
                <w:rFonts w:cs="Arial"/>
              </w:rPr>
              <w:t xml:space="preserve">  651.2</w:t>
            </w:r>
          </w:p>
        </w:tc>
        <w:tc>
          <w:tcPr>
            <w:tcW w:w="609" w:type="pct"/>
            <w:vAlign w:val="center"/>
          </w:tcPr>
          <w:p w:rsidR="009D700D" w:rsidRPr="00B97802" w:rsidRDefault="009D700D" w:rsidP="009D700D">
            <w:pPr>
              <w:pStyle w:val="TableBodyText"/>
              <w:rPr>
                <w:rFonts w:cs="Arial"/>
              </w:rPr>
            </w:pPr>
            <w:r w:rsidRPr="00B97802">
              <w:rPr>
                <w:rFonts w:cs="Arial"/>
              </w:rPr>
              <w:t xml:space="preserve"> 24 377.6</w:t>
            </w:r>
          </w:p>
        </w:tc>
      </w:tr>
      <w:tr w:rsidR="009D700D" w:rsidRPr="00B97802" w:rsidTr="006B1005">
        <w:tc>
          <w:tcPr>
            <w:tcW w:w="924" w:type="pct"/>
            <w:vAlign w:val="bottom"/>
          </w:tcPr>
          <w:p w:rsidR="009D700D" w:rsidRPr="00B97802" w:rsidRDefault="009D700D" w:rsidP="00BB7001">
            <w:pPr>
              <w:pStyle w:val="TableBodyText"/>
              <w:jc w:val="left"/>
            </w:pPr>
            <w:r w:rsidRPr="00B97802">
              <w:t>2012-13</w:t>
            </w:r>
          </w:p>
        </w:tc>
        <w:tc>
          <w:tcPr>
            <w:tcW w:w="270" w:type="pct"/>
            <w:vAlign w:val="bottom"/>
          </w:tcPr>
          <w:p w:rsidR="009D700D" w:rsidRPr="00B97802" w:rsidRDefault="009D700D" w:rsidP="00B76EC1">
            <w:pPr>
              <w:pStyle w:val="TableBodyText"/>
            </w:pPr>
            <w:r w:rsidRPr="00B97802">
              <w:t>$m</w:t>
            </w:r>
          </w:p>
        </w:tc>
        <w:tc>
          <w:tcPr>
            <w:tcW w:w="719" w:type="pct"/>
            <w:shd w:val="clear" w:color="auto" w:fill="auto"/>
            <w:vAlign w:val="center"/>
          </w:tcPr>
          <w:p w:rsidR="009D700D" w:rsidRPr="00B97802" w:rsidRDefault="009D700D" w:rsidP="000F2940">
            <w:pPr>
              <w:pStyle w:val="TableBodyText"/>
              <w:rPr>
                <w:rFonts w:cs="Arial"/>
              </w:rPr>
            </w:pPr>
            <w:r w:rsidRPr="00B97802">
              <w:rPr>
                <w:rFonts w:cs="Arial"/>
              </w:rPr>
              <w:t xml:space="preserve"> 13 629.7</w:t>
            </w:r>
          </w:p>
        </w:tc>
        <w:tc>
          <w:tcPr>
            <w:tcW w:w="987" w:type="pct"/>
            <w:tcBorders>
              <w:left w:val="nil"/>
            </w:tcBorders>
            <w:vAlign w:val="center"/>
          </w:tcPr>
          <w:p w:rsidR="009D700D" w:rsidRPr="00B97802" w:rsidRDefault="009D700D" w:rsidP="009D700D">
            <w:pPr>
              <w:pStyle w:val="TableBodyText"/>
              <w:rPr>
                <w:rFonts w:cs="Arial"/>
              </w:rPr>
            </w:pPr>
            <w:r w:rsidRPr="00B97802">
              <w:rPr>
                <w:rFonts w:cs="Arial"/>
              </w:rPr>
              <w:t xml:space="preserve"> 7 151.8</w:t>
            </w:r>
          </w:p>
        </w:tc>
        <w:tc>
          <w:tcPr>
            <w:tcW w:w="883" w:type="pct"/>
            <w:tcBorders>
              <w:left w:val="nil"/>
            </w:tcBorders>
            <w:shd w:val="clear" w:color="auto" w:fill="auto"/>
            <w:vAlign w:val="center"/>
          </w:tcPr>
          <w:p w:rsidR="009D700D" w:rsidRPr="00B97802" w:rsidRDefault="009D700D" w:rsidP="009D700D">
            <w:pPr>
              <w:pStyle w:val="TableBodyText"/>
              <w:rPr>
                <w:rFonts w:cs="Arial"/>
              </w:rPr>
            </w:pPr>
            <w:r w:rsidRPr="00B97802">
              <w:rPr>
                <w:rFonts w:cs="Arial"/>
              </w:rPr>
              <w:t xml:space="preserve"> 3 881.8</w:t>
            </w:r>
          </w:p>
        </w:tc>
        <w:tc>
          <w:tcPr>
            <w:tcW w:w="607" w:type="pct"/>
            <w:vAlign w:val="center"/>
          </w:tcPr>
          <w:p w:rsidR="009D700D" w:rsidRPr="00B97802" w:rsidRDefault="009D700D" w:rsidP="009D700D">
            <w:pPr>
              <w:pStyle w:val="TableBodyText"/>
              <w:rPr>
                <w:rFonts w:cs="Arial"/>
              </w:rPr>
            </w:pPr>
            <w:r w:rsidRPr="00B97802">
              <w:rPr>
                <w:rFonts w:cs="Arial"/>
              </w:rPr>
              <w:t xml:space="preserve">  663.2</w:t>
            </w:r>
          </w:p>
        </w:tc>
        <w:tc>
          <w:tcPr>
            <w:tcW w:w="609" w:type="pct"/>
            <w:shd w:val="clear" w:color="auto" w:fill="auto"/>
            <w:vAlign w:val="center"/>
          </w:tcPr>
          <w:p w:rsidR="009D700D" w:rsidRPr="00B97802" w:rsidRDefault="009D700D" w:rsidP="009D700D">
            <w:pPr>
              <w:pStyle w:val="TableBodyText"/>
              <w:rPr>
                <w:rFonts w:cs="Arial"/>
              </w:rPr>
            </w:pPr>
            <w:r w:rsidRPr="00B97802">
              <w:rPr>
                <w:rFonts w:cs="Arial"/>
              </w:rPr>
              <w:t xml:space="preserve"> 25 326.5</w:t>
            </w:r>
          </w:p>
        </w:tc>
      </w:tr>
      <w:tr w:rsidR="0009588B" w:rsidRPr="00B97802" w:rsidTr="006B1005">
        <w:tc>
          <w:tcPr>
            <w:tcW w:w="924" w:type="pct"/>
            <w:tcBorders>
              <w:bottom w:val="single" w:sz="4" w:space="0" w:color="auto"/>
            </w:tcBorders>
            <w:shd w:val="clear" w:color="auto" w:fill="auto"/>
            <w:vAlign w:val="bottom"/>
          </w:tcPr>
          <w:p w:rsidR="0009588B" w:rsidRPr="00B97802" w:rsidRDefault="0009588B" w:rsidP="00BB7001">
            <w:pPr>
              <w:pStyle w:val="TableBodyText"/>
              <w:jc w:val="left"/>
            </w:pPr>
            <w:r w:rsidRPr="00B97802">
              <w:t>Increase 2008-09 to 2012-13</w:t>
            </w:r>
          </w:p>
        </w:tc>
        <w:tc>
          <w:tcPr>
            <w:tcW w:w="270" w:type="pct"/>
            <w:tcBorders>
              <w:bottom w:val="single" w:sz="4" w:space="0" w:color="auto"/>
            </w:tcBorders>
            <w:shd w:val="clear" w:color="auto" w:fill="auto"/>
            <w:vAlign w:val="bottom"/>
          </w:tcPr>
          <w:p w:rsidR="0009588B" w:rsidRPr="00B97802" w:rsidRDefault="0009588B" w:rsidP="00B76EC1">
            <w:pPr>
              <w:pStyle w:val="TableBodyText"/>
              <w:rPr>
                <w:b/>
              </w:rPr>
            </w:pPr>
            <w:r w:rsidRPr="00B97802">
              <w:rPr>
                <w:b/>
              </w:rPr>
              <w:t>%</w:t>
            </w:r>
          </w:p>
        </w:tc>
        <w:tc>
          <w:tcPr>
            <w:tcW w:w="719" w:type="pct"/>
            <w:tcBorders>
              <w:bottom w:val="single" w:sz="4" w:space="0" w:color="auto"/>
            </w:tcBorders>
            <w:shd w:val="clear" w:color="auto" w:fill="auto"/>
            <w:vAlign w:val="bottom"/>
          </w:tcPr>
          <w:p w:rsidR="0009588B" w:rsidRPr="00B97802" w:rsidRDefault="0009588B" w:rsidP="00B76EC1">
            <w:pPr>
              <w:pStyle w:val="TableBodyText"/>
              <w:rPr>
                <w:b/>
              </w:rPr>
            </w:pPr>
            <w:r w:rsidRPr="00B97802">
              <w:rPr>
                <w:b/>
              </w:rPr>
              <w:t>22.0</w:t>
            </w:r>
          </w:p>
        </w:tc>
        <w:tc>
          <w:tcPr>
            <w:tcW w:w="987" w:type="pct"/>
            <w:tcBorders>
              <w:left w:val="nil"/>
              <w:bottom w:val="single" w:sz="4" w:space="0" w:color="auto"/>
            </w:tcBorders>
            <w:shd w:val="clear" w:color="auto" w:fill="auto"/>
            <w:vAlign w:val="bottom"/>
          </w:tcPr>
          <w:p w:rsidR="0009588B" w:rsidRPr="00B97802" w:rsidRDefault="009D700D" w:rsidP="00BB7001">
            <w:pPr>
              <w:pStyle w:val="TableBodyText"/>
              <w:rPr>
                <w:b/>
              </w:rPr>
            </w:pPr>
            <w:r w:rsidRPr="00B97802">
              <w:rPr>
                <w:b/>
              </w:rPr>
              <w:t>22.9</w:t>
            </w:r>
          </w:p>
        </w:tc>
        <w:tc>
          <w:tcPr>
            <w:tcW w:w="883" w:type="pct"/>
            <w:tcBorders>
              <w:left w:val="nil"/>
              <w:bottom w:val="single" w:sz="4" w:space="0" w:color="auto"/>
            </w:tcBorders>
            <w:shd w:val="clear" w:color="auto" w:fill="auto"/>
            <w:vAlign w:val="bottom"/>
          </w:tcPr>
          <w:p w:rsidR="0009588B" w:rsidRPr="00B97802" w:rsidRDefault="0009588B" w:rsidP="006B1005">
            <w:pPr>
              <w:pStyle w:val="TableBodyText"/>
              <w:rPr>
                <w:b/>
                <w:i/>
              </w:rPr>
            </w:pPr>
            <w:r w:rsidRPr="00B97802">
              <w:rPr>
                <w:b/>
              </w:rPr>
              <w:t>40.8</w:t>
            </w:r>
          </w:p>
        </w:tc>
        <w:tc>
          <w:tcPr>
            <w:tcW w:w="607" w:type="pct"/>
            <w:tcBorders>
              <w:bottom w:val="single" w:sz="4" w:space="0" w:color="auto"/>
            </w:tcBorders>
            <w:vAlign w:val="bottom"/>
          </w:tcPr>
          <w:p w:rsidR="0009588B" w:rsidRPr="00B97802" w:rsidRDefault="00BB7001" w:rsidP="006B1005">
            <w:pPr>
              <w:pStyle w:val="TableBodyText"/>
              <w:rPr>
                <w:b/>
                <w:i/>
              </w:rPr>
            </w:pPr>
            <w:r w:rsidRPr="00B97802">
              <w:rPr>
                <w:b/>
              </w:rPr>
              <w:t>..</w:t>
            </w:r>
          </w:p>
        </w:tc>
        <w:tc>
          <w:tcPr>
            <w:tcW w:w="609" w:type="pct"/>
            <w:tcBorders>
              <w:bottom w:val="single" w:sz="4" w:space="0" w:color="auto"/>
            </w:tcBorders>
            <w:shd w:val="clear" w:color="auto" w:fill="auto"/>
            <w:vAlign w:val="bottom"/>
          </w:tcPr>
          <w:p w:rsidR="0009588B" w:rsidRPr="00B97802" w:rsidRDefault="009D700D" w:rsidP="006B1005">
            <w:pPr>
              <w:pStyle w:val="TableBodyText"/>
              <w:rPr>
                <w:b/>
                <w:i/>
              </w:rPr>
            </w:pPr>
            <w:r w:rsidRPr="00B97802">
              <w:rPr>
                <w:b/>
              </w:rPr>
              <w:t>28.2</w:t>
            </w:r>
          </w:p>
        </w:tc>
      </w:tr>
    </w:tbl>
    <w:p w:rsidR="00BB7001" w:rsidRPr="00B97802" w:rsidRDefault="00BB7001" w:rsidP="00BB7001">
      <w:pPr>
        <w:pStyle w:val="Note"/>
        <w:rPr>
          <w:b/>
          <w:szCs w:val="26"/>
        </w:rPr>
      </w:pPr>
      <w:r w:rsidRPr="00B97802">
        <w:rPr>
          <w:b/>
          <w:szCs w:val="26"/>
        </w:rPr>
        <w:t>ACS</w:t>
      </w:r>
      <w:r w:rsidRPr="00B97802">
        <w:rPr>
          <w:szCs w:val="26"/>
        </w:rPr>
        <w:t xml:space="preserve"> = Aged care services.</w:t>
      </w:r>
      <w:r w:rsidRPr="00B97802">
        <w:rPr>
          <w:b/>
          <w:szCs w:val="26"/>
        </w:rPr>
        <w:t xml:space="preserve"> SPWD </w:t>
      </w:r>
      <w:r w:rsidRPr="00B97802">
        <w:rPr>
          <w:szCs w:val="26"/>
        </w:rPr>
        <w:t>= Services for people with disability.</w:t>
      </w:r>
      <w:r w:rsidRPr="00B97802">
        <w:rPr>
          <w:b/>
          <w:szCs w:val="26"/>
        </w:rPr>
        <w:t xml:space="preserve"> CPS</w:t>
      </w:r>
      <w:r w:rsidRPr="00B97802">
        <w:rPr>
          <w:szCs w:val="26"/>
        </w:rPr>
        <w:t xml:space="preserve"> = Child protection services. </w:t>
      </w:r>
      <w:r w:rsidRPr="00B97802">
        <w:rPr>
          <w:b/>
          <w:szCs w:val="26"/>
        </w:rPr>
        <w:t>YJS </w:t>
      </w:r>
      <w:r w:rsidR="00DD284A" w:rsidRPr="00B97802">
        <w:rPr>
          <w:szCs w:val="26"/>
        </w:rPr>
        <w:t>= Y</w:t>
      </w:r>
      <w:r w:rsidRPr="00B97802">
        <w:rPr>
          <w:szCs w:val="26"/>
        </w:rPr>
        <w:t>outh justice services</w:t>
      </w:r>
      <w:r w:rsidR="00DD284A" w:rsidRPr="00B97802">
        <w:rPr>
          <w:szCs w:val="26"/>
        </w:rPr>
        <w:t>.</w:t>
      </w:r>
    </w:p>
    <w:p w:rsidR="00CD37EF" w:rsidRPr="00B97802" w:rsidRDefault="00CD37EF" w:rsidP="00551B18">
      <w:pPr>
        <w:pStyle w:val="Note"/>
      </w:pPr>
      <w:r w:rsidRPr="00B97802">
        <w:rPr>
          <w:rStyle w:val="NoteLabel"/>
        </w:rPr>
        <w:t>a</w:t>
      </w:r>
      <w:r w:rsidRPr="00B97802">
        <w:t xml:space="preserve"> </w:t>
      </w:r>
      <w:r w:rsidR="00003939" w:rsidRPr="00B97802">
        <w:rPr>
          <w:szCs w:val="26"/>
        </w:rPr>
        <w:t>Real dollars are previous years’ expenditure in current year’s dollars after basing expenditure on the ABS GGFCE chain price deflator 201</w:t>
      </w:r>
      <w:r w:rsidR="00B7089E" w:rsidRPr="00B97802">
        <w:rPr>
          <w:szCs w:val="26"/>
        </w:rPr>
        <w:t>2</w:t>
      </w:r>
      <w:r w:rsidR="00003939" w:rsidRPr="00B97802">
        <w:rPr>
          <w:szCs w:val="26"/>
        </w:rPr>
        <w:t>-1</w:t>
      </w:r>
      <w:r w:rsidR="00B7089E" w:rsidRPr="00B97802">
        <w:rPr>
          <w:szCs w:val="26"/>
        </w:rPr>
        <w:t>3</w:t>
      </w:r>
      <w:r w:rsidR="00DD284A" w:rsidRPr="00B97802">
        <w:rPr>
          <w:szCs w:val="26"/>
        </w:rPr>
        <w:t xml:space="preserve"> </w:t>
      </w:r>
      <w:r w:rsidR="00003939" w:rsidRPr="00B97802">
        <w:rPr>
          <w:szCs w:val="26"/>
        </w:rPr>
        <w:t>=</w:t>
      </w:r>
      <w:r w:rsidR="00DD284A" w:rsidRPr="00B97802">
        <w:rPr>
          <w:szCs w:val="26"/>
        </w:rPr>
        <w:t xml:space="preserve"> </w:t>
      </w:r>
      <w:r w:rsidR="00003939" w:rsidRPr="00B97802">
        <w:rPr>
          <w:szCs w:val="26"/>
        </w:rPr>
        <w:t xml:space="preserve">100 (table 2A.51). </w:t>
      </w:r>
      <w:r w:rsidR="00003939" w:rsidRPr="00B97802">
        <w:t>GGFCE replaces the Gross Domestic Product implicit price deflator used in previous editions. See Chapter 2 (section 2.5) for details</w:t>
      </w:r>
      <w:r w:rsidRPr="00B97802">
        <w:t xml:space="preserve">. </w:t>
      </w:r>
      <w:r w:rsidR="00D348C7" w:rsidRPr="00B97802">
        <w:rPr>
          <w:rStyle w:val="NoteLabel"/>
        </w:rPr>
        <w:t>b</w:t>
      </w:r>
      <w:r w:rsidRPr="00B97802">
        <w:t xml:space="preserve"> Totals may not add as a result of rounding. </w:t>
      </w:r>
      <w:r w:rsidR="00D348C7" w:rsidRPr="00B97802">
        <w:rPr>
          <w:rStyle w:val="NoteLabel"/>
        </w:rPr>
        <w:t>c</w:t>
      </w:r>
      <w:r w:rsidRPr="00B97802">
        <w:rPr>
          <w:rStyle w:val="NoteLabel"/>
        </w:rPr>
        <w:t> </w:t>
      </w:r>
      <w:r w:rsidRPr="00B97802">
        <w:t xml:space="preserve">See box F.2 for the major programs included in expenditure for each service. </w:t>
      </w:r>
      <w:r w:rsidR="00D348C7" w:rsidRPr="00B97802">
        <w:rPr>
          <w:rStyle w:val="NoteLabel"/>
        </w:rPr>
        <w:t>d</w:t>
      </w:r>
      <w:r w:rsidRPr="00B97802">
        <w:t xml:space="preserve"> </w:t>
      </w:r>
      <w:r w:rsidR="009D700D" w:rsidRPr="00B97802">
        <w:t xml:space="preserve">NSW provided funding via a transfer of $131 million (2011-12) and $130 million (2012-13) to the Australian Government for the notional support costs for younger people receiving residential and packaged aged care, as required under the National Partnership Agreement on Transitioning Responsibilities for Aged Care and Disability Services. This expenditure is included in NSW disability figures when reporting to NSW central agencies. This expenditure is not included in disability expenditure in this Report. This expenditure is included in the Aged Care expenditure. </w:t>
      </w:r>
      <w:r w:rsidR="000F2940" w:rsidRPr="00B97802">
        <w:rPr>
          <w:rStyle w:val="NoteLabel"/>
        </w:rPr>
        <w:t>e</w:t>
      </w:r>
      <w:r w:rsidR="000F2940" w:rsidRPr="00B97802">
        <w:t xml:space="preserve"> </w:t>
      </w:r>
      <w:r w:rsidRPr="00B97802">
        <w:t>More detailed expenditure data can be found in the relevant chapters of the Report.</w:t>
      </w:r>
      <w:r w:rsidRPr="00B97802">
        <w:rPr>
          <w:rStyle w:val="NoteLabel"/>
        </w:rPr>
        <w:t xml:space="preserve"> </w:t>
      </w:r>
      <w:r w:rsidR="00BB7001" w:rsidRPr="00B97802">
        <w:rPr>
          <w:rStyle w:val="NoteLabel"/>
        </w:rPr>
        <w:t xml:space="preserve">f </w:t>
      </w:r>
      <w:r w:rsidR="0098024F" w:rsidRPr="00B97802">
        <w:t xml:space="preserve">Expenditure for family support services is included in Child protection services totals for 2011-12 and 2012-13. </w:t>
      </w:r>
      <w:r w:rsidR="0098024F" w:rsidRPr="00B97802">
        <w:rPr>
          <w:rStyle w:val="NoteLabel"/>
        </w:rPr>
        <w:t xml:space="preserve">f </w:t>
      </w:r>
      <w:r w:rsidR="0098024F" w:rsidRPr="00B97802">
        <w:t xml:space="preserve">Data for Youth justice services </w:t>
      </w:r>
      <w:r w:rsidR="00DD284A" w:rsidRPr="00B97802">
        <w:t>are</w:t>
      </w:r>
      <w:r w:rsidR="0098024F" w:rsidRPr="00B97802">
        <w:t xml:space="preserve"> not available for 2010-11 and </w:t>
      </w:r>
      <w:r w:rsidR="00B7089E" w:rsidRPr="00B97802">
        <w:t>previous years</w:t>
      </w:r>
      <w:r w:rsidR="0098024F" w:rsidRPr="00B97802">
        <w:t>.</w:t>
      </w:r>
    </w:p>
    <w:p w:rsidR="00CD37EF" w:rsidRPr="003446C1" w:rsidRDefault="00CD37EF" w:rsidP="00CD37EF">
      <w:pPr>
        <w:pStyle w:val="Source"/>
      </w:pPr>
      <w:r w:rsidRPr="00B97802">
        <w:rPr>
          <w:i/>
        </w:rPr>
        <w:t>Source</w:t>
      </w:r>
      <w:r w:rsidRPr="00B97802">
        <w:t>: Australian, State and Territory governments (unpublished); tables 13A.6, 14A.4, 15A.1</w:t>
      </w:r>
      <w:r w:rsidR="00C0360E" w:rsidRPr="00B97802">
        <w:t xml:space="preserve">, </w:t>
      </w:r>
      <w:r w:rsidR="0098024F" w:rsidRPr="00B97802">
        <w:t>16A</w:t>
      </w:r>
      <w:r w:rsidR="00C0360E" w:rsidRPr="003446C1">
        <w:t>.1</w:t>
      </w:r>
      <w:r w:rsidR="00826D7B" w:rsidRPr="003446C1">
        <w:t xml:space="preserve"> </w:t>
      </w:r>
      <w:r w:rsidRPr="003446C1">
        <w:t xml:space="preserve">and </w:t>
      </w:r>
      <w:r w:rsidR="0098024F">
        <w:t>2</w:t>
      </w:r>
      <w:r w:rsidR="0098024F" w:rsidRPr="003446C1">
        <w:t>A</w:t>
      </w:r>
      <w:r w:rsidR="00C7348D" w:rsidRPr="003446C1">
        <w:t>.</w:t>
      </w:r>
      <w:r w:rsidR="00BD1A97" w:rsidRPr="003446C1">
        <w:t>51</w:t>
      </w:r>
      <w:r w:rsidRPr="003446C1">
        <w:t>.</w:t>
      </w:r>
    </w:p>
    <w:p w:rsidR="00CD37EF" w:rsidRPr="003446C1" w:rsidRDefault="00CD37EF" w:rsidP="00CD37EF">
      <w:pPr>
        <w:pStyle w:val="Heading5"/>
      </w:pPr>
      <w:r w:rsidRPr="003446C1">
        <w:t>Expenditure available for reporting at a State and Territory level</w:t>
      </w:r>
    </w:p>
    <w:p w:rsidR="00CD37EF" w:rsidRPr="003446C1" w:rsidRDefault="00CD37EF" w:rsidP="00CD37EF">
      <w:pPr>
        <w:pStyle w:val="BodyText"/>
      </w:pPr>
      <w:r w:rsidRPr="003446C1">
        <w:t>Table F.2 identif</w:t>
      </w:r>
      <w:r w:rsidR="00793430" w:rsidRPr="003446C1">
        <w:t>ies</w:t>
      </w:r>
      <w:r w:rsidRPr="003446C1">
        <w:t xml:space="preserve"> expenditure </w:t>
      </w:r>
      <w:r w:rsidR="00BA3C40" w:rsidRPr="003446C1">
        <w:t xml:space="preserve">on community services included in this Report </w:t>
      </w:r>
      <w:r w:rsidR="00965531" w:rsidRPr="003446C1">
        <w:t xml:space="preserve">by State and Territory governments and </w:t>
      </w:r>
      <w:r w:rsidR="00BA3C40" w:rsidRPr="003446C1">
        <w:t xml:space="preserve">the </w:t>
      </w:r>
      <w:r w:rsidR="00965531" w:rsidRPr="003446C1">
        <w:t>Australian Government</w:t>
      </w:r>
      <w:r w:rsidR="00BA3C40" w:rsidRPr="003446C1">
        <w:t>,</w:t>
      </w:r>
      <w:r w:rsidR="00965531" w:rsidRPr="003446C1">
        <w:t xml:space="preserve"> available for reporting </w:t>
      </w:r>
      <w:r w:rsidR="00BA3C40" w:rsidRPr="003446C1">
        <w:t>by</w:t>
      </w:r>
      <w:r w:rsidR="00965531" w:rsidRPr="003446C1">
        <w:t xml:space="preserve"> State and Territory </w:t>
      </w:r>
      <w:r w:rsidRPr="003446C1">
        <w:t xml:space="preserve">for </w:t>
      </w:r>
      <w:r w:rsidR="00797083" w:rsidRPr="003446C1">
        <w:t>201</w:t>
      </w:r>
      <w:r w:rsidR="00797083">
        <w:t>2</w:t>
      </w:r>
      <w:r w:rsidRPr="003446C1">
        <w:t>-</w:t>
      </w:r>
      <w:r w:rsidR="00797083" w:rsidRPr="003446C1">
        <w:t>1</w:t>
      </w:r>
      <w:r w:rsidR="00797083">
        <w:t>3</w:t>
      </w:r>
      <w:r w:rsidRPr="003446C1">
        <w:t xml:space="preserve">. </w:t>
      </w:r>
    </w:p>
    <w:p w:rsidR="00CD37EF" w:rsidRPr="003446C1" w:rsidRDefault="00CD37EF" w:rsidP="00F42D03">
      <w:pPr>
        <w:pStyle w:val="TableTitle"/>
      </w:pPr>
      <w:r w:rsidRPr="003446C1">
        <w:rPr>
          <w:b w:val="0"/>
        </w:rPr>
        <w:lastRenderedPageBreak/>
        <w:t xml:space="preserve">Table </w:t>
      </w:r>
      <w:r w:rsidR="007574B1" w:rsidRPr="003446C1">
        <w:rPr>
          <w:b w:val="0"/>
        </w:rPr>
        <w:t>F.</w:t>
      </w:r>
      <w:r w:rsidR="00914946">
        <w:rPr>
          <w:b w:val="0"/>
          <w:noProof/>
        </w:rPr>
        <w:t>2</w:t>
      </w:r>
      <w:r w:rsidRPr="003446C1">
        <w:tab/>
        <w:t xml:space="preserve">Government recurrent expenditure on community services, </w:t>
      </w:r>
      <w:r w:rsidR="00677311" w:rsidRPr="003446C1">
        <w:t>201</w:t>
      </w:r>
      <w:r w:rsidR="00677311">
        <w:t>2</w:t>
      </w:r>
      <w:r w:rsidRPr="003446C1">
        <w:t>-</w:t>
      </w:r>
      <w:r w:rsidR="00677311" w:rsidRPr="003446C1">
        <w:t>1</w:t>
      </w:r>
      <w:r w:rsidR="00677311">
        <w:t>3</w:t>
      </w:r>
      <w:r w:rsidR="00677311" w:rsidRPr="003446C1">
        <w:rPr>
          <w:rStyle w:val="NoteLabel"/>
          <w:b/>
        </w:rPr>
        <w:t>a</w:t>
      </w:r>
      <w:r w:rsidRPr="003446C1">
        <w:rPr>
          <w:rStyle w:val="NoteLabel"/>
          <w:b/>
        </w:rPr>
        <w:t>, b, c, d, e</w:t>
      </w:r>
      <w:r w:rsidR="000F2940" w:rsidRPr="003446C1">
        <w:rPr>
          <w:rStyle w:val="NoteLabel"/>
          <w:b/>
        </w:rPr>
        <w:t>, f,</w:t>
      </w:r>
    </w:p>
    <w:tbl>
      <w:tblPr>
        <w:tblW w:w="5000" w:type="pct"/>
        <w:tblLayout w:type="fixed"/>
        <w:tblCellMar>
          <w:left w:w="0" w:type="dxa"/>
          <w:right w:w="0" w:type="dxa"/>
        </w:tblCellMar>
        <w:tblLook w:val="0000" w:firstRow="0" w:lastRow="0" w:firstColumn="0" w:lastColumn="0" w:noHBand="0" w:noVBand="0"/>
      </w:tblPr>
      <w:tblGrid>
        <w:gridCol w:w="850"/>
        <w:gridCol w:w="568"/>
        <w:gridCol w:w="853"/>
        <w:gridCol w:w="851"/>
        <w:gridCol w:w="851"/>
        <w:gridCol w:w="851"/>
        <w:gridCol w:w="847"/>
        <w:gridCol w:w="710"/>
        <w:gridCol w:w="708"/>
        <w:gridCol w:w="710"/>
        <w:gridCol w:w="990"/>
      </w:tblGrid>
      <w:tr w:rsidR="0086694C" w:rsidRPr="003446C1" w:rsidTr="006B1005">
        <w:tc>
          <w:tcPr>
            <w:tcW w:w="484" w:type="pct"/>
            <w:tcBorders>
              <w:top w:val="single" w:sz="6" w:space="0" w:color="auto"/>
              <w:bottom w:val="single" w:sz="6" w:space="0" w:color="auto"/>
            </w:tcBorders>
            <w:shd w:val="clear" w:color="auto" w:fill="auto"/>
          </w:tcPr>
          <w:p w:rsidR="00CD37EF" w:rsidRPr="003446C1" w:rsidRDefault="00CD37EF" w:rsidP="001443C8">
            <w:pPr>
              <w:pStyle w:val="TableColumnHeading"/>
              <w:jc w:val="left"/>
            </w:pPr>
          </w:p>
        </w:tc>
        <w:tc>
          <w:tcPr>
            <w:tcW w:w="323" w:type="pct"/>
            <w:tcBorders>
              <w:top w:val="single" w:sz="6" w:space="0" w:color="auto"/>
              <w:bottom w:val="single" w:sz="6" w:space="0" w:color="auto"/>
            </w:tcBorders>
            <w:shd w:val="clear" w:color="auto" w:fill="auto"/>
          </w:tcPr>
          <w:p w:rsidR="00CD37EF" w:rsidRPr="003446C1" w:rsidRDefault="002B47C3" w:rsidP="001443C8">
            <w:pPr>
              <w:pStyle w:val="TableColumnHeading"/>
            </w:pPr>
            <w:r w:rsidRPr="003446C1">
              <w:t>Unit</w:t>
            </w:r>
          </w:p>
        </w:tc>
        <w:tc>
          <w:tcPr>
            <w:tcW w:w="485"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NSW</w:t>
            </w:r>
          </w:p>
        </w:tc>
        <w:tc>
          <w:tcPr>
            <w:tcW w:w="484"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Vic</w:t>
            </w:r>
          </w:p>
        </w:tc>
        <w:tc>
          <w:tcPr>
            <w:tcW w:w="484"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Qld</w:t>
            </w:r>
          </w:p>
        </w:tc>
        <w:tc>
          <w:tcPr>
            <w:tcW w:w="484"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WA</w:t>
            </w:r>
          </w:p>
        </w:tc>
        <w:tc>
          <w:tcPr>
            <w:tcW w:w="482"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SA</w:t>
            </w:r>
          </w:p>
        </w:tc>
        <w:tc>
          <w:tcPr>
            <w:tcW w:w="404"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Tas</w:t>
            </w:r>
          </w:p>
        </w:tc>
        <w:tc>
          <w:tcPr>
            <w:tcW w:w="403"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ACT</w:t>
            </w:r>
          </w:p>
        </w:tc>
        <w:tc>
          <w:tcPr>
            <w:tcW w:w="404" w:type="pct"/>
            <w:tcBorders>
              <w:top w:val="single" w:sz="6" w:space="0" w:color="auto"/>
              <w:bottom w:val="single" w:sz="6" w:space="0" w:color="auto"/>
            </w:tcBorders>
            <w:shd w:val="clear" w:color="auto" w:fill="auto"/>
          </w:tcPr>
          <w:p w:rsidR="00CD37EF" w:rsidRPr="003446C1" w:rsidRDefault="00CD37EF" w:rsidP="001443C8">
            <w:pPr>
              <w:pStyle w:val="TableColumnHeading"/>
            </w:pPr>
            <w:r w:rsidRPr="003446C1">
              <w:t>NT</w:t>
            </w:r>
          </w:p>
        </w:tc>
        <w:tc>
          <w:tcPr>
            <w:tcW w:w="563" w:type="pct"/>
            <w:tcBorders>
              <w:top w:val="single" w:sz="6" w:space="0" w:color="auto"/>
              <w:bottom w:val="single" w:sz="6" w:space="0" w:color="auto"/>
            </w:tcBorders>
            <w:shd w:val="clear" w:color="auto" w:fill="auto"/>
          </w:tcPr>
          <w:p w:rsidR="00CD37EF" w:rsidRPr="003446C1" w:rsidRDefault="00CD37EF" w:rsidP="001443C8">
            <w:pPr>
              <w:pStyle w:val="TableColumnHeading"/>
              <w:ind w:right="28"/>
            </w:pPr>
            <w:r w:rsidRPr="003446C1">
              <w:t>Aust</w:t>
            </w:r>
          </w:p>
        </w:tc>
      </w:tr>
      <w:tr w:rsidR="00CD37EF" w:rsidRPr="003446C1" w:rsidTr="006B1005">
        <w:tc>
          <w:tcPr>
            <w:tcW w:w="5000" w:type="pct"/>
            <w:gridSpan w:val="11"/>
            <w:tcBorders>
              <w:top w:val="single" w:sz="6" w:space="0" w:color="auto"/>
            </w:tcBorders>
          </w:tcPr>
          <w:p w:rsidR="00CD37EF" w:rsidRPr="003446C1" w:rsidRDefault="00CD37EF" w:rsidP="001443C8">
            <w:pPr>
              <w:pStyle w:val="TableBodyText"/>
              <w:ind w:left="0"/>
              <w:jc w:val="both"/>
              <w:rPr>
                <w:b/>
              </w:rPr>
            </w:pPr>
            <w:r w:rsidRPr="003446C1">
              <w:rPr>
                <w:b/>
              </w:rPr>
              <w:t>Recurrent expenditure on community services</w:t>
            </w:r>
          </w:p>
        </w:tc>
      </w:tr>
      <w:tr w:rsidR="007859A6" w:rsidRPr="00B97802" w:rsidTr="006B1005">
        <w:trPr>
          <w:trHeight w:val="237"/>
        </w:trPr>
        <w:tc>
          <w:tcPr>
            <w:tcW w:w="484" w:type="pct"/>
            <w:vAlign w:val="bottom"/>
          </w:tcPr>
          <w:p w:rsidR="007859A6" w:rsidRPr="00B97802" w:rsidRDefault="007859A6" w:rsidP="001866FC">
            <w:pPr>
              <w:pStyle w:val="TableBodyText"/>
              <w:ind w:left="57"/>
              <w:jc w:val="left"/>
            </w:pPr>
            <w:r w:rsidRPr="00B97802">
              <w:t>ACS</w:t>
            </w:r>
          </w:p>
        </w:tc>
        <w:tc>
          <w:tcPr>
            <w:tcW w:w="323" w:type="pct"/>
            <w:vAlign w:val="bottom"/>
          </w:tcPr>
          <w:p w:rsidR="007859A6" w:rsidRPr="00B97802" w:rsidRDefault="007859A6" w:rsidP="001866FC">
            <w:pPr>
              <w:pStyle w:val="TableBodyText"/>
            </w:pPr>
            <w:r w:rsidRPr="00B97802">
              <w:t>$m</w:t>
            </w:r>
          </w:p>
        </w:tc>
        <w:tc>
          <w:tcPr>
            <w:tcW w:w="485"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4350.9</w:t>
            </w:r>
          </w:p>
        </w:tc>
        <w:tc>
          <w:tcPr>
            <w:tcW w:w="484" w:type="pct"/>
            <w:tcBorders>
              <w:left w:val="nil"/>
            </w:tcBorders>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3430.7</w:t>
            </w:r>
          </w:p>
        </w:tc>
        <w:tc>
          <w:tcPr>
            <w:tcW w:w="48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2591.0</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1256.4</w:t>
            </w:r>
          </w:p>
        </w:tc>
        <w:tc>
          <w:tcPr>
            <w:tcW w:w="482"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1279.4</w:t>
            </w:r>
          </w:p>
        </w:tc>
        <w:tc>
          <w:tcPr>
            <w:tcW w:w="40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369.9</w:t>
            </w:r>
          </w:p>
        </w:tc>
        <w:tc>
          <w:tcPr>
            <w:tcW w:w="403" w:type="pct"/>
            <w:tcBorders>
              <w:left w:val="nil"/>
            </w:tcBorders>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161.7</w:t>
            </w:r>
          </w:p>
        </w:tc>
        <w:tc>
          <w:tcPr>
            <w:tcW w:w="40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81.9</w:t>
            </w:r>
          </w:p>
        </w:tc>
        <w:tc>
          <w:tcPr>
            <w:tcW w:w="563" w:type="pct"/>
            <w:tcBorders>
              <w:left w:val="nil"/>
            </w:tcBorders>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13629.7</w:t>
            </w:r>
          </w:p>
        </w:tc>
      </w:tr>
      <w:tr w:rsidR="007859A6" w:rsidRPr="00B97802" w:rsidTr="00B330D4">
        <w:trPr>
          <w:trHeight w:val="237"/>
        </w:trPr>
        <w:tc>
          <w:tcPr>
            <w:tcW w:w="484" w:type="pct"/>
            <w:vAlign w:val="bottom"/>
          </w:tcPr>
          <w:p w:rsidR="007859A6" w:rsidRPr="00B97802" w:rsidRDefault="007859A6" w:rsidP="001866FC">
            <w:pPr>
              <w:pStyle w:val="TableBodyText"/>
              <w:ind w:left="57"/>
              <w:jc w:val="left"/>
            </w:pPr>
            <w:r w:rsidRPr="00B97802">
              <w:t>SPWD</w:t>
            </w:r>
          </w:p>
        </w:tc>
        <w:tc>
          <w:tcPr>
            <w:tcW w:w="323" w:type="pct"/>
            <w:vAlign w:val="bottom"/>
          </w:tcPr>
          <w:p w:rsidR="007859A6" w:rsidRPr="00B97802" w:rsidRDefault="007859A6" w:rsidP="001866FC">
            <w:pPr>
              <w:pStyle w:val="TableBodyText"/>
            </w:pPr>
            <w:r w:rsidRPr="00B97802">
              <w:t>$m</w:t>
            </w:r>
          </w:p>
        </w:tc>
        <w:tc>
          <w:tcPr>
            <w:tcW w:w="485"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2072.8</w:t>
            </w:r>
          </w:p>
        </w:tc>
        <w:tc>
          <w:tcPr>
            <w:tcW w:w="484" w:type="pct"/>
            <w:tcBorders>
              <w:left w:val="nil"/>
            </w:tcBorders>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1530.9</w:t>
            </w:r>
          </w:p>
        </w:tc>
        <w:tc>
          <w:tcPr>
            <w:tcW w:w="48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1112.2</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717.7</w:t>
            </w:r>
          </w:p>
        </w:tc>
        <w:tc>
          <w:tcPr>
            <w:tcW w:w="482"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477.4</w:t>
            </w:r>
          </w:p>
        </w:tc>
        <w:tc>
          <w:tcPr>
            <w:tcW w:w="40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162.9</w:t>
            </w:r>
          </w:p>
        </w:tc>
        <w:tc>
          <w:tcPr>
            <w:tcW w:w="403" w:type="pct"/>
            <w:tcBorders>
              <w:left w:val="nil"/>
            </w:tcBorders>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93.6</w:t>
            </w:r>
          </w:p>
        </w:tc>
        <w:tc>
          <w:tcPr>
            <w:tcW w:w="404" w:type="pct"/>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73.3</w:t>
            </w:r>
          </w:p>
        </w:tc>
        <w:tc>
          <w:tcPr>
            <w:tcW w:w="563" w:type="pct"/>
            <w:tcBorders>
              <w:left w:val="nil"/>
            </w:tcBorders>
            <w:shd w:val="clear" w:color="auto" w:fill="auto"/>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7151.8</w:t>
            </w:r>
          </w:p>
        </w:tc>
      </w:tr>
      <w:tr w:rsidR="007859A6" w:rsidRPr="00B97802" w:rsidTr="006B1005">
        <w:tc>
          <w:tcPr>
            <w:tcW w:w="484" w:type="pct"/>
            <w:vAlign w:val="bottom"/>
          </w:tcPr>
          <w:p w:rsidR="007859A6" w:rsidRPr="00B97802" w:rsidRDefault="007859A6" w:rsidP="001866FC">
            <w:pPr>
              <w:pStyle w:val="TableBodyText"/>
              <w:ind w:left="57" w:right="0"/>
              <w:jc w:val="left"/>
            </w:pPr>
            <w:r w:rsidRPr="00B97802">
              <w:t>CPS</w:t>
            </w:r>
          </w:p>
        </w:tc>
        <w:tc>
          <w:tcPr>
            <w:tcW w:w="323" w:type="pct"/>
            <w:vAlign w:val="bottom"/>
          </w:tcPr>
          <w:p w:rsidR="007859A6" w:rsidRPr="00B97802" w:rsidRDefault="007859A6" w:rsidP="001866FC">
            <w:pPr>
              <w:pStyle w:val="TableBodyText"/>
            </w:pPr>
            <w:r w:rsidRPr="00B97802">
              <w:t>$m</w:t>
            </w:r>
          </w:p>
        </w:tc>
        <w:tc>
          <w:tcPr>
            <w:tcW w:w="485"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1401.9</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735.7</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817.3</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409.7</w:t>
            </w:r>
          </w:p>
        </w:tc>
        <w:tc>
          <w:tcPr>
            <w:tcW w:w="482"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219.2</w:t>
            </w:r>
          </w:p>
        </w:tc>
        <w:tc>
          <w:tcPr>
            <w:tcW w:w="40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75.1</w:t>
            </w:r>
          </w:p>
        </w:tc>
        <w:tc>
          <w:tcPr>
            <w:tcW w:w="403"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46.2</w:t>
            </w:r>
          </w:p>
        </w:tc>
        <w:tc>
          <w:tcPr>
            <w:tcW w:w="40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176.6</w:t>
            </w:r>
          </w:p>
        </w:tc>
        <w:tc>
          <w:tcPr>
            <w:tcW w:w="563"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3881.8</w:t>
            </w:r>
          </w:p>
        </w:tc>
      </w:tr>
      <w:tr w:rsidR="007859A6" w:rsidRPr="00B97802" w:rsidTr="006B1005">
        <w:tc>
          <w:tcPr>
            <w:tcW w:w="484" w:type="pct"/>
            <w:vAlign w:val="bottom"/>
          </w:tcPr>
          <w:p w:rsidR="007859A6" w:rsidRPr="00B97802" w:rsidRDefault="007859A6" w:rsidP="001866FC">
            <w:pPr>
              <w:pStyle w:val="TableBodyText"/>
              <w:ind w:left="57" w:right="0"/>
              <w:jc w:val="left"/>
            </w:pPr>
            <w:r w:rsidRPr="00B97802">
              <w:t>YJS</w:t>
            </w:r>
          </w:p>
        </w:tc>
        <w:tc>
          <w:tcPr>
            <w:tcW w:w="323" w:type="pct"/>
            <w:vAlign w:val="bottom"/>
          </w:tcPr>
          <w:p w:rsidR="007859A6" w:rsidRPr="00B97802" w:rsidRDefault="007859A6" w:rsidP="001866FC">
            <w:pPr>
              <w:pStyle w:val="TableBodyText"/>
            </w:pPr>
            <w:r w:rsidRPr="00B97802">
              <w:t>$m</w:t>
            </w:r>
          </w:p>
        </w:tc>
        <w:tc>
          <w:tcPr>
            <w:tcW w:w="485" w:type="pct"/>
            <w:vAlign w:val="center"/>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207.0</w:t>
            </w:r>
          </w:p>
        </w:tc>
        <w:tc>
          <w:tcPr>
            <w:tcW w:w="484" w:type="pct"/>
            <w:vAlign w:val="center"/>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116.3</w:t>
            </w:r>
          </w:p>
        </w:tc>
        <w:tc>
          <w:tcPr>
            <w:tcW w:w="484" w:type="pct"/>
            <w:vAlign w:val="center"/>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144.3</w:t>
            </w:r>
          </w:p>
        </w:tc>
        <w:tc>
          <w:tcPr>
            <w:tcW w:w="48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100.3</w:t>
            </w:r>
          </w:p>
        </w:tc>
        <w:tc>
          <w:tcPr>
            <w:tcW w:w="482"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36.3</w:t>
            </w:r>
          </w:p>
        </w:tc>
        <w:tc>
          <w:tcPr>
            <w:tcW w:w="40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18.0</w:t>
            </w:r>
          </w:p>
        </w:tc>
        <w:tc>
          <w:tcPr>
            <w:tcW w:w="403"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19.3</w:t>
            </w:r>
          </w:p>
        </w:tc>
        <w:tc>
          <w:tcPr>
            <w:tcW w:w="404"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21.8</w:t>
            </w:r>
          </w:p>
        </w:tc>
        <w:tc>
          <w:tcPr>
            <w:tcW w:w="563" w:type="pct"/>
            <w:vAlign w:val="bottom"/>
          </w:tcPr>
          <w:p w:rsidR="007859A6" w:rsidRPr="00B97802" w:rsidRDefault="007859A6">
            <w:pPr>
              <w:jc w:val="right"/>
              <w:rPr>
                <w:rFonts w:ascii="Arial" w:hAnsi="Arial" w:cs="Arial"/>
                <w:color w:val="000000"/>
                <w:sz w:val="20"/>
                <w:szCs w:val="20"/>
              </w:rPr>
            </w:pPr>
            <w:r w:rsidRPr="00B97802">
              <w:rPr>
                <w:rFonts w:ascii="Arial" w:hAnsi="Arial" w:cs="Arial"/>
                <w:color w:val="000000"/>
                <w:sz w:val="20"/>
                <w:szCs w:val="20"/>
              </w:rPr>
              <w:t>663.2</w:t>
            </w:r>
          </w:p>
        </w:tc>
      </w:tr>
      <w:tr w:rsidR="007859A6" w:rsidRPr="00B97802" w:rsidTr="006B1005">
        <w:tc>
          <w:tcPr>
            <w:tcW w:w="484" w:type="pct"/>
            <w:vAlign w:val="bottom"/>
          </w:tcPr>
          <w:p w:rsidR="007859A6" w:rsidRPr="00B97802" w:rsidRDefault="007859A6" w:rsidP="001866FC">
            <w:pPr>
              <w:pStyle w:val="TableBodyText"/>
              <w:ind w:left="57" w:right="0"/>
              <w:jc w:val="left"/>
            </w:pPr>
            <w:r w:rsidRPr="00B97802">
              <w:rPr>
                <w:b/>
              </w:rPr>
              <w:t>Total</w:t>
            </w:r>
          </w:p>
        </w:tc>
        <w:tc>
          <w:tcPr>
            <w:tcW w:w="323" w:type="pct"/>
            <w:vAlign w:val="bottom"/>
          </w:tcPr>
          <w:p w:rsidR="007859A6" w:rsidRPr="00B97802" w:rsidRDefault="007859A6" w:rsidP="001866FC">
            <w:pPr>
              <w:pStyle w:val="TableBodyText"/>
            </w:pPr>
            <w:r w:rsidRPr="00B97802">
              <w:rPr>
                <w:b/>
              </w:rPr>
              <w:t>$m</w:t>
            </w:r>
          </w:p>
        </w:tc>
        <w:tc>
          <w:tcPr>
            <w:tcW w:w="485"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8032.6</w:t>
            </w:r>
          </w:p>
        </w:tc>
        <w:tc>
          <w:tcPr>
            <w:tcW w:w="484"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5813.6</w:t>
            </w:r>
          </w:p>
        </w:tc>
        <w:tc>
          <w:tcPr>
            <w:tcW w:w="484"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4664.7</w:t>
            </w:r>
          </w:p>
        </w:tc>
        <w:tc>
          <w:tcPr>
            <w:tcW w:w="484"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2484.1</w:t>
            </w:r>
          </w:p>
        </w:tc>
        <w:tc>
          <w:tcPr>
            <w:tcW w:w="482"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2012.4</w:t>
            </w:r>
          </w:p>
        </w:tc>
        <w:tc>
          <w:tcPr>
            <w:tcW w:w="404"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625.8</w:t>
            </w:r>
          </w:p>
        </w:tc>
        <w:tc>
          <w:tcPr>
            <w:tcW w:w="403"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320.7</w:t>
            </w:r>
          </w:p>
        </w:tc>
        <w:tc>
          <w:tcPr>
            <w:tcW w:w="404"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353.7</w:t>
            </w:r>
          </w:p>
        </w:tc>
        <w:tc>
          <w:tcPr>
            <w:tcW w:w="563" w:type="pct"/>
            <w:vAlign w:val="bottom"/>
          </w:tcPr>
          <w:p w:rsidR="007859A6" w:rsidRPr="00B97802" w:rsidRDefault="007859A6">
            <w:pPr>
              <w:jc w:val="right"/>
              <w:rPr>
                <w:rFonts w:ascii="Arial" w:hAnsi="Arial" w:cs="Arial"/>
                <w:b/>
                <w:color w:val="000000"/>
                <w:sz w:val="20"/>
                <w:szCs w:val="20"/>
              </w:rPr>
            </w:pPr>
            <w:r w:rsidRPr="00B97802">
              <w:rPr>
                <w:rFonts w:ascii="Arial" w:hAnsi="Arial" w:cs="Arial"/>
                <w:b/>
                <w:color w:val="000000"/>
                <w:sz w:val="20"/>
                <w:szCs w:val="20"/>
              </w:rPr>
              <w:t>25326.5</w:t>
            </w:r>
          </w:p>
        </w:tc>
      </w:tr>
      <w:tr w:rsidR="00B330D4" w:rsidRPr="00B97802" w:rsidTr="006B1005">
        <w:tc>
          <w:tcPr>
            <w:tcW w:w="5000" w:type="pct"/>
            <w:gridSpan w:val="11"/>
          </w:tcPr>
          <w:p w:rsidR="00B330D4" w:rsidRPr="00B97802" w:rsidRDefault="00B330D4" w:rsidP="001866FC">
            <w:pPr>
              <w:pStyle w:val="TableBodyText"/>
              <w:ind w:left="0"/>
              <w:jc w:val="both"/>
              <w:rPr>
                <w:b/>
              </w:rPr>
            </w:pPr>
            <w:r w:rsidRPr="00B97802">
              <w:rPr>
                <w:b/>
              </w:rPr>
              <w:t>Proportion of recurrent expenditure by service</w:t>
            </w:r>
          </w:p>
        </w:tc>
      </w:tr>
      <w:tr w:rsidR="007859A6" w:rsidRPr="00B97802" w:rsidTr="006B1005">
        <w:tc>
          <w:tcPr>
            <w:tcW w:w="484" w:type="pct"/>
            <w:vAlign w:val="bottom"/>
          </w:tcPr>
          <w:p w:rsidR="007859A6" w:rsidRPr="00B97802" w:rsidRDefault="007859A6" w:rsidP="001866FC">
            <w:pPr>
              <w:pStyle w:val="TableBodyText"/>
              <w:ind w:left="57"/>
              <w:jc w:val="left"/>
            </w:pPr>
            <w:r w:rsidRPr="00B97802">
              <w:t>ACS</w:t>
            </w:r>
          </w:p>
        </w:tc>
        <w:tc>
          <w:tcPr>
            <w:tcW w:w="323" w:type="pct"/>
            <w:vAlign w:val="bottom"/>
          </w:tcPr>
          <w:p w:rsidR="007859A6" w:rsidRPr="00B97802" w:rsidRDefault="007859A6" w:rsidP="001866FC">
            <w:pPr>
              <w:pStyle w:val="TableBodyText"/>
            </w:pPr>
            <w:r w:rsidRPr="00B97802">
              <w:t>%</w:t>
            </w:r>
          </w:p>
        </w:tc>
        <w:tc>
          <w:tcPr>
            <w:tcW w:w="485"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54.2</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59.0</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55.5</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50.6</w:t>
            </w:r>
          </w:p>
        </w:tc>
        <w:tc>
          <w:tcPr>
            <w:tcW w:w="482"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63.6</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59.1</w:t>
            </w:r>
          </w:p>
        </w:tc>
        <w:tc>
          <w:tcPr>
            <w:tcW w:w="403" w:type="pct"/>
            <w:tcBorders>
              <w:left w:val="nil"/>
            </w:tcBorders>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50.4</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23.2</w:t>
            </w:r>
          </w:p>
        </w:tc>
        <w:tc>
          <w:tcPr>
            <w:tcW w:w="563" w:type="pct"/>
            <w:tcBorders>
              <w:left w:val="nil"/>
            </w:tcBorders>
            <w:shd w:val="clear" w:color="auto" w:fill="auto"/>
          </w:tcPr>
          <w:p w:rsidR="007859A6" w:rsidRPr="00B97802" w:rsidRDefault="007859A6" w:rsidP="007859A6">
            <w:pPr>
              <w:jc w:val="right"/>
              <w:rPr>
                <w:rFonts w:ascii="Arial" w:hAnsi="Arial" w:cs="Arial"/>
                <w:sz w:val="20"/>
                <w:szCs w:val="20"/>
              </w:rPr>
            </w:pPr>
            <w:r w:rsidRPr="00B97802">
              <w:rPr>
                <w:rFonts w:ascii="Arial" w:hAnsi="Arial" w:cs="Arial"/>
                <w:sz w:val="20"/>
                <w:szCs w:val="20"/>
              </w:rPr>
              <w:t>53.8</w:t>
            </w:r>
          </w:p>
        </w:tc>
      </w:tr>
      <w:tr w:rsidR="007859A6" w:rsidRPr="00B97802" w:rsidTr="006B1005">
        <w:trPr>
          <w:trHeight w:val="189"/>
        </w:trPr>
        <w:tc>
          <w:tcPr>
            <w:tcW w:w="484" w:type="pct"/>
            <w:vAlign w:val="bottom"/>
          </w:tcPr>
          <w:p w:rsidR="007859A6" w:rsidRPr="00B97802" w:rsidRDefault="007859A6" w:rsidP="001866FC">
            <w:pPr>
              <w:pStyle w:val="TableBodyText"/>
              <w:ind w:left="57"/>
              <w:jc w:val="left"/>
            </w:pPr>
            <w:r w:rsidRPr="00B97802">
              <w:t>SPWD</w:t>
            </w:r>
          </w:p>
        </w:tc>
        <w:tc>
          <w:tcPr>
            <w:tcW w:w="323" w:type="pct"/>
            <w:vAlign w:val="bottom"/>
          </w:tcPr>
          <w:p w:rsidR="007859A6" w:rsidRPr="00B97802" w:rsidRDefault="007859A6" w:rsidP="001866FC">
            <w:pPr>
              <w:pStyle w:val="TableBodyText"/>
            </w:pPr>
            <w:r w:rsidRPr="00B97802">
              <w:t>%</w:t>
            </w:r>
          </w:p>
        </w:tc>
        <w:tc>
          <w:tcPr>
            <w:tcW w:w="485"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25.8</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26.3</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23.8</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28.9</w:t>
            </w:r>
          </w:p>
        </w:tc>
        <w:tc>
          <w:tcPr>
            <w:tcW w:w="482"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23.7</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26.0</w:t>
            </w:r>
          </w:p>
        </w:tc>
        <w:tc>
          <w:tcPr>
            <w:tcW w:w="403" w:type="pct"/>
            <w:tcBorders>
              <w:left w:val="nil"/>
            </w:tcBorders>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29.2</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20.7</w:t>
            </w:r>
          </w:p>
        </w:tc>
        <w:tc>
          <w:tcPr>
            <w:tcW w:w="563" w:type="pct"/>
            <w:tcBorders>
              <w:left w:val="nil"/>
            </w:tcBorders>
            <w:shd w:val="clear" w:color="auto" w:fill="auto"/>
          </w:tcPr>
          <w:p w:rsidR="007859A6" w:rsidRPr="00B97802" w:rsidRDefault="007859A6" w:rsidP="007859A6">
            <w:pPr>
              <w:jc w:val="right"/>
              <w:rPr>
                <w:rFonts w:ascii="Arial" w:hAnsi="Arial" w:cs="Arial"/>
                <w:sz w:val="20"/>
                <w:szCs w:val="20"/>
              </w:rPr>
            </w:pPr>
            <w:r w:rsidRPr="00B97802">
              <w:rPr>
                <w:rFonts w:ascii="Arial" w:hAnsi="Arial" w:cs="Arial"/>
                <w:sz w:val="20"/>
                <w:szCs w:val="20"/>
              </w:rPr>
              <w:t>28.2</w:t>
            </w:r>
          </w:p>
        </w:tc>
      </w:tr>
      <w:tr w:rsidR="007859A6" w:rsidRPr="00B97802" w:rsidTr="006B1005">
        <w:tc>
          <w:tcPr>
            <w:tcW w:w="484" w:type="pct"/>
            <w:shd w:val="clear" w:color="auto" w:fill="auto"/>
            <w:vAlign w:val="bottom"/>
          </w:tcPr>
          <w:p w:rsidR="007859A6" w:rsidRPr="00B97802" w:rsidRDefault="007859A6" w:rsidP="001866FC">
            <w:pPr>
              <w:pStyle w:val="TableBodyText"/>
              <w:ind w:left="57"/>
              <w:jc w:val="left"/>
            </w:pPr>
            <w:r w:rsidRPr="00B97802">
              <w:t>CPS</w:t>
            </w:r>
          </w:p>
        </w:tc>
        <w:tc>
          <w:tcPr>
            <w:tcW w:w="323" w:type="pct"/>
            <w:shd w:val="clear" w:color="auto" w:fill="FFFFFF" w:themeFill="background1"/>
            <w:vAlign w:val="bottom"/>
          </w:tcPr>
          <w:p w:rsidR="007859A6" w:rsidRPr="00B97802" w:rsidRDefault="007859A6" w:rsidP="001866FC">
            <w:pPr>
              <w:pStyle w:val="TableBodyText"/>
            </w:pPr>
            <w:r w:rsidRPr="00B97802">
              <w:t>%</w:t>
            </w:r>
          </w:p>
        </w:tc>
        <w:tc>
          <w:tcPr>
            <w:tcW w:w="485"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17.5</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12.7</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17.5</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16.5</w:t>
            </w:r>
          </w:p>
        </w:tc>
        <w:tc>
          <w:tcPr>
            <w:tcW w:w="482"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10.9</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12.0</w:t>
            </w:r>
          </w:p>
        </w:tc>
        <w:tc>
          <w:tcPr>
            <w:tcW w:w="403" w:type="pct"/>
            <w:tcBorders>
              <w:left w:val="nil"/>
            </w:tcBorders>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14.4</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49.9</w:t>
            </w:r>
          </w:p>
        </w:tc>
        <w:tc>
          <w:tcPr>
            <w:tcW w:w="563" w:type="pct"/>
            <w:tcBorders>
              <w:left w:val="nil"/>
            </w:tcBorders>
            <w:shd w:val="clear" w:color="auto" w:fill="auto"/>
          </w:tcPr>
          <w:p w:rsidR="007859A6" w:rsidRPr="00B97802" w:rsidRDefault="007859A6" w:rsidP="007859A6">
            <w:pPr>
              <w:jc w:val="right"/>
              <w:rPr>
                <w:rFonts w:ascii="Arial" w:hAnsi="Arial" w:cs="Arial"/>
                <w:sz w:val="20"/>
                <w:szCs w:val="20"/>
              </w:rPr>
            </w:pPr>
            <w:r w:rsidRPr="00B97802">
              <w:rPr>
                <w:rFonts w:ascii="Arial" w:hAnsi="Arial" w:cs="Arial"/>
                <w:sz w:val="20"/>
                <w:szCs w:val="20"/>
              </w:rPr>
              <w:t>15.3</w:t>
            </w:r>
          </w:p>
        </w:tc>
      </w:tr>
      <w:tr w:rsidR="007859A6" w:rsidRPr="00B97802" w:rsidTr="006B1005">
        <w:tc>
          <w:tcPr>
            <w:tcW w:w="484" w:type="pct"/>
            <w:shd w:val="clear" w:color="auto" w:fill="auto"/>
            <w:vAlign w:val="bottom"/>
          </w:tcPr>
          <w:p w:rsidR="007859A6" w:rsidRPr="00B97802" w:rsidRDefault="007859A6" w:rsidP="001866FC">
            <w:pPr>
              <w:pStyle w:val="TableBodyText"/>
              <w:ind w:left="57"/>
              <w:jc w:val="left"/>
            </w:pPr>
            <w:r w:rsidRPr="00B97802">
              <w:t>YJS</w:t>
            </w:r>
          </w:p>
        </w:tc>
        <w:tc>
          <w:tcPr>
            <w:tcW w:w="323" w:type="pct"/>
            <w:shd w:val="clear" w:color="auto" w:fill="FFFFFF" w:themeFill="background1"/>
            <w:vAlign w:val="bottom"/>
          </w:tcPr>
          <w:p w:rsidR="007859A6" w:rsidRPr="00B97802" w:rsidRDefault="007859A6" w:rsidP="001866FC">
            <w:pPr>
              <w:pStyle w:val="TableBodyText"/>
            </w:pPr>
            <w:r w:rsidRPr="00B97802">
              <w:t>%</w:t>
            </w:r>
          </w:p>
        </w:tc>
        <w:tc>
          <w:tcPr>
            <w:tcW w:w="485"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2.6</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2.0</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3.1</w:t>
            </w:r>
          </w:p>
        </w:tc>
        <w:tc>
          <w:tcPr>
            <w:tcW w:w="48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4.0</w:t>
            </w:r>
          </w:p>
        </w:tc>
        <w:tc>
          <w:tcPr>
            <w:tcW w:w="482"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1.8</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2.9</w:t>
            </w:r>
          </w:p>
        </w:tc>
        <w:tc>
          <w:tcPr>
            <w:tcW w:w="403" w:type="pct"/>
            <w:tcBorders>
              <w:left w:val="nil"/>
            </w:tcBorders>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6.0</w:t>
            </w:r>
          </w:p>
        </w:tc>
        <w:tc>
          <w:tcPr>
            <w:tcW w:w="404" w:type="pct"/>
            <w:shd w:val="clear" w:color="auto" w:fill="auto"/>
          </w:tcPr>
          <w:p w:rsidR="007859A6" w:rsidRPr="00B97802" w:rsidRDefault="007859A6">
            <w:pPr>
              <w:jc w:val="right"/>
              <w:rPr>
                <w:rFonts w:ascii="Arial" w:hAnsi="Arial" w:cs="Arial"/>
                <w:sz w:val="20"/>
                <w:szCs w:val="20"/>
              </w:rPr>
            </w:pPr>
            <w:r w:rsidRPr="00B97802">
              <w:rPr>
                <w:rFonts w:ascii="Arial" w:hAnsi="Arial" w:cs="Arial"/>
                <w:sz w:val="20"/>
                <w:szCs w:val="20"/>
              </w:rPr>
              <w:t>6.2</w:t>
            </w:r>
          </w:p>
        </w:tc>
        <w:tc>
          <w:tcPr>
            <w:tcW w:w="563" w:type="pct"/>
            <w:tcBorders>
              <w:left w:val="nil"/>
            </w:tcBorders>
            <w:shd w:val="clear" w:color="auto" w:fill="auto"/>
          </w:tcPr>
          <w:p w:rsidR="007859A6" w:rsidRPr="00B97802" w:rsidRDefault="007859A6" w:rsidP="007859A6">
            <w:pPr>
              <w:jc w:val="right"/>
              <w:rPr>
                <w:rFonts w:ascii="Arial" w:hAnsi="Arial" w:cs="Arial"/>
                <w:sz w:val="20"/>
                <w:szCs w:val="20"/>
              </w:rPr>
            </w:pPr>
            <w:r w:rsidRPr="00B97802">
              <w:rPr>
                <w:rFonts w:ascii="Arial" w:hAnsi="Arial" w:cs="Arial"/>
                <w:sz w:val="20"/>
                <w:szCs w:val="20"/>
              </w:rPr>
              <w:t>2.6</w:t>
            </w:r>
          </w:p>
        </w:tc>
      </w:tr>
      <w:tr w:rsidR="00B330D4" w:rsidRPr="00B97802" w:rsidTr="006B1005">
        <w:tc>
          <w:tcPr>
            <w:tcW w:w="484" w:type="pct"/>
          </w:tcPr>
          <w:p w:rsidR="00B330D4" w:rsidRPr="00B97802" w:rsidRDefault="00B330D4" w:rsidP="001866FC">
            <w:pPr>
              <w:pStyle w:val="TableBodyText"/>
              <w:ind w:left="57"/>
              <w:jc w:val="left"/>
              <w:rPr>
                <w:b/>
              </w:rPr>
            </w:pPr>
            <w:r w:rsidRPr="00B97802">
              <w:rPr>
                <w:b/>
              </w:rPr>
              <w:t>Total</w:t>
            </w:r>
          </w:p>
        </w:tc>
        <w:tc>
          <w:tcPr>
            <w:tcW w:w="323" w:type="pct"/>
            <w:vAlign w:val="bottom"/>
          </w:tcPr>
          <w:p w:rsidR="00B330D4" w:rsidRPr="00B97802" w:rsidRDefault="00B330D4" w:rsidP="001866FC">
            <w:pPr>
              <w:pStyle w:val="TableBodyText"/>
              <w:rPr>
                <w:b/>
              </w:rPr>
            </w:pPr>
            <w:r w:rsidRPr="00B97802">
              <w:rPr>
                <w:b/>
              </w:rPr>
              <w:t>%</w:t>
            </w:r>
          </w:p>
        </w:tc>
        <w:tc>
          <w:tcPr>
            <w:tcW w:w="485"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84"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84"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84"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82"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04"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03"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404"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c>
          <w:tcPr>
            <w:tcW w:w="563" w:type="pct"/>
            <w:vAlign w:val="bottom"/>
          </w:tcPr>
          <w:p w:rsidR="00B330D4" w:rsidRPr="00B97802" w:rsidRDefault="00B330D4" w:rsidP="006B1005">
            <w:pPr>
              <w:jc w:val="right"/>
              <w:rPr>
                <w:rFonts w:cs="Arial"/>
                <w:b/>
              </w:rPr>
            </w:pPr>
            <w:r w:rsidRPr="00B97802">
              <w:rPr>
                <w:rFonts w:ascii="Arial" w:hAnsi="Arial" w:cs="Arial"/>
                <w:b/>
                <w:sz w:val="20"/>
                <w:szCs w:val="20"/>
              </w:rPr>
              <w:t>100.0</w:t>
            </w:r>
          </w:p>
        </w:tc>
      </w:tr>
      <w:tr w:rsidR="00B330D4" w:rsidRPr="00B97802" w:rsidTr="006B1005">
        <w:tc>
          <w:tcPr>
            <w:tcW w:w="5000" w:type="pct"/>
            <w:gridSpan w:val="11"/>
          </w:tcPr>
          <w:p w:rsidR="00B330D4" w:rsidRPr="00B97802" w:rsidRDefault="00B330D4" w:rsidP="001866FC">
            <w:pPr>
              <w:pStyle w:val="TableBodyText"/>
              <w:ind w:left="0"/>
              <w:jc w:val="both"/>
              <w:rPr>
                <w:b/>
              </w:rPr>
            </w:pPr>
            <w:r w:rsidRPr="00B97802">
              <w:rPr>
                <w:b/>
              </w:rPr>
              <w:t>Recurrent expenditure on community services per person in the population</w:t>
            </w:r>
            <w:r w:rsidRPr="00B97802">
              <w:rPr>
                <w:rStyle w:val="NoteLabel"/>
              </w:rPr>
              <w:t>f</w:t>
            </w:r>
          </w:p>
        </w:tc>
      </w:tr>
      <w:tr w:rsidR="007859A6" w:rsidRPr="00B97802" w:rsidTr="006B1005">
        <w:tc>
          <w:tcPr>
            <w:tcW w:w="484" w:type="pct"/>
            <w:shd w:val="clear" w:color="auto" w:fill="auto"/>
            <w:vAlign w:val="bottom"/>
          </w:tcPr>
          <w:p w:rsidR="007859A6" w:rsidRPr="00B97802" w:rsidRDefault="007859A6" w:rsidP="001866FC">
            <w:pPr>
              <w:pStyle w:val="TableBodyText"/>
              <w:ind w:left="57"/>
              <w:jc w:val="left"/>
            </w:pPr>
            <w:r w:rsidRPr="00B97802">
              <w:t>ACS</w:t>
            </w:r>
          </w:p>
        </w:tc>
        <w:tc>
          <w:tcPr>
            <w:tcW w:w="323" w:type="pct"/>
            <w:shd w:val="clear" w:color="auto" w:fill="auto"/>
            <w:vAlign w:val="bottom"/>
          </w:tcPr>
          <w:p w:rsidR="007859A6" w:rsidRPr="00B97802" w:rsidRDefault="007859A6" w:rsidP="001866FC">
            <w:pPr>
              <w:pStyle w:val="TableBodyText"/>
            </w:pPr>
            <w:r w:rsidRPr="00B97802">
              <w:t>$</w:t>
            </w:r>
          </w:p>
        </w:tc>
        <w:tc>
          <w:tcPr>
            <w:tcW w:w="485"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592.0</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604.0</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561.9</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508.1</w:t>
            </w:r>
          </w:p>
        </w:tc>
        <w:tc>
          <w:tcPr>
            <w:tcW w:w="482"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769.7</w:t>
            </w:r>
          </w:p>
        </w:tc>
        <w:tc>
          <w:tcPr>
            <w:tcW w:w="40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721.8</w:t>
            </w:r>
          </w:p>
        </w:tc>
        <w:tc>
          <w:tcPr>
            <w:tcW w:w="403" w:type="pct"/>
            <w:tcBorders>
              <w:left w:val="nil"/>
            </w:tcBorders>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426.0</w:t>
            </w:r>
          </w:p>
        </w:tc>
        <w:tc>
          <w:tcPr>
            <w:tcW w:w="40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345.7</w:t>
            </w:r>
          </w:p>
        </w:tc>
        <w:tc>
          <w:tcPr>
            <w:tcW w:w="563" w:type="pct"/>
            <w:tcBorders>
              <w:left w:val="nil"/>
            </w:tcBorders>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595.0</w:t>
            </w:r>
          </w:p>
        </w:tc>
      </w:tr>
      <w:tr w:rsidR="007859A6" w:rsidRPr="00B97802" w:rsidTr="006B1005">
        <w:tc>
          <w:tcPr>
            <w:tcW w:w="484" w:type="pct"/>
            <w:shd w:val="clear" w:color="auto" w:fill="auto"/>
            <w:vAlign w:val="bottom"/>
          </w:tcPr>
          <w:p w:rsidR="007859A6" w:rsidRPr="00B97802" w:rsidRDefault="007859A6" w:rsidP="001866FC">
            <w:pPr>
              <w:pStyle w:val="TableBodyText"/>
              <w:ind w:left="57"/>
              <w:jc w:val="left"/>
            </w:pPr>
            <w:r w:rsidRPr="00B97802">
              <w:t>SPWD</w:t>
            </w:r>
          </w:p>
        </w:tc>
        <w:tc>
          <w:tcPr>
            <w:tcW w:w="323" w:type="pct"/>
            <w:shd w:val="clear" w:color="auto" w:fill="auto"/>
            <w:vAlign w:val="bottom"/>
          </w:tcPr>
          <w:p w:rsidR="007859A6" w:rsidRPr="00B97802" w:rsidRDefault="007859A6" w:rsidP="001866FC">
            <w:pPr>
              <w:pStyle w:val="TableBodyText"/>
            </w:pPr>
            <w:r w:rsidRPr="00B97802">
              <w:t>$</w:t>
            </w:r>
          </w:p>
        </w:tc>
        <w:tc>
          <w:tcPr>
            <w:tcW w:w="485"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282.1</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269.5</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241.2</w:t>
            </w:r>
          </w:p>
        </w:tc>
        <w:tc>
          <w:tcPr>
            <w:tcW w:w="48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290.2</w:t>
            </w:r>
          </w:p>
        </w:tc>
        <w:tc>
          <w:tcPr>
            <w:tcW w:w="482"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287.2</w:t>
            </w:r>
          </w:p>
        </w:tc>
        <w:tc>
          <w:tcPr>
            <w:tcW w:w="40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317.8</w:t>
            </w:r>
          </w:p>
        </w:tc>
        <w:tc>
          <w:tcPr>
            <w:tcW w:w="403" w:type="pct"/>
            <w:tcBorders>
              <w:left w:val="nil"/>
            </w:tcBorders>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246.6</w:t>
            </w:r>
          </w:p>
        </w:tc>
        <w:tc>
          <w:tcPr>
            <w:tcW w:w="404" w:type="pct"/>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309.6</w:t>
            </w:r>
          </w:p>
        </w:tc>
        <w:tc>
          <w:tcPr>
            <w:tcW w:w="563" w:type="pct"/>
            <w:tcBorders>
              <w:left w:val="nil"/>
            </w:tcBorders>
            <w:shd w:val="clear" w:color="auto" w:fill="auto"/>
            <w:vAlign w:val="bottom"/>
          </w:tcPr>
          <w:p w:rsidR="007859A6" w:rsidRPr="00B97802" w:rsidRDefault="007859A6">
            <w:pPr>
              <w:jc w:val="right"/>
              <w:rPr>
                <w:rFonts w:ascii="Arial" w:hAnsi="Arial" w:cs="Arial"/>
                <w:sz w:val="20"/>
                <w:szCs w:val="20"/>
              </w:rPr>
            </w:pPr>
            <w:r w:rsidRPr="00B97802">
              <w:rPr>
                <w:rFonts w:ascii="Arial" w:hAnsi="Arial" w:cs="Arial"/>
                <w:sz w:val="20"/>
                <w:szCs w:val="20"/>
              </w:rPr>
              <w:t>312.2</w:t>
            </w:r>
          </w:p>
        </w:tc>
      </w:tr>
      <w:tr w:rsidR="00914946" w:rsidRPr="00B97802" w:rsidTr="006B1005">
        <w:tc>
          <w:tcPr>
            <w:tcW w:w="484" w:type="pct"/>
            <w:shd w:val="clear" w:color="auto" w:fill="auto"/>
            <w:vAlign w:val="bottom"/>
          </w:tcPr>
          <w:p w:rsidR="00914946" w:rsidRPr="00B97802" w:rsidRDefault="00914946" w:rsidP="001866FC">
            <w:pPr>
              <w:pStyle w:val="TableBodyText"/>
              <w:ind w:left="57"/>
              <w:jc w:val="left"/>
            </w:pPr>
            <w:r w:rsidRPr="00B97802">
              <w:t>CPS</w:t>
            </w:r>
          </w:p>
        </w:tc>
        <w:tc>
          <w:tcPr>
            <w:tcW w:w="323" w:type="pct"/>
            <w:shd w:val="clear" w:color="auto" w:fill="auto"/>
            <w:vAlign w:val="bottom"/>
          </w:tcPr>
          <w:p w:rsidR="00914946" w:rsidRPr="00B97802" w:rsidRDefault="00914946" w:rsidP="001866FC">
            <w:pPr>
              <w:pStyle w:val="TableBodyText"/>
            </w:pPr>
            <w:r w:rsidRPr="00B97802">
              <w:t>$</w:t>
            </w:r>
          </w:p>
        </w:tc>
        <w:tc>
          <w:tcPr>
            <w:tcW w:w="485"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842.2</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580.0</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727.2</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712.3</w:t>
            </w:r>
          </w:p>
        </w:tc>
        <w:tc>
          <w:tcPr>
            <w:tcW w:w="482"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609.3</w:t>
            </w:r>
          </w:p>
        </w:tc>
        <w:tc>
          <w:tcPr>
            <w:tcW w:w="40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642.7</w:t>
            </w:r>
          </w:p>
        </w:tc>
        <w:tc>
          <w:tcPr>
            <w:tcW w:w="403" w:type="pct"/>
            <w:tcBorders>
              <w:left w:val="nil"/>
            </w:tcBorders>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550.6</w:t>
            </w:r>
          </w:p>
        </w:tc>
        <w:tc>
          <w:tcPr>
            <w:tcW w:w="40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2781.9</w:t>
            </w:r>
          </w:p>
        </w:tc>
        <w:tc>
          <w:tcPr>
            <w:tcW w:w="563" w:type="pct"/>
            <w:tcBorders>
              <w:left w:val="nil"/>
            </w:tcBorders>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738.5</w:t>
            </w:r>
          </w:p>
        </w:tc>
      </w:tr>
      <w:tr w:rsidR="00914946" w:rsidRPr="00B97802" w:rsidTr="00C0429E">
        <w:tc>
          <w:tcPr>
            <w:tcW w:w="484" w:type="pct"/>
            <w:shd w:val="clear" w:color="auto" w:fill="auto"/>
            <w:vAlign w:val="bottom"/>
          </w:tcPr>
          <w:p w:rsidR="00914946" w:rsidRPr="00B97802" w:rsidRDefault="00914946" w:rsidP="001866FC">
            <w:pPr>
              <w:pStyle w:val="TableBodyText"/>
              <w:ind w:left="57"/>
              <w:jc w:val="left"/>
            </w:pPr>
            <w:r w:rsidRPr="00B97802">
              <w:t>YJS</w:t>
            </w:r>
          </w:p>
        </w:tc>
        <w:tc>
          <w:tcPr>
            <w:tcW w:w="323" w:type="pct"/>
            <w:shd w:val="clear" w:color="auto" w:fill="auto"/>
            <w:vAlign w:val="bottom"/>
          </w:tcPr>
          <w:p w:rsidR="00914946" w:rsidRPr="00B97802" w:rsidRDefault="00914946" w:rsidP="001866FC">
            <w:pPr>
              <w:pStyle w:val="TableBodyText"/>
            </w:pPr>
            <w:r w:rsidRPr="00B97802">
              <w:t>$</w:t>
            </w:r>
          </w:p>
        </w:tc>
        <w:tc>
          <w:tcPr>
            <w:tcW w:w="485"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287.5</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215.7</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300.6</w:t>
            </w:r>
          </w:p>
        </w:tc>
        <w:tc>
          <w:tcPr>
            <w:tcW w:w="48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409.0</w:t>
            </w:r>
          </w:p>
        </w:tc>
        <w:tc>
          <w:tcPr>
            <w:tcW w:w="482"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228.2</w:t>
            </w:r>
          </w:p>
        </w:tc>
        <w:tc>
          <w:tcPr>
            <w:tcW w:w="40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342.2</w:t>
            </w:r>
          </w:p>
        </w:tc>
        <w:tc>
          <w:tcPr>
            <w:tcW w:w="403" w:type="pct"/>
            <w:tcBorders>
              <w:left w:val="nil"/>
            </w:tcBorders>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556.9</w:t>
            </w:r>
          </w:p>
        </w:tc>
        <w:tc>
          <w:tcPr>
            <w:tcW w:w="404" w:type="pct"/>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825.7</w:t>
            </w:r>
          </w:p>
        </w:tc>
        <w:tc>
          <w:tcPr>
            <w:tcW w:w="563" w:type="pct"/>
            <w:tcBorders>
              <w:left w:val="nil"/>
            </w:tcBorders>
            <w:shd w:val="clear" w:color="auto" w:fill="auto"/>
            <w:vAlign w:val="bottom"/>
          </w:tcPr>
          <w:p w:rsidR="00914946" w:rsidRPr="00914946" w:rsidRDefault="00914946" w:rsidP="00B5464D">
            <w:pPr>
              <w:jc w:val="right"/>
              <w:rPr>
                <w:rFonts w:ascii="Arial" w:hAnsi="Arial" w:cs="Arial"/>
                <w:sz w:val="20"/>
                <w:szCs w:val="20"/>
              </w:rPr>
            </w:pPr>
            <w:r w:rsidRPr="00914946">
              <w:rPr>
                <w:rFonts w:ascii="Arial" w:hAnsi="Arial" w:cs="Arial"/>
                <w:sz w:val="20"/>
                <w:szCs w:val="20"/>
              </w:rPr>
              <w:t>293.8</w:t>
            </w:r>
          </w:p>
        </w:tc>
      </w:tr>
      <w:tr w:rsidR="00914946" w:rsidRPr="00B97802" w:rsidTr="00C0429E">
        <w:tc>
          <w:tcPr>
            <w:tcW w:w="484" w:type="pct"/>
            <w:tcBorders>
              <w:bottom w:val="single" w:sz="4" w:space="0" w:color="auto"/>
            </w:tcBorders>
            <w:shd w:val="clear" w:color="auto" w:fill="auto"/>
          </w:tcPr>
          <w:p w:rsidR="00914946" w:rsidRPr="00B97802" w:rsidRDefault="00914946" w:rsidP="001866FC">
            <w:pPr>
              <w:pStyle w:val="TableBodyText"/>
              <w:ind w:left="57"/>
              <w:jc w:val="left"/>
            </w:pPr>
            <w:r w:rsidRPr="00B97802">
              <w:rPr>
                <w:b/>
              </w:rPr>
              <w:t>Total</w:t>
            </w:r>
          </w:p>
        </w:tc>
        <w:tc>
          <w:tcPr>
            <w:tcW w:w="323" w:type="pct"/>
            <w:tcBorders>
              <w:bottom w:val="single" w:sz="4" w:space="0" w:color="auto"/>
            </w:tcBorders>
            <w:shd w:val="clear" w:color="auto" w:fill="auto"/>
            <w:vAlign w:val="bottom"/>
          </w:tcPr>
          <w:p w:rsidR="00914946" w:rsidRPr="00B97802" w:rsidRDefault="00914946" w:rsidP="001866FC">
            <w:pPr>
              <w:pStyle w:val="TableBodyText"/>
            </w:pPr>
            <w:r w:rsidRPr="00B97802">
              <w:t>$</w:t>
            </w:r>
          </w:p>
        </w:tc>
        <w:tc>
          <w:tcPr>
            <w:tcW w:w="485"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2003.8</w:t>
            </w:r>
          </w:p>
        </w:tc>
        <w:tc>
          <w:tcPr>
            <w:tcW w:w="484"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1669.3</w:t>
            </w:r>
          </w:p>
        </w:tc>
        <w:tc>
          <w:tcPr>
            <w:tcW w:w="484"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1830.9</w:t>
            </w:r>
          </w:p>
        </w:tc>
        <w:tc>
          <w:tcPr>
            <w:tcW w:w="484"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1919.6</w:t>
            </w:r>
          </w:p>
        </w:tc>
        <w:tc>
          <w:tcPr>
            <w:tcW w:w="482"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1894.4</w:t>
            </w:r>
          </w:p>
        </w:tc>
        <w:tc>
          <w:tcPr>
            <w:tcW w:w="404"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2024.5</w:t>
            </w:r>
          </w:p>
        </w:tc>
        <w:tc>
          <w:tcPr>
            <w:tcW w:w="403" w:type="pct"/>
            <w:tcBorders>
              <w:left w:val="nil"/>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1780.1</w:t>
            </w:r>
          </w:p>
        </w:tc>
        <w:tc>
          <w:tcPr>
            <w:tcW w:w="404" w:type="pct"/>
            <w:tcBorders>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4262.9</w:t>
            </w:r>
          </w:p>
        </w:tc>
        <w:tc>
          <w:tcPr>
            <w:tcW w:w="563" w:type="pct"/>
            <w:tcBorders>
              <w:left w:val="nil"/>
              <w:bottom w:val="single" w:sz="4" w:space="0" w:color="auto"/>
            </w:tcBorders>
            <w:shd w:val="clear" w:color="auto" w:fill="auto"/>
            <w:vAlign w:val="bottom"/>
          </w:tcPr>
          <w:p w:rsidR="00914946" w:rsidRPr="00914946" w:rsidRDefault="00914946">
            <w:pPr>
              <w:jc w:val="right"/>
              <w:rPr>
                <w:rFonts w:ascii="Arial" w:hAnsi="Arial" w:cs="Arial"/>
                <w:b/>
                <w:sz w:val="20"/>
                <w:szCs w:val="20"/>
              </w:rPr>
            </w:pPr>
            <w:r w:rsidRPr="00914946">
              <w:rPr>
                <w:rFonts w:ascii="Arial" w:hAnsi="Arial" w:cs="Arial"/>
                <w:b/>
                <w:sz w:val="20"/>
                <w:szCs w:val="20"/>
              </w:rPr>
              <w:t>2003.8</w:t>
            </w:r>
          </w:p>
        </w:tc>
      </w:tr>
    </w:tbl>
    <w:p w:rsidR="00115A01" w:rsidRPr="00CE1F52" w:rsidRDefault="00115A01" w:rsidP="001866FC">
      <w:pPr>
        <w:pStyle w:val="Note"/>
        <w:rPr>
          <w:b/>
        </w:rPr>
      </w:pPr>
      <w:r w:rsidRPr="00B97802">
        <w:rPr>
          <w:b/>
        </w:rPr>
        <w:t>ACS</w:t>
      </w:r>
      <w:r w:rsidRPr="00B97802">
        <w:t xml:space="preserve"> = Aged care services.</w:t>
      </w:r>
      <w:r w:rsidRPr="00B97802">
        <w:rPr>
          <w:b/>
        </w:rPr>
        <w:t xml:space="preserve"> SPWD </w:t>
      </w:r>
      <w:r w:rsidRPr="00B97802">
        <w:t>= Services for people with disability.</w:t>
      </w:r>
      <w:r w:rsidRPr="00B97802">
        <w:rPr>
          <w:b/>
        </w:rPr>
        <w:t xml:space="preserve"> </w:t>
      </w:r>
      <w:r w:rsidR="005810E3" w:rsidRPr="00B97802">
        <w:rPr>
          <w:b/>
        </w:rPr>
        <w:t>CP</w:t>
      </w:r>
      <w:r w:rsidR="000573FC" w:rsidRPr="00B97802">
        <w:rPr>
          <w:b/>
        </w:rPr>
        <w:t>S</w:t>
      </w:r>
      <w:r w:rsidRPr="00B97802">
        <w:t xml:space="preserve"> = </w:t>
      </w:r>
      <w:r w:rsidR="005810E3" w:rsidRPr="00B97802">
        <w:t xml:space="preserve">Child protection </w:t>
      </w:r>
      <w:r w:rsidR="00BB7001" w:rsidRPr="00B97802">
        <w:t>services</w:t>
      </w:r>
      <w:r w:rsidRPr="00B97802">
        <w:t>.</w:t>
      </w:r>
      <w:r w:rsidR="00BB7001" w:rsidRPr="00B97802">
        <w:t xml:space="preserve"> </w:t>
      </w:r>
      <w:r w:rsidR="00BB7001" w:rsidRPr="00B97802">
        <w:rPr>
          <w:b/>
        </w:rPr>
        <w:t>YJS </w:t>
      </w:r>
      <w:r w:rsidR="00DD284A" w:rsidRPr="00B97802">
        <w:t>= Y</w:t>
      </w:r>
      <w:r w:rsidR="00BB7001" w:rsidRPr="00B97802">
        <w:t>outh justice services</w:t>
      </w:r>
      <w:r w:rsidR="00DD284A" w:rsidRPr="00B97802">
        <w:t>.</w:t>
      </w:r>
    </w:p>
    <w:p w:rsidR="00CD37EF" w:rsidRPr="00280A4D" w:rsidRDefault="00CD37EF" w:rsidP="00CE1F52">
      <w:pPr>
        <w:pStyle w:val="Note"/>
        <w:rPr>
          <w:b/>
          <w:szCs w:val="18"/>
        </w:rPr>
      </w:pPr>
      <w:r w:rsidRPr="00CE1F52">
        <w:rPr>
          <w:rStyle w:val="NoteLabel"/>
        </w:rPr>
        <w:t>a</w:t>
      </w:r>
      <w:r w:rsidRPr="00CE1F52">
        <w:sym w:font="Symbol" w:char="F020"/>
      </w:r>
      <w:r w:rsidRPr="00CE1F52">
        <w:t xml:space="preserve">For aged care services and services for people with disability, Australian Government expenditure not allocated to a State or Territory is included </w:t>
      </w:r>
      <w:r w:rsidR="00606536" w:rsidRPr="00CE1F52">
        <w:t xml:space="preserve">in the totals </w:t>
      </w:r>
      <w:r w:rsidRPr="00CE1F52">
        <w:t>($</w:t>
      </w:r>
      <w:r w:rsidR="00191973" w:rsidRPr="00CE1F52">
        <w:t>106.9</w:t>
      </w:r>
      <w:r w:rsidRPr="00CE1F52">
        <w:t> million in aged care services and $</w:t>
      </w:r>
      <w:r w:rsidR="00677B58" w:rsidRPr="00CE1F52">
        <w:t>9</w:t>
      </w:r>
      <w:r w:rsidR="00191973" w:rsidRPr="00CE1F52">
        <w:t>11.2</w:t>
      </w:r>
      <w:r w:rsidRPr="00CE1F52">
        <w:t> million in services for people with disability).</w:t>
      </w:r>
      <w:r w:rsidRPr="00CE1F52">
        <w:rPr>
          <w:color w:val="FF0000"/>
        </w:rPr>
        <w:t xml:space="preserve"> </w:t>
      </w:r>
      <w:r w:rsidRPr="00CE1F52">
        <w:rPr>
          <w:rStyle w:val="NoteLabel"/>
        </w:rPr>
        <w:t>b</w:t>
      </w:r>
      <w:r w:rsidRPr="00CE1F52">
        <w:t xml:space="preserve"> Collection and reporting methods may vary across jurisdictions and services, therefore, these data should be interpreted with care. </w:t>
      </w:r>
      <w:r w:rsidRPr="00CE1F52">
        <w:rPr>
          <w:rStyle w:val="NoteLabel"/>
        </w:rPr>
        <w:t>c </w:t>
      </w:r>
      <w:r w:rsidRPr="00CE1F52">
        <w:t xml:space="preserve">See box F.2 for the major programs included in expenditure for each service. More detailed expenditure data can be found in the relevant chapters of the Report. </w:t>
      </w:r>
      <w:r w:rsidRPr="00CE1F52">
        <w:rPr>
          <w:rStyle w:val="NoteLabel"/>
        </w:rPr>
        <w:t xml:space="preserve">d </w:t>
      </w:r>
      <w:r w:rsidRPr="00CE1F52">
        <w:t xml:space="preserve">Totals may not add due to rounding. </w:t>
      </w:r>
      <w:r w:rsidR="00115A01" w:rsidRPr="00CE1F52">
        <w:rPr>
          <w:rStyle w:val="NoteLabel"/>
        </w:rPr>
        <w:t>e</w:t>
      </w:r>
      <w:r w:rsidRPr="00CE1F52">
        <w:rPr>
          <w:rStyle w:val="NoteLabel"/>
        </w:rPr>
        <w:t xml:space="preserve"> </w:t>
      </w:r>
      <w:r w:rsidRPr="00CE1F52">
        <w:t xml:space="preserve">Expenditure for aged care does not include capital expenditure. </w:t>
      </w:r>
      <w:r w:rsidR="00115A01" w:rsidRPr="00CE1F52">
        <w:rPr>
          <w:rStyle w:val="NoteLabel"/>
        </w:rPr>
        <w:t>f</w:t>
      </w:r>
      <w:r w:rsidRPr="00CE1F52">
        <w:rPr>
          <w:rStyle w:val="NoteLabel"/>
        </w:rPr>
        <w:t xml:space="preserve"> </w:t>
      </w:r>
      <w:r w:rsidRPr="00CE1F52">
        <w:t>Population at 31 December </w:t>
      </w:r>
      <w:r w:rsidR="00D9230B" w:rsidRPr="00CE1F52">
        <w:t>2012</w:t>
      </w:r>
      <w:r w:rsidRPr="00CE1F52">
        <w:t>.</w:t>
      </w:r>
      <w:r w:rsidR="009C7596" w:rsidRPr="00CE1F52">
        <w:t xml:space="preserve"> </w:t>
      </w:r>
      <w:r w:rsidR="007E20C1" w:rsidRPr="00CE1F52">
        <w:t>For child protection services and youth justice services, recurrent expenditure per person is calculated using population data for children 0-17 years (child protection) a</w:t>
      </w:r>
      <w:r w:rsidR="00CC7C85">
        <w:t>nd 10-17 years (youth justice).</w:t>
      </w:r>
    </w:p>
    <w:p w:rsidR="00CD37EF" w:rsidRPr="003446C1" w:rsidRDefault="00CD37EF" w:rsidP="00CD37EF">
      <w:pPr>
        <w:pStyle w:val="Source"/>
      </w:pPr>
      <w:r w:rsidRPr="003446C1">
        <w:rPr>
          <w:i/>
        </w:rPr>
        <w:t>Source</w:t>
      </w:r>
      <w:r w:rsidRPr="003446C1">
        <w:t>: Australian, State and Territory governments (unpublished); tables 13A.5, 14A.4, 15A.1</w:t>
      </w:r>
      <w:r w:rsidR="006D0683" w:rsidRPr="003446C1">
        <w:t xml:space="preserve"> </w:t>
      </w:r>
      <w:r w:rsidR="00090281">
        <w:t>and 16A.1.</w:t>
      </w:r>
    </w:p>
    <w:p w:rsidR="00CD37EF" w:rsidRPr="003446C1" w:rsidRDefault="00CD37EF" w:rsidP="008655A2">
      <w:pPr>
        <w:pStyle w:val="Heading4"/>
      </w:pPr>
      <w:r w:rsidRPr="003446C1">
        <w:t>Size and scope</w:t>
      </w:r>
    </w:p>
    <w:p w:rsidR="0083195E" w:rsidRDefault="00CD37EF" w:rsidP="00CD37EF">
      <w:pPr>
        <w:pStyle w:val="BodyText"/>
      </w:pPr>
      <w:r w:rsidRPr="003446C1">
        <w:t>Current data on the size and scope of the community services sector are limited. The ABS survey of community services collected data on the nu</w:t>
      </w:r>
      <w:r w:rsidRPr="007D1F4E">
        <w:t>mber of organisations that provided community services in 2009. Almost 11</w:t>
      </w:r>
      <w:r w:rsidR="001A00CC">
        <w:t> </w:t>
      </w:r>
      <w:r w:rsidRPr="007D1F4E">
        <w:t>000 organisations were providing community services. These included 5809 not</w:t>
      </w:r>
      <w:r w:rsidR="00027729" w:rsidRPr="007D1F4E">
        <w:noBreakHyphen/>
      </w:r>
      <w:r w:rsidRPr="007D1F4E">
        <w:t>for</w:t>
      </w:r>
      <w:r w:rsidR="00027729" w:rsidRPr="007D1F4E">
        <w:noBreakHyphen/>
      </w:r>
      <w:r w:rsidRPr="007D1F4E">
        <w:t>profit organisations, 4638 for</w:t>
      </w:r>
      <w:r w:rsidR="00027729" w:rsidRPr="007D1F4E">
        <w:noBreakHyphen/>
      </w:r>
      <w:r w:rsidRPr="007D1F4E">
        <w:t>profit organisations and 520 government organisations (ABS 2010).</w:t>
      </w:r>
    </w:p>
    <w:p w:rsidR="008655A2" w:rsidRDefault="008655A2" w:rsidP="008655A2">
      <w:pPr>
        <w:pStyle w:val="Heading3"/>
      </w:pPr>
      <w:r w:rsidRPr="00262ED3">
        <w:t>Social and economic factors affecting demand for services</w:t>
      </w:r>
    </w:p>
    <w:p w:rsidR="000E22E0" w:rsidRDefault="002C1A11" w:rsidP="00551B18">
      <w:pPr>
        <w:pStyle w:val="BodyText"/>
      </w:pPr>
      <w:r w:rsidRPr="00551B18">
        <w:t>In general, relatively disadvantaged members of the community live shorter lives and have higher rates of illness and disability than those who</w:t>
      </w:r>
      <w:r w:rsidR="00067AF5" w:rsidRPr="00551B18">
        <w:t xml:space="preserve">se circumstances are </w:t>
      </w:r>
      <w:r w:rsidRPr="00551B18">
        <w:lastRenderedPageBreak/>
        <w:t>advanta</w:t>
      </w:r>
      <w:r w:rsidR="00067AF5" w:rsidRPr="00551B18">
        <w:t xml:space="preserve">geous. For example, higher levels of education and income are associated with lower prevalence of risk factors to health such as smoking and obesity, and better health outcomes generally </w:t>
      </w:r>
      <w:r w:rsidRPr="00551B18">
        <w:t>(</w:t>
      </w:r>
      <w:r w:rsidR="00B61CDB" w:rsidRPr="00551B18">
        <w:t>AIHW </w:t>
      </w:r>
      <w:r w:rsidRPr="00551B18">
        <w:t>201</w:t>
      </w:r>
      <w:r w:rsidR="000B4DDC" w:rsidRPr="00551B18">
        <w:t>0</w:t>
      </w:r>
      <w:r w:rsidRPr="00551B18">
        <w:t>).</w:t>
      </w:r>
      <w:r w:rsidR="00067AF5" w:rsidRPr="00551B18">
        <w:t xml:space="preserve"> </w:t>
      </w:r>
    </w:p>
    <w:p w:rsidR="00067AF5" w:rsidRDefault="000E22E0" w:rsidP="00551B18">
      <w:pPr>
        <w:pStyle w:val="BodyText"/>
      </w:pPr>
      <w:r w:rsidRPr="00551B18">
        <w:t xml:space="preserve">Disadvantage </w:t>
      </w:r>
      <w:r>
        <w:t xml:space="preserve">also </w:t>
      </w:r>
      <w:r w:rsidRPr="00551B18">
        <w:t xml:space="preserve">limits the extent to which individuals and families can participate in society. Economic participation conveys financial, health and social benefits to individuals, households and families and is central to population welfare. </w:t>
      </w:r>
      <w:r w:rsidR="00067AF5" w:rsidRPr="00551B18">
        <w:t>Economic participation can be described as a person’s engagement in education and employment, and access to economic resources including income and wealth. The various aspects of economic participation are inter-related, and are also associated with positive social and health outcomes (AIHW 2011).</w:t>
      </w:r>
    </w:p>
    <w:p w:rsidR="000E22E0" w:rsidRDefault="005810E3" w:rsidP="000E22E0">
      <w:pPr>
        <w:pStyle w:val="Heading5"/>
      </w:pPr>
      <w:r>
        <w:t>Child protection and youth justice services</w:t>
      </w:r>
    </w:p>
    <w:p w:rsidR="0066695D" w:rsidRDefault="000E22E0" w:rsidP="00551B18">
      <w:pPr>
        <w:pStyle w:val="BodyText"/>
      </w:pPr>
      <w:r>
        <w:t>N</w:t>
      </w:r>
      <w:r w:rsidR="00255C2C" w:rsidRPr="00551B18">
        <w:t xml:space="preserve">o </w:t>
      </w:r>
      <w:r>
        <w:t>single</w:t>
      </w:r>
      <w:r w:rsidR="00255C2C" w:rsidRPr="00551B18">
        <w:t xml:space="preserve"> factor can predict </w:t>
      </w:r>
      <w:r w:rsidR="00067AF5" w:rsidRPr="00551B18">
        <w:t>whether</w:t>
      </w:r>
      <w:r w:rsidR="00255C2C" w:rsidRPr="00551B18">
        <w:t xml:space="preserve"> </w:t>
      </w:r>
      <w:r w:rsidR="005810E3">
        <w:t xml:space="preserve">a child </w:t>
      </w:r>
      <w:r w:rsidR="00255C2C" w:rsidRPr="00551B18">
        <w:t xml:space="preserve">will </w:t>
      </w:r>
      <w:r>
        <w:t xml:space="preserve">require </w:t>
      </w:r>
      <w:r w:rsidR="005810E3">
        <w:t>child protection services</w:t>
      </w:r>
      <w:r>
        <w:t xml:space="preserve">. </w:t>
      </w:r>
      <w:r w:rsidR="00C9403F" w:rsidRPr="00BF3552">
        <w:t>F</w:t>
      </w:r>
      <w:r w:rsidR="00067AF5" w:rsidRPr="00BF3552">
        <w:t xml:space="preserve">actors commonly associated with </w:t>
      </w:r>
      <w:r w:rsidR="005810E3" w:rsidRPr="00BF3552">
        <w:t xml:space="preserve">child protection </w:t>
      </w:r>
      <w:r w:rsidRPr="00BF3552">
        <w:t xml:space="preserve">involvement </w:t>
      </w:r>
      <w:r w:rsidR="00067AF5" w:rsidRPr="00BF3552">
        <w:t>include: early child bearing, parental alcohol and drug use, family violence, adult mental illness, social isolation, children with health, disability or behavioural problems</w:t>
      </w:r>
      <w:r w:rsidR="00C9403F" w:rsidRPr="00BF3552">
        <w:t>, and families under financial stress</w:t>
      </w:r>
      <w:r w:rsidR="005C77FA" w:rsidRPr="00BF3552">
        <w:t xml:space="preserve"> (families who are </w:t>
      </w:r>
      <w:r w:rsidR="00C9403F" w:rsidRPr="00BF3552">
        <w:t>reliant on pensions and benefits are overrepresented in the child protection system</w:t>
      </w:r>
      <w:r w:rsidR="005C77FA" w:rsidRPr="00BF3552">
        <w:t>)</w:t>
      </w:r>
      <w:r w:rsidR="00067AF5" w:rsidRPr="00BF3552">
        <w:t xml:space="preserve"> (Bromfield and Holzer 2008</w:t>
      </w:r>
      <w:r w:rsidR="00C9403F" w:rsidRPr="00BF3552">
        <w:t>; Allen Consulting Group 2003).</w:t>
      </w:r>
      <w:r w:rsidR="005810E3">
        <w:t xml:space="preserve"> </w:t>
      </w:r>
    </w:p>
    <w:p w:rsidR="00915BBB" w:rsidRPr="00551B18" w:rsidRDefault="00915BBB" w:rsidP="00CE1F52">
      <w:pPr>
        <w:pStyle w:val="BodyText"/>
      </w:pPr>
      <w:r w:rsidRPr="00CE1F52">
        <w:t>Similarly, no single factor can predict which c</w:t>
      </w:r>
      <w:r w:rsidR="005810E3" w:rsidRPr="00CE1F52">
        <w:t xml:space="preserve">hildren </w:t>
      </w:r>
      <w:r w:rsidRPr="00CE1F52">
        <w:t>will come into contact with the justice system or be subject to youth justice supervision. A range of factors are associated with youth justice system involvement, including a young person’s lack of maturity, his or her propensity to take risks and susceptibility to peer influence, intellectual disability, mental illness</w:t>
      </w:r>
      <w:r w:rsidR="00DF1D16" w:rsidRPr="00CE1F52">
        <w:t>, and entrenched socioeconomic disadvantage</w:t>
      </w:r>
      <w:r w:rsidRPr="00CE1F52">
        <w:t xml:space="preserve"> (</w:t>
      </w:r>
      <w:r w:rsidR="00C0429E" w:rsidRPr="00CE1F52">
        <w:t>Richards</w:t>
      </w:r>
      <w:r w:rsidR="00FC11CB" w:rsidRPr="00CE1F52">
        <w:t xml:space="preserve"> 2011</w:t>
      </w:r>
      <w:r w:rsidRPr="00CE1F52">
        <w:t>).</w:t>
      </w:r>
      <w:r w:rsidRPr="00915BBB">
        <w:t xml:space="preserve"> </w:t>
      </w:r>
    </w:p>
    <w:p w:rsidR="000E22E0" w:rsidRDefault="000E22E0" w:rsidP="000E22E0">
      <w:pPr>
        <w:pStyle w:val="Heading5"/>
      </w:pPr>
      <w:r>
        <w:t>Disability services</w:t>
      </w:r>
    </w:p>
    <w:p w:rsidR="00162767" w:rsidRPr="00CE1F52" w:rsidRDefault="009234F1" w:rsidP="00551B18">
      <w:pPr>
        <w:pStyle w:val="BodyText"/>
      </w:pPr>
      <w:r w:rsidRPr="00551B18">
        <w:t>The Productivity Commission</w:t>
      </w:r>
      <w:r w:rsidR="000748D0" w:rsidRPr="00551B18">
        <w:t xml:space="preserve"> report </w:t>
      </w:r>
      <w:r w:rsidR="00AB5BB8" w:rsidRPr="00551B18">
        <w:t xml:space="preserve">(PC 2011a) </w:t>
      </w:r>
      <w:r w:rsidR="000748D0" w:rsidRPr="00551B18">
        <w:t xml:space="preserve">into the disability care and support sector </w:t>
      </w:r>
      <w:r w:rsidR="00F22ABB" w:rsidRPr="00551B18">
        <w:t xml:space="preserve">describes </w:t>
      </w:r>
      <w:r w:rsidR="000748D0" w:rsidRPr="00551B18">
        <w:t>the sector as underfunded, unfair, fragmented, and inefficient</w:t>
      </w:r>
      <w:r w:rsidR="00E611D3">
        <w:t>,</w:t>
      </w:r>
      <w:r w:rsidR="000E22E0">
        <w:t xml:space="preserve"> which gives people with</w:t>
      </w:r>
      <w:r w:rsidR="000748D0" w:rsidRPr="00551B18">
        <w:t xml:space="preserve"> disability little choice and no certainty of access to appropriate supports.</w:t>
      </w:r>
      <w:r w:rsidR="00CE3455" w:rsidRPr="00551B18">
        <w:t xml:space="preserve"> </w:t>
      </w:r>
      <w:r w:rsidR="000748D0" w:rsidRPr="00551B18">
        <w:t xml:space="preserve">The </w:t>
      </w:r>
      <w:r w:rsidR="009664FC" w:rsidRPr="00551B18">
        <w:t xml:space="preserve">disability </w:t>
      </w:r>
      <w:r w:rsidR="000748D0" w:rsidRPr="00551B18">
        <w:t xml:space="preserve">sector </w:t>
      </w:r>
      <w:r w:rsidR="009664FC" w:rsidRPr="00551B18">
        <w:t>reflects social barriers such as prejudice, out-of</w:t>
      </w:r>
      <w:r w:rsidR="00E611D3" w:rsidRPr="00551B18">
        <w:t>-</w:t>
      </w:r>
      <w:r w:rsidR="009664FC" w:rsidRPr="00551B18">
        <w:t>date practices, and poorly designed infrastructure</w:t>
      </w:r>
      <w:r w:rsidR="007612E5">
        <w:t>.</w:t>
      </w:r>
      <w:r w:rsidR="00FF2BC8" w:rsidRPr="00551B18">
        <w:t xml:space="preserve"> </w:t>
      </w:r>
      <w:r w:rsidR="005277C4" w:rsidRPr="00BF3552">
        <w:t xml:space="preserve">On 13 February 2011, COAG formally endorsed the National Disability Strategy 2010-2020. The Strategy outlines a ten-year national policy framework to improve the lives of people with disability, promote participation, and create a more inclusive society. It guides public policy across governments and aims to bring about change in all mainstream and specialist services and programs, as well as community infrastructure, to ensure </w:t>
      </w:r>
      <w:r w:rsidR="005277C4" w:rsidRPr="00BF3552">
        <w:lastRenderedPageBreak/>
        <w:t xml:space="preserve">they are accessible and responsive to the needs of people with disability. This change is important to ensuring that people with disability have the same </w:t>
      </w:r>
      <w:r w:rsidR="005277C4" w:rsidRPr="00CE1F52">
        <w:t xml:space="preserve">opportunities as other Australians </w:t>
      </w:r>
      <w:r w:rsidR="008B49D2" w:rsidRPr="00CE1F52">
        <w:t>―</w:t>
      </w:r>
      <w:r w:rsidR="005277C4" w:rsidRPr="00CE1F52">
        <w:t xml:space="preserve"> a quality education, health care, a job where possible and access to buildings, transport and social activities</w:t>
      </w:r>
      <w:r w:rsidR="00162767" w:rsidRPr="00CE1F52">
        <w:t>.</w:t>
      </w:r>
    </w:p>
    <w:p w:rsidR="000E22E0" w:rsidRPr="00CE1F52" w:rsidRDefault="000E22E0" w:rsidP="000E22E0">
      <w:pPr>
        <w:pStyle w:val="Heading5"/>
      </w:pPr>
      <w:r w:rsidRPr="00CE1F52">
        <w:t>Aged care services</w:t>
      </w:r>
    </w:p>
    <w:p w:rsidR="006E7109" w:rsidRPr="00F8227C" w:rsidRDefault="007D2442" w:rsidP="00CE1F52">
      <w:pPr>
        <w:pStyle w:val="BodyText"/>
      </w:pPr>
      <w:r w:rsidRPr="00F8227C">
        <w:t xml:space="preserve">The ageing population is one of the key factors that will affect the demand for aged care </w:t>
      </w:r>
      <w:r w:rsidR="00316380" w:rsidRPr="00F8227C">
        <w:t xml:space="preserve">services over the next </w:t>
      </w:r>
      <w:r w:rsidR="00333F81" w:rsidRPr="00F8227C">
        <w:t>35</w:t>
      </w:r>
      <w:r w:rsidR="00316380" w:rsidRPr="00F8227C">
        <w:t xml:space="preserve"> years. The number of people aged 65 years </w:t>
      </w:r>
      <w:r w:rsidR="00333F81" w:rsidRPr="00F8227C">
        <w:t>or</w:t>
      </w:r>
      <w:r w:rsidR="00316380" w:rsidRPr="00F8227C">
        <w:t xml:space="preserve"> over is expected to </w:t>
      </w:r>
      <w:r w:rsidR="006E7109" w:rsidRPr="00F8227C">
        <w:t xml:space="preserve">more than double </w:t>
      </w:r>
      <w:r w:rsidR="00316380" w:rsidRPr="00F8227C">
        <w:t>increas</w:t>
      </w:r>
      <w:r w:rsidR="006E7109" w:rsidRPr="00F8227C">
        <w:t xml:space="preserve">ing </w:t>
      </w:r>
      <w:r w:rsidR="00316380" w:rsidRPr="00F8227C">
        <w:t xml:space="preserve">from 14.5 per cent of the total population in June 2013 (table 13A.1) to 25.3 per cent by 2047 (PC 2011b). </w:t>
      </w:r>
      <w:r w:rsidR="00333F81" w:rsidRPr="00F8227C">
        <w:t>An even bigger relative increase</w:t>
      </w:r>
      <w:r w:rsidR="006E7109" w:rsidRPr="00F8227C">
        <w:t xml:space="preserve"> (around four times) in the number of people aged over 85 years is </w:t>
      </w:r>
      <w:r w:rsidR="00333F81" w:rsidRPr="00F8227C">
        <w:t>anticipated</w:t>
      </w:r>
      <w:r w:rsidR="006E7109" w:rsidRPr="00F8227C">
        <w:t>. This age cohort are</w:t>
      </w:r>
      <w:r w:rsidR="00333F81" w:rsidRPr="00F8227C">
        <w:t xml:space="preserve"> the main users of aged care services </w:t>
      </w:r>
      <w:r w:rsidR="006E7109" w:rsidRPr="00F8227C">
        <w:br/>
      </w:r>
      <w:r w:rsidR="00333F81" w:rsidRPr="00F8227C">
        <w:t xml:space="preserve">(PC 2011b). </w:t>
      </w:r>
    </w:p>
    <w:p w:rsidR="006E7109" w:rsidRPr="00CE1F52" w:rsidRDefault="007D2442" w:rsidP="00CE1F52">
      <w:pPr>
        <w:pStyle w:val="BodyText"/>
      </w:pPr>
      <w:r w:rsidRPr="00CE1F52">
        <w:t>The Productivity Commission report (PC 2011b) into caring for older Australians highlighted the increasing numbers of older people who are likely to require care (by 2050 it is estimated the 3.5 million Australians will use aged care services), along with their increasing expectations of care and the relative fall in the number of informal carers.</w:t>
      </w:r>
      <w:r w:rsidR="00333F81" w:rsidRPr="00CE1F52">
        <w:t xml:space="preserve"> The Australian </w:t>
      </w:r>
      <w:r w:rsidR="00333F81" w:rsidRPr="00F8227C">
        <w:t>Government’s aged care</w:t>
      </w:r>
      <w:r w:rsidR="00333F81" w:rsidRPr="00CE1F52">
        <w:t xml:space="preserve"> reform package, announced during 2012, includes a focus on increased consumer choice and control; more affordable and easier access to a full range of services; improved and expanded home care, support and residential care; better information; and more sustainable financing arrangements.</w:t>
      </w:r>
      <w:r w:rsidR="006E7109" w:rsidRPr="00CE1F52">
        <w:t xml:space="preserve"> </w:t>
      </w:r>
    </w:p>
    <w:p w:rsidR="007D2442" w:rsidRPr="007D2442" w:rsidRDefault="006E7109" w:rsidP="00CE1F52">
      <w:pPr>
        <w:pStyle w:val="BodyText"/>
      </w:pPr>
      <w:r w:rsidRPr="00CE1F52">
        <w:t>The National Health and Hospitals Reform Commission also noted a</w:t>
      </w:r>
      <w:r w:rsidRPr="00F8227C">
        <w:t xml:space="preserve"> number of additional challenges</w:t>
      </w:r>
      <w:r w:rsidRPr="00CE1F52">
        <w:t xml:space="preserve"> facing the aged care sector including significant shifts in the type of care demanded, due to reduced access to carers and family support caused by changes in social and economic circumstances (NHHRC 2009).</w:t>
      </w:r>
    </w:p>
    <w:p w:rsidR="0083195E" w:rsidRDefault="0083195E" w:rsidP="0083195E">
      <w:pPr>
        <w:pStyle w:val="Heading3"/>
      </w:pPr>
      <w:r>
        <w:t>Service-sector objectives</w:t>
      </w:r>
    </w:p>
    <w:p w:rsidR="0083195E" w:rsidRPr="00965531" w:rsidRDefault="0083195E" w:rsidP="0083195E">
      <w:pPr>
        <w:pStyle w:val="BodyText"/>
      </w:pPr>
      <w:r w:rsidRPr="00D4389E">
        <w:t xml:space="preserve">The overarching service sector objectives in box </w:t>
      </w:r>
      <w:r w:rsidR="001A00CC">
        <w:t>F.</w:t>
      </w:r>
      <w:r w:rsidR="00E33535">
        <w:t>3</w:t>
      </w:r>
      <w:r w:rsidR="001A00CC">
        <w:t xml:space="preserve"> </w:t>
      </w:r>
      <w:r w:rsidRPr="00D4389E">
        <w:t>draw together the objectives from each of the specific services</w:t>
      </w:r>
      <w:r w:rsidR="00027729">
        <w:t xml:space="preserve"> detailed in this Report</w:t>
      </w:r>
      <w:r w:rsidRPr="00D4389E">
        <w:t>. More detailed objectives can be found in chapters 1</w:t>
      </w:r>
      <w:r>
        <w:t>3</w:t>
      </w:r>
      <w:r w:rsidRPr="00D4389E">
        <w:t xml:space="preserve"> (</w:t>
      </w:r>
      <w:r w:rsidR="001A00CC">
        <w:t>A</w:t>
      </w:r>
      <w:r>
        <w:t>ged care</w:t>
      </w:r>
      <w:r w:rsidR="00027729">
        <w:t xml:space="preserve"> services</w:t>
      </w:r>
      <w:r w:rsidRPr="00D4389E">
        <w:t>)</w:t>
      </w:r>
      <w:r>
        <w:t>,</w:t>
      </w:r>
      <w:r w:rsidRPr="00D4389E">
        <w:t xml:space="preserve"> 1</w:t>
      </w:r>
      <w:r>
        <w:t>4</w:t>
      </w:r>
      <w:r w:rsidR="001A00CC">
        <w:t xml:space="preserve"> </w:t>
      </w:r>
      <w:r w:rsidRPr="00D4389E">
        <w:t>(</w:t>
      </w:r>
      <w:r w:rsidR="001A00CC">
        <w:t>S</w:t>
      </w:r>
      <w:r>
        <w:t>ervices for people with disability</w:t>
      </w:r>
      <w:r w:rsidRPr="00D4389E">
        <w:t>)</w:t>
      </w:r>
      <w:r w:rsidR="008B49D2">
        <w:t>,</w:t>
      </w:r>
      <w:r>
        <w:t xml:space="preserve"> 15 (</w:t>
      </w:r>
      <w:r w:rsidR="00CA6982">
        <w:t>Child protection</w:t>
      </w:r>
      <w:r w:rsidR="008B49D2">
        <w:t xml:space="preserve"> services)</w:t>
      </w:r>
      <w:r w:rsidR="00CA6982">
        <w:t xml:space="preserve"> and </w:t>
      </w:r>
      <w:r w:rsidR="008B49D2">
        <w:t>16 (Y</w:t>
      </w:r>
      <w:r w:rsidR="00CA6982">
        <w:t>outh justice</w:t>
      </w:r>
      <w:r w:rsidR="00027729">
        <w:t xml:space="preserve"> services</w:t>
      </w:r>
      <w:r>
        <w:t>)</w:t>
      </w:r>
      <w:r w:rsidRPr="00D4389E">
        <w:t>.</w:t>
      </w:r>
      <w:r w:rsidR="00D5099D" w:rsidRPr="00965531">
        <w:t xml:space="preserve"> </w:t>
      </w:r>
    </w:p>
    <w:p w:rsidR="0083195E" w:rsidRDefault="0083195E" w:rsidP="0083195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3195E" w:rsidTr="009D3D52">
        <w:tc>
          <w:tcPr>
            <w:tcW w:w="8771" w:type="dxa"/>
            <w:tcBorders>
              <w:top w:val="single" w:sz="6" w:space="0" w:color="auto"/>
              <w:bottom w:val="nil"/>
            </w:tcBorders>
          </w:tcPr>
          <w:p w:rsidR="0083195E" w:rsidRDefault="0083195E" w:rsidP="009D3D52">
            <w:pPr>
              <w:pStyle w:val="BoxTitle"/>
            </w:pPr>
            <w:r>
              <w:rPr>
                <w:b w:val="0"/>
              </w:rPr>
              <w:t xml:space="preserve">Box </w:t>
            </w:r>
            <w:bookmarkStart w:id="8" w:name="OLE_LINK4"/>
            <w:r w:rsidR="003534F9">
              <w:rPr>
                <w:b w:val="0"/>
              </w:rPr>
              <w:t>F.</w:t>
            </w:r>
            <w:r w:rsidR="00914946">
              <w:rPr>
                <w:b w:val="0"/>
                <w:noProof/>
              </w:rPr>
              <w:t>3</w:t>
            </w:r>
            <w:bookmarkEnd w:id="8"/>
            <w:r>
              <w:tab/>
              <w:t xml:space="preserve">Objectives for </w:t>
            </w:r>
            <w:r w:rsidR="00D5099D">
              <w:t>community</w:t>
            </w:r>
            <w:r>
              <w:t xml:space="preserve"> services</w:t>
            </w:r>
          </w:p>
        </w:tc>
      </w:tr>
      <w:tr w:rsidR="0083195E" w:rsidTr="009D3D52">
        <w:trPr>
          <w:cantSplit/>
        </w:trPr>
        <w:tc>
          <w:tcPr>
            <w:tcW w:w="8771" w:type="dxa"/>
            <w:tcBorders>
              <w:top w:val="nil"/>
              <w:left w:val="single" w:sz="6" w:space="0" w:color="auto"/>
              <w:bottom w:val="nil"/>
              <w:right w:val="single" w:sz="6" w:space="0" w:color="auto"/>
            </w:tcBorders>
          </w:tcPr>
          <w:p w:rsidR="00CC6DFC" w:rsidRDefault="00CC6DFC" w:rsidP="008F40DD">
            <w:pPr>
              <w:pStyle w:val="Box"/>
            </w:pPr>
            <w:r>
              <w:t>The overarching objective of the community services</w:t>
            </w:r>
            <w:r w:rsidR="00280A4D">
              <w:t>’</w:t>
            </w:r>
            <w:r>
              <w:t xml:space="preserve"> sector is to ensure that </w:t>
            </w:r>
            <w:r w:rsidR="00B84F6A">
              <w:t>older people, people with disability and vulnerable children are supported or assisted and have the opportunity to fully participate in the community.</w:t>
            </w:r>
          </w:p>
          <w:p w:rsidR="008F40DD" w:rsidRDefault="008F40DD" w:rsidP="008F40DD">
            <w:pPr>
              <w:pStyle w:val="Box"/>
            </w:pPr>
            <w:r>
              <w:t>The specific objectives of the services that comprise the community services</w:t>
            </w:r>
            <w:r w:rsidR="00280A4D">
              <w:t>’</w:t>
            </w:r>
            <w:r>
              <w:t xml:space="preserve"> sector are summarised below:</w:t>
            </w:r>
          </w:p>
          <w:p w:rsidR="008F40DD" w:rsidRDefault="008F40DD" w:rsidP="003534F9">
            <w:pPr>
              <w:pStyle w:val="BoxListBullet"/>
            </w:pPr>
            <w:r w:rsidRPr="00BF7728">
              <w:rPr>
                <w:i/>
              </w:rPr>
              <w:t>Aged care services</w:t>
            </w:r>
            <w:r w:rsidRPr="003534F9">
              <w:t xml:space="preserve"> </w:t>
            </w:r>
            <w:r w:rsidRPr="00110970">
              <w:t>(</w:t>
            </w:r>
            <w:r>
              <w:t>chapter </w:t>
            </w:r>
            <w:r w:rsidRPr="00B80520">
              <w:t>1</w:t>
            </w:r>
            <w:r>
              <w:t>3) aim to promote the wellbeing and independence of frail older people and their carers through the funding and delivery of care services that are accessible, appropriate to needs, high quality, efficient, and person-centred. These o</w:t>
            </w:r>
            <w:r w:rsidRPr="00F20D73">
              <w:t>bjectives are consistent with</w:t>
            </w:r>
            <w:r>
              <w:t xml:space="preserve"> the</w:t>
            </w:r>
            <w:r w:rsidRPr="00F20D73">
              <w:t xml:space="preserve"> </w:t>
            </w:r>
            <w:r>
              <w:t>Australian, State and Territory governments’ l</w:t>
            </w:r>
            <w:r w:rsidRPr="005130CC">
              <w:t xml:space="preserve">ong-term </w:t>
            </w:r>
            <w:r>
              <w:t xml:space="preserve">aged care </w:t>
            </w:r>
            <w:r w:rsidRPr="005130CC">
              <w:t>objectives</w:t>
            </w:r>
            <w:r>
              <w:t xml:space="preserve"> articulated under the</w:t>
            </w:r>
            <w:r w:rsidRPr="005130CC">
              <w:t xml:space="preserve"> NHA</w:t>
            </w:r>
            <w:r>
              <w:t>: that ‘o</w:t>
            </w:r>
            <w:r w:rsidRPr="005130CC">
              <w:t>lder Australians receive appropriate high quality and affordable health and aged care services</w:t>
            </w:r>
            <w:r>
              <w:t xml:space="preserve">’ </w:t>
            </w:r>
            <w:r w:rsidRPr="00012EEC">
              <w:t>(COAG 2009</w:t>
            </w:r>
            <w:r w:rsidRPr="00F20D73">
              <w:t>).</w:t>
            </w:r>
          </w:p>
          <w:p w:rsidR="008F40DD" w:rsidRDefault="008F40DD" w:rsidP="003534F9">
            <w:pPr>
              <w:pStyle w:val="BoxListBullet"/>
              <w:rPr>
                <w:szCs w:val="24"/>
              </w:rPr>
            </w:pPr>
            <w:r w:rsidRPr="00BF7728">
              <w:rPr>
                <w:i/>
              </w:rPr>
              <w:t>Services for people with disability</w:t>
            </w:r>
            <w:r>
              <w:t xml:space="preserve"> (chapter 14) aim </w:t>
            </w:r>
            <w:r w:rsidRPr="00F21C84">
              <w:t xml:space="preserve">to enhance the quality of life experienced by people with disability by assisting them to live as valued and participating members of the community. </w:t>
            </w:r>
          </w:p>
          <w:p w:rsidR="00280A4D" w:rsidRPr="00280A4D" w:rsidRDefault="009A7FC2" w:rsidP="00280A4D">
            <w:pPr>
              <w:pStyle w:val="BoxListBullet"/>
              <w:rPr>
                <w:szCs w:val="24"/>
              </w:rPr>
            </w:pPr>
            <w:r w:rsidRPr="00B97802">
              <w:rPr>
                <w:i/>
              </w:rPr>
              <w:t>Child protection</w:t>
            </w:r>
            <w:r w:rsidR="008F40DD" w:rsidRPr="00B97802">
              <w:rPr>
                <w:i/>
              </w:rPr>
              <w:t xml:space="preserve"> services</w:t>
            </w:r>
            <w:r w:rsidR="008F40DD" w:rsidRPr="00B97802">
              <w:t xml:space="preserve"> (chapter 15) aim to support families to care for their children and to protect</w:t>
            </w:r>
            <w:r w:rsidR="008F40DD">
              <w:t xml:space="preserve"> children who are at risk of harm. </w:t>
            </w:r>
          </w:p>
          <w:p w:rsidR="00280A4D" w:rsidRDefault="00280A4D" w:rsidP="00280A4D">
            <w:pPr>
              <w:pStyle w:val="BoxListBullet"/>
              <w:rPr>
                <w:szCs w:val="24"/>
              </w:rPr>
            </w:pPr>
            <w:r>
              <w:rPr>
                <w:i/>
              </w:rPr>
              <w:t>Youth justice</w:t>
            </w:r>
            <w:r w:rsidRPr="00BF7728">
              <w:rPr>
                <w:i/>
              </w:rPr>
              <w:t xml:space="preserve"> services</w:t>
            </w:r>
            <w:r>
              <w:t xml:space="preserve"> (</w:t>
            </w:r>
            <w:r w:rsidRPr="00110970">
              <w:t>chapter 1</w:t>
            </w:r>
            <w:r>
              <w:t>6</w:t>
            </w:r>
            <w:r w:rsidRPr="00110970">
              <w:t>)</w:t>
            </w:r>
            <w:r>
              <w:t xml:space="preserve"> </w:t>
            </w:r>
            <w:r w:rsidRPr="00A94B71">
              <w:t>aim</w:t>
            </w:r>
            <w:r>
              <w:t xml:space="preserve"> to </w:t>
            </w:r>
            <w:r w:rsidRPr="00A94B71">
              <w:t xml:space="preserve">contribute to </w:t>
            </w:r>
            <w:r>
              <w:t xml:space="preserve">a </w:t>
            </w:r>
            <w:r w:rsidRPr="00A94B71">
              <w:t>reduction in</w:t>
            </w:r>
            <w:r>
              <w:t xml:space="preserve"> the</w:t>
            </w:r>
            <w:r w:rsidRPr="00A94B71">
              <w:t xml:space="preserve"> frequency </w:t>
            </w:r>
            <w:r>
              <w:t xml:space="preserve">and </w:t>
            </w:r>
            <w:r w:rsidRPr="00A94B71">
              <w:t>severity of youth offending, recognise the rights of victims</w:t>
            </w:r>
            <w:r>
              <w:t>,</w:t>
            </w:r>
            <w:r w:rsidRPr="00A94B71">
              <w:t xml:space="preserve"> and promote c</w:t>
            </w:r>
            <w:r>
              <w:t>ommunity safety.</w:t>
            </w:r>
          </w:p>
        </w:tc>
      </w:tr>
      <w:tr w:rsidR="0083195E" w:rsidTr="009D3D52">
        <w:trPr>
          <w:cantSplit/>
        </w:trPr>
        <w:tc>
          <w:tcPr>
            <w:tcW w:w="8771" w:type="dxa"/>
            <w:tcBorders>
              <w:top w:val="nil"/>
              <w:left w:val="single" w:sz="6" w:space="0" w:color="auto"/>
              <w:bottom w:val="nil"/>
              <w:right w:val="single" w:sz="6" w:space="0" w:color="auto"/>
            </w:tcBorders>
          </w:tcPr>
          <w:p w:rsidR="0083195E" w:rsidRDefault="0083195E" w:rsidP="009D3D52">
            <w:pPr>
              <w:pStyle w:val="BoxSource"/>
            </w:pPr>
            <w:r>
              <w:rPr>
                <w:i/>
              </w:rPr>
              <w:t>Source</w:t>
            </w:r>
            <w:r w:rsidRPr="00167F06">
              <w:t>:</w:t>
            </w:r>
            <w:r>
              <w:t xml:space="preserve"> Chapters 1</w:t>
            </w:r>
            <w:r w:rsidR="00D5099D">
              <w:t>3, 14</w:t>
            </w:r>
            <w:r w:rsidR="00280A4D">
              <w:t>, 15</w:t>
            </w:r>
            <w:r>
              <w:t xml:space="preserve"> and 1</w:t>
            </w:r>
            <w:r w:rsidR="00280A4D">
              <w:t>6</w:t>
            </w:r>
            <w:r>
              <w:t>.</w:t>
            </w:r>
          </w:p>
        </w:tc>
      </w:tr>
      <w:tr w:rsidR="0083195E" w:rsidTr="009D3D52">
        <w:trPr>
          <w:cantSplit/>
        </w:trPr>
        <w:tc>
          <w:tcPr>
            <w:tcW w:w="8771" w:type="dxa"/>
            <w:tcBorders>
              <w:top w:val="nil"/>
              <w:left w:val="single" w:sz="6" w:space="0" w:color="auto"/>
              <w:bottom w:val="single" w:sz="6" w:space="0" w:color="auto"/>
              <w:right w:val="single" w:sz="6" w:space="0" w:color="auto"/>
            </w:tcBorders>
          </w:tcPr>
          <w:p w:rsidR="0083195E" w:rsidRDefault="0083195E" w:rsidP="009D3D52">
            <w:pPr>
              <w:pStyle w:val="Box"/>
              <w:spacing w:before="0" w:line="120" w:lineRule="exact"/>
            </w:pPr>
          </w:p>
        </w:tc>
      </w:tr>
      <w:tr w:rsidR="0083195E" w:rsidTr="009D3D52">
        <w:tc>
          <w:tcPr>
            <w:tcW w:w="8771" w:type="dxa"/>
            <w:tcBorders>
              <w:top w:val="nil"/>
              <w:left w:val="nil"/>
              <w:bottom w:val="nil"/>
              <w:right w:val="nil"/>
            </w:tcBorders>
          </w:tcPr>
          <w:p w:rsidR="0083195E" w:rsidRDefault="0083195E" w:rsidP="009D3D52">
            <w:pPr>
              <w:pStyle w:val="Box"/>
              <w:keepNext w:val="0"/>
              <w:spacing w:before="60" w:after="60" w:line="80" w:lineRule="exact"/>
              <w:rPr>
                <w:b/>
                <w:color w:val="FF00FF"/>
                <w:sz w:val="14"/>
              </w:rPr>
            </w:pPr>
          </w:p>
        </w:tc>
      </w:tr>
    </w:tbl>
    <w:p w:rsidR="00397770" w:rsidRDefault="003C2C54" w:rsidP="00A272DC">
      <w:pPr>
        <w:pStyle w:val="Heading2"/>
      </w:pPr>
      <w:bookmarkStart w:id="9" w:name="_Toc338234651"/>
      <w:r>
        <w:t>F.</w:t>
      </w:r>
      <w:r w:rsidR="00914946">
        <w:rPr>
          <w:noProof/>
        </w:rPr>
        <w:t>2</w:t>
      </w:r>
      <w:r>
        <w:tab/>
      </w:r>
      <w:r w:rsidR="004E274E">
        <w:t>Sector</w:t>
      </w:r>
      <w:r w:rsidR="004E274E" w:rsidRPr="00A272DC">
        <w:t xml:space="preserve"> </w:t>
      </w:r>
      <w:r w:rsidR="004D1B48">
        <w:t>p</w:t>
      </w:r>
      <w:r w:rsidR="00A272DC" w:rsidRPr="00A272DC">
        <w:t xml:space="preserve">erformance </w:t>
      </w:r>
      <w:r w:rsidR="004D1B48">
        <w:t>i</w:t>
      </w:r>
      <w:r w:rsidR="00A272DC" w:rsidRPr="00A272DC">
        <w:t xml:space="preserve">ndicator </w:t>
      </w:r>
      <w:r w:rsidR="004D1B48">
        <w:t>f</w:t>
      </w:r>
      <w:r w:rsidR="00A272DC" w:rsidRPr="00A272DC">
        <w:t>ramework</w:t>
      </w:r>
      <w:bookmarkEnd w:id="9"/>
    </w:p>
    <w:p w:rsidR="008F40DD" w:rsidRDefault="00A70830" w:rsidP="008F40DD">
      <w:pPr>
        <w:pStyle w:val="BodyText"/>
      </w:pPr>
      <w:r>
        <w:t xml:space="preserve">This sector </w:t>
      </w:r>
      <w:r w:rsidR="0004040E">
        <w:t>overview</w:t>
      </w:r>
      <w:r>
        <w:t xml:space="preserve"> </w:t>
      </w:r>
      <w:r w:rsidR="004C1D43">
        <w:t xml:space="preserve">is based on </w:t>
      </w:r>
      <w:r>
        <w:t xml:space="preserve">a </w:t>
      </w:r>
      <w:r w:rsidR="004E274E">
        <w:t xml:space="preserve">sector </w:t>
      </w:r>
      <w:r>
        <w:t xml:space="preserve">performance indicator framework </w:t>
      </w:r>
      <w:r w:rsidR="004C1D43">
        <w:t>(figure F.1). This framework is made up of the following elements:</w:t>
      </w:r>
    </w:p>
    <w:p w:rsidR="008F40DD" w:rsidRPr="00793430" w:rsidRDefault="004E274E" w:rsidP="008F40DD">
      <w:pPr>
        <w:pStyle w:val="ListBullet"/>
      </w:pPr>
      <w:r>
        <w:t>Sector</w:t>
      </w:r>
      <w:r w:rsidRPr="00793430">
        <w:t xml:space="preserve"> </w:t>
      </w:r>
      <w:r w:rsidR="00002906">
        <w:t>objectives</w:t>
      </w:r>
      <w:r w:rsidR="00002906" w:rsidRPr="00793430">
        <w:t xml:space="preserve"> </w:t>
      </w:r>
      <w:r w:rsidR="008F40DD" w:rsidRPr="00793430">
        <w:t xml:space="preserve">— </w:t>
      </w:r>
      <w:r w:rsidR="00002906">
        <w:t xml:space="preserve">three </w:t>
      </w:r>
      <w:r>
        <w:t>sector</w:t>
      </w:r>
      <w:r w:rsidRPr="00793430">
        <w:t xml:space="preserve"> </w:t>
      </w:r>
      <w:r w:rsidR="00002906">
        <w:t>objectives</w:t>
      </w:r>
      <w:r w:rsidR="008F40DD" w:rsidRPr="00793430">
        <w:t xml:space="preserve"> are </w:t>
      </w:r>
      <w:r w:rsidR="00002906">
        <w:t xml:space="preserve">a </w:t>
      </w:r>
      <w:r w:rsidR="00423D1B">
        <w:t>précis</w:t>
      </w:r>
      <w:r w:rsidR="00002906">
        <w:t xml:space="preserve"> of</w:t>
      </w:r>
      <w:r w:rsidR="008F40DD" w:rsidRPr="00793430">
        <w:t xml:space="preserve"> the key objectives of </w:t>
      </w:r>
      <w:r w:rsidR="008F40DD">
        <w:t xml:space="preserve">the </w:t>
      </w:r>
      <w:r w:rsidR="008F40DD" w:rsidRPr="00793430">
        <w:t>community service</w:t>
      </w:r>
      <w:r w:rsidR="008F40DD">
        <w:t>s</w:t>
      </w:r>
      <w:r w:rsidR="008F40DD" w:rsidRPr="00793430">
        <w:t xml:space="preserve"> sector</w:t>
      </w:r>
      <w:r w:rsidR="007369D6">
        <w:t xml:space="preserve"> (box F.</w:t>
      </w:r>
      <w:r w:rsidR="00E33535">
        <w:t>3</w:t>
      </w:r>
      <w:r w:rsidR="007369D6">
        <w:t>)</w:t>
      </w:r>
    </w:p>
    <w:p w:rsidR="008F40DD" w:rsidRPr="00793430" w:rsidRDefault="008F40DD" w:rsidP="008F40DD">
      <w:pPr>
        <w:pStyle w:val="ListBullet"/>
        <w:rPr>
          <w:rStyle w:val="DraftingNote"/>
          <w:b w:val="0"/>
          <w:color w:val="auto"/>
          <w:sz w:val="26"/>
          <w:u w:val="none"/>
        </w:rPr>
      </w:pPr>
      <w:r w:rsidRPr="00793430">
        <w:t>Sector-wide indicators —</w:t>
      </w:r>
      <w:r w:rsidR="004C1D43">
        <w:t xml:space="preserve"> </w:t>
      </w:r>
      <w:r w:rsidRPr="00793430">
        <w:t xml:space="preserve">sector-wide indicators </w:t>
      </w:r>
      <w:r>
        <w:t xml:space="preserve">are </w:t>
      </w:r>
      <w:r w:rsidRPr="00793430">
        <w:t>high level indicators</w:t>
      </w:r>
      <w:r>
        <w:t xml:space="preserve"> which cut across community services</w:t>
      </w:r>
      <w:r w:rsidR="004E274E">
        <w:t xml:space="preserve"> </w:t>
      </w:r>
    </w:p>
    <w:p w:rsidR="004E274E" w:rsidRDefault="008F40DD" w:rsidP="004E274E">
      <w:pPr>
        <w:pStyle w:val="ListBullet"/>
      </w:pPr>
      <w:r w:rsidRPr="00793430">
        <w:t>Service</w:t>
      </w:r>
      <w:r w:rsidR="00E611D3" w:rsidRPr="00793430">
        <w:t>-</w:t>
      </w:r>
      <w:r w:rsidRPr="00793430">
        <w:t xml:space="preserve">specific indicators — </w:t>
      </w:r>
      <w:r w:rsidR="008A1B7D">
        <w:t>i</w:t>
      </w:r>
      <w:r w:rsidR="004E274E">
        <w:t xml:space="preserve">nformation from the service-specific </w:t>
      </w:r>
      <w:r w:rsidR="004E274E" w:rsidRPr="004F7C55">
        <w:t>performance indicator framework</w:t>
      </w:r>
      <w:r w:rsidR="004E274E">
        <w:t xml:space="preserve">s that relate to </w:t>
      </w:r>
      <w:r w:rsidR="008A1B7D">
        <w:t>community</w:t>
      </w:r>
      <w:r w:rsidR="004E274E">
        <w:t xml:space="preserve"> </w:t>
      </w:r>
      <w:r w:rsidR="008A1B7D">
        <w:t>services. D</w:t>
      </w:r>
      <w:r w:rsidR="004E274E">
        <w:t>iscussed in more detail in chapters 13, 14</w:t>
      </w:r>
      <w:r w:rsidR="000F0EA0">
        <w:t>,</w:t>
      </w:r>
      <w:r w:rsidR="004E274E">
        <w:t xml:space="preserve"> </w:t>
      </w:r>
      <w:r w:rsidR="000F0EA0">
        <w:t xml:space="preserve">15 </w:t>
      </w:r>
      <w:r w:rsidR="004E274E">
        <w:t>and 1</w:t>
      </w:r>
      <w:r w:rsidR="000F0EA0">
        <w:t>6</w:t>
      </w:r>
      <w:r w:rsidR="008A1B7D">
        <w:t>, t</w:t>
      </w:r>
      <w:r w:rsidR="004E274E" w:rsidRPr="004F7C55" w:rsidDel="00116972">
        <w:t>he</w:t>
      </w:r>
      <w:r w:rsidR="004E274E">
        <w:t xml:space="preserve"> service-specific frameworks provide comprehensive information on </w:t>
      </w:r>
      <w:r w:rsidR="004E274E" w:rsidRPr="004F7C55">
        <w:t xml:space="preserve">the equity, effectiveness and efficiency </w:t>
      </w:r>
      <w:r w:rsidR="004E274E" w:rsidRPr="004F7C55" w:rsidDel="00116972">
        <w:t xml:space="preserve">of </w:t>
      </w:r>
      <w:r w:rsidR="008A1B7D">
        <w:t>these</w:t>
      </w:r>
      <w:r w:rsidR="004E274E">
        <w:t xml:space="preserve"> services.</w:t>
      </w:r>
    </w:p>
    <w:p w:rsidR="004C1D43" w:rsidRDefault="005A70B6" w:rsidP="00570CC2">
      <w:pPr>
        <w:pStyle w:val="BodyText"/>
      </w:pPr>
      <w:r>
        <w:lastRenderedPageBreak/>
        <w:t>T</w:t>
      </w:r>
      <w:r w:rsidR="004C1D43">
        <w:t xml:space="preserve">his </w:t>
      </w:r>
      <w:r w:rsidR="009D4D19">
        <w:t>sector</w:t>
      </w:r>
      <w:r w:rsidR="004C1D43">
        <w:t xml:space="preserve"> </w:t>
      </w:r>
      <w:r w:rsidR="0004040E">
        <w:t>overview</w:t>
      </w:r>
      <w:r w:rsidR="004C1D43">
        <w:t xml:space="preserve"> provides a</w:t>
      </w:r>
      <w:r>
        <w:t>n</w:t>
      </w:r>
      <w:r w:rsidR="004C1D43">
        <w:t xml:space="preserve"> overview of relevant performance information. Chapters 13, 14</w:t>
      </w:r>
      <w:r w:rsidR="000F0EA0">
        <w:t>,</w:t>
      </w:r>
      <w:r w:rsidR="004C1D43">
        <w:t xml:space="preserve"> </w:t>
      </w:r>
      <w:r w:rsidR="000F0EA0">
        <w:t xml:space="preserve">15 </w:t>
      </w:r>
      <w:r w:rsidR="004C1D43">
        <w:t>and 1</w:t>
      </w:r>
      <w:r w:rsidR="000F0EA0">
        <w:t>6</w:t>
      </w:r>
      <w:r w:rsidR="004C1D43">
        <w:t xml:space="preserve"> and their associated attachment tables provide </w:t>
      </w:r>
      <w:r w:rsidR="007369D6">
        <w:t xml:space="preserve">more detailed </w:t>
      </w:r>
      <w:r w:rsidR="004C1D43">
        <w:t>information</w:t>
      </w:r>
      <w:r w:rsidR="007369D6">
        <w:t>.</w:t>
      </w:r>
    </w:p>
    <w:p w:rsidR="006D5589" w:rsidRPr="00BE7792" w:rsidRDefault="0093204D" w:rsidP="006B1005">
      <w:pPr>
        <w:pStyle w:val="FigureTitle"/>
        <w:rPr>
          <w:rStyle w:val="DraftingNote"/>
          <w:color w:val="auto"/>
        </w:rPr>
      </w:pPr>
      <w:r w:rsidRPr="007F1060">
        <w:rPr>
          <w:b w:val="0"/>
        </w:rPr>
        <w:lastRenderedPageBreak/>
        <w:t xml:space="preserve">Figure </w:t>
      </w:r>
      <w:bookmarkStart w:id="10" w:name="OLE_LINK5"/>
      <w:r w:rsidR="00E33535">
        <w:rPr>
          <w:b w:val="0"/>
        </w:rPr>
        <w:t>F.</w:t>
      </w:r>
      <w:r w:rsidR="00914946">
        <w:rPr>
          <w:b w:val="0"/>
          <w:noProof/>
        </w:rPr>
        <w:t>1</w:t>
      </w:r>
      <w:bookmarkEnd w:id="10"/>
      <w:r w:rsidRPr="007F1060">
        <w:tab/>
      </w:r>
      <w:r w:rsidR="00417C6B">
        <w:t>Community</w:t>
      </w:r>
      <w:r w:rsidRPr="007F1060">
        <w:t xml:space="preserve"> services performance indicator</w:t>
      </w:r>
      <w:r w:rsidRPr="00BE7792">
        <w:t xml:space="preserve"> framework</w:t>
      </w:r>
    </w:p>
    <w:tbl>
      <w:tblPr>
        <w:tblW w:w="0" w:type="auto"/>
        <w:tblInd w:w="-284"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9072"/>
      </w:tblGrid>
      <w:tr w:rsidR="0093204D" w:rsidTr="00621119">
        <w:tc>
          <w:tcPr>
            <w:tcW w:w="9072" w:type="dxa"/>
          </w:tcPr>
          <w:p w:rsidR="0093204D" w:rsidRPr="00AD14D3" w:rsidRDefault="00172E1F" w:rsidP="00BE7792">
            <w:pPr>
              <w:pStyle w:val="Figure"/>
              <w:keepNext w:val="0"/>
            </w:pPr>
            <w:r>
              <w:rPr>
                <w:noProof/>
              </w:rPr>
              <w:drawing>
                <wp:inline distT="0" distB="0" distL="0" distR="0" wp14:anchorId="5A638CCC" wp14:editId="381D5151">
                  <wp:extent cx="5734050" cy="7496175"/>
                  <wp:effectExtent l="0" t="0" r="0" b="9525"/>
                  <wp:docPr id="2" name="Picture 2" descr="Figure F.1 Community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4050" cy="7496175"/>
                          </a:xfrm>
                          <a:prstGeom prst="rect">
                            <a:avLst/>
                          </a:prstGeom>
                          <a:noFill/>
                        </pic:spPr>
                      </pic:pic>
                    </a:graphicData>
                  </a:graphic>
                </wp:inline>
              </w:drawing>
            </w:r>
          </w:p>
        </w:tc>
      </w:tr>
    </w:tbl>
    <w:p w:rsidR="004D4DB6" w:rsidRDefault="004D4DB6" w:rsidP="00BE7792">
      <w:pPr>
        <w:pStyle w:val="Heading3"/>
        <w:widowControl w:val="0"/>
      </w:pPr>
      <w:r>
        <w:lastRenderedPageBreak/>
        <w:t>Sector-wide indicator</w:t>
      </w:r>
      <w:r w:rsidR="003B121A">
        <w:t>s</w:t>
      </w:r>
    </w:p>
    <w:p w:rsidR="00DC1EFB" w:rsidRDefault="00DC1EFB" w:rsidP="00BE7792">
      <w:pPr>
        <w:pStyle w:val="BodyText"/>
        <w:keepNext/>
      </w:pPr>
      <w:r w:rsidRPr="00787FD8">
        <w:t>This section include</w:t>
      </w:r>
      <w:r w:rsidR="00ED1F31">
        <w:t>s</w:t>
      </w:r>
      <w:r w:rsidRPr="00787FD8">
        <w:t xml:space="preserve"> high level indicators of </w:t>
      </w:r>
      <w:r>
        <w:t>community services</w:t>
      </w:r>
      <w:r w:rsidR="00BF7728">
        <w:t>’</w:t>
      </w:r>
      <w:r>
        <w:t xml:space="preserve"> </w:t>
      </w:r>
      <w:r w:rsidRPr="00787FD8">
        <w:t xml:space="preserve">outcomes. Many factors are likely to influence these outcomes — not </w:t>
      </w:r>
      <w:r w:rsidR="00B70352">
        <w:t>solely</w:t>
      </w:r>
      <w:r w:rsidR="00B70352" w:rsidRPr="00787FD8">
        <w:t xml:space="preserve"> </w:t>
      </w:r>
      <w:r w:rsidRPr="00787FD8">
        <w:t>the performance of government services. However, these outcomes inform the development of appropriate policies and the delivery of government services</w:t>
      </w:r>
      <w:r>
        <w:t>.</w:t>
      </w:r>
    </w:p>
    <w:p w:rsidR="00621119" w:rsidRPr="00F5512F" w:rsidRDefault="00621119" w:rsidP="00621119">
      <w:pPr>
        <w:pStyle w:val="Heading4"/>
      </w:pPr>
      <w:r w:rsidRPr="00F5512F">
        <w:t>Wellbeing of older people</w:t>
      </w:r>
    </w:p>
    <w:p w:rsidR="00621119" w:rsidRPr="009607E2" w:rsidRDefault="00621119" w:rsidP="00941D09">
      <w:pPr>
        <w:pStyle w:val="BodyText"/>
      </w:pPr>
      <w:r>
        <w:t>‘</w:t>
      </w:r>
      <w:r w:rsidR="00CB3EC2">
        <w:t>Wellbeing of older people</w:t>
      </w:r>
      <w:r>
        <w:t xml:space="preserve">’ is an indicator of governments’ objective </w:t>
      </w:r>
      <w:r w:rsidR="00CB3EC2">
        <w:t xml:space="preserve">to promote the wellbeing and independence of older people and their carers </w:t>
      </w:r>
      <w:r w:rsidR="00E33535">
        <w:t>(box F.4)</w:t>
      </w:r>
      <w:r w:rsidR="00CB3EC2">
        <w:t xml:space="preserve">. </w:t>
      </w:r>
    </w:p>
    <w:p w:rsidR="00621119" w:rsidRDefault="00621119" w:rsidP="0062111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21119" w:rsidTr="0034049D">
        <w:tc>
          <w:tcPr>
            <w:tcW w:w="8771" w:type="dxa"/>
            <w:tcBorders>
              <w:top w:val="single" w:sz="6" w:space="0" w:color="auto"/>
              <w:bottom w:val="nil"/>
            </w:tcBorders>
          </w:tcPr>
          <w:p w:rsidR="00621119" w:rsidRDefault="00621119" w:rsidP="00737BD6">
            <w:pPr>
              <w:pStyle w:val="BoxTitle"/>
            </w:pPr>
            <w:r>
              <w:rPr>
                <w:b w:val="0"/>
              </w:rPr>
              <w:t xml:space="preserve">Box </w:t>
            </w:r>
            <w:bookmarkStart w:id="11" w:name="OLE_LINK22"/>
            <w:r w:rsidR="00737BD6">
              <w:rPr>
                <w:b w:val="0"/>
              </w:rPr>
              <w:t>F</w:t>
            </w:r>
            <w:r>
              <w:rPr>
                <w:b w:val="0"/>
              </w:rPr>
              <w:t>.</w:t>
            </w:r>
            <w:r w:rsidR="00914946">
              <w:rPr>
                <w:b w:val="0"/>
                <w:noProof/>
              </w:rPr>
              <w:t>4</w:t>
            </w:r>
            <w:bookmarkEnd w:id="11"/>
            <w:r>
              <w:tab/>
            </w:r>
            <w:r w:rsidR="0034049D">
              <w:t>Wellbeing of older people</w:t>
            </w:r>
          </w:p>
        </w:tc>
      </w:tr>
      <w:tr w:rsidR="00621119" w:rsidTr="0034049D">
        <w:trPr>
          <w:cantSplit/>
        </w:trPr>
        <w:tc>
          <w:tcPr>
            <w:tcW w:w="8771" w:type="dxa"/>
            <w:tcBorders>
              <w:top w:val="nil"/>
              <w:left w:val="single" w:sz="6" w:space="0" w:color="auto"/>
              <w:bottom w:val="nil"/>
              <w:right w:val="single" w:sz="6" w:space="0" w:color="auto"/>
            </w:tcBorders>
          </w:tcPr>
          <w:p w:rsidR="00C654A8" w:rsidRPr="00C654A8" w:rsidRDefault="00C654A8" w:rsidP="00C654A8">
            <w:pPr>
              <w:keepNext/>
              <w:spacing w:before="120" w:line="280" w:lineRule="atLeast"/>
              <w:jc w:val="both"/>
              <w:rPr>
                <w:rFonts w:ascii="Arial" w:hAnsi="Arial"/>
                <w:sz w:val="22"/>
                <w:szCs w:val="20"/>
              </w:rPr>
            </w:pPr>
            <w:r w:rsidRPr="00C654A8">
              <w:rPr>
                <w:rFonts w:ascii="Arial" w:hAnsi="Arial"/>
                <w:sz w:val="22"/>
                <w:szCs w:val="20"/>
              </w:rPr>
              <w:t>‘</w:t>
            </w:r>
            <w:r>
              <w:rPr>
                <w:rFonts w:ascii="Arial" w:hAnsi="Arial"/>
                <w:sz w:val="22"/>
                <w:szCs w:val="20"/>
              </w:rPr>
              <w:t>Wellbeing of older people’ i</w:t>
            </w:r>
            <w:r w:rsidRPr="00C654A8">
              <w:rPr>
                <w:rFonts w:ascii="Arial" w:hAnsi="Arial"/>
                <w:sz w:val="22"/>
                <w:szCs w:val="20"/>
              </w:rPr>
              <w:t xml:space="preserve">s defined as </w:t>
            </w:r>
            <w:r>
              <w:rPr>
                <w:rFonts w:ascii="Arial" w:hAnsi="Arial"/>
                <w:sz w:val="22"/>
                <w:szCs w:val="20"/>
              </w:rPr>
              <w:t xml:space="preserve">overall life satisfaction of older people and is measured by the proportion of people </w:t>
            </w:r>
            <w:r w:rsidR="00BF7728">
              <w:rPr>
                <w:rFonts w:ascii="Arial" w:hAnsi="Arial"/>
                <w:sz w:val="22"/>
                <w:szCs w:val="20"/>
              </w:rPr>
              <w:t xml:space="preserve">aged 65 years or over </w:t>
            </w:r>
            <w:r>
              <w:rPr>
                <w:rFonts w:ascii="Arial" w:hAnsi="Arial"/>
                <w:sz w:val="22"/>
                <w:szCs w:val="20"/>
              </w:rPr>
              <w:t xml:space="preserve">who were mostly satisfied with their lives. </w:t>
            </w:r>
          </w:p>
          <w:p w:rsidR="00621119" w:rsidRDefault="00621119" w:rsidP="0034049D">
            <w:pPr>
              <w:pStyle w:val="Box"/>
            </w:pPr>
            <w:r>
              <w:t xml:space="preserve">A </w:t>
            </w:r>
            <w:r w:rsidR="00C654A8">
              <w:t>high</w:t>
            </w:r>
            <w:r>
              <w:t xml:space="preserve"> </w:t>
            </w:r>
            <w:r w:rsidR="00AB5BB8">
              <w:t xml:space="preserve">proportion </w:t>
            </w:r>
            <w:r>
              <w:t xml:space="preserve">of </w:t>
            </w:r>
            <w:r w:rsidR="00C654A8">
              <w:t xml:space="preserve">people who are mostly satisfied with their lives </w:t>
            </w:r>
            <w:r>
              <w:t xml:space="preserve">is desirable. </w:t>
            </w:r>
          </w:p>
          <w:p w:rsidR="00E8744A" w:rsidRDefault="00E8744A" w:rsidP="00E8744A">
            <w:pPr>
              <w:pStyle w:val="Box"/>
            </w:pPr>
            <w:r>
              <w:t>Data reported for this indicator are:</w:t>
            </w:r>
          </w:p>
          <w:p w:rsidR="00E8744A" w:rsidRDefault="00E8744A" w:rsidP="00E8744A">
            <w:pPr>
              <w:pStyle w:val="BoxListBullet"/>
            </w:pPr>
            <w:r>
              <w:t>national level and single year only</w:t>
            </w:r>
          </w:p>
          <w:p w:rsidR="00E8744A" w:rsidRDefault="00E8744A" w:rsidP="00E8744A">
            <w:pPr>
              <w:pStyle w:val="BoxListBullet"/>
            </w:pPr>
            <w:r>
              <w:t>incomplete for the current reporting period. All required 2010 data were not available for any State or Territory.</w:t>
            </w:r>
          </w:p>
          <w:p w:rsidR="00621119" w:rsidRDefault="00621119" w:rsidP="0034049D">
            <w:pPr>
              <w:pStyle w:val="Box"/>
            </w:pPr>
            <w:r>
              <w:t>Data quality information for this indicator is under development.</w:t>
            </w:r>
          </w:p>
        </w:tc>
      </w:tr>
      <w:tr w:rsidR="00621119" w:rsidTr="0034049D">
        <w:trPr>
          <w:cantSplit/>
        </w:trPr>
        <w:tc>
          <w:tcPr>
            <w:tcW w:w="8771" w:type="dxa"/>
            <w:tcBorders>
              <w:top w:val="nil"/>
              <w:left w:val="single" w:sz="6" w:space="0" w:color="auto"/>
              <w:bottom w:val="single" w:sz="6" w:space="0" w:color="auto"/>
              <w:right w:val="single" w:sz="6" w:space="0" w:color="auto"/>
            </w:tcBorders>
          </w:tcPr>
          <w:p w:rsidR="00621119" w:rsidRDefault="00621119" w:rsidP="0034049D">
            <w:pPr>
              <w:pStyle w:val="Box"/>
              <w:spacing w:before="0" w:line="120" w:lineRule="exact"/>
            </w:pPr>
          </w:p>
        </w:tc>
      </w:tr>
      <w:tr w:rsidR="00621119" w:rsidTr="0034049D">
        <w:tc>
          <w:tcPr>
            <w:tcW w:w="8771" w:type="dxa"/>
            <w:tcBorders>
              <w:top w:val="nil"/>
              <w:left w:val="nil"/>
              <w:bottom w:val="nil"/>
              <w:right w:val="nil"/>
            </w:tcBorders>
          </w:tcPr>
          <w:p w:rsidR="00621119" w:rsidRDefault="00621119" w:rsidP="0034049D">
            <w:pPr>
              <w:pStyle w:val="Box"/>
              <w:keepNext w:val="0"/>
              <w:spacing w:before="60" w:after="60" w:line="80" w:lineRule="exact"/>
              <w:rPr>
                <w:b/>
                <w:color w:val="FF00FF"/>
                <w:sz w:val="14"/>
              </w:rPr>
            </w:pPr>
          </w:p>
        </w:tc>
      </w:tr>
    </w:tbl>
    <w:p w:rsidR="002C2F98" w:rsidRPr="002C2F98" w:rsidRDefault="002C2F98" w:rsidP="002C2F98">
      <w:pPr>
        <w:pStyle w:val="BodyText"/>
      </w:pPr>
      <w:r>
        <w:t xml:space="preserve">Nationally </w:t>
      </w:r>
      <w:r w:rsidR="001514CE">
        <w:t>in 2010</w:t>
      </w:r>
      <w:r w:rsidR="00601286">
        <w:t>,</w:t>
      </w:r>
      <w:r w:rsidR="001514CE">
        <w:t xml:space="preserve"> 83.3 per cent of people aged 65</w:t>
      </w:r>
      <w:r w:rsidR="00285F8A">
        <w:t>–</w:t>
      </w:r>
      <w:r w:rsidR="001514CE">
        <w:t xml:space="preserve">74 </w:t>
      </w:r>
      <w:r>
        <w:t xml:space="preserve">years </w:t>
      </w:r>
      <w:r w:rsidR="001514CE">
        <w:t>were mostly satisfied with their lives, 77.3 per cent of people aged 75</w:t>
      </w:r>
      <w:r w:rsidR="00285F8A">
        <w:t>–</w:t>
      </w:r>
      <w:r w:rsidR="001514CE">
        <w:t xml:space="preserve">84 years were mostly satisfied with their lives and 82.2 per cent of people aged 85 years and over were mostly satisfied with their lives </w:t>
      </w:r>
      <w:r>
        <w:t>(</w:t>
      </w:r>
      <w:r w:rsidRPr="00262ED3">
        <w:t>figure</w:t>
      </w:r>
      <w:r>
        <w:t> </w:t>
      </w:r>
      <w:r w:rsidR="001514CE">
        <w:t>F.2).</w:t>
      </w:r>
    </w:p>
    <w:p w:rsidR="007408C5" w:rsidRDefault="007408C5" w:rsidP="007408C5">
      <w:pPr>
        <w:pStyle w:val="FigureTitle"/>
      </w:pPr>
      <w:r>
        <w:rPr>
          <w:b w:val="0"/>
        </w:rPr>
        <w:lastRenderedPageBreak/>
        <w:t xml:space="preserve">Figure </w:t>
      </w:r>
      <w:r w:rsidR="00E33535">
        <w:rPr>
          <w:b w:val="0"/>
        </w:rPr>
        <w:t>F.</w:t>
      </w:r>
      <w:r w:rsidR="00914946">
        <w:rPr>
          <w:b w:val="0"/>
          <w:noProof/>
        </w:rPr>
        <w:t>2</w:t>
      </w:r>
      <w:r>
        <w:tab/>
        <w:t>Proportion of people aged 65 years or over who were mostly satisfied with their lives</w:t>
      </w:r>
      <w:r w:rsidR="006C25B0">
        <w:t>, 2010</w:t>
      </w:r>
      <w:r w:rsidR="006661F4">
        <w:rPr>
          <w:rStyle w:val="NoteLabel"/>
          <w:b/>
        </w:rPr>
        <w:t xml:space="preserve">a, </w:t>
      </w:r>
      <w:r w:rsidR="006661F4" w:rsidRPr="00381D03">
        <w:rPr>
          <w:rStyle w:val="NoteLabel"/>
          <w:b/>
        </w:rPr>
        <w:t>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7408C5" w:rsidTr="002C2F98">
        <w:tc>
          <w:tcPr>
            <w:tcW w:w="8777" w:type="dxa"/>
          </w:tcPr>
          <w:p w:rsidR="007408C5" w:rsidRDefault="002C2F98" w:rsidP="00AB3D09">
            <w:pPr>
              <w:pStyle w:val="Figure"/>
            </w:pPr>
            <w:r>
              <w:rPr>
                <w:noProof/>
              </w:rPr>
              <w:drawing>
                <wp:inline distT="0" distB="0" distL="0" distR="0" wp14:anchorId="57C556C8" wp14:editId="489F2600">
                  <wp:extent cx="5400000" cy="2880000"/>
                  <wp:effectExtent l="0" t="0" r="0" b="0"/>
                  <wp:docPr id="10" name="Chart 10" descr="Figure F.2 Proportion of people aged 65 years or over who were mostly satisfied with their lives, 2010&#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408C5" w:rsidRDefault="007408C5">
      <w:pPr>
        <w:pStyle w:val="Note"/>
      </w:pPr>
      <w:r>
        <w:rPr>
          <w:rStyle w:val="NoteLabel"/>
        </w:rPr>
        <w:t>a</w:t>
      </w:r>
      <w:r>
        <w:t>.</w:t>
      </w:r>
      <w:r w:rsidR="006661F4" w:rsidRPr="006661F4">
        <w:t>Pe</w:t>
      </w:r>
      <w:r w:rsidR="00AB5BB8">
        <w:t>ople</w:t>
      </w:r>
      <w:r w:rsidR="006661F4" w:rsidRPr="006661F4">
        <w:t xml:space="preserve"> who felt </w:t>
      </w:r>
      <w:r w:rsidR="00AB5BB8">
        <w:t>d</w:t>
      </w:r>
      <w:r w:rsidR="006661F4" w:rsidRPr="006661F4">
        <w:t xml:space="preserve">elighted, </w:t>
      </w:r>
      <w:r w:rsidR="00AB5BB8">
        <w:t>p</w:t>
      </w:r>
      <w:r w:rsidR="006661F4" w:rsidRPr="006661F4">
        <w:t xml:space="preserve">leased or </w:t>
      </w:r>
      <w:r w:rsidR="00AB5BB8">
        <w:t>m</w:t>
      </w:r>
      <w:r w:rsidR="006661F4" w:rsidRPr="006661F4">
        <w:t>ostly satisfied with their lives as a proportion of all people who provided a response to overall life satisfaction.</w:t>
      </w:r>
      <w:r w:rsidR="006661F4">
        <w:t xml:space="preserve"> </w:t>
      </w:r>
      <w:r w:rsidR="003720FF">
        <w:rPr>
          <w:rStyle w:val="NoteLabel"/>
        </w:rPr>
        <w:t>b</w:t>
      </w:r>
      <w:r w:rsidR="006661F4">
        <w:rPr>
          <w:rStyle w:val="NoteLabel"/>
        </w:rPr>
        <w:t xml:space="preserve"> </w:t>
      </w:r>
      <w:r w:rsidR="006661F4" w:rsidRPr="006661F4">
        <w:t>Excludes those who did not provide a response or did not know how they felt.</w:t>
      </w:r>
      <w:r w:rsidR="006661F4">
        <w:t xml:space="preserve"> </w:t>
      </w:r>
      <w:r w:rsidR="003720FF">
        <w:rPr>
          <w:rStyle w:val="NoteLabel"/>
        </w:rPr>
        <w:t>c</w:t>
      </w:r>
      <w:r w:rsidR="006661F4">
        <w:rPr>
          <w:rStyle w:val="NoteLabel"/>
        </w:rPr>
        <w:t xml:space="preserve"> </w:t>
      </w:r>
      <w:r w:rsidR="00FD3CBB" w:rsidRPr="00F21C84">
        <w:t>Error bars represent the 95 per cent confidence interval associated with each point estimate.</w:t>
      </w:r>
    </w:p>
    <w:p w:rsidR="007408C5" w:rsidRDefault="007408C5">
      <w:pPr>
        <w:pStyle w:val="Source"/>
      </w:pPr>
      <w:r>
        <w:rPr>
          <w:i/>
        </w:rPr>
        <w:t>Source</w:t>
      </w:r>
      <w:r w:rsidRPr="00167F06">
        <w:t xml:space="preserve">: </w:t>
      </w:r>
      <w:r>
        <w:t>ABS 2011</w:t>
      </w:r>
      <w:r w:rsidR="001514CE">
        <w:t xml:space="preserve"> (unpublished)</w:t>
      </w:r>
      <w:r>
        <w:t xml:space="preserve">, </w:t>
      </w:r>
      <w:r w:rsidRPr="003B1DFC">
        <w:rPr>
          <w:i/>
        </w:rPr>
        <w:t>General Social Survey</w:t>
      </w:r>
      <w:r w:rsidR="006C25B0">
        <w:rPr>
          <w:i/>
        </w:rPr>
        <w:t xml:space="preserve"> 2010</w:t>
      </w:r>
      <w:r w:rsidRPr="003B1DFC">
        <w:rPr>
          <w:i/>
        </w:rPr>
        <w:t xml:space="preserve">, </w:t>
      </w:r>
      <w:r>
        <w:t>Cat. no. 4159.0, Canberra</w:t>
      </w:r>
      <w:r w:rsidR="008B4A8C">
        <w:t>; table FA.</w:t>
      </w:r>
      <w:r w:rsidR="001514CE">
        <w:t>7.</w:t>
      </w:r>
    </w:p>
    <w:p w:rsidR="0034049D" w:rsidRPr="00737BD6" w:rsidRDefault="0034049D" w:rsidP="0034049D">
      <w:pPr>
        <w:pStyle w:val="Heading4"/>
      </w:pPr>
      <w:r w:rsidRPr="00737BD6">
        <w:t>Independence of older people and their carers</w:t>
      </w:r>
    </w:p>
    <w:p w:rsidR="0034049D" w:rsidRDefault="00AC19D4" w:rsidP="0034049D">
      <w:pPr>
        <w:pStyle w:val="BodyText"/>
      </w:pPr>
      <w:r>
        <w:t xml:space="preserve"> </w:t>
      </w:r>
      <w:r w:rsidR="0034049D">
        <w:t>‘Independence of older people and their carers’ is an indicator of governments’ objective to promote the wellbeing and independence of older people and their carers</w:t>
      </w:r>
      <w:r w:rsidR="00983919">
        <w:t xml:space="preserve"> (box F.5)</w:t>
      </w:r>
      <w:r w:rsidR="0034049D">
        <w:t xml:space="preserve">. </w:t>
      </w:r>
    </w:p>
    <w:p w:rsidR="0034049D" w:rsidRDefault="0034049D" w:rsidP="0034049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4049D" w:rsidTr="0034049D">
        <w:tc>
          <w:tcPr>
            <w:tcW w:w="8771" w:type="dxa"/>
            <w:tcBorders>
              <w:top w:val="single" w:sz="6" w:space="0" w:color="auto"/>
              <w:bottom w:val="nil"/>
            </w:tcBorders>
          </w:tcPr>
          <w:p w:rsidR="0034049D" w:rsidRDefault="0034049D" w:rsidP="002E7B5F">
            <w:pPr>
              <w:pStyle w:val="BoxTitle"/>
            </w:pPr>
            <w:r>
              <w:rPr>
                <w:b w:val="0"/>
              </w:rPr>
              <w:t xml:space="preserve">Box </w:t>
            </w:r>
            <w:r w:rsidR="009A09D1">
              <w:rPr>
                <w:b w:val="0"/>
              </w:rPr>
              <w:t>F.</w:t>
            </w:r>
            <w:r w:rsidR="00914946">
              <w:rPr>
                <w:b w:val="0"/>
                <w:noProof/>
              </w:rPr>
              <w:t>5</w:t>
            </w:r>
            <w:r>
              <w:tab/>
            </w:r>
            <w:r w:rsidR="00473521">
              <w:t>Independence of older people and their carers</w:t>
            </w:r>
          </w:p>
        </w:tc>
      </w:tr>
      <w:tr w:rsidR="0034049D" w:rsidTr="0034049D">
        <w:trPr>
          <w:cantSplit/>
        </w:trPr>
        <w:tc>
          <w:tcPr>
            <w:tcW w:w="8771" w:type="dxa"/>
            <w:tcBorders>
              <w:top w:val="nil"/>
              <w:left w:val="single" w:sz="6" w:space="0" w:color="auto"/>
              <w:bottom w:val="nil"/>
              <w:right w:val="single" w:sz="6" w:space="0" w:color="auto"/>
            </w:tcBorders>
          </w:tcPr>
          <w:p w:rsidR="0034049D" w:rsidRPr="00C66DDD" w:rsidRDefault="0034049D" w:rsidP="0034049D">
            <w:pPr>
              <w:keepNext/>
              <w:spacing w:before="120" w:line="280" w:lineRule="atLeast"/>
              <w:jc w:val="both"/>
              <w:rPr>
                <w:rStyle w:val="DraftingNote"/>
                <w:color w:val="auto"/>
              </w:rPr>
            </w:pPr>
            <w:r w:rsidRPr="00C654A8">
              <w:rPr>
                <w:rFonts w:ascii="Arial" w:hAnsi="Arial"/>
                <w:sz w:val="22"/>
                <w:szCs w:val="20"/>
              </w:rPr>
              <w:t>‘</w:t>
            </w:r>
            <w:r w:rsidRPr="0034049D">
              <w:rPr>
                <w:rFonts w:ascii="Arial" w:hAnsi="Arial"/>
                <w:sz w:val="22"/>
                <w:szCs w:val="20"/>
              </w:rPr>
              <w:t>Independence of older people and their carers</w:t>
            </w:r>
            <w:r>
              <w:rPr>
                <w:rFonts w:ascii="Arial" w:hAnsi="Arial"/>
                <w:sz w:val="22"/>
                <w:szCs w:val="20"/>
              </w:rPr>
              <w:t>’ i</w:t>
            </w:r>
            <w:r w:rsidRPr="00C654A8">
              <w:rPr>
                <w:rFonts w:ascii="Arial" w:hAnsi="Arial"/>
                <w:sz w:val="22"/>
                <w:szCs w:val="20"/>
              </w:rPr>
              <w:t xml:space="preserve">s defined as </w:t>
            </w:r>
            <w:r>
              <w:rPr>
                <w:rFonts w:ascii="Arial" w:hAnsi="Arial"/>
                <w:sz w:val="22"/>
                <w:szCs w:val="20"/>
              </w:rPr>
              <w:t xml:space="preserve">participation in the community by older people and their carers and is measured by the </w:t>
            </w:r>
            <w:r w:rsidR="00FB41DD">
              <w:rPr>
                <w:rFonts w:ascii="Arial" w:hAnsi="Arial"/>
                <w:sz w:val="22"/>
                <w:szCs w:val="20"/>
              </w:rPr>
              <w:t>number</w:t>
            </w:r>
            <w:r>
              <w:rPr>
                <w:rFonts w:ascii="Arial" w:hAnsi="Arial"/>
                <w:sz w:val="22"/>
                <w:szCs w:val="20"/>
              </w:rPr>
              <w:t xml:space="preserve"> of people </w:t>
            </w:r>
            <w:r w:rsidR="002E7B5F">
              <w:rPr>
                <w:rFonts w:ascii="Arial" w:hAnsi="Arial"/>
                <w:sz w:val="22"/>
                <w:szCs w:val="20"/>
              </w:rPr>
              <w:t xml:space="preserve">living in households aged 65 or over </w:t>
            </w:r>
            <w:r>
              <w:rPr>
                <w:rFonts w:ascii="Arial" w:hAnsi="Arial"/>
                <w:sz w:val="22"/>
                <w:szCs w:val="20"/>
              </w:rPr>
              <w:t xml:space="preserve">who participated in </w:t>
            </w:r>
            <w:r w:rsidR="0096235E">
              <w:rPr>
                <w:rFonts w:ascii="Arial" w:hAnsi="Arial"/>
                <w:sz w:val="22"/>
                <w:szCs w:val="20"/>
              </w:rPr>
              <w:t xml:space="preserve">social or community activities away from home in the past three months </w:t>
            </w:r>
            <w:r w:rsidR="00FB41DD">
              <w:rPr>
                <w:rFonts w:ascii="Arial" w:hAnsi="Arial"/>
                <w:sz w:val="22"/>
                <w:szCs w:val="20"/>
              </w:rPr>
              <w:t xml:space="preserve">divided by </w:t>
            </w:r>
            <w:r w:rsidR="0096235E">
              <w:rPr>
                <w:rFonts w:ascii="Arial" w:hAnsi="Arial"/>
                <w:sz w:val="22"/>
                <w:szCs w:val="20"/>
              </w:rPr>
              <w:t xml:space="preserve">the number of people aged 65 years or over living in </w:t>
            </w:r>
            <w:r w:rsidR="002C5E19">
              <w:rPr>
                <w:rFonts w:ascii="Arial" w:hAnsi="Arial"/>
                <w:sz w:val="22"/>
                <w:szCs w:val="20"/>
              </w:rPr>
              <w:t>households</w:t>
            </w:r>
            <w:r>
              <w:rPr>
                <w:rFonts w:ascii="Arial" w:hAnsi="Arial"/>
                <w:sz w:val="22"/>
                <w:szCs w:val="20"/>
              </w:rPr>
              <w:t xml:space="preserve">. </w:t>
            </w:r>
          </w:p>
          <w:p w:rsidR="0034049D" w:rsidRDefault="0034049D" w:rsidP="0034049D">
            <w:pPr>
              <w:pStyle w:val="Box"/>
            </w:pPr>
            <w:r>
              <w:t xml:space="preserve">A high </w:t>
            </w:r>
            <w:r w:rsidR="002E7B5F">
              <w:t xml:space="preserve">proportion </w:t>
            </w:r>
            <w:r>
              <w:t xml:space="preserve">of people </w:t>
            </w:r>
            <w:r w:rsidR="002E7B5F">
              <w:t xml:space="preserve">aged 65 years or over </w:t>
            </w:r>
            <w:r>
              <w:t xml:space="preserve">who </w:t>
            </w:r>
            <w:r w:rsidR="00473521">
              <w:t xml:space="preserve">participate in the community </w:t>
            </w:r>
            <w:r>
              <w:t xml:space="preserve">is desirable. </w:t>
            </w:r>
          </w:p>
          <w:p w:rsidR="0094760E" w:rsidRDefault="0034049D" w:rsidP="0034049D">
            <w:pPr>
              <w:pStyle w:val="Box"/>
            </w:pPr>
            <w:r>
              <w:t>Data reported for this indicator are</w:t>
            </w:r>
            <w:r w:rsidR="0094760E">
              <w:t>:</w:t>
            </w:r>
          </w:p>
          <w:p w:rsidR="009F6573" w:rsidRDefault="009F6573" w:rsidP="009F6573">
            <w:pPr>
              <w:pStyle w:val="BoxListBullet"/>
            </w:pPr>
            <w:r>
              <w:t>c</w:t>
            </w:r>
            <w:r w:rsidR="0034049D">
              <w:t>omparable</w:t>
            </w:r>
            <w:r>
              <w:t xml:space="preserve"> (subject to caveats) across jurisdictions for 2012 but a break in series means that data for 2009 and earlier years are not comparable to data for 2012</w:t>
            </w:r>
          </w:p>
          <w:p w:rsidR="0034049D" w:rsidRDefault="009F6573" w:rsidP="009F6573">
            <w:pPr>
              <w:pStyle w:val="BoxListBullet"/>
            </w:pPr>
            <w:r>
              <w:t xml:space="preserve">complete (subject to caveats) for the current reporting period. All required 2012 data are available for all jurisdictions. </w:t>
            </w:r>
          </w:p>
          <w:p w:rsidR="0034049D" w:rsidRDefault="0034049D" w:rsidP="0034049D">
            <w:pPr>
              <w:pStyle w:val="Box"/>
            </w:pPr>
            <w:r>
              <w:t>Data quality information for this indicator is under development.</w:t>
            </w:r>
          </w:p>
        </w:tc>
      </w:tr>
      <w:tr w:rsidR="0034049D" w:rsidTr="0034049D">
        <w:trPr>
          <w:cantSplit/>
        </w:trPr>
        <w:tc>
          <w:tcPr>
            <w:tcW w:w="8771" w:type="dxa"/>
            <w:tcBorders>
              <w:top w:val="nil"/>
              <w:left w:val="single" w:sz="6" w:space="0" w:color="auto"/>
              <w:bottom w:val="single" w:sz="6" w:space="0" w:color="auto"/>
              <w:right w:val="single" w:sz="6" w:space="0" w:color="auto"/>
            </w:tcBorders>
          </w:tcPr>
          <w:p w:rsidR="0034049D" w:rsidRDefault="0034049D" w:rsidP="0034049D">
            <w:pPr>
              <w:pStyle w:val="Box"/>
              <w:spacing w:before="0" w:line="120" w:lineRule="exact"/>
            </w:pPr>
          </w:p>
        </w:tc>
      </w:tr>
      <w:tr w:rsidR="0034049D" w:rsidTr="0034049D">
        <w:tc>
          <w:tcPr>
            <w:tcW w:w="8771" w:type="dxa"/>
            <w:tcBorders>
              <w:top w:val="nil"/>
              <w:left w:val="nil"/>
              <w:bottom w:val="nil"/>
              <w:right w:val="nil"/>
            </w:tcBorders>
          </w:tcPr>
          <w:p w:rsidR="0034049D" w:rsidRDefault="0034049D" w:rsidP="0034049D">
            <w:pPr>
              <w:pStyle w:val="Box"/>
              <w:keepNext w:val="0"/>
              <w:spacing w:before="60" w:after="60" w:line="80" w:lineRule="exact"/>
              <w:rPr>
                <w:b/>
                <w:color w:val="FF00FF"/>
                <w:sz w:val="14"/>
              </w:rPr>
            </w:pPr>
          </w:p>
        </w:tc>
      </w:tr>
    </w:tbl>
    <w:p w:rsidR="0017048F" w:rsidRPr="00262ED3" w:rsidRDefault="0017048F" w:rsidP="00624AE3">
      <w:pPr>
        <w:pStyle w:val="BodyText"/>
      </w:pPr>
      <w:r>
        <w:t xml:space="preserve">Nationally, </w:t>
      </w:r>
      <w:r w:rsidR="00E723F1">
        <w:t>in 20</w:t>
      </w:r>
      <w:r w:rsidR="00CC65A2">
        <w:t>12</w:t>
      </w:r>
      <w:r w:rsidR="00E723F1">
        <w:t xml:space="preserve">, </w:t>
      </w:r>
      <w:r w:rsidR="0096235E">
        <w:t>among</w:t>
      </w:r>
      <w:r>
        <w:t xml:space="preserve"> people aged 65 years </w:t>
      </w:r>
      <w:r w:rsidR="002E7B5F">
        <w:t>or over</w:t>
      </w:r>
      <w:r>
        <w:t xml:space="preserve"> </w:t>
      </w:r>
      <w:r w:rsidR="00BE7792">
        <w:t>living in households</w:t>
      </w:r>
      <w:r w:rsidR="0094760E">
        <w:t>, the proportion of people who participated in social or community activities</w:t>
      </w:r>
      <w:r w:rsidR="00CC65A2">
        <w:t xml:space="preserve"> away from home</w:t>
      </w:r>
      <w:r w:rsidR="0094760E">
        <w:t xml:space="preserve"> in the past 3 months was</w:t>
      </w:r>
      <w:r w:rsidR="00CC65A2">
        <w:t xml:space="preserve"> 93.2</w:t>
      </w:r>
      <w:r w:rsidR="00CC65A2" w:rsidRPr="0094760E">
        <w:rPr>
          <w:u w:val="single"/>
        </w:rPr>
        <w:t>+</w:t>
      </w:r>
      <w:r w:rsidR="00CC65A2" w:rsidRPr="00CC65A2">
        <w:t>0.7</w:t>
      </w:r>
      <w:r w:rsidR="00CC65A2">
        <w:t xml:space="preserve"> per cent</w:t>
      </w:r>
      <w:r w:rsidR="0096235E">
        <w:t xml:space="preserve"> </w:t>
      </w:r>
      <w:r>
        <w:t>(</w:t>
      </w:r>
      <w:r w:rsidRPr="00262ED3">
        <w:t>figure</w:t>
      </w:r>
      <w:r>
        <w:t> </w:t>
      </w:r>
      <w:r w:rsidR="00C043A8" w:rsidRPr="00C043A8">
        <w:t>F.</w:t>
      </w:r>
      <w:r w:rsidR="00914946">
        <w:rPr>
          <w:noProof/>
        </w:rPr>
        <w:t>3</w:t>
      </w:r>
      <w:r w:rsidRPr="00262ED3">
        <w:t>).</w:t>
      </w:r>
      <w:r>
        <w:t xml:space="preserve"> </w:t>
      </w:r>
    </w:p>
    <w:p w:rsidR="00926685" w:rsidRPr="00A56FB8" w:rsidRDefault="00926685" w:rsidP="00926685">
      <w:pPr>
        <w:pStyle w:val="FigureTitle"/>
        <w:rPr>
          <w:rStyle w:val="NoteLabel"/>
        </w:rPr>
      </w:pPr>
      <w:r w:rsidRPr="004E72FF">
        <w:rPr>
          <w:b w:val="0"/>
        </w:rPr>
        <w:t xml:space="preserve">Figure </w:t>
      </w:r>
      <w:r w:rsidR="00E33535">
        <w:rPr>
          <w:b w:val="0"/>
        </w:rPr>
        <w:t>F.3</w:t>
      </w:r>
      <w:r w:rsidRPr="00CD33DD">
        <w:tab/>
      </w:r>
      <w:r w:rsidR="0017048F">
        <w:t>Proportion of a</w:t>
      </w:r>
      <w:r w:rsidRPr="00926685">
        <w:t xml:space="preserve">ll people living in households aged 65 </w:t>
      </w:r>
      <w:r w:rsidR="002E7B5F">
        <w:t>years or over</w:t>
      </w:r>
      <w:r w:rsidRPr="00926685">
        <w:t xml:space="preserve">, </w:t>
      </w:r>
      <w:r w:rsidR="0017048F">
        <w:t xml:space="preserve">who participated in </w:t>
      </w:r>
      <w:r w:rsidRPr="00926685">
        <w:t>social or community activities away from home in the last three months</w:t>
      </w:r>
      <w:r w:rsidR="005E1CB4">
        <w:t>, 20</w:t>
      </w:r>
      <w:r w:rsidR="00CC65A2">
        <w:t>12</w:t>
      </w:r>
      <w:r w:rsidR="00D36B1E">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926685" w:rsidRPr="00CD33DD" w:rsidTr="00CC65A2">
        <w:tc>
          <w:tcPr>
            <w:tcW w:w="8777" w:type="dxa"/>
          </w:tcPr>
          <w:p w:rsidR="00926685" w:rsidRPr="00CD33DD" w:rsidRDefault="00CC65A2" w:rsidP="0017048F">
            <w:pPr>
              <w:pStyle w:val="Figure"/>
            </w:pPr>
            <w:r>
              <w:rPr>
                <w:noProof/>
              </w:rPr>
              <w:drawing>
                <wp:inline distT="0" distB="0" distL="0" distR="0" wp14:anchorId="1C81A4B2" wp14:editId="3497FA36">
                  <wp:extent cx="5400000" cy="2700000"/>
                  <wp:effectExtent l="0" t="0" r="0" b="5715"/>
                  <wp:docPr id="1" name="Chart 1" descr="Figure F.3 Proportion of all people living in households aged 65 years or over, who participated in social or community activities away from home in the last three months, 2012&#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D36B1E" w:rsidRDefault="00D36B1E" w:rsidP="000D7CDD">
      <w:pPr>
        <w:pStyle w:val="Note"/>
      </w:pPr>
      <w:r>
        <w:rPr>
          <w:rStyle w:val="NoteLabel"/>
        </w:rPr>
        <w:t xml:space="preserve">a </w:t>
      </w:r>
      <w:r w:rsidRPr="00F21C84">
        <w:t>Error bars represent the 95 per cent confidence interval associated with each point estimate.</w:t>
      </w:r>
    </w:p>
    <w:p w:rsidR="00926685" w:rsidRPr="00FF6A19" w:rsidRDefault="00926685" w:rsidP="00926685">
      <w:pPr>
        <w:pStyle w:val="Source"/>
      </w:pPr>
      <w:r w:rsidRPr="00FF6A19">
        <w:rPr>
          <w:i/>
        </w:rPr>
        <w:t>Source</w:t>
      </w:r>
      <w:r w:rsidRPr="00FF6A19">
        <w:t xml:space="preserve">: </w:t>
      </w:r>
      <w:r w:rsidR="00CC65A2" w:rsidRPr="00CC65A2">
        <w:t>ABS unpublished, Survey of Disability, Ageing and Carers 2012.</w:t>
      </w:r>
      <w:r w:rsidRPr="00FF6A19">
        <w:t xml:space="preserve">; </w:t>
      </w:r>
      <w:r w:rsidRPr="007D2EC5">
        <w:rPr>
          <w:shd w:val="clear" w:color="auto" w:fill="FFFFFF" w:themeFill="background1"/>
        </w:rPr>
        <w:t xml:space="preserve">table </w:t>
      </w:r>
      <w:r w:rsidR="009E79F8" w:rsidRPr="007D2EC5">
        <w:rPr>
          <w:shd w:val="clear" w:color="auto" w:fill="FFFFFF" w:themeFill="background1"/>
        </w:rPr>
        <w:t>F</w:t>
      </w:r>
      <w:r w:rsidRPr="007D2EC5">
        <w:rPr>
          <w:shd w:val="clear" w:color="auto" w:fill="FFFFFF" w:themeFill="background1"/>
        </w:rPr>
        <w:t>A.</w:t>
      </w:r>
      <w:r w:rsidR="009E79F8" w:rsidRPr="007D2EC5">
        <w:rPr>
          <w:shd w:val="clear" w:color="auto" w:fill="FFFFFF" w:themeFill="background1"/>
        </w:rPr>
        <w:t>1</w:t>
      </w:r>
      <w:r w:rsidRPr="007D2EC5">
        <w:rPr>
          <w:shd w:val="clear" w:color="auto" w:fill="FFFFFF" w:themeFill="background1"/>
        </w:rPr>
        <w:t>.</w:t>
      </w:r>
    </w:p>
    <w:p w:rsidR="00332140" w:rsidRPr="00F5512F" w:rsidRDefault="00332140" w:rsidP="00332140">
      <w:pPr>
        <w:pStyle w:val="Heading4"/>
      </w:pPr>
      <w:r w:rsidRPr="00737BD6">
        <w:lastRenderedPageBreak/>
        <w:t>Quality of life</w:t>
      </w:r>
      <w:r w:rsidR="00737BD6">
        <w:t xml:space="preserve"> </w:t>
      </w:r>
    </w:p>
    <w:p w:rsidR="004A0DD6" w:rsidRDefault="00AC19D4" w:rsidP="00941D09">
      <w:pPr>
        <w:pStyle w:val="BodyText"/>
      </w:pPr>
      <w:r>
        <w:t xml:space="preserve"> </w:t>
      </w:r>
      <w:r w:rsidR="00332140">
        <w:t xml:space="preserve">‘Quality of life’ is an indicator of governments’ objective </w:t>
      </w:r>
      <w:r w:rsidR="00A7744B">
        <w:t>for</w:t>
      </w:r>
      <w:r w:rsidR="00332140">
        <w:t xml:space="preserve"> people with disability and their carers to have an enhanced quality of life and participate as valued members of the community</w:t>
      </w:r>
      <w:r w:rsidR="00841B74">
        <w:t xml:space="preserve"> (box F.6)</w:t>
      </w:r>
      <w:r w:rsidR="00332140">
        <w:t xml:space="preserve">. </w:t>
      </w:r>
    </w:p>
    <w:p w:rsidR="00332140" w:rsidRDefault="00332140" w:rsidP="0033214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32140" w:rsidTr="00332140">
        <w:tc>
          <w:tcPr>
            <w:tcW w:w="8771" w:type="dxa"/>
            <w:tcBorders>
              <w:top w:val="single" w:sz="6" w:space="0" w:color="auto"/>
              <w:bottom w:val="nil"/>
            </w:tcBorders>
          </w:tcPr>
          <w:p w:rsidR="00332140" w:rsidRDefault="00332140" w:rsidP="00737BD6">
            <w:pPr>
              <w:pStyle w:val="BoxTitle"/>
            </w:pPr>
            <w:r>
              <w:rPr>
                <w:b w:val="0"/>
              </w:rPr>
              <w:t xml:space="preserve">Box </w:t>
            </w:r>
            <w:r w:rsidR="00737BD6">
              <w:rPr>
                <w:b w:val="0"/>
              </w:rPr>
              <w:t>F</w:t>
            </w:r>
            <w:r>
              <w:rPr>
                <w:b w:val="0"/>
              </w:rPr>
              <w:t>.</w:t>
            </w:r>
            <w:r w:rsidR="00914946">
              <w:rPr>
                <w:b w:val="0"/>
                <w:noProof/>
              </w:rPr>
              <w:t>6</w:t>
            </w:r>
            <w:r>
              <w:tab/>
            </w:r>
            <w:r w:rsidR="0020230F">
              <w:t>Quality of life</w:t>
            </w:r>
          </w:p>
        </w:tc>
      </w:tr>
      <w:tr w:rsidR="00332140" w:rsidTr="00332140">
        <w:trPr>
          <w:cantSplit/>
        </w:trPr>
        <w:tc>
          <w:tcPr>
            <w:tcW w:w="8771" w:type="dxa"/>
            <w:tcBorders>
              <w:top w:val="nil"/>
              <w:left w:val="single" w:sz="6" w:space="0" w:color="auto"/>
              <w:bottom w:val="nil"/>
              <w:right w:val="single" w:sz="6" w:space="0" w:color="auto"/>
            </w:tcBorders>
          </w:tcPr>
          <w:p w:rsidR="00332140" w:rsidRPr="00C654A8" w:rsidRDefault="00332140" w:rsidP="00332140">
            <w:pPr>
              <w:keepNext/>
              <w:spacing w:before="120" w:line="280" w:lineRule="atLeast"/>
              <w:jc w:val="both"/>
              <w:rPr>
                <w:rFonts w:ascii="Arial" w:hAnsi="Arial"/>
                <w:sz w:val="22"/>
                <w:szCs w:val="20"/>
              </w:rPr>
            </w:pPr>
            <w:r w:rsidRPr="00C654A8">
              <w:rPr>
                <w:rFonts w:ascii="Arial" w:hAnsi="Arial"/>
                <w:sz w:val="22"/>
                <w:szCs w:val="20"/>
              </w:rPr>
              <w:t>‘</w:t>
            </w:r>
            <w:r w:rsidR="00083396">
              <w:rPr>
                <w:rFonts w:ascii="Arial" w:hAnsi="Arial"/>
                <w:sz w:val="22"/>
                <w:szCs w:val="20"/>
              </w:rPr>
              <w:t>Quality of life</w:t>
            </w:r>
            <w:r>
              <w:rPr>
                <w:rFonts w:ascii="Arial" w:hAnsi="Arial"/>
                <w:sz w:val="22"/>
                <w:szCs w:val="20"/>
              </w:rPr>
              <w:t>’ i</w:t>
            </w:r>
            <w:r w:rsidRPr="00C654A8">
              <w:rPr>
                <w:rFonts w:ascii="Arial" w:hAnsi="Arial"/>
                <w:sz w:val="22"/>
                <w:szCs w:val="20"/>
              </w:rPr>
              <w:t xml:space="preserve">s defined as </w:t>
            </w:r>
            <w:r w:rsidR="00083396">
              <w:rPr>
                <w:rFonts w:ascii="Arial" w:hAnsi="Arial"/>
                <w:sz w:val="22"/>
                <w:szCs w:val="20"/>
              </w:rPr>
              <w:t>overall life satisfaction of people with disability and their carers</w:t>
            </w:r>
            <w:r w:rsidR="00A7744B">
              <w:rPr>
                <w:rFonts w:ascii="Arial" w:hAnsi="Arial"/>
                <w:sz w:val="22"/>
                <w:szCs w:val="20"/>
              </w:rPr>
              <w:t>,</w:t>
            </w:r>
            <w:r w:rsidR="00083396">
              <w:rPr>
                <w:rFonts w:ascii="Arial" w:hAnsi="Arial"/>
                <w:sz w:val="22"/>
                <w:szCs w:val="20"/>
              </w:rPr>
              <w:t xml:space="preserve"> </w:t>
            </w:r>
            <w:r>
              <w:rPr>
                <w:rFonts w:ascii="Arial" w:hAnsi="Arial"/>
                <w:sz w:val="22"/>
                <w:szCs w:val="20"/>
              </w:rPr>
              <w:t>and is measured by the</w:t>
            </w:r>
            <w:r w:rsidR="00913C89">
              <w:rPr>
                <w:rFonts w:ascii="Arial" w:hAnsi="Arial"/>
                <w:sz w:val="22"/>
                <w:szCs w:val="20"/>
              </w:rPr>
              <w:t xml:space="preserve"> number of</w:t>
            </w:r>
            <w:r w:rsidR="00EC5D6C">
              <w:rPr>
                <w:rFonts w:ascii="Arial" w:hAnsi="Arial"/>
                <w:sz w:val="22"/>
                <w:szCs w:val="20"/>
              </w:rPr>
              <w:t xml:space="preserve"> </w:t>
            </w:r>
            <w:r>
              <w:rPr>
                <w:rFonts w:ascii="Arial" w:hAnsi="Arial"/>
                <w:sz w:val="22"/>
                <w:szCs w:val="20"/>
              </w:rPr>
              <w:t xml:space="preserve">people </w:t>
            </w:r>
            <w:r w:rsidR="00083396">
              <w:rPr>
                <w:rFonts w:ascii="Arial" w:hAnsi="Arial"/>
                <w:sz w:val="22"/>
                <w:szCs w:val="20"/>
              </w:rPr>
              <w:t xml:space="preserve">with disability </w:t>
            </w:r>
            <w:r w:rsidR="00913C89">
              <w:rPr>
                <w:rFonts w:ascii="Arial" w:hAnsi="Arial"/>
                <w:sz w:val="22"/>
                <w:szCs w:val="20"/>
              </w:rPr>
              <w:t>who were mostly satisfied</w:t>
            </w:r>
            <w:r w:rsidR="00A7744B">
              <w:rPr>
                <w:rFonts w:ascii="Arial" w:hAnsi="Arial"/>
                <w:sz w:val="22"/>
                <w:szCs w:val="20"/>
              </w:rPr>
              <w:t xml:space="preserve"> or better</w:t>
            </w:r>
            <w:r w:rsidR="00913C89">
              <w:rPr>
                <w:rFonts w:ascii="Arial" w:hAnsi="Arial"/>
                <w:sz w:val="22"/>
                <w:szCs w:val="20"/>
              </w:rPr>
              <w:t xml:space="preserve"> with their lives </w:t>
            </w:r>
            <w:r w:rsidR="00EC5D6C">
              <w:rPr>
                <w:rFonts w:ascii="Arial" w:hAnsi="Arial"/>
                <w:sz w:val="22"/>
                <w:szCs w:val="20"/>
              </w:rPr>
              <w:t xml:space="preserve">divided by the total number of people with </w:t>
            </w:r>
            <w:r w:rsidR="00913C89">
              <w:rPr>
                <w:rFonts w:ascii="Arial" w:hAnsi="Arial"/>
                <w:sz w:val="22"/>
                <w:szCs w:val="20"/>
              </w:rPr>
              <w:t xml:space="preserve">a mild, </w:t>
            </w:r>
            <w:r w:rsidR="00193D87" w:rsidRPr="00BE7792">
              <w:rPr>
                <w:rFonts w:ascii="Arial" w:hAnsi="Arial"/>
                <w:sz w:val="22"/>
                <w:szCs w:val="20"/>
                <w:shd w:val="clear" w:color="auto" w:fill="FFFFFF" w:themeFill="background1"/>
              </w:rPr>
              <w:t>moderate,</w:t>
            </w:r>
            <w:r w:rsidR="00193D87">
              <w:rPr>
                <w:rFonts w:ascii="Arial" w:hAnsi="Arial"/>
                <w:sz w:val="22"/>
                <w:szCs w:val="20"/>
              </w:rPr>
              <w:t xml:space="preserve"> </w:t>
            </w:r>
            <w:r w:rsidR="00913C89">
              <w:rPr>
                <w:rFonts w:ascii="Arial" w:hAnsi="Arial"/>
                <w:sz w:val="22"/>
                <w:szCs w:val="20"/>
              </w:rPr>
              <w:t xml:space="preserve">severe or profound </w:t>
            </w:r>
            <w:r w:rsidR="00EC5D6C">
              <w:rPr>
                <w:rFonts w:ascii="Arial" w:hAnsi="Arial"/>
                <w:sz w:val="22"/>
                <w:szCs w:val="20"/>
              </w:rPr>
              <w:t xml:space="preserve">disability who provided a response. </w:t>
            </w:r>
          </w:p>
          <w:p w:rsidR="00332140" w:rsidRDefault="00332140" w:rsidP="004A0DD6">
            <w:pPr>
              <w:pStyle w:val="Box"/>
            </w:pPr>
            <w:r>
              <w:t xml:space="preserve">A high </w:t>
            </w:r>
            <w:r w:rsidR="008049F3">
              <w:t>proportion</w:t>
            </w:r>
            <w:r>
              <w:t xml:space="preserve"> of </w:t>
            </w:r>
            <w:r w:rsidR="00083396">
              <w:t xml:space="preserve">people with disability who were mostly satisfied with their lives </w:t>
            </w:r>
            <w:r>
              <w:t xml:space="preserve">is desirable. </w:t>
            </w:r>
          </w:p>
          <w:p w:rsidR="00B63911" w:rsidRDefault="00B63911" w:rsidP="00332140">
            <w:pPr>
              <w:pStyle w:val="Box"/>
            </w:pPr>
            <w:r w:rsidRPr="00B63911">
              <w:t>Overall life satisfaction is a summary indicator of subjective wellbeing. A number of circumstances may influence overall life satisfaction, such as health, education, employment, income, personality, family and social connections, civil and human rights, levels of trust and altruism, and opportunities for democratic participation (Diener</w:t>
            </w:r>
            <w:r>
              <w:t xml:space="preserve"> </w:t>
            </w:r>
            <w:r w:rsidRPr="00B63911">
              <w:t>1984; Stutzer</w:t>
            </w:r>
            <w:r>
              <w:t xml:space="preserve"> </w:t>
            </w:r>
            <w:r w:rsidRPr="00B63911">
              <w:t>and Frey</w:t>
            </w:r>
            <w:r>
              <w:t xml:space="preserve"> </w:t>
            </w:r>
            <w:r w:rsidRPr="00B63911">
              <w:t>2010).</w:t>
            </w:r>
            <w:r>
              <w:t xml:space="preserve"> </w:t>
            </w:r>
          </w:p>
          <w:p w:rsidR="00BE7792" w:rsidRDefault="00332140" w:rsidP="00332140">
            <w:pPr>
              <w:pStyle w:val="Box"/>
            </w:pPr>
            <w:r>
              <w:t>Data reported for this indicator are</w:t>
            </w:r>
            <w:r w:rsidR="00BE7792">
              <w:t>:</w:t>
            </w:r>
          </w:p>
          <w:p w:rsidR="00BE7792" w:rsidRDefault="00BE7792" w:rsidP="00BE7792">
            <w:pPr>
              <w:pStyle w:val="BoxListBullet"/>
            </w:pPr>
            <w:r>
              <w:t>national level and single year only</w:t>
            </w:r>
          </w:p>
          <w:p w:rsidR="00332140" w:rsidRDefault="008C4647" w:rsidP="00BE7792">
            <w:pPr>
              <w:pStyle w:val="BoxListBullet"/>
            </w:pPr>
            <w:r>
              <w:t>in</w:t>
            </w:r>
            <w:r w:rsidR="00BE7792">
              <w:t xml:space="preserve">complete </w:t>
            </w:r>
            <w:r>
              <w:t>for the current reporting period. All required 2010 data were not available for any State or Territory.</w:t>
            </w:r>
          </w:p>
          <w:p w:rsidR="00332140" w:rsidRDefault="00332140" w:rsidP="00332140">
            <w:pPr>
              <w:pStyle w:val="Box"/>
            </w:pPr>
            <w:r>
              <w:t>Data quality information for this indicator is under development.</w:t>
            </w:r>
          </w:p>
        </w:tc>
      </w:tr>
      <w:tr w:rsidR="00332140" w:rsidTr="00332140">
        <w:trPr>
          <w:cantSplit/>
        </w:trPr>
        <w:tc>
          <w:tcPr>
            <w:tcW w:w="8771" w:type="dxa"/>
            <w:tcBorders>
              <w:top w:val="nil"/>
              <w:left w:val="single" w:sz="6" w:space="0" w:color="auto"/>
              <w:bottom w:val="single" w:sz="6" w:space="0" w:color="auto"/>
              <w:right w:val="single" w:sz="6" w:space="0" w:color="auto"/>
            </w:tcBorders>
          </w:tcPr>
          <w:p w:rsidR="00332140" w:rsidRDefault="00332140" w:rsidP="00332140">
            <w:pPr>
              <w:pStyle w:val="Box"/>
              <w:spacing w:before="0" w:line="120" w:lineRule="exact"/>
            </w:pPr>
          </w:p>
        </w:tc>
      </w:tr>
      <w:tr w:rsidR="00332140" w:rsidTr="00332140">
        <w:tc>
          <w:tcPr>
            <w:tcW w:w="8771" w:type="dxa"/>
            <w:tcBorders>
              <w:top w:val="nil"/>
              <w:left w:val="nil"/>
              <w:bottom w:val="nil"/>
              <w:right w:val="nil"/>
            </w:tcBorders>
          </w:tcPr>
          <w:p w:rsidR="00332140" w:rsidRDefault="00332140" w:rsidP="00332140">
            <w:pPr>
              <w:pStyle w:val="Box"/>
              <w:keepNext w:val="0"/>
              <w:spacing w:before="60" w:after="60" w:line="80" w:lineRule="exact"/>
              <w:rPr>
                <w:b/>
                <w:color w:val="FF00FF"/>
                <w:sz w:val="14"/>
              </w:rPr>
            </w:pPr>
          </w:p>
        </w:tc>
      </w:tr>
    </w:tbl>
    <w:p w:rsidR="00E723F1" w:rsidRPr="00262ED3" w:rsidRDefault="00E723F1" w:rsidP="006B1005">
      <w:pPr>
        <w:pStyle w:val="BodyText"/>
        <w:spacing w:before="120"/>
      </w:pPr>
      <w:r>
        <w:t xml:space="preserve">Nationally, in 2010, </w:t>
      </w:r>
      <w:r w:rsidR="00A7744B">
        <w:t>about 78.0 per cent of</w:t>
      </w:r>
      <w:r w:rsidR="00BE7792">
        <w:t xml:space="preserve"> people with </w:t>
      </w:r>
      <w:r w:rsidR="00C137F5">
        <w:t xml:space="preserve">disability </w:t>
      </w:r>
      <w:r>
        <w:t xml:space="preserve">described their </w:t>
      </w:r>
      <w:r w:rsidR="00C137F5">
        <w:t>satisfaction with their lives as mostly satisfied</w:t>
      </w:r>
      <w:r w:rsidR="00A7744B">
        <w:t xml:space="preserve"> or better, compared with 16.8</w:t>
      </w:r>
      <w:r w:rsidR="00A7744B" w:rsidRPr="00A00147">
        <w:rPr>
          <w:u w:val="single"/>
        </w:rPr>
        <w:t>+</w:t>
      </w:r>
      <w:r w:rsidR="00A7744B">
        <w:t xml:space="preserve">1.1  per cent who described their satisfaction as mixed, </w:t>
      </w:r>
      <w:r w:rsidR="00A7744B" w:rsidRPr="00C66DDD">
        <w:t>2.1</w:t>
      </w:r>
      <w:r w:rsidR="00A7744B" w:rsidRPr="00C66DDD">
        <w:rPr>
          <w:u w:val="single"/>
        </w:rPr>
        <w:t>+</w:t>
      </w:r>
      <w:r w:rsidR="00A7744B" w:rsidRPr="00C66DDD">
        <w:t>0.4 per cent mostly dissatisfied, 2.1</w:t>
      </w:r>
      <w:r w:rsidR="00A7744B" w:rsidRPr="00C66DDD">
        <w:rPr>
          <w:u w:val="single"/>
        </w:rPr>
        <w:t>+</w:t>
      </w:r>
      <w:r w:rsidR="00A7744B" w:rsidRPr="00C66DDD">
        <w:t xml:space="preserve">0.4 per cent unhappy and </w:t>
      </w:r>
      <w:r w:rsidR="00C66DDD" w:rsidRPr="00BF3552">
        <w:t>0.9</w:t>
      </w:r>
      <w:r w:rsidR="00A7744B" w:rsidRPr="00BF3552">
        <w:rPr>
          <w:u w:val="single"/>
        </w:rPr>
        <w:t>+</w:t>
      </w:r>
      <w:r w:rsidR="00C66DDD" w:rsidRPr="00BE7792">
        <w:t>0.3</w:t>
      </w:r>
      <w:r w:rsidR="00A7744B" w:rsidRPr="00C66DDD">
        <w:t> per cent terrible</w:t>
      </w:r>
      <w:r w:rsidR="00C137F5">
        <w:t xml:space="preserve"> </w:t>
      </w:r>
      <w:r>
        <w:t>(</w:t>
      </w:r>
      <w:r w:rsidRPr="00262ED3">
        <w:t>figure</w:t>
      </w:r>
      <w:r>
        <w:t> </w:t>
      </w:r>
      <w:r w:rsidRPr="00C043A8">
        <w:t>F.</w:t>
      </w:r>
      <w:r w:rsidR="00E33535">
        <w:t>4</w:t>
      </w:r>
      <w:r w:rsidRPr="00262ED3">
        <w:t>).</w:t>
      </w:r>
      <w:r>
        <w:t xml:space="preserve"> </w:t>
      </w:r>
    </w:p>
    <w:p w:rsidR="008049F3" w:rsidRDefault="008049F3" w:rsidP="00DC641C">
      <w:pPr>
        <w:pStyle w:val="FigureTitle"/>
      </w:pPr>
      <w:r>
        <w:rPr>
          <w:b w:val="0"/>
        </w:rPr>
        <w:lastRenderedPageBreak/>
        <w:t xml:space="preserve">Figure </w:t>
      </w:r>
      <w:r w:rsidR="00E33535">
        <w:rPr>
          <w:b w:val="0"/>
        </w:rPr>
        <w:t>F.</w:t>
      </w:r>
      <w:r w:rsidR="00914946">
        <w:rPr>
          <w:b w:val="0"/>
          <w:noProof/>
        </w:rPr>
        <w:t>4</w:t>
      </w:r>
      <w:r>
        <w:tab/>
        <w:t>P</w:t>
      </w:r>
      <w:r w:rsidRPr="008049F3">
        <w:t>roportion of people with disability who were satisfied with their lives</w:t>
      </w:r>
      <w:r>
        <w:t xml:space="preserve">, </w:t>
      </w:r>
      <w:r w:rsidR="009B6B53">
        <w:t>2010</w:t>
      </w:r>
      <w:r w:rsidR="009B6B53">
        <w:rPr>
          <w:rStyle w:val="NoteLabel"/>
          <w:b/>
        </w:rPr>
        <w:t xml:space="preserve">a, </w:t>
      </w:r>
      <w:r w:rsidR="009B6B53" w:rsidRPr="00381D03">
        <w:rPr>
          <w:rStyle w:val="NoteLabel"/>
          <w:b/>
        </w:rPr>
        <w:t>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049F3" w:rsidTr="006B1005">
        <w:trPr>
          <w:trHeight w:val="4045"/>
        </w:trPr>
        <w:tc>
          <w:tcPr>
            <w:tcW w:w="8777" w:type="dxa"/>
          </w:tcPr>
          <w:p w:rsidR="008049F3" w:rsidRDefault="00F20B82">
            <w:pPr>
              <w:pStyle w:val="Figure"/>
            </w:pPr>
            <w:r>
              <w:rPr>
                <w:noProof/>
              </w:rPr>
              <w:drawing>
                <wp:inline distT="0" distB="0" distL="0" distR="0" wp14:anchorId="4566B046" wp14:editId="0F855249">
                  <wp:extent cx="5400000" cy="2520000"/>
                  <wp:effectExtent l="0" t="0" r="0" b="0"/>
                  <wp:docPr id="3" name="Chart 3" descr="Figure F.4 Proportion of people with disability who were satisfied with their lives, 2010&#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9B6B53" w:rsidRDefault="009B6B53">
      <w:pPr>
        <w:pStyle w:val="Note"/>
      </w:pPr>
      <w:r>
        <w:rPr>
          <w:rStyle w:val="NoteLabel"/>
        </w:rPr>
        <w:t>a</w:t>
      </w:r>
      <w:r>
        <w:t xml:space="preserve"> </w:t>
      </w:r>
      <w:r w:rsidRPr="006661F4">
        <w:t>Excludes those who did not provide a response or did not know how they felt.</w:t>
      </w:r>
      <w:r>
        <w:t xml:space="preserve"> </w:t>
      </w:r>
      <w:r>
        <w:rPr>
          <w:rStyle w:val="NoteLabel"/>
        </w:rPr>
        <w:t xml:space="preserve">b </w:t>
      </w:r>
      <w:r w:rsidRPr="00F21C84">
        <w:t>Error bars represent the</w:t>
      </w:r>
      <w:r w:rsidR="0094760E">
        <w:t xml:space="preserve"> 95 </w:t>
      </w:r>
      <w:r w:rsidRPr="00F21C84">
        <w:t>per cent confidence interval associated with each point estimate.</w:t>
      </w:r>
    </w:p>
    <w:p w:rsidR="009B6B53" w:rsidRDefault="009B6B53" w:rsidP="009B6B53">
      <w:pPr>
        <w:pStyle w:val="Source"/>
      </w:pPr>
      <w:r>
        <w:rPr>
          <w:i/>
        </w:rPr>
        <w:t>Source</w:t>
      </w:r>
      <w:r w:rsidRPr="00167F06">
        <w:t xml:space="preserve">: </w:t>
      </w:r>
      <w:r>
        <w:t xml:space="preserve">ABS 2011 (unpublished), </w:t>
      </w:r>
      <w:r w:rsidRPr="003B1DFC">
        <w:rPr>
          <w:i/>
        </w:rPr>
        <w:t>General Social Survey</w:t>
      </w:r>
      <w:r>
        <w:rPr>
          <w:i/>
        </w:rPr>
        <w:t xml:space="preserve"> 2010</w:t>
      </w:r>
      <w:r w:rsidRPr="003B1DFC">
        <w:rPr>
          <w:i/>
        </w:rPr>
        <w:t xml:space="preserve">, </w:t>
      </w:r>
      <w:r>
        <w:t>Cat. no. 4159.0, Canberra; table FA.6.</w:t>
      </w:r>
    </w:p>
    <w:p w:rsidR="00732082" w:rsidRPr="00737BD6" w:rsidRDefault="00732082" w:rsidP="00732082">
      <w:pPr>
        <w:pStyle w:val="Heading4"/>
      </w:pPr>
      <w:r w:rsidRPr="00737BD6">
        <w:t>Participation of people with disability and their carers in the community</w:t>
      </w:r>
    </w:p>
    <w:p w:rsidR="00732082" w:rsidRDefault="00AC19D4" w:rsidP="00732082">
      <w:pPr>
        <w:pStyle w:val="BodyText"/>
      </w:pPr>
      <w:r>
        <w:t xml:space="preserve"> </w:t>
      </w:r>
      <w:r w:rsidR="00732082">
        <w:t>‘Participation of people with disability and their carers</w:t>
      </w:r>
      <w:r w:rsidR="008049F3">
        <w:t xml:space="preserve"> in the community</w:t>
      </w:r>
      <w:r w:rsidR="00732082">
        <w:t xml:space="preserve">’ is an indicator of governments’ objective </w:t>
      </w:r>
      <w:r w:rsidR="00A7744B">
        <w:t>for</w:t>
      </w:r>
      <w:r w:rsidR="00732082">
        <w:t xml:space="preserve"> people with disability and their carers to participate as valued members of the community</w:t>
      </w:r>
      <w:r w:rsidR="00E33535">
        <w:t xml:space="preserve"> </w:t>
      </w:r>
      <w:r w:rsidR="000D6710">
        <w:t xml:space="preserve">and have an enhanced quality of life </w:t>
      </w:r>
      <w:r w:rsidR="00E33535">
        <w:t>(box F.7)</w:t>
      </w:r>
      <w:r w:rsidR="00732082">
        <w:t xml:space="preserve">. </w:t>
      </w:r>
    </w:p>
    <w:p w:rsidR="00732082" w:rsidRDefault="00732082" w:rsidP="007320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2082" w:rsidTr="00732082">
        <w:tc>
          <w:tcPr>
            <w:tcW w:w="8771" w:type="dxa"/>
            <w:tcBorders>
              <w:top w:val="single" w:sz="6" w:space="0" w:color="auto"/>
              <w:bottom w:val="nil"/>
            </w:tcBorders>
          </w:tcPr>
          <w:p w:rsidR="00732082" w:rsidRDefault="00732082" w:rsidP="00737BD6">
            <w:pPr>
              <w:pStyle w:val="BoxTitle"/>
            </w:pPr>
            <w:r>
              <w:rPr>
                <w:b w:val="0"/>
              </w:rPr>
              <w:t xml:space="preserve">Box </w:t>
            </w:r>
            <w:r w:rsidR="00737BD6">
              <w:rPr>
                <w:b w:val="0"/>
              </w:rPr>
              <w:t>F</w:t>
            </w:r>
            <w:r>
              <w:rPr>
                <w:b w:val="0"/>
              </w:rPr>
              <w:t>.</w:t>
            </w:r>
            <w:r w:rsidR="00914946">
              <w:rPr>
                <w:b w:val="0"/>
                <w:noProof/>
              </w:rPr>
              <w:t>7</w:t>
            </w:r>
            <w:r>
              <w:tab/>
              <w:t>Participation of people with disability and their carers</w:t>
            </w:r>
            <w:r w:rsidR="008049F3">
              <w:t xml:space="preserve"> in the community</w:t>
            </w:r>
          </w:p>
        </w:tc>
      </w:tr>
      <w:tr w:rsidR="00732082" w:rsidTr="00732082">
        <w:trPr>
          <w:cantSplit/>
        </w:trPr>
        <w:tc>
          <w:tcPr>
            <w:tcW w:w="8771" w:type="dxa"/>
            <w:tcBorders>
              <w:top w:val="nil"/>
              <w:left w:val="single" w:sz="6" w:space="0" w:color="auto"/>
              <w:bottom w:val="nil"/>
              <w:right w:val="single" w:sz="6" w:space="0" w:color="auto"/>
            </w:tcBorders>
          </w:tcPr>
          <w:p w:rsidR="00F02600" w:rsidRDefault="00732082" w:rsidP="00732082">
            <w:pPr>
              <w:keepNext/>
              <w:spacing w:before="120" w:line="280" w:lineRule="atLeast"/>
              <w:jc w:val="both"/>
              <w:rPr>
                <w:rFonts w:ascii="Arial" w:hAnsi="Arial"/>
                <w:sz w:val="22"/>
                <w:szCs w:val="20"/>
              </w:rPr>
            </w:pPr>
            <w:r w:rsidRPr="00C654A8">
              <w:rPr>
                <w:rFonts w:ascii="Arial" w:hAnsi="Arial"/>
                <w:sz w:val="22"/>
                <w:szCs w:val="20"/>
              </w:rPr>
              <w:t>‘</w:t>
            </w:r>
            <w:r>
              <w:rPr>
                <w:rFonts w:ascii="Arial" w:hAnsi="Arial"/>
                <w:sz w:val="22"/>
                <w:szCs w:val="20"/>
              </w:rPr>
              <w:t>Participation of people with disability and their carers</w:t>
            </w:r>
            <w:r w:rsidR="008049F3">
              <w:rPr>
                <w:rFonts w:ascii="Arial" w:hAnsi="Arial"/>
                <w:sz w:val="22"/>
                <w:szCs w:val="20"/>
              </w:rPr>
              <w:t xml:space="preserve"> in the community</w:t>
            </w:r>
            <w:r>
              <w:rPr>
                <w:rFonts w:ascii="Arial" w:hAnsi="Arial"/>
                <w:sz w:val="22"/>
                <w:szCs w:val="20"/>
              </w:rPr>
              <w:t>’ i</w:t>
            </w:r>
            <w:r w:rsidRPr="00C654A8">
              <w:rPr>
                <w:rFonts w:ascii="Arial" w:hAnsi="Arial"/>
                <w:sz w:val="22"/>
                <w:szCs w:val="20"/>
              </w:rPr>
              <w:t xml:space="preserve">s defined as </w:t>
            </w:r>
            <w:r>
              <w:rPr>
                <w:rFonts w:ascii="Arial" w:hAnsi="Arial"/>
                <w:sz w:val="22"/>
                <w:szCs w:val="20"/>
              </w:rPr>
              <w:t xml:space="preserve">social and community </w:t>
            </w:r>
            <w:r w:rsidR="00FC5FA0">
              <w:rPr>
                <w:rFonts w:ascii="Arial" w:hAnsi="Arial"/>
                <w:sz w:val="22"/>
                <w:szCs w:val="20"/>
              </w:rPr>
              <w:t>participation of people with disability and their carers’</w:t>
            </w:r>
            <w:r>
              <w:rPr>
                <w:rFonts w:ascii="Arial" w:hAnsi="Arial"/>
                <w:sz w:val="22"/>
                <w:szCs w:val="20"/>
              </w:rPr>
              <w:t xml:space="preserve"> and is measured by</w:t>
            </w:r>
            <w:r w:rsidR="00193D87">
              <w:rPr>
                <w:rFonts w:ascii="Arial" w:hAnsi="Arial"/>
                <w:sz w:val="22"/>
                <w:szCs w:val="20"/>
              </w:rPr>
              <w:t>:</w:t>
            </w:r>
          </w:p>
          <w:p w:rsidR="0068464A" w:rsidRDefault="00866AE5" w:rsidP="00F02600">
            <w:pPr>
              <w:pStyle w:val="BoxListBullet"/>
            </w:pPr>
            <w:r w:rsidRPr="00F21C84">
              <w:t xml:space="preserve">the proportion </w:t>
            </w:r>
            <w:r>
              <w:t xml:space="preserve">people with disability and their carers who participated in social or community activities (away from home or at home) in the past 3 months </w:t>
            </w:r>
          </w:p>
          <w:p w:rsidR="00732082" w:rsidRPr="00C654A8" w:rsidRDefault="0068464A" w:rsidP="00F02600">
            <w:pPr>
              <w:pStyle w:val="BoxListBullet"/>
            </w:pPr>
            <w:r>
              <w:t xml:space="preserve">the proportion of primary carers who participated in social or community activities </w:t>
            </w:r>
            <w:r w:rsidR="00A7744B">
              <w:t>(</w:t>
            </w:r>
            <w:r>
              <w:t>away from home or at home) in the last three months</w:t>
            </w:r>
            <w:r w:rsidR="00FC5FA0">
              <w:t>.</w:t>
            </w:r>
            <w:r w:rsidR="00732082">
              <w:t xml:space="preserve"> </w:t>
            </w:r>
          </w:p>
          <w:p w:rsidR="00732082" w:rsidRDefault="00732082" w:rsidP="00732082">
            <w:pPr>
              <w:pStyle w:val="Box"/>
            </w:pPr>
            <w:r>
              <w:t xml:space="preserve">A high </w:t>
            </w:r>
            <w:r w:rsidR="008049F3">
              <w:t>proportion</w:t>
            </w:r>
            <w:r>
              <w:t xml:space="preserve"> of people with disability </w:t>
            </w:r>
            <w:r w:rsidR="00FC5FA0">
              <w:t xml:space="preserve">and their carers </w:t>
            </w:r>
            <w:r>
              <w:t xml:space="preserve">who </w:t>
            </w:r>
            <w:r w:rsidR="00FC5FA0">
              <w:t xml:space="preserve">participated in social or community activities </w:t>
            </w:r>
            <w:r>
              <w:t xml:space="preserve">is desirable. </w:t>
            </w:r>
          </w:p>
          <w:p w:rsidR="00695024" w:rsidRDefault="00695024" w:rsidP="00695024">
            <w:pPr>
              <w:pStyle w:val="Box"/>
            </w:pPr>
            <w:r>
              <w:t>Data reported for this indicator are:</w:t>
            </w:r>
          </w:p>
          <w:p w:rsidR="00695024" w:rsidRDefault="00695024" w:rsidP="00695024">
            <w:pPr>
              <w:pStyle w:val="BoxListBullet"/>
            </w:pPr>
            <w:r>
              <w:t>comparable (subject to caveats) across jurisdictions for 2012 but a break in series means that data for 2009 and earlier years are not comparable to data for 2012</w:t>
            </w:r>
          </w:p>
          <w:p w:rsidR="00732082" w:rsidRDefault="00695024" w:rsidP="00732082">
            <w:pPr>
              <w:pStyle w:val="BoxListBullet"/>
            </w:pPr>
            <w:r>
              <w:t xml:space="preserve">complete (subject to caveats) for the current reporting period. All required 2012 data are available for all jurisdictions. </w:t>
            </w:r>
          </w:p>
          <w:p w:rsidR="00732082" w:rsidRDefault="00732082" w:rsidP="00732082">
            <w:pPr>
              <w:pStyle w:val="Box"/>
            </w:pPr>
            <w:r>
              <w:t>Data quality information for this indicator is under development.</w:t>
            </w:r>
          </w:p>
        </w:tc>
      </w:tr>
      <w:tr w:rsidR="00732082" w:rsidTr="00732082">
        <w:trPr>
          <w:cantSplit/>
        </w:trPr>
        <w:tc>
          <w:tcPr>
            <w:tcW w:w="8771" w:type="dxa"/>
            <w:tcBorders>
              <w:top w:val="nil"/>
              <w:left w:val="single" w:sz="6" w:space="0" w:color="auto"/>
              <w:bottom w:val="single" w:sz="6" w:space="0" w:color="auto"/>
              <w:right w:val="single" w:sz="6" w:space="0" w:color="auto"/>
            </w:tcBorders>
          </w:tcPr>
          <w:p w:rsidR="00732082" w:rsidRDefault="00732082" w:rsidP="00732082">
            <w:pPr>
              <w:pStyle w:val="Box"/>
              <w:spacing w:before="0" w:line="120" w:lineRule="exact"/>
            </w:pPr>
          </w:p>
        </w:tc>
      </w:tr>
      <w:tr w:rsidR="00732082" w:rsidTr="00732082">
        <w:tc>
          <w:tcPr>
            <w:tcW w:w="8771" w:type="dxa"/>
            <w:tcBorders>
              <w:top w:val="nil"/>
              <w:left w:val="nil"/>
              <w:bottom w:val="nil"/>
              <w:right w:val="nil"/>
            </w:tcBorders>
          </w:tcPr>
          <w:p w:rsidR="00732082" w:rsidRDefault="00732082" w:rsidP="00732082">
            <w:pPr>
              <w:pStyle w:val="Box"/>
              <w:keepNext w:val="0"/>
              <w:spacing w:before="60" w:after="60" w:line="80" w:lineRule="exact"/>
              <w:rPr>
                <w:b/>
                <w:color w:val="FF00FF"/>
                <w:sz w:val="14"/>
              </w:rPr>
            </w:pPr>
          </w:p>
        </w:tc>
      </w:tr>
    </w:tbl>
    <w:p w:rsidR="0017048F" w:rsidRDefault="0017048F" w:rsidP="007E1AE2">
      <w:pPr>
        <w:pStyle w:val="BodyText"/>
      </w:pPr>
      <w:r>
        <w:t>Nationally</w:t>
      </w:r>
      <w:r w:rsidR="00E320A7">
        <w:t xml:space="preserve"> in 20</w:t>
      </w:r>
      <w:r w:rsidR="00495EE9">
        <w:t>12</w:t>
      </w:r>
      <w:r>
        <w:t xml:space="preserve">, </w:t>
      </w:r>
      <w:r w:rsidR="00495EE9">
        <w:t>39.0</w:t>
      </w:r>
      <w:r w:rsidR="00AB7513" w:rsidRPr="00AB7513">
        <w:rPr>
          <w:u w:val="single"/>
        </w:rPr>
        <w:t>+</w:t>
      </w:r>
      <w:r w:rsidR="00495EE9" w:rsidRPr="00495EE9">
        <w:t>2.6</w:t>
      </w:r>
      <w:r w:rsidR="00AB7513">
        <w:t xml:space="preserve"> </w:t>
      </w:r>
      <w:r>
        <w:t xml:space="preserve">per cent of </w:t>
      </w:r>
      <w:r w:rsidR="007C44E1">
        <w:t xml:space="preserve">primary carers participated in social or community activities away from home and without the recipient of care in the </w:t>
      </w:r>
      <w:r w:rsidR="00A7744B">
        <w:t>past</w:t>
      </w:r>
      <w:r w:rsidR="007C44E1">
        <w:t xml:space="preserve"> three months. </w:t>
      </w:r>
      <w:r w:rsidR="00E104B5">
        <w:t>61.3</w:t>
      </w:r>
      <w:r w:rsidR="00AB7513" w:rsidRPr="00AB7513">
        <w:rPr>
          <w:u w:val="single"/>
        </w:rPr>
        <w:t>+</w:t>
      </w:r>
      <w:r w:rsidR="00E104B5">
        <w:t>1.7</w:t>
      </w:r>
      <w:r w:rsidR="007C44E1">
        <w:t xml:space="preserve"> per cent of primary carers did not participate in social or community activities away from home without the recipient of care in the </w:t>
      </w:r>
      <w:r w:rsidR="00A7744B">
        <w:t>p</w:t>
      </w:r>
      <w:r w:rsidR="007C44E1">
        <w:t>ast three months</w:t>
      </w:r>
      <w:r>
        <w:t xml:space="preserve"> (</w:t>
      </w:r>
      <w:r w:rsidRPr="00262ED3">
        <w:t>figure</w:t>
      </w:r>
      <w:r>
        <w:t> F.</w:t>
      </w:r>
      <w:r w:rsidR="00E33535">
        <w:t>5</w:t>
      </w:r>
      <w:r w:rsidRPr="00262ED3">
        <w:t>).</w:t>
      </w:r>
      <w:r>
        <w:t xml:space="preserve"> </w:t>
      </w:r>
    </w:p>
    <w:p w:rsidR="008049F3" w:rsidRDefault="008049F3" w:rsidP="002A6142">
      <w:pPr>
        <w:pStyle w:val="FigureTitle"/>
      </w:pPr>
      <w:r>
        <w:rPr>
          <w:b w:val="0"/>
        </w:rPr>
        <w:lastRenderedPageBreak/>
        <w:t xml:space="preserve">Figure </w:t>
      </w:r>
      <w:r w:rsidR="00E33535">
        <w:rPr>
          <w:b w:val="0"/>
        </w:rPr>
        <w:t>F.</w:t>
      </w:r>
      <w:r w:rsidR="00914946">
        <w:rPr>
          <w:b w:val="0"/>
          <w:noProof/>
        </w:rPr>
        <w:t>5</w:t>
      </w:r>
      <w:r>
        <w:tab/>
      </w:r>
      <w:r w:rsidR="008B4A8C" w:rsidRPr="008B4A8C">
        <w:t xml:space="preserve">Proportion of primary carers who </w:t>
      </w:r>
      <w:r w:rsidR="00F71ABF">
        <w:t>participated in social or community activities away from home and without the recipient of care in the past three months</w:t>
      </w:r>
      <w:r w:rsidR="0068464A">
        <w:t xml:space="preserve"> 20</w:t>
      </w:r>
      <w:r w:rsidR="00F71ABF">
        <w:t>12</w:t>
      </w:r>
      <w:r w:rsidR="00AB7513">
        <w:rPr>
          <w:rStyle w:val="NoteLabel"/>
          <w:b/>
        </w:rPr>
        <w:t>a</w:t>
      </w:r>
      <w:r w:rsidR="0068464A">
        <w:rPr>
          <w:rStyle w:val="NoteLabel"/>
          <w:b/>
        </w:rPr>
        <w:t>, b</w:t>
      </w:r>
      <w:r w:rsidR="00F71ABF">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049F3" w:rsidTr="00173979">
        <w:tc>
          <w:tcPr>
            <w:tcW w:w="8777" w:type="dxa"/>
          </w:tcPr>
          <w:p w:rsidR="005C4715" w:rsidRDefault="00173979">
            <w:pPr>
              <w:pStyle w:val="Figure"/>
              <w:rPr>
                <w:szCs w:val="24"/>
              </w:rPr>
            </w:pPr>
            <w:r>
              <w:rPr>
                <w:noProof/>
              </w:rPr>
              <w:drawing>
                <wp:inline distT="0" distB="0" distL="0" distR="0" wp14:anchorId="08B280BB" wp14:editId="430140FA">
                  <wp:extent cx="5400000" cy="2700000"/>
                  <wp:effectExtent l="0" t="0" r="0" b="5715"/>
                  <wp:docPr id="4" name="Chart 4" descr="Figure F.5 Proportion of primary carers who participated in social or community activities away from home and without the recipient of care in the past three months 2012&#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8049F3" w:rsidRDefault="008049F3" w:rsidP="007E1AE2">
      <w:pPr>
        <w:pStyle w:val="Note"/>
      </w:pPr>
      <w:r>
        <w:rPr>
          <w:rStyle w:val="NoteLabel"/>
        </w:rPr>
        <w:t>a</w:t>
      </w:r>
      <w:r>
        <w:t xml:space="preserve"> </w:t>
      </w:r>
      <w:r w:rsidR="00173979" w:rsidRPr="00173979">
        <w:t>A primary carer is a person who provides the most informal assistance, in terms of help or supervision, to a person with one or more disabilities, with one or</w:t>
      </w:r>
      <w:r w:rsidR="00173979">
        <w:t xml:space="preserve"> </w:t>
      </w:r>
      <w:r w:rsidR="00173979" w:rsidRPr="00173979">
        <w:t>more of the core activities of mobility, self-care or communication. In this survey, primary carers only include persons aged 15 years and over. Persons aged 15 to 17 years were only interviewed personally if parental permission was granted</w:t>
      </w:r>
      <w:r w:rsidR="00AB7513">
        <w:t>.</w:t>
      </w:r>
      <w:r w:rsidR="0068464A" w:rsidRPr="0068464A">
        <w:rPr>
          <w:rStyle w:val="NoteLabel"/>
        </w:rPr>
        <w:t xml:space="preserve"> </w:t>
      </w:r>
      <w:r w:rsidR="0068464A">
        <w:rPr>
          <w:rStyle w:val="NoteLabel"/>
        </w:rPr>
        <w:t xml:space="preserve">b </w:t>
      </w:r>
      <w:r w:rsidR="00F71ABF" w:rsidRPr="00F71ABF">
        <w:t>The random adjustment of estimates, by perturbation, for the purpose of maintaining confidentiality, may result in the sum of components not equalling the total, or subtotal. In these cases, the difference between the sum of components and its total will be small and will not impact the overall information value of the estimate for the total or any individual component.</w:t>
      </w:r>
      <w:r w:rsidR="00F71ABF">
        <w:t xml:space="preserve"> </w:t>
      </w:r>
      <w:r w:rsidR="00F71ABF">
        <w:rPr>
          <w:rStyle w:val="NoteLabel"/>
        </w:rPr>
        <w:t xml:space="preserve">c </w:t>
      </w:r>
      <w:r w:rsidR="00F71ABF" w:rsidRPr="00F21C84">
        <w:t>Error bars represent the 95 per cent confidence interval associated with each point estimate.</w:t>
      </w:r>
    </w:p>
    <w:p w:rsidR="008049F3" w:rsidRDefault="008B4A8C">
      <w:pPr>
        <w:pStyle w:val="Source"/>
      </w:pPr>
      <w:r w:rsidRPr="00FF6A19">
        <w:rPr>
          <w:i/>
        </w:rPr>
        <w:t>Source</w:t>
      </w:r>
      <w:r w:rsidRPr="00FF6A19">
        <w:t xml:space="preserve">: </w:t>
      </w:r>
      <w:r>
        <w:t xml:space="preserve">ABS </w:t>
      </w:r>
      <w:r w:rsidRPr="009E79F8">
        <w:t>S</w:t>
      </w:r>
      <w:r>
        <w:t xml:space="preserve">urvey of </w:t>
      </w:r>
      <w:r w:rsidRPr="009E79F8">
        <w:t>D</w:t>
      </w:r>
      <w:r>
        <w:t xml:space="preserve">isability, </w:t>
      </w:r>
      <w:r w:rsidRPr="009E79F8">
        <w:t>A</w:t>
      </w:r>
      <w:r>
        <w:t xml:space="preserve">geing and </w:t>
      </w:r>
      <w:r w:rsidRPr="009E79F8">
        <w:t>C</w:t>
      </w:r>
      <w:r>
        <w:t>arers</w:t>
      </w:r>
      <w:r w:rsidRPr="009E79F8">
        <w:t xml:space="preserve"> 20</w:t>
      </w:r>
      <w:r w:rsidR="00F71ABF">
        <w:t>12</w:t>
      </w:r>
      <w:r w:rsidRPr="00FF6A19">
        <w:t xml:space="preserve">; </w:t>
      </w:r>
      <w:r w:rsidRPr="00AB7513">
        <w:t>table FA.2.</w:t>
      </w:r>
    </w:p>
    <w:p w:rsidR="006E1F91" w:rsidRDefault="006E1F91" w:rsidP="006019A9">
      <w:pPr>
        <w:pStyle w:val="BodyText"/>
        <w:rPr>
          <w:rFonts w:ascii="Arial" w:hAnsi="Arial"/>
          <w:i/>
          <w:sz w:val="24"/>
          <w:szCs w:val="24"/>
        </w:rPr>
      </w:pPr>
      <w:r w:rsidRPr="006E1F91">
        <w:rPr>
          <w:rFonts w:ascii="Arial" w:hAnsi="Arial"/>
          <w:i/>
          <w:sz w:val="24"/>
          <w:szCs w:val="24"/>
        </w:rPr>
        <w:t xml:space="preserve">Jobless families </w:t>
      </w:r>
      <w:r w:rsidR="00C07AA9">
        <w:rPr>
          <w:rFonts w:ascii="Arial" w:hAnsi="Arial"/>
          <w:i/>
          <w:sz w:val="24"/>
          <w:szCs w:val="24"/>
        </w:rPr>
        <w:t xml:space="preserve">with children </w:t>
      </w:r>
      <w:r w:rsidRPr="006E1F91">
        <w:rPr>
          <w:rFonts w:ascii="Arial" w:hAnsi="Arial"/>
          <w:i/>
          <w:sz w:val="24"/>
          <w:szCs w:val="24"/>
        </w:rPr>
        <w:t xml:space="preserve">as a proportion of all families </w:t>
      </w:r>
    </w:p>
    <w:p w:rsidR="00352F02" w:rsidRDefault="006019A9" w:rsidP="0016069C">
      <w:pPr>
        <w:pStyle w:val="BodyText"/>
      </w:pPr>
      <w:r>
        <w:t>‘</w:t>
      </w:r>
      <w:r w:rsidR="006E1F91">
        <w:t xml:space="preserve">Jobless families </w:t>
      </w:r>
      <w:r w:rsidR="00C07AA9">
        <w:t xml:space="preserve">with children </w:t>
      </w:r>
      <w:r w:rsidR="006E1F91">
        <w:t>as a proportion of all families</w:t>
      </w:r>
      <w:r>
        <w:t>’ is an indicator of governments’ objective</w:t>
      </w:r>
      <w:r w:rsidR="006E1F91">
        <w:t xml:space="preserve"> to ensure </w:t>
      </w:r>
      <w:r w:rsidR="00C07AA9">
        <w:t xml:space="preserve">positive family environments for </w:t>
      </w:r>
      <w:r w:rsidR="000A3A02">
        <w:t xml:space="preserve">Australia’s children and young people </w:t>
      </w:r>
      <w:r w:rsidR="00C07AA9">
        <w:t>(</w:t>
      </w:r>
      <w:r w:rsidR="003F0234">
        <w:t>box F.8)</w:t>
      </w:r>
      <w:r w:rsidR="000A3A02">
        <w:t>.</w:t>
      </w:r>
      <w:r w:rsidR="00946101">
        <w:t xml:space="preserve"> </w:t>
      </w:r>
      <w:r w:rsidR="00352F02" w:rsidRPr="00C51941">
        <w:t xml:space="preserve">This indicator is consistent with the </w:t>
      </w:r>
      <w:r w:rsidR="00353222" w:rsidRPr="00C51941">
        <w:t xml:space="preserve">Australian </w:t>
      </w:r>
      <w:r w:rsidR="0016069C" w:rsidRPr="00C51941">
        <w:t xml:space="preserve">Government’s Social Inclusion Agenda, and </w:t>
      </w:r>
      <w:r w:rsidR="00352F02" w:rsidRPr="00C51941">
        <w:t xml:space="preserve">the activities </w:t>
      </w:r>
      <w:r w:rsidR="0016069C" w:rsidRPr="00C51941">
        <w:t xml:space="preserve">of the Australian Social Inclusion Board, </w:t>
      </w:r>
      <w:r w:rsidR="00352F02" w:rsidRPr="00C51941">
        <w:t xml:space="preserve">which identifies a reduction in family joblessness as a key priority for addressing </w:t>
      </w:r>
      <w:r w:rsidR="0016069C" w:rsidRPr="00C51941">
        <w:t xml:space="preserve">the barriers and entrenched disadvantage faced </w:t>
      </w:r>
      <w:r w:rsidR="00CD3797" w:rsidRPr="00C51941">
        <w:t xml:space="preserve">by </w:t>
      </w:r>
      <w:r w:rsidR="00352F02" w:rsidRPr="00C51941">
        <w:t xml:space="preserve">some households </w:t>
      </w:r>
      <w:r w:rsidR="00FC11CB" w:rsidRPr="00C51941">
        <w:t>(</w:t>
      </w:r>
      <w:r w:rsidR="00352F02" w:rsidRPr="00C51941">
        <w:t>Australia</w:t>
      </w:r>
      <w:r w:rsidR="00FC11CB" w:rsidRPr="00C51941">
        <w:t>n Government</w:t>
      </w:r>
      <w:r w:rsidR="00352F02" w:rsidRPr="00C51941">
        <w:t xml:space="preserve"> 2011)</w:t>
      </w:r>
      <w:r w:rsidR="0016069C" w:rsidRPr="00C51941">
        <w:t>.</w:t>
      </w:r>
      <w:r w:rsidR="00352F02">
        <w:t xml:space="preserve"> </w:t>
      </w:r>
    </w:p>
    <w:p w:rsidR="00CD3797" w:rsidRPr="0056075E" w:rsidRDefault="00CD3797" w:rsidP="00CD3797">
      <w:pPr>
        <w:pStyle w:val="BodyText"/>
      </w:pPr>
      <w:r w:rsidRPr="00C51941">
        <w:t>The Australian Social Inclusion Board notes that a reduction in the number of jobless families is important</w:t>
      </w:r>
      <w:r w:rsidR="00353222" w:rsidRPr="00C51941">
        <w:t>,</w:t>
      </w:r>
      <w:r w:rsidRPr="00C51941">
        <w:t xml:space="preserve"> as there are many costs to the country of family joblessness, </w:t>
      </w:r>
      <w:r w:rsidRPr="0056075E">
        <w:t>including:</w:t>
      </w:r>
    </w:p>
    <w:p w:rsidR="00CD3797" w:rsidRPr="00C51941" w:rsidRDefault="00CD3797" w:rsidP="00103A38">
      <w:pPr>
        <w:pStyle w:val="ListBullet"/>
      </w:pPr>
      <w:r w:rsidRPr="00C51941">
        <w:t xml:space="preserve">the direct costs of lost national output and supporting families who </w:t>
      </w:r>
      <w:r w:rsidR="00A43B6F" w:rsidRPr="00C51941">
        <w:t xml:space="preserve">are </w:t>
      </w:r>
      <w:r w:rsidRPr="00C51941">
        <w:t>not participating in the workforce</w:t>
      </w:r>
    </w:p>
    <w:p w:rsidR="00A01C45" w:rsidRPr="00C51941" w:rsidRDefault="00CD3797" w:rsidP="006019A9">
      <w:pPr>
        <w:pStyle w:val="ListBullet"/>
      </w:pPr>
      <w:r w:rsidRPr="00C51941">
        <w:lastRenderedPageBreak/>
        <w:t>the indirect cost</w:t>
      </w:r>
      <w:r w:rsidR="00A43B6F" w:rsidRPr="00C51941">
        <w:t>s</w:t>
      </w:r>
      <w:r w:rsidRPr="00C51941">
        <w:t xml:space="preserve"> </w:t>
      </w:r>
      <w:r w:rsidR="005C77FA" w:rsidRPr="00C51941">
        <w:t xml:space="preserve">of </w:t>
      </w:r>
      <w:r w:rsidR="00103A38" w:rsidRPr="00C51941">
        <w:t xml:space="preserve">reduced labour market attachment of children </w:t>
      </w:r>
      <w:r w:rsidRPr="00C51941">
        <w:t xml:space="preserve">from jobless families, </w:t>
      </w:r>
      <w:r w:rsidR="005C77FA" w:rsidRPr="00C51941">
        <w:t xml:space="preserve">poorer health outcomes, </w:t>
      </w:r>
      <w:r w:rsidR="00103A38" w:rsidRPr="00C51941">
        <w:t xml:space="preserve">and reduced </w:t>
      </w:r>
      <w:r w:rsidRPr="00C51941">
        <w:t>income and overall wellbeing</w:t>
      </w:r>
      <w:r w:rsidR="00103A38" w:rsidRPr="00C51941">
        <w:t xml:space="preserve"> arising from joblessness</w:t>
      </w:r>
      <w:r w:rsidR="00A43B6F" w:rsidRPr="00C51941">
        <w:t xml:space="preserve"> (Commonwealth of Australia 2011)</w:t>
      </w:r>
      <w:r w:rsidRPr="00C51941">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3126D" w:rsidTr="00C043A8">
        <w:tc>
          <w:tcPr>
            <w:tcW w:w="8771" w:type="dxa"/>
            <w:tcBorders>
              <w:top w:val="single" w:sz="6" w:space="0" w:color="auto"/>
              <w:bottom w:val="nil"/>
            </w:tcBorders>
          </w:tcPr>
          <w:p w:rsidR="0073126D" w:rsidRDefault="0073126D" w:rsidP="00CB699A">
            <w:pPr>
              <w:pStyle w:val="BoxTitle"/>
            </w:pPr>
            <w:r>
              <w:rPr>
                <w:b w:val="0"/>
              </w:rPr>
              <w:t>Box F.</w:t>
            </w:r>
            <w:r w:rsidR="00914946">
              <w:rPr>
                <w:b w:val="0"/>
                <w:noProof/>
              </w:rPr>
              <w:t>8</w:t>
            </w:r>
            <w:r>
              <w:tab/>
            </w:r>
            <w:r w:rsidRPr="0073126D">
              <w:t>Jobless families</w:t>
            </w:r>
            <w:r w:rsidR="00C07AA9">
              <w:t xml:space="preserve"> with children</w:t>
            </w:r>
            <w:r w:rsidRPr="0073126D">
              <w:t xml:space="preserve"> as a proportion of all families</w:t>
            </w:r>
          </w:p>
        </w:tc>
      </w:tr>
      <w:tr w:rsidR="0073126D" w:rsidTr="009E0DBE">
        <w:trPr>
          <w:cantSplit/>
          <w:trHeight w:val="3736"/>
        </w:trPr>
        <w:tc>
          <w:tcPr>
            <w:tcW w:w="8771" w:type="dxa"/>
            <w:tcBorders>
              <w:top w:val="nil"/>
              <w:left w:val="single" w:sz="6" w:space="0" w:color="auto"/>
              <w:bottom w:val="single" w:sz="4" w:space="0" w:color="auto"/>
              <w:right w:val="single" w:sz="6" w:space="0" w:color="auto"/>
            </w:tcBorders>
          </w:tcPr>
          <w:p w:rsidR="00A01C45" w:rsidRPr="00A01C45" w:rsidRDefault="0073126D" w:rsidP="00A01C45">
            <w:pPr>
              <w:keepNext/>
              <w:spacing w:before="120" w:line="280" w:lineRule="atLeast"/>
              <w:jc w:val="both"/>
              <w:rPr>
                <w:rFonts w:ascii="Arial" w:hAnsi="Arial"/>
                <w:sz w:val="22"/>
                <w:szCs w:val="20"/>
              </w:rPr>
            </w:pPr>
            <w:r w:rsidRPr="00C654A8">
              <w:rPr>
                <w:rFonts w:ascii="Arial" w:hAnsi="Arial"/>
                <w:sz w:val="22"/>
                <w:szCs w:val="20"/>
              </w:rPr>
              <w:t>‘</w:t>
            </w:r>
            <w:r>
              <w:rPr>
                <w:rFonts w:ascii="Arial" w:hAnsi="Arial"/>
                <w:sz w:val="22"/>
                <w:szCs w:val="20"/>
              </w:rPr>
              <w:t xml:space="preserve">Jobless families </w:t>
            </w:r>
            <w:r w:rsidR="00C07AA9">
              <w:rPr>
                <w:rFonts w:ascii="Arial" w:hAnsi="Arial"/>
                <w:sz w:val="22"/>
                <w:szCs w:val="20"/>
              </w:rPr>
              <w:t xml:space="preserve">with children </w:t>
            </w:r>
            <w:r>
              <w:rPr>
                <w:rFonts w:ascii="Arial" w:hAnsi="Arial"/>
                <w:sz w:val="22"/>
                <w:szCs w:val="20"/>
              </w:rPr>
              <w:t>as a proportion of all families’ is defined as t</w:t>
            </w:r>
            <w:r w:rsidRPr="006E1F91">
              <w:rPr>
                <w:rFonts w:ascii="Arial" w:hAnsi="Arial"/>
                <w:sz w:val="22"/>
                <w:szCs w:val="20"/>
              </w:rPr>
              <w:t xml:space="preserve">he </w:t>
            </w:r>
            <w:r w:rsidR="00A01C45">
              <w:rPr>
                <w:rFonts w:ascii="Arial" w:hAnsi="Arial"/>
                <w:sz w:val="22"/>
                <w:szCs w:val="20"/>
              </w:rPr>
              <w:t xml:space="preserve">number </w:t>
            </w:r>
            <w:r w:rsidRPr="006E1F91">
              <w:rPr>
                <w:rFonts w:ascii="Arial" w:hAnsi="Arial"/>
                <w:sz w:val="22"/>
                <w:szCs w:val="20"/>
              </w:rPr>
              <w:t xml:space="preserve">of </w:t>
            </w:r>
            <w:r w:rsidR="00A01C45">
              <w:rPr>
                <w:rFonts w:ascii="Arial" w:hAnsi="Arial"/>
                <w:sz w:val="22"/>
                <w:szCs w:val="20"/>
              </w:rPr>
              <w:t xml:space="preserve">families </w:t>
            </w:r>
            <w:r w:rsidR="00C07AA9">
              <w:rPr>
                <w:rFonts w:ascii="Arial" w:hAnsi="Arial"/>
                <w:sz w:val="22"/>
                <w:szCs w:val="20"/>
              </w:rPr>
              <w:t xml:space="preserve">with children </w:t>
            </w:r>
            <w:r w:rsidR="00A01C45">
              <w:rPr>
                <w:rFonts w:ascii="Arial" w:hAnsi="Arial"/>
                <w:sz w:val="22"/>
                <w:szCs w:val="20"/>
              </w:rPr>
              <w:t>without jobs as a proportion of all families.</w:t>
            </w:r>
            <w:r w:rsidR="003F0234">
              <w:rPr>
                <w:rFonts w:ascii="Arial" w:hAnsi="Arial"/>
                <w:sz w:val="22"/>
                <w:szCs w:val="20"/>
              </w:rPr>
              <w:t xml:space="preserve"> F</w:t>
            </w:r>
            <w:r w:rsidR="00A01C45" w:rsidRPr="00A01C45">
              <w:rPr>
                <w:rFonts w:ascii="Arial" w:hAnsi="Arial"/>
                <w:sz w:val="22"/>
                <w:szCs w:val="20"/>
              </w:rPr>
              <w:t>amily is defined as</w:t>
            </w:r>
            <w:r w:rsidR="003F0234">
              <w:rPr>
                <w:rFonts w:ascii="Arial" w:hAnsi="Arial"/>
                <w:sz w:val="22"/>
                <w:szCs w:val="20"/>
              </w:rPr>
              <w:t xml:space="preserve"> t</w:t>
            </w:r>
            <w:r w:rsidR="00A01C45" w:rsidRPr="00A01C45">
              <w:rPr>
                <w:rFonts w:ascii="Arial" w:hAnsi="Arial"/>
                <w:sz w:val="22"/>
                <w:szCs w:val="20"/>
              </w:rPr>
              <w:t>wo or more pe</w:t>
            </w:r>
            <w:r w:rsidR="003F0234">
              <w:rPr>
                <w:rFonts w:ascii="Arial" w:hAnsi="Arial"/>
                <w:sz w:val="22"/>
                <w:szCs w:val="20"/>
              </w:rPr>
              <w:t>ople</w:t>
            </w:r>
            <w:r w:rsidR="00A01C45" w:rsidRPr="00A01C45">
              <w:rPr>
                <w:rFonts w:ascii="Arial" w:hAnsi="Arial"/>
                <w:sz w:val="22"/>
                <w:szCs w:val="20"/>
              </w:rPr>
              <w:t>, one of whom is at least 15 years of age, who are related by blood, marriage (registered or de facto), adoption, step or fostering, and who are usually resident in the same household. The basis of a family is formed by identifying the presence of a couple relationship, lone parent-child relationship or other blood relationship. Some households will, therefore</w:t>
            </w:r>
            <w:r w:rsidR="00A01C45">
              <w:rPr>
                <w:rFonts w:ascii="Arial" w:hAnsi="Arial"/>
                <w:sz w:val="22"/>
                <w:szCs w:val="20"/>
              </w:rPr>
              <w:t>, contain more than one family (ABS</w:t>
            </w:r>
            <w:r w:rsidR="000276E2">
              <w:rPr>
                <w:rFonts w:ascii="Arial" w:hAnsi="Arial"/>
                <w:sz w:val="22"/>
                <w:szCs w:val="20"/>
              </w:rPr>
              <w:t> </w:t>
            </w:r>
            <w:r w:rsidR="00A01C45">
              <w:rPr>
                <w:rFonts w:ascii="Arial" w:hAnsi="Arial"/>
                <w:sz w:val="22"/>
                <w:szCs w:val="20"/>
              </w:rPr>
              <w:t>2007</w:t>
            </w:r>
            <w:r w:rsidR="003F0234">
              <w:rPr>
                <w:rFonts w:ascii="Arial" w:hAnsi="Arial"/>
                <w:sz w:val="22"/>
                <w:szCs w:val="20"/>
              </w:rPr>
              <w:t>)</w:t>
            </w:r>
            <w:r w:rsidR="00A01C45">
              <w:rPr>
                <w:rFonts w:ascii="Arial" w:hAnsi="Arial"/>
                <w:sz w:val="22"/>
                <w:szCs w:val="20"/>
              </w:rPr>
              <w:t xml:space="preserve"> </w:t>
            </w:r>
          </w:p>
          <w:p w:rsidR="00C07AA9" w:rsidRDefault="00C07AA9" w:rsidP="00CB699A">
            <w:pPr>
              <w:keepNext/>
              <w:spacing w:before="120" w:line="280" w:lineRule="atLeast"/>
              <w:jc w:val="both"/>
              <w:rPr>
                <w:rFonts w:ascii="Arial" w:hAnsi="Arial"/>
                <w:sz w:val="22"/>
                <w:szCs w:val="20"/>
              </w:rPr>
            </w:pPr>
            <w:r>
              <w:rPr>
                <w:rFonts w:ascii="Arial" w:hAnsi="Arial"/>
                <w:sz w:val="22"/>
                <w:szCs w:val="20"/>
              </w:rPr>
              <w:t>The jobless rate is reported for</w:t>
            </w:r>
            <w:r w:rsidR="00695024">
              <w:rPr>
                <w:rFonts w:ascii="Arial" w:hAnsi="Arial"/>
                <w:sz w:val="22"/>
                <w:szCs w:val="20"/>
              </w:rPr>
              <w:t xml:space="preserve"> three measures</w:t>
            </w:r>
            <w:r>
              <w:rPr>
                <w:rFonts w:ascii="Arial" w:hAnsi="Arial"/>
                <w:sz w:val="22"/>
                <w:szCs w:val="20"/>
              </w:rPr>
              <w:t>:</w:t>
            </w:r>
          </w:p>
          <w:p w:rsidR="00C07AA9" w:rsidRDefault="00C07AA9" w:rsidP="00C07AA9">
            <w:pPr>
              <w:pStyle w:val="BoxListBullet"/>
            </w:pPr>
            <w:r>
              <w:t>all families as a proportion of all families</w:t>
            </w:r>
          </w:p>
          <w:p w:rsidR="00C07AA9" w:rsidRDefault="00C07AA9" w:rsidP="00C07AA9">
            <w:pPr>
              <w:pStyle w:val="BoxListBullet"/>
            </w:pPr>
            <w:r>
              <w:t>families with dependants (including children aged under 15 years) as a proportion of all families with dependants (including children aged under 15 years</w:t>
            </w:r>
            <w:r w:rsidR="00470182">
              <w:t>)</w:t>
            </w:r>
          </w:p>
          <w:p w:rsidR="00C07AA9" w:rsidRDefault="00C07AA9" w:rsidP="00C07AA9">
            <w:pPr>
              <w:pStyle w:val="BoxListBullet"/>
            </w:pPr>
            <w:r>
              <w:t>families wi</w:t>
            </w:r>
            <w:r w:rsidR="00470182">
              <w:t>th children aged under 15 years as a proportion of all families with children aged under 15 years</w:t>
            </w:r>
          </w:p>
          <w:p w:rsidR="0073126D" w:rsidRDefault="00A01C45" w:rsidP="00CB699A">
            <w:pPr>
              <w:keepNext/>
              <w:spacing w:before="120" w:line="280" w:lineRule="atLeast"/>
              <w:jc w:val="both"/>
            </w:pPr>
            <w:r>
              <w:rPr>
                <w:rFonts w:ascii="Arial" w:hAnsi="Arial"/>
                <w:sz w:val="22"/>
                <w:szCs w:val="20"/>
              </w:rPr>
              <w:t>A l</w:t>
            </w:r>
            <w:r w:rsidR="0073126D">
              <w:rPr>
                <w:rFonts w:ascii="Arial" w:hAnsi="Arial"/>
                <w:sz w:val="22"/>
                <w:szCs w:val="20"/>
              </w:rPr>
              <w:t xml:space="preserve">ow or decreasing </w:t>
            </w:r>
            <w:r>
              <w:rPr>
                <w:rFonts w:ascii="Arial" w:hAnsi="Arial"/>
                <w:sz w:val="22"/>
                <w:szCs w:val="20"/>
              </w:rPr>
              <w:t xml:space="preserve">number </w:t>
            </w:r>
            <w:r w:rsidR="0073126D">
              <w:rPr>
                <w:rFonts w:ascii="Arial" w:hAnsi="Arial"/>
                <w:sz w:val="22"/>
                <w:szCs w:val="20"/>
              </w:rPr>
              <w:t>of jobless families as a proportion of all families is desirable.</w:t>
            </w:r>
          </w:p>
          <w:p w:rsidR="00695024" w:rsidRDefault="00695024" w:rsidP="00695024">
            <w:pPr>
              <w:pStyle w:val="Box"/>
            </w:pPr>
            <w:r>
              <w:t>Data reported for this indicator are:</w:t>
            </w:r>
          </w:p>
          <w:p w:rsidR="00695024" w:rsidRDefault="00695024" w:rsidP="00695024">
            <w:pPr>
              <w:pStyle w:val="BoxListBullet"/>
            </w:pPr>
            <w:r>
              <w:t>national level and single year only</w:t>
            </w:r>
            <w:r w:rsidR="00654BA4">
              <w:t xml:space="preserve"> </w:t>
            </w:r>
          </w:p>
          <w:p w:rsidR="00695024" w:rsidRPr="00864CBF" w:rsidRDefault="00695024" w:rsidP="00695024">
            <w:pPr>
              <w:pStyle w:val="BoxListBullet"/>
            </w:pPr>
            <w:r w:rsidRPr="00864CBF">
              <w:t xml:space="preserve">incomplete for the current reporting period. All required </w:t>
            </w:r>
            <w:r w:rsidR="00730A5E" w:rsidRPr="00864CBF">
              <w:t>2012</w:t>
            </w:r>
            <w:r w:rsidRPr="00864CBF">
              <w:t xml:space="preserve"> data were not available for any State or Territory. </w:t>
            </w:r>
          </w:p>
          <w:p w:rsidR="0073126D" w:rsidRDefault="0073126D" w:rsidP="00CB699A">
            <w:pPr>
              <w:pStyle w:val="Box"/>
            </w:pPr>
            <w:r>
              <w:t>Data quality information for this indicator is under development.</w:t>
            </w:r>
          </w:p>
        </w:tc>
      </w:tr>
    </w:tbl>
    <w:p w:rsidR="00C07AA9" w:rsidRPr="00CE1F52" w:rsidRDefault="008C499F" w:rsidP="006B1005">
      <w:pPr>
        <w:pStyle w:val="BodyText"/>
        <w:spacing w:before="120"/>
      </w:pPr>
      <w:r>
        <w:t>Nationally</w:t>
      </w:r>
      <w:r w:rsidR="00C96283">
        <w:t>,</w:t>
      </w:r>
      <w:r w:rsidR="00C07AA9">
        <w:t xml:space="preserve"> </w:t>
      </w:r>
      <w:r w:rsidR="00145A06">
        <w:t>19</w:t>
      </w:r>
      <w:r w:rsidR="00145A06" w:rsidRPr="00CE1F52">
        <w:t>.</w:t>
      </w:r>
      <w:r w:rsidR="00C96283" w:rsidRPr="00CE1F52">
        <w:t>5</w:t>
      </w:r>
      <w:r w:rsidRPr="00CE1F52">
        <w:t xml:space="preserve"> per cent of </w:t>
      </w:r>
      <w:r w:rsidR="005B11B0" w:rsidRPr="00CE1F52">
        <w:t>all families were jobless</w:t>
      </w:r>
      <w:r w:rsidR="00EE2F09" w:rsidRPr="00CE1F52">
        <w:t xml:space="preserve"> at 30 June 2012 (</w:t>
      </w:r>
      <w:r w:rsidR="00EE2F09" w:rsidRPr="007E1AE2">
        <w:t>figure F.</w:t>
      </w:r>
      <w:r w:rsidR="00914946">
        <w:rPr>
          <w:noProof/>
        </w:rPr>
        <w:t>6</w:t>
      </w:r>
      <w:r w:rsidR="00EE2F09" w:rsidRPr="00CE1F52">
        <w:t>)</w:t>
      </w:r>
      <w:r w:rsidR="00C96283" w:rsidRPr="00CE1F52">
        <w:t xml:space="preserve">. This is an increase of 0.5 </w:t>
      </w:r>
      <w:r w:rsidR="0056075E" w:rsidRPr="00CE1F52">
        <w:t>percentage points</w:t>
      </w:r>
      <w:r w:rsidR="00C96283" w:rsidRPr="00CE1F52">
        <w:t xml:space="preserve"> </w:t>
      </w:r>
      <w:r w:rsidR="00EE2F09" w:rsidRPr="00CE1F52">
        <w:t>from</w:t>
      </w:r>
      <w:r w:rsidR="00C96283" w:rsidRPr="00CE1F52">
        <w:t xml:space="preserve"> 30 June 2011 (19.0 per cent)</w:t>
      </w:r>
      <w:r w:rsidR="00EE2F09" w:rsidRPr="00CE1F52">
        <w:t xml:space="preserve"> (attachment FA.4).</w:t>
      </w:r>
    </w:p>
    <w:p w:rsidR="008C499F" w:rsidRPr="00262ED3" w:rsidRDefault="00EE2F09" w:rsidP="00EE2F09">
      <w:pPr>
        <w:pStyle w:val="BodyText"/>
      </w:pPr>
      <w:r w:rsidRPr="00CE1F52">
        <w:t>Nationally at 30 June 2012, 1</w:t>
      </w:r>
      <w:r w:rsidR="00C07AA9" w:rsidRPr="00CE1F52">
        <w:t>0.</w:t>
      </w:r>
      <w:r w:rsidR="00C96283" w:rsidRPr="00CE1F52">
        <w:t>6</w:t>
      </w:r>
      <w:r w:rsidR="00C07AA9" w:rsidRPr="00CE1F52">
        <w:t xml:space="preserve"> per cent of j</w:t>
      </w:r>
      <w:r w:rsidR="005B11B0" w:rsidRPr="00CE1F52">
        <w:t xml:space="preserve">obless families </w:t>
      </w:r>
      <w:r w:rsidR="00C07AA9" w:rsidRPr="00CE1F52">
        <w:t xml:space="preserve">had </w:t>
      </w:r>
      <w:r w:rsidR="005B11B0" w:rsidRPr="00CE1F52">
        <w:t>dependants (including children under 15)</w:t>
      </w:r>
      <w:r w:rsidRPr="00CE1F52">
        <w:t xml:space="preserve"> while </w:t>
      </w:r>
      <w:r w:rsidR="00C07AA9" w:rsidRPr="00CE1F52">
        <w:t>11.</w:t>
      </w:r>
      <w:r w:rsidR="00C96283" w:rsidRPr="00CE1F52">
        <w:t>5</w:t>
      </w:r>
      <w:r w:rsidR="00C07AA9" w:rsidRPr="00CE1F52">
        <w:t xml:space="preserve"> per cent of j</w:t>
      </w:r>
      <w:r w:rsidR="005B11B0" w:rsidRPr="00CE1F52">
        <w:t xml:space="preserve">obless families </w:t>
      </w:r>
      <w:r w:rsidR="00C07AA9" w:rsidRPr="00CE1F52">
        <w:t>had</w:t>
      </w:r>
      <w:r w:rsidR="005B11B0" w:rsidRPr="00CE1F52">
        <w:t xml:space="preserve"> children </w:t>
      </w:r>
      <w:r w:rsidR="009E0DBE" w:rsidRPr="00CE1F52">
        <w:t xml:space="preserve">aged </w:t>
      </w:r>
      <w:r w:rsidR="005B11B0" w:rsidRPr="00CE1F52">
        <w:t xml:space="preserve">under 15 </w:t>
      </w:r>
      <w:r w:rsidR="008C499F" w:rsidRPr="00CE1F52">
        <w:t>(figure </w:t>
      </w:r>
      <w:r w:rsidR="00C043A8" w:rsidRPr="00CE1F52">
        <w:t>F.</w:t>
      </w:r>
      <w:r w:rsidR="0085340F" w:rsidRPr="00CE1F52">
        <w:t>6</w:t>
      </w:r>
      <w:r w:rsidR="008C499F" w:rsidRPr="00CE1F52">
        <w:t>).</w:t>
      </w:r>
      <w:r w:rsidR="008C499F">
        <w:t xml:space="preserve"> </w:t>
      </w:r>
    </w:p>
    <w:p w:rsidR="008C499F" w:rsidRPr="00A56FB8" w:rsidRDefault="008C499F" w:rsidP="008C499F">
      <w:pPr>
        <w:pStyle w:val="FigureTitle"/>
        <w:rPr>
          <w:rStyle w:val="NoteLabel"/>
        </w:rPr>
      </w:pPr>
      <w:r w:rsidRPr="004E72FF">
        <w:rPr>
          <w:b w:val="0"/>
        </w:rPr>
        <w:lastRenderedPageBreak/>
        <w:t xml:space="preserve">Figure </w:t>
      </w:r>
      <w:r w:rsidR="00E33535">
        <w:rPr>
          <w:b w:val="0"/>
        </w:rPr>
        <w:t>F.6</w:t>
      </w:r>
      <w:r w:rsidRPr="00CD33DD">
        <w:tab/>
      </w:r>
      <w:r w:rsidR="00CB4339">
        <w:t xml:space="preserve">Jobless families as a proportion of all families, at </w:t>
      </w:r>
      <w:r w:rsidR="00C96283">
        <w:t xml:space="preserve">30 </w:t>
      </w:r>
      <w:r w:rsidR="00CB4339">
        <w:t>June</w:t>
      </w:r>
      <w:r w:rsidR="00695024">
        <w:t xml:space="preserve">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C499F" w:rsidRPr="00CD33DD" w:rsidTr="00695024">
        <w:tc>
          <w:tcPr>
            <w:tcW w:w="8777" w:type="dxa"/>
          </w:tcPr>
          <w:p w:rsidR="008C499F" w:rsidRPr="00CD33DD" w:rsidRDefault="00695024" w:rsidP="008C499F">
            <w:pPr>
              <w:pStyle w:val="Figure"/>
            </w:pPr>
            <w:r>
              <w:rPr>
                <w:noProof/>
              </w:rPr>
              <w:drawing>
                <wp:inline distT="0" distB="0" distL="0" distR="0" wp14:anchorId="222695C2" wp14:editId="3D4BEC46">
                  <wp:extent cx="5436195" cy="2830470"/>
                  <wp:effectExtent l="0" t="0" r="0" b="8255"/>
                  <wp:docPr id="7" name="Chart 7" descr="Figure F.6 Jobless families as a proportion of all families, at 30 June 2012&#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8C499F" w:rsidRPr="00FF6A19" w:rsidRDefault="008C499F" w:rsidP="008C499F">
      <w:pPr>
        <w:pStyle w:val="Source"/>
      </w:pPr>
      <w:r w:rsidRPr="00FF6A19">
        <w:rPr>
          <w:i/>
        </w:rPr>
        <w:t>Source</w:t>
      </w:r>
      <w:r w:rsidRPr="00FF6A19">
        <w:t xml:space="preserve">: </w:t>
      </w:r>
      <w:r w:rsidR="005C4715">
        <w:t>ABS</w:t>
      </w:r>
      <w:r w:rsidR="00CB4339" w:rsidRPr="00CB4339">
        <w:t xml:space="preserve">, </w:t>
      </w:r>
      <w:r w:rsidR="005C4715" w:rsidRPr="00F50E7A">
        <w:rPr>
          <w:i/>
        </w:rPr>
        <w:t>Labour Force, Australia: Labour Force Status and Other Characteristics of Families, June 201</w:t>
      </w:r>
      <w:r w:rsidR="00F72AEB">
        <w:rPr>
          <w:i/>
        </w:rPr>
        <w:t>2</w:t>
      </w:r>
      <w:r w:rsidR="005C4715" w:rsidRPr="00F50E7A">
        <w:rPr>
          <w:i/>
        </w:rPr>
        <w:t>,</w:t>
      </w:r>
      <w:r w:rsidR="005C4715">
        <w:t xml:space="preserve"> Cat. no. </w:t>
      </w:r>
      <w:r w:rsidR="00CB4339" w:rsidRPr="00CB4339">
        <w:t>6224.0.55.001</w:t>
      </w:r>
      <w:r w:rsidRPr="00FF6A19">
        <w:t xml:space="preserve">; </w:t>
      </w:r>
      <w:r w:rsidRPr="00737CB4">
        <w:t>table FA.</w:t>
      </w:r>
      <w:r w:rsidR="00737CB4" w:rsidRPr="00737CB4">
        <w:t>4</w:t>
      </w:r>
      <w:r w:rsidR="00695024">
        <w:t>.</w:t>
      </w:r>
    </w:p>
    <w:p w:rsidR="006F2B3B" w:rsidRDefault="00EF3CF1" w:rsidP="00F50E7A">
      <w:pPr>
        <w:pStyle w:val="Heading5"/>
      </w:pPr>
      <w:r>
        <w:t>Improving child development</w:t>
      </w:r>
    </w:p>
    <w:p w:rsidR="006E1F91" w:rsidRDefault="006E1F91" w:rsidP="006E1F91">
      <w:pPr>
        <w:pStyle w:val="BodyText"/>
      </w:pPr>
      <w:r>
        <w:t>‘Improving child development’ is an indicator of governments’ objective to ensure that Australia’s children and young people are safe and well</w:t>
      </w:r>
      <w:r w:rsidR="00E33535">
        <w:t xml:space="preserve"> (box F.9)</w:t>
      </w:r>
      <w:r>
        <w:t>.</w:t>
      </w:r>
    </w:p>
    <w:p w:rsidR="006E1F91" w:rsidRDefault="006E1F91" w:rsidP="006E1F9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E1F91" w:rsidTr="00CB699A">
        <w:tc>
          <w:tcPr>
            <w:tcW w:w="8771" w:type="dxa"/>
            <w:tcBorders>
              <w:top w:val="single" w:sz="6" w:space="0" w:color="auto"/>
              <w:bottom w:val="nil"/>
            </w:tcBorders>
          </w:tcPr>
          <w:p w:rsidR="006E1F91" w:rsidRDefault="006E1F91" w:rsidP="00EF3CF1">
            <w:pPr>
              <w:pStyle w:val="BoxTitle"/>
            </w:pPr>
            <w:r>
              <w:rPr>
                <w:b w:val="0"/>
              </w:rPr>
              <w:t>Box F.</w:t>
            </w:r>
            <w:r w:rsidR="0073126D">
              <w:rPr>
                <w:b w:val="0"/>
              </w:rPr>
              <w:t>9</w:t>
            </w:r>
            <w:r>
              <w:tab/>
            </w:r>
            <w:r w:rsidRPr="006E1F91">
              <w:t xml:space="preserve">Improving child development </w:t>
            </w:r>
          </w:p>
        </w:tc>
      </w:tr>
      <w:tr w:rsidR="006E1F91" w:rsidTr="00CB699A">
        <w:trPr>
          <w:cantSplit/>
        </w:trPr>
        <w:tc>
          <w:tcPr>
            <w:tcW w:w="8771" w:type="dxa"/>
            <w:tcBorders>
              <w:top w:val="nil"/>
              <w:left w:val="single" w:sz="6" w:space="0" w:color="auto"/>
              <w:bottom w:val="nil"/>
              <w:right w:val="single" w:sz="6" w:space="0" w:color="auto"/>
            </w:tcBorders>
          </w:tcPr>
          <w:p w:rsidR="006E1F91" w:rsidRDefault="006E1F91" w:rsidP="006E1F91">
            <w:pPr>
              <w:keepNext/>
              <w:spacing w:before="120" w:line="280" w:lineRule="atLeast"/>
              <w:jc w:val="both"/>
              <w:rPr>
                <w:rFonts w:ascii="Arial" w:hAnsi="Arial"/>
                <w:sz w:val="22"/>
                <w:szCs w:val="20"/>
              </w:rPr>
            </w:pPr>
            <w:r w:rsidRPr="00C654A8">
              <w:rPr>
                <w:rFonts w:ascii="Arial" w:hAnsi="Arial"/>
                <w:sz w:val="22"/>
                <w:szCs w:val="20"/>
              </w:rPr>
              <w:t>‘</w:t>
            </w:r>
            <w:r w:rsidR="00EF3CF1">
              <w:rPr>
                <w:rFonts w:ascii="Arial" w:hAnsi="Arial"/>
                <w:sz w:val="22"/>
                <w:szCs w:val="20"/>
              </w:rPr>
              <w:t>Improving child development’</w:t>
            </w:r>
            <w:r>
              <w:rPr>
                <w:rFonts w:ascii="Arial" w:hAnsi="Arial"/>
                <w:sz w:val="22"/>
                <w:szCs w:val="20"/>
              </w:rPr>
              <w:t xml:space="preserve"> is defined as t</w:t>
            </w:r>
            <w:r w:rsidRPr="006E1F91">
              <w:rPr>
                <w:rFonts w:ascii="Arial" w:hAnsi="Arial"/>
                <w:sz w:val="22"/>
                <w:szCs w:val="20"/>
              </w:rPr>
              <w:t xml:space="preserve">he proportion of </w:t>
            </w:r>
            <w:r>
              <w:rPr>
                <w:rFonts w:ascii="Arial" w:hAnsi="Arial"/>
                <w:sz w:val="22"/>
                <w:szCs w:val="20"/>
              </w:rPr>
              <w:t xml:space="preserve">children who are developmentally vulnerable on one or more </w:t>
            </w:r>
            <w:r w:rsidR="00193D87" w:rsidRPr="00C51941">
              <w:rPr>
                <w:rFonts w:ascii="Arial" w:hAnsi="Arial"/>
                <w:sz w:val="22"/>
                <w:szCs w:val="20"/>
              </w:rPr>
              <w:t>Australian Early Development Index</w:t>
            </w:r>
            <w:r w:rsidR="00193D87">
              <w:rPr>
                <w:rFonts w:ascii="Arial" w:hAnsi="Arial"/>
                <w:sz w:val="22"/>
                <w:szCs w:val="20"/>
              </w:rPr>
              <w:t xml:space="preserve"> (</w:t>
            </w:r>
            <w:r>
              <w:rPr>
                <w:rFonts w:ascii="Arial" w:hAnsi="Arial"/>
                <w:sz w:val="22"/>
                <w:szCs w:val="20"/>
              </w:rPr>
              <w:t>AEDI</w:t>
            </w:r>
            <w:r w:rsidR="00193D87">
              <w:rPr>
                <w:rFonts w:ascii="Arial" w:hAnsi="Arial"/>
                <w:sz w:val="22"/>
                <w:szCs w:val="20"/>
              </w:rPr>
              <w:t>)</w:t>
            </w:r>
            <w:r>
              <w:rPr>
                <w:rFonts w:ascii="Arial" w:hAnsi="Arial"/>
                <w:sz w:val="22"/>
                <w:szCs w:val="20"/>
              </w:rPr>
              <w:t xml:space="preserve"> domains.</w:t>
            </w:r>
          </w:p>
          <w:p w:rsidR="006E1F91" w:rsidRDefault="009343C6" w:rsidP="006E1F91">
            <w:pPr>
              <w:keepNext/>
              <w:spacing w:before="120" w:line="280" w:lineRule="atLeast"/>
              <w:jc w:val="both"/>
            </w:pPr>
            <w:r>
              <w:rPr>
                <w:rFonts w:ascii="Arial" w:hAnsi="Arial"/>
                <w:sz w:val="22"/>
                <w:szCs w:val="20"/>
              </w:rPr>
              <w:t>A low or decreasing proportion</w:t>
            </w:r>
            <w:r w:rsidR="006E1F91">
              <w:rPr>
                <w:rFonts w:ascii="Arial" w:hAnsi="Arial"/>
                <w:sz w:val="22"/>
                <w:szCs w:val="20"/>
              </w:rPr>
              <w:t xml:space="preserve"> of children who are developmentally vulnerable on one or more AEDI domains is desirable.</w:t>
            </w:r>
          </w:p>
          <w:p w:rsidR="006E1F91" w:rsidRPr="00166DF5" w:rsidRDefault="006E1F91" w:rsidP="00CB699A">
            <w:pPr>
              <w:keepNext/>
              <w:spacing w:before="120" w:line="280" w:lineRule="atLeast"/>
              <w:jc w:val="both"/>
              <w:rPr>
                <w:rFonts w:ascii="Arial" w:hAnsi="Arial"/>
                <w:sz w:val="22"/>
                <w:szCs w:val="20"/>
              </w:rPr>
            </w:pPr>
            <w:r w:rsidRPr="00166DF5">
              <w:rPr>
                <w:rFonts w:ascii="Arial" w:hAnsi="Arial"/>
                <w:sz w:val="22"/>
                <w:szCs w:val="20"/>
              </w:rPr>
              <w:t>The AEDI is a population measure of young children's development as they enter school. A population measure places the focus on all children in the community and therefore the AEDI reports on early childhood development across the whole community. Every three years, teachers complete a checklist for children in their first year of full-time school. The checklist measures five key areas, or domains, of early childhood development:</w:t>
            </w:r>
          </w:p>
          <w:p w:rsidR="006E1F91" w:rsidRPr="00166DF5" w:rsidRDefault="006E1F91" w:rsidP="00A501F7">
            <w:pPr>
              <w:pStyle w:val="BoxListBullet"/>
              <w:numPr>
                <w:ilvl w:val="0"/>
                <w:numId w:val="15"/>
              </w:numPr>
              <w:tabs>
                <w:tab w:val="num" w:pos="284"/>
              </w:tabs>
              <w:ind w:left="284" w:hanging="284"/>
            </w:pPr>
            <w:r w:rsidRPr="00166DF5">
              <w:t>physical health and wellbeing</w:t>
            </w:r>
          </w:p>
          <w:p w:rsidR="006E1F91" w:rsidRPr="00166DF5" w:rsidRDefault="006E1F91" w:rsidP="00A501F7">
            <w:pPr>
              <w:pStyle w:val="BoxListBullet"/>
              <w:numPr>
                <w:ilvl w:val="0"/>
                <w:numId w:val="15"/>
              </w:numPr>
              <w:tabs>
                <w:tab w:val="num" w:pos="284"/>
              </w:tabs>
              <w:ind w:left="284" w:hanging="284"/>
            </w:pPr>
            <w:r w:rsidRPr="00166DF5">
              <w:t>social competence</w:t>
            </w:r>
          </w:p>
          <w:p w:rsidR="006E1F91" w:rsidRPr="00166DF5" w:rsidRDefault="006E1F91" w:rsidP="00A501F7">
            <w:pPr>
              <w:pStyle w:val="BoxListBullet"/>
              <w:numPr>
                <w:ilvl w:val="0"/>
                <w:numId w:val="15"/>
              </w:numPr>
              <w:tabs>
                <w:tab w:val="num" w:pos="284"/>
              </w:tabs>
              <w:ind w:left="284" w:hanging="284"/>
            </w:pPr>
            <w:r w:rsidRPr="00166DF5">
              <w:t>emotional maturity</w:t>
            </w:r>
          </w:p>
          <w:p w:rsidR="006E1F91" w:rsidRPr="00166DF5" w:rsidRDefault="006E1F91" w:rsidP="00A501F7">
            <w:pPr>
              <w:pStyle w:val="BoxListBullet"/>
              <w:numPr>
                <w:ilvl w:val="0"/>
                <w:numId w:val="15"/>
              </w:numPr>
              <w:tabs>
                <w:tab w:val="num" w:pos="284"/>
              </w:tabs>
              <w:ind w:left="284" w:hanging="284"/>
            </w:pPr>
            <w:r w:rsidRPr="00166DF5">
              <w:t>language and cognitive skills (school-based)</w:t>
            </w:r>
          </w:p>
          <w:p w:rsidR="006E1F91" w:rsidRPr="00166DF5" w:rsidRDefault="006E1F91" w:rsidP="00A501F7">
            <w:pPr>
              <w:pStyle w:val="BoxListBullet"/>
              <w:numPr>
                <w:ilvl w:val="0"/>
                <w:numId w:val="15"/>
              </w:numPr>
              <w:tabs>
                <w:tab w:val="num" w:pos="284"/>
              </w:tabs>
              <w:ind w:left="284" w:hanging="284"/>
            </w:pPr>
            <w:r w:rsidRPr="00166DF5">
              <w:t>communication skills and general knowledge</w:t>
            </w:r>
            <w:r>
              <w:t>.</w:t>
            </w:r>
          </w:p>
          <w:p w:rsidR="006E1F91" w:rsidRPr="00166DF5" w:rsidRDefault="006E1F91" w:rsidP="00CB699A">
            <w:pPr>
              <w:keepNext/>
              <w:spacing w:before="120" w:line="280" w:lineRule="atLeast"/>
              <w:jc w:val="both"/>
              <w:rPr>
                <w:rFonts w:ascii="Arial" w:hAnsi="Arial"/>
                <w:sz w:val="22"/>
                <w:szCs w:val="20"/>
              </w:rPr>
            </w:pPr>
            <w:r w:rsidRPr="00166DF5">
              <w:rPr>
                <w:rFonts w:ascii="Arial" w:hAnsi="Arial"/>
                <w:sz w:val="22"/>
                <w:szCs w:val="20"/>
              </w:rPr>
              <w:t xml:space="preserve">These areas are closely linked to the predictors of good adult health, education and social outcomes. </w:t>
            </w:r>
          </w:p>
          <w:p w:rsidR="006E1F91" w:rsidRPr="00166DF5" w:rsidRDefault="006E1F91" w:rsidP="00CB699A">
            <w:pPr>
              <w:keepNext/>
              <w:spacing w:before="120" w:line="280" w:lineRule="atLeast"/>
              <w:jc w:val="both"/>
              <w:rPr>
                <w:rFonts w:ascii="Arial" w:hAnsi="Arial"/>
                <w:sz w:val="22"/>
                <w:szCs w:val="20"/>
              </w:rPr>
            </w:pPr>
            <w:r w:rsidRPr="00166DF5">
              <w:rPr>
                <w:rFonts w:ascii="Arial" w:hAnsi="Arial"/>
                <w:sz w:val="22"/>
                <w:szCs w:val="20"/>
              </w:rPr>
              <w:t xml:space="preserve">The next data collection </w:t>
            </w:r>
            <w:r>
              <w:rPr>
                <w:rFonts w:ascii="Arial" w:hAnsi="Arial"/>
                <w:sz w:val="22"/>
                <w:szCs w:val="20"/>
              </w:rPr>
              <w:t xml:space="preserve">for the AEDI </w:t>
            </w:r>
            <w:r w:rsidRPr="00166DF5">
              <w:rPr>
                <w:rFonts w:ascii="Arial" w:hAnsi="Arial"/>
                <w:sz w:val="22"/>
                <w:szCs w:val="20"/>
              </w:rPr>
              <w:t xml:space="preserve">will take place from May to July 2012, with results expected </w:t>
            </w:r>
            <w:r>
              <w:rPr>
                <w:rFonts w:ascii="Arial" w:hAnsi="Arial"/>
                <w:sz w:val="22"/>
                <w:szCs w:val="20"/>
              </w:rPr>
              <w:t xml:space="preserve">to be available </w:t>
            </w:r>
            <w:r w:rsidRPr="00166DF5">
              <w:rPr>
                <w:rFonts w:ascii="Arial" w:hAnsi="Arial"/>
                <w:sz w:val="22"/>
                <w:szCs w:val="20"/>
              </w:rPr>
              <w:t xml:space="preserve">in </w:t>
            </w:r>
            <w:r w:rsidR="00D975EF">
              <w:rPr>
                <w:rFonts w:ascii="Arial" w:hAnsi="Arial"/>
                <w:sz w:val="22"/>
                <w:szCs w:val="20"/>
              </w:rPr>
              <w:t>2014</w:t>
            </w:r>
            <w:r w:rsidRPr="00166DF5">
              <w:rPr>
                <w:rFonts w:ascii="Arial" w:hAnsi="Arial"/>
                <w:sz w:val="22"/>
                <w:szCs w:val="20"/>
              </w:rPr>
              <w:t>.</w:t>
            </w:r>
          </w:p>
          <w:p w:rsidR="0072172E" w:rsidRDefault="006E1F91" w:rsidP="00CB699A">
            <w:pPr>
              <w:pStyle w:val="Box"/>
            </w:pPr>
            <w:r>
              <w:t>Data reported for this indicator are</w:t>
            </w:r>
            <w:r w:rsidR="0072172E">
              <w:t>:</w:t>
            </w:r>
          </w:p>
          <w:p w:rsidR="0072172E" w:rsidRDefault="0072172E" w:rsidP="0072172E">
            <w:pPr>
              <w:pStyle w:val="BoxListBullet"/>
            </w:pPr>
            <w:r>
              <w:t>c</w:t>
            </w:r>
            <w:r w:rsidR="006E1F91">
              <w:t>omparable</w:t>
            </w:r>
            <w:r>
              <w:t xml:space="preserve"> (subject to caveats) across jurisdictions and over time </w:t>
            </w:r>
          </w:p>
          <w:p w:rsidR="006E1F91" w:rsidRDefault="0072172E" w:rsidP="0072172E">
            <w:pPr>
              <w:pStyle w:val="BoxListBullet"/>
            </w:pPr>
            <w:r>
              <w:t>complete (subject to caveats) for the current reporting period. All required 2012 data are available for all jurisdictions</w:t>
            </w:r>
            <w:r w:rsidR="006E1F91">
              <w:t xml:space="preserve">. </w:t>
            </w:r>
          </w:p>
          <w:p w:rsidR="006E1F91" w:rsidRDefault="006E1F91" w:rsidP="00CB699A">
            <w:pPr>
              <w:pStyle w:val="Box"/>
            </w:pPr>
            <w:r>
              <w:t>Data quality information for this indicator is under development.</w:t>
            </w:r>
          </w:p>
        </w:tc>
      </w:tr>
      <w:tr w:rsidR="006E1F91" w:rsidTr="00CB699A">
        <w:trPr>
          <w:cantSplit/>
        </w:trPr>
        <w:tc>
          <w:tcPr>
            <w:tcW w:w="8771" w:type="dxa"/>
            <w:tcBorders>
              <w:top w:val="nil"/>
              <w:left w:val="single" w:sz="6" w:space="0" w:color="auto"/>
              <w:bottom w:val="single" w:sz="6" w:space="0" w:color="auto"/>
              <w:right w:val="single" w:sz="6" w:space="0" w:color="auto"/>
            </w:tcBorders>
          </w:tcPr>
          <w:p w:rsidR="006E1F91" w:rsidRDefault="006E1F91" w:rsidP="00CB699A">
            <w:pPr>
              <w:pStyle w:val="Box"/>
              <w:spacing w:before="0" w:line="120" w:lineRule="exact"/>
            </w:pPr>
          </w:p>
        </w:tc>
      </w:tr>
      <w:tr w:rsidR="006E1F91" w:rsidTr="00CB699A">
        <w:tc>
          <w:tcPr>
            <w:tcW w:w="8771" w:type="dxa"/>
            <w:tcBorders>
              <w:top w:val="nil"/>
              <w:left w:val="nil"/>
              <w:bottom w:val="nil"/>
              <w:right w:val="nil"/>
            </w:tcBorders>
          </w:tcPr>
          <w:p w:rsidR="006E1F91" w:rsidRDefault="006E1F91" w:rsidP="00CB699A">
            <w:pPr>
              <w:pStyle w:val="Box"/>
              <w:keepNext w:val="0"/>
              <w:spacing w:before="60" w:after="60" w:line="80" w:lineRule="exact"/>
              <w:rPr>
                <w:b/>
                <w:color w:val="FF00FF"/>
                <w:sz w:val="14"/>
              </w:rPr>
            </w:pPr>
          </w:p>
        </w:tc>
      </w:tr>
    </w:tbl>
    <w:p w:rsidR="006F2B3B" w:rsidRDefault="007716AF" w:rsidP="00A7744B">
      <w:pPr>
        <w:pStyle w:val="BodyText"/>
      </w:pPr>
      <w:r w:rsidRPr="007E1AE2">
        <w:t>Nationally, i</w:t>
      </w:r>
      <w:r w:rsidR="006F2B3B" w:rsidRPr="007E1AE2">
        <w:t>n 20</w:t>
      </w:r>
      <w:r w:rsidR="00453B8A" w:rsidRPr="007E1AE2">
        <w:t>12</w:t>
      </w:r>
      <w:r w:rsidR="006F2B3B" w:rsidRPr="007E1AE2">
        <w:t xml:space="preserve">, </w:t>
      </w:r>
      <w:r w:rsidR="00E21092" w:rsidRPr="007E1AE2">
        <w:t>22.0</w:t>
      </w:r>
      <w:r w:rsidR="006F2B3B" w:rsidRPr="007E1AE2">
        <w:t xml:space="preserve"> per cent of children were developmentally vulnerable on one or more AEDI domain/s, while </w:t>
      </w:r>
      <w:r w:rsidR="00E21092" w:rsidRPr="007E1AE2">
        <w:t>10.8</w:t>
      </w:r>
      <w:r w:rsidR="006F2B3B" w:rsidRPr="007E1AE2">
        <w:t xml:space="preserve"> per cent of children were developmentally vulnerable on two or more AEDI domains</w:t>
      </w:r>
      <w:r w:rsidR="00197646" w:rsidRPr="007E1AE2">
        <w:t xml:space="preserve"> (F.</w:t>
      </w:r>
      <w:r w:rsidR="00E33535" w:rsidRPr="007E1AE2">
        <w:t>7</w:t>
      </w:r>
      <w:r w:rsidR="00197646" w:rsidRPr="007E1AE2">
        <w:t>)</w:t>
      </w:r>
      <w:r w:rsidR="006F2B3B" w:rsidRPr="007E1AE2">
        <w:t>.</w:t>
      </w:r>
    </w:p>
    <w:p w:rsidR="00C61C1B" w:rsidRPr="00A56FB8" w:rsidRDefault="00C61C1B" w:rsidP="00C61C1B">
      <w:pPr>
        <w:pStyle w:val="FigureTitle"/>
        <w:rPr>
          <w:rStyle w:val="NoteLabel"/>
        </w:rPr>
      </w:pPr>
      <w:r w:rsidRPr="004E72FF">
        <w:rPr>
          <w:b w:val="0"/>
        </w:rPr>
        <w:lastRenderedPageBreak/>
        <w:t xml:space="preserve">Figure </w:t>
      </w:r>
      <w:r>
        <w:rPr>
          <w:b w:val="0"/>
        </w:rPr>
        <w:t>F.</w:t>
      </w:r>
      <w:r w:rsidR="00914946">
        <w:rPr>
          <w:b w:val="0"/>
          <w:noProof/>
        </w:rPr>
        <w:t>7</w:t>
      </w:r>
      <w:r w:rsidRPr="00CD33DD">
        <w:tab/>
      </w:r>
      <w:r>
        <w:t>Children developmentally vulnerable, June 2012</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61C1B" w:rsidRPr="00CD33DD" w:rsidTr="00C61C1B">
        <w:tc>
          <w:tcPr>
            <w:tcW w:w="8777" w:type="dxa"/>
          </w:tcPr>
          <w:p w:rsidR="00C61C1B" w:rsidRPr="00CD33DD" w:rsidRDefault="00C61C1B" w:rsidP="00B5464D">
            <w:pPr>
              <w:pStyle w:val="Figure"/>
            </w:pPr>
            <w:r>
              <w:rPr>
                <w:noProof/>
              </w:rPr>
              <w:drawing>
                <wp:inline distT="0" distB="0" distL="0" distR="0" wp14:anchorId="24B40722" wp14:editId="298264B1">
                  <wp:extent cx="5400191" cy="2880000"/>
                  <wp:effectExtent l="0" t="0" r="0" b="0"/>
                  <wp:docPr id="9" name="Chart 9" descr="Figure F.7 Children developmentally vulnerable, June 2012&#10;&#10;More details can be found within the text surrounding this image.&#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C61C1B" w:rsidRPr="00FF6A19" w:rsidRDefault="00C61C1B" w:rsidP="00C61C1B">
      <w:pPr>
        <w:pStyle w:val="Source"/>
      </w:pPr>
      <w:r w:rsidRPr="00FF6A19">
        <w:rPr>
          <w:i/>
        </w:rPr>
        <w:t>Source</w:t>
      </w:r>
      <w:r w:rsidRPr="00FF6A19">
        <w:t xml:space="preserve">: </w:t>
      </w:r>
      <w:r w:rsidRPr="00C51941">
        <w:t>Centre for Community Child Health and Telethon Institute for Child Health Research (20</w:t>
      </w:r>
      <w:r>
        <w:t>13),</w:t>
      </w:r>
      <w:r w:rsidRPr="00C51941">
        <w:t xml:space="preserve"> </w:t>
      </w:r>
      <w:r w:rsidRPr="00C51941">
        <w:rPr>
          <w:i/>
        </w:rPr>
        <w:t xml:space="preserve">A Snapshot of Early Childhood Development in Australia </w:t>
      </w:r>
      <w:r>
        <w:rPr>
          <w:rFonts w:cs="Arial"/>
          <w:i/>
        </w:rPr>
        <w:t>―</w:t>
      </w:r>
      <w:r w:rsidRPr="00C51941">
        <w:rPr>
          <w:i/>
        </w:rPr>
        <w:t xml:space="preserve"> AEDI National Report 20</w:t>
      </w:r>
      <w:r>
        <w:rPr>
          <w:i/>
        </w:rPr>
        <w:t>12</w:t>
      </w:r>
      <w:r w:rsidRPr="00C51941">
        <w:t>, Australian Government, Canberra; t</w:t>
      </w:r>
      <w:r>
        <w:t>able FA.5.</w:t>
      </w:r>
    </w:p>
    <w:p w:rsidR="002F1BD3" w:rsidRPr="00A7744B" w:rsidRDefault="002C2B06" w:rsidP="00BC51FC">
      <w:pPr>
        <w:pStyle w:val="Heading3"/>
        <w:rPr>
          <w:rStyle w:val="DraftingNote"/>
          <w:color w:val="auto"/>
        </w:rPr>
      </w:pPr>
      <w:r w:rsidRPr="002C2B06">
        <w:t>Service-specific performance indicator</w:t>
      </w:r>
      <w:r w:rsidR="00C82809">
        <w:t xml:space="preserve"> frameworks</w:t>
      </w:r>
    </w:p>
    <w:p w:rsidR="00C82809" w:rsidRDefault="00C82809" w:rsidP="00C82809">
      <w:pPr>
        <w:pStyle w:val="BodyText"/>
      </w:pPr>
      <w:r w:rsidRPr="00C82809">
        <w:t xml:space="preserve">This section summarises information from the </w:t>
      </w:r>
      <w:r>
        <w:t>A</w:t>
      </w:r>
      <w:r w:rsidRPr="00C82809">
        <w:t>ged care</w:t>
      </w:r>
      <w:r w:rsidR="00D77AE6">
        <w:t xml:space="preserve"> services</w:t>
      </w:r>
      <w:r w:rsidR="00492F0A">
        <w:t>’</w:t>
      </w:r>
      <w:r w:rsidRPr="00C82809">
        <w:t xml:space="preserve"> service</w:t>
      </w:r>
      <w:r w:rsidR="00492F0A">
        <w:t>-</w:t>
      </w:r>
      <w:r w:rsidRPr="00C82809">
        <w:t xml:space="preserve">specific indicator framework in </w:t>
      </w:r>
      <w:r w:rsidRPr="00C82809" w:rsidDel="00F64475">
        <w:t>chapter</w:t>
      </w:r>
      <w:r w:rsidRPr="00C82809">
        <w:t xml:space="preserve"> 13</w:t>
      </w:r>
      <w:r w:rsidR="007F3818">
        <w:t>, the Services for people with disability service</w:t>
      </w:r>
      <w:r w:rsidR="007F3818">
        <w:noBreakHyphen/>
        <w:t>specific indicator framework in chapter 14</w:t>
      </w:r>
      <w:r w:rsidR="00CB3A38">
        <w:t xml:space="preserve">, the </w:t>
      </w:r>
      <w:r w:rsidR="006349DC">
        <w:t xml:space="preserve">Child protection </w:t>
      </w:r>
      <w:r w:rsidR="0072172E">
        <w:t>service</w:t>
      </w:r>
      <w:r w:rsidR="0072172E">
        <w:noBreakHyphen/>
      </w:r>
      <w:r w:rsidR="00CB3A38">
        <w:t>specific indicator framework in chapter 15 and the Y</w:t>
      </w:r>
      <w:r w:rsidR="006349DC">
        <w:t xml:space="preserve">outh justice </w:t>
      </w:r>
      <w:r w:rsidR="0072172E">
        <w:t>service</w:t>
      </w:r>
      <w:r w:rsidR="0072172E">
        <w:noBreakHyphen/>
      </w:r>
      <w:r w:rsidR="007F3818">
        <w:t xml:space="preserve">specific indicator framework in chapter </w:t>
      </w:r>
      <w:r w:rsidR="00CB3A38">
        <w:t>16</w:t>
      </w:r>
      <w:r w:rsidR="007F3818">
        <w:t>.</w:t>
      </w:r>
      <w:r w:rsidRPr="00C82809">
        <w:t xml:space="preserve"> </w:t>
      </w:r>
    </w:p>
    <w:p w:rsidR="00C82809" w:rsidRPr="00492F0A" w:rsidRDefault="00C82809" w:rsidP="00C82809">
      <w:pPr>
        <w:pStyle w:val="BodyText"/>
        <w:rPr>
          <w:color w:val="000000"/>
        </w:rPr>
      </w:pPr>
      <w:r w:rsidRPr="00492F0A">
        <w:rPr>
          <w:color w:val="000000"/>
        </w:rPr>
        <w:t>Additional information is available to assist the interpretation of these results:</w:t>
      </w:r>
    </w:p>
    <w:p w:rsidR="00C82809" w:rsidRDefault="00C82809" w:rsidP="00C82809">
      <w:pPr>
        <w:pStyle w:val="ListBullet"/>
      </w:pPr>
      <w:r w:rsidRPr="00CF7D56">
        <w:t>indicator interpretation boxes</w:t>
      </w:r>
      <w:r>
        <w:t>, which define the measures used and indicate any significant conceptual or methodological issues with the reported information (chapter</w:t>
      </w:r>
      <w:r w:rsidR="007F3818">
        <w:t>s</w:t>
      </w:r>
      <w:r>
        <w:t xml:space="preserve"> 13</w:t>
      </w:r>
      <w:r w:rsidR="007F3818">
        <w:t>, 14</w:t>
      </w:r>
      <w:r w:rsidR="00CB3A38">
        <w:t>, 15</w:t>
      </w:r>
      <w:r w:rsidR="007F3818">
        <w:t xml:space="preserve"> and 1</w:t>
      </w:r>
      <w:r w:rsidR="00CB3A38">
        <w:t>6</w:t>
      </w:r>
      <w:r>
        <w:t>)</w:t>
      </w:r>
    </w:p>
    <w:p w:rsidR="00C82809" w:rsidRDefault="00C82809" w:rsidP="00C82809">
      <w:pPr>
        <w:pStyle w:val="ListBullet"/>
      </w:pPr>
      <w:r>
        <w:t>caveats and footnotes to the reported data (chapter</w:t>
      </w:r>
      <w:r w:rsidR="007F3818">
        <w:t>s</w:t>
      </w:r>
      <w:r>
        <w:t xml:space="preserve"> 13</w:t>
      </w:r>
      <w:r w:rsidR="007F3818">
        <w:t>, 14</w:t>
      </w:r>
      <w:r w:rsidR="00CB3A38">
        <w:t>, 15</w:t>
      </w:r>
      <w:r w:rsidR="007F3818">
        <w:t xml:space="preserve"> and 1</w:t>
      </w:r>
      <w:r w:rsidR="00CB3A38">
        <w:t>6</w:t>
      </w:r>
      <w:r>
        <w:t xml:space="preserve"> and </w:t>
      </w:r>
      <w:r w:rsidR="00492F0A">
        <w:t>a</w:t>
      </w:r>
      <w:r>
        <w:t>ttachment</w:t>
      </w:r>
      <w:r w:rsidR="007F3818">
        <w:t>s</w:t>
      </w:r>
      <w:r>
        <w:t xml:space="preserve"> 13A</w:t>
      </w:r>
      <w:r w:rsidR="007F3818">
        <w:t>, 14A</w:t>
      </w:r>
      <w:r w:rsidR="00CB3A38">
        <w:t>, 15A</w:t>
      </w:r>
      <w:r w:rsidR="007F3818">
        <w:t xml:space="preserve"> and 1</w:t>
      </w:r>
      <w:r w:rsidR="00CB3A38">
        <w:t>6</w:t>
      </w:r>
      <w:r w:rsidR="007F3818">
        <w:t>A</w:t>
      </w:r>
      <w:r>
        <w:t>)</w:t>
      </w:r>
    </w:p>
    <w:p w:rsidR="00C82809" w:rsidRDefault="00C82809" w:rsidP="00C82809">
      <w:pPr>
        <w:pStyle w:val="ListBullet"/>
      </w:pPr>
      <w:r w:rsidRPr="002F55AA">
        <w:t xml:space="preserve">additional measures and further </w:t>
      </w:r>
      <w:r>
        <w:t xml:space="preserve">disaggregation of reported measures (for example, by </w:t>
      </w:r>
      <w:r w:rsidRPr="004F7C55">
        <w:t>Indigenous status, remoteness</w:t>
      </w:r>
      <w:r w:rsidR="00D77AE6">
        <w:t xml:space="preserve">, </w:t>
      </w:r>
      <w:r w:rsidRPr="004F7C55">
        <w:t>l</w:t>
      </w:r>
      <w:r>
        <w:t>anguage background, sex and age (</w:t>
      </w:r>
      <w:r w:rsidR="007F3818">
        <w:t>chapters 13, 14</w:t>
      </w:r>
      <w:r w:rsidR="00CB3A38">
        <w:t>, 15</w:t>
      </w:r>
      <w:r w:rsidR="007F3818">
        <w:t xml:space="preserve"> and 1</w:t>
      </w:r>
      <w:r w:rsidR="00CB3A38">
        <w:t>6</w:t>
      </w:r>
      <w:r w:rsidR="007F3818">
        <w:t xml:space="preserve"> and attachments 13A, 14A</w:t>
      </w:r>
      <w:r w:rsidR="00CB3A38">
        <w:t>, 15A</w:t>
      </w:r>
      <w:r w:rsidR="007F3818">
        <w:t xml:space="preserve"> and 1</w:t>
      </w:r>
      <w:r w:rsidR="00CB3A38">
        <w:t>6</w:t>
      </w:r>
      <w:r w:rsidR="007F3818">
        <w:t>A</w:t>
      </w:r>
      <w:r>
        <w:t>)</w:t>
      </w:r>
    </w:p>
    <w:p w:rsidR="00C82809" w:rsidRDefault="00C82809" w:rsidP="00C82809">
      <w:pPr>
        <w:pStyle w:val="ListBullet"/>
      </w:pPr>
      <w:r>
        <w:t>data quality information for many indicators (</w:t>
      </w:r>
      <w:r w:rsidR="007716AF">
        <w:t>c</w:t>
      </w:r>
      <w:r>
        <w:t>hapter</w:t>
      </w:r>
      <w:r w:rsidR="007F3818">
        <w:t>s</w:t>
      </w:r>
      <w:r>
        <w:t xml:space="preserve"> 13</w:t>
      </w:r>
      <w:r w:rsidR="007F3818">
        <w:t>, 14</w:t>
      </w:r>
      <w:r w:rsidR="00CB3A38">
        <w:t>, 15</w:t>
      </w:r>
      <w:r w:rsidR="007F3818">
        <w:t xml:space="preserve"> and 1</w:t>
      </w:r>
      <w:r w:rsidR="00CB3A38">
        <w:t>6</w:t>
      </w:r>
      <w:r>
        <w:t xml:space="preserve"> Data Quality Information)</w:t>
      </w:r>
      <w:r w:rsidRPr="002F55AA">
        <w:t>.</w:t>
      </w:r>
    </w:p>
    <w:p w:rsidR="007F3818" w:rsidRPr="00492F0A" w:rsidRDefault="007F3818" w:rsidP="007F3818">
      <w:pPr>
        <w:pStyle w:val="Heading4"/>
        <w:rPr>
          <w:color w:val="000000"/>
        </w:rPr>
      </w:pPr>
      <w:r w:rsidRPr="00492F0A">
        <w:rPr>
          <w:color w:val="000000"/>
        </w:rPr>
        <w:lastRenderedPageBreak/>
        <w:t>Aged care services</w:t>
      </w:r>
    </w:p>
    <w:p w:rsidR="00B424EC" w:rsidRPr="00492F0A" w:rsidRDefault="00B424EC" w:rsidP="00D77AE6">
      <w:pPr>
        <w:pStyle w:val="BodyText"/>
        <w:rPr>
          <w:color w:val="000000"/>
        </w:rPr>
      </w:pPr>
      <w:r w:rsidRPr="00492F0A">
        <w:rPr>
          <w:color w:val="000000"/>
        </w:rPr>
        <w:t>The performance indicator framework for aged care services is presented in figure</w:t>
      </w:r>
      <w:r w:rsidR="00492F0A">
        <w:rPr>
          <w:color w:val="000000"/>
        </w:rPr>
        <w:t> </w:t>
      </w:r>
      <w:r w:rsidR="005906A2">
        <w:rPr>
          <w:color w:val="000000"/>
        </w:rPr>
        <w:t>F</w:t>
      </w:r>
      <w:r w:rsidR="006F2B3B">
        <w:rPr>
          <w:color w:val="000000"/>
        </w:rPr>
        <w:t>.</w:t>
      </w:r>
      <w:r w:rsidR="00E33535">
        <w:rPr>
          <w:color w:val="000000"/>
        </w:rPr>
        <w:t>8</w:t>
      </w:r>
      <w:r w:rsidR="00492F0A">
        <w:rPr>
          <w:color w:val="000000"/>
        </w:rPr>
        <w:t>.</w:t>
      </w:r>
      <w:r w:rsidR="00570CC2">
        <w:rPr>
          <w:color w:val="000000"/>
        </w:rPr>
        <w:t xml:space="preserve"> </w:t>
      </w:r>
      <w:r w:rsidR="00570CC2">
        <w:t>This</w:t>
      </w:r>
      <w:r w:rsidR="00570CC2" w:rsidRPr="00E6147C">
        <w:t xml:space="preserve"> framework provides comprehensive information on the equity, effectiveness</w:t>
      </w:r>
      <w:r w:rsidR="00570CC2">
        <w:t>,</w:t>
      </w:r>
      <w:r w:rsidR="00570CC2" w:rsidRPr="00E6147C">
        <w:t xml:space="preserve"> efficiency </w:t>
      </w:r>
      <w:r w:rsidR="00570CC2">
        <w:t xml:space="preserve">and the outcomes </w:t>
      </w:r>
      <w:r w:rsidR="00570CC2" w:rsidRPr="00E6147C">
        <w:t>of</w:t>
      </w:r>
      <w:r w:rsidR="00570CC2">
        <w:t xml:space="preserve"> </w:t>
      </w:r>
      <w:r w:rsidR="00570CC2" w:rsidRPr="00492F0A">
        <w:rPr>
          <w:color w:val="000000"/>
        </w:rPr>
        <w:t>aged care services</w:t>
      </w:r>
      <w:r w:rsidR="00570CC2">
        <w:rPr>
          <w:color w:val="000000"/>
        </w:rPr>
        <w:t>.</w:t>
      </w:r>
    </w:p>
    <w:p w:rsidR="00B424EC" w:rsidRPr="00492F0A" w:rsidRDefault="00B424EC" w:rsidP="00B424EC">
      <w:pPr>
        <w:pStyle w:val="FigureTitle"/>
        <w:spacing w:before="120"/>
        <w:rPr>
          <w:color w:val="000000"/>
        </w:rPr>
      </w:pPr>
      <w:r w:rsidRPr="00492F0A">
        <w:rPr>
          <w:b w:val="0"/>
          <w:color w:val="000000"/>
        </w:rPr>
        <w:t xml:space="preserve">Figure </w:t>
      </w:r>
      <w:r w:rsidR="00E33535">
        <w:rPr>
          <w:b w:val="0"/>
        </w:rPr>
        <w:t>F.</w:t>
      </w:r>
      <w:r w:rsidR="00914946">
        <w:rPr>
          <w:b w:val="0"/>
          <w:noProof/>
        </w:rPr>
        <w:t>8</w:t>
      </w:r>
      <w:r w:rsidRPr="00492F0A">
        <w:rPr>
          <w:b w:val="0"/>
          <w:color w:val="000000"/>
        </w:rPr>
        <w:tab/>
      </w:r>
      <w:r w:rsidR="007A2FDF">
        <w:rPr>
          <w:color w:val="000000"/>
        </w:rPr>
        <w:t>A</w:t>
      </w:r>
      <w:r w:rsidRPr="00492F0A">
        <w:rPr>
          <w:color w:val="000000"/>
        </w:rPr>
        <w:t xml:space="preserve">ged care services </w:t>
      </w:r>
      <w:r w:rsidR="007A2FDF">
        <w:rPr>
          <w:color w:val="000000"/>
        </w:rPr>
        <w:t>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424EC" w:rsidRPr="00492F0A" w:rsidTr="00B54D7F">
        <w:tc>
          <w:tcPr>
            <w:tcW w:w="8777" w:type="dxa"/>
            <w:tcBorders>
              <w:top w:val="single" w:sz="6" w:space="0" w:color="auto"/>
              <w:bottom w:val="single" w:sz="6" w:space="0" w:color="auto"/>
              <w:right w:val="nil"/>
            </w:tcBorders>
          </w:tcPr>
          <w:p w:rsidR="00B424EC" w:rsidRPr="002027A9" w:rsidRDefault="004401B4" w:rsidP="00261535">
            <w:pPr>
              <w:pStyle w:val="Figure"/>
              <w:keepNext w:val="0"/>
            </w:pPr>
            <w:r>
              <w:rPr>
                <w:noProof/>
              </w:rPr>
              <w:drawing>
                <wp:inline distT="0" distB="0" distL="0" distR="0">
                  <wp:extent cx="5469255" cy="6624955"/>
                  <wp:effectExtent l="0" t="0" r="0" b="0"/>
                  <wp:docPr id="5" name="Picture 5" descr="Figure F.8 Aged care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69255" cy="6624955"/>
                          </a:xfrm>
                          <a:prstGeom prst="rect">
                            <a:avLst/>
                          </a:prstGeom>
                          <a:noFill/>
                          <a:ln>
                            <a:noFill/>
                          </a:ln>
                        </pic:spPr>
                      </pic:pic>
                    </a:graphicData>
                  </a:graphic>
                </wp:inline>
              </w:drawing>
            </w:r>
          </w:p>
        </w:tc>
      </w:tr>
    </w:tbl>
    <w:p w:rsidR="00B46991" w:rsidRDefault="00B424EC" w:rsidP="00B46991">
      <w:pPr>
        <w:pStyle w:val="BodyText"/>
      </w:pPr>
      <w:r w:rsidRPr="00492F0A">
        <w:rPr>
          <w:color w:val="000000"/>
        </w:rPr>
        <w:lastRenderedPageBreak/>
        <w:t xml:space="preserve">An overview of aged care performance indicator results are presented in table </w:t>
      </w:r>
      <w:r w:rsidR="002410EC">
        <w:rPr>
          <w:color w:val="000000"/>
        </w:rPr>
        <w:t>F.</w:t>
      </w:r>
      <w:r w:rsidR="00CD7978">
        <w:rPr>
          <w:color w:val="000000"/>
        </w:rPr>
        <w:t>3</w:t>
      </w:r>
      <w:r w:rsidR="00C13CE2">
        <w:rPr>
          <w:color w:val="000000"/>
        </w:rPr>
        <w:t xml:space="preserve">. </w:t>
      </w:r>
      <w:r w:rsidR="009F11A1">
        <w:t>Information to assist the interpretation of these data can be found in the indicator interpretation boxes in chapter 13 and the footnotes in attachment 13A.</w:t>
      </w:r>
    </w:p>
    <w:p w:rsidR="00B54D7F" w:rsidRDefault="00B54D7F" w:rsidP="00423138">
      <w:pPr>
        <w:pStyle w:val="TableTitle"/>
      </w:pPr>
      <w:r>
        <w:rPr>
          <w:b w:val="0"/>
        </w:rPr>
        <w:t xml:space="preserve">Table </w:t>
      </w:r>
      <w:bookmarkStart w:id="12" w:name="OLE_LINK2"/>
      <w:r w:rsidR="00197646">
        <w:rPr>
          <w:b w:val="0"/>
        </w:rPr>
        <w:t>F.</w:t>
      </w:r>
      <w:r w:rsidR="00914946">
        <w:rPr>
          <w:b w:val="0"/>
          <w:noProof/>
        </w:rPr>
        <w:t>3</w:t>
      </w:r>
      <w:bookmarkEnd w:id="12"/>
      <w:r>
        <w:tab/>
      </w:r>
      <w:r w:rsidRPr="00423138">
        <w:t>Performance</w:t>
      </w:r>
      <w:r w:rsidRPr="008A075D">
        <w:t xml:space="preserve"> indicat</w:t>
      </w:r>
      <w:r>
        <w:t xml:space="preserve">ors for </w:t>
      </w:r>
      <w:r w:rsidR="00C13CE2">
        <w:t>a</w:t>
      </w:r>
      <w:r>
        <w:t xml:space="preserve">ged </w:t>
      </w:r>
      <w:r w:rsidR="00C13CE2">
        <w:t>c</w:t>
      </w:r>
      <w:r>
        <w:t>are services</w:t>
      </w:r>
      <w:r w:rsidRPr="0012694F">
        <w:rPr>
          <w:rStyle w:val="NoteLabel"/>
          <w:b/>
        </w:rPr>
        <w:t>a, b</w:t>
      </w:r>
    </w:p>
    <w:tbl>
      <w:tblPr>
        <w:tblW w:w="5008" w:type="pct"/>
        <w:tblLayout w:type="fixed"/>
        <w:tblCellMar>
          <w:left w:w="0" w:type="dxa"/>
          <w:right w:w="0" w:type="dxa"/>
        </w:tblCellMar>
        <w:tblLook w:val="0000" w:firstRow="0" w:lastRow="0" w:firstColumn="0" w:lastColumn="0" w:noHBand="0" w:noVBand="0"/>
      </w:tblPr>
      <w:tblGrid>
        <w:gridCol w:w="1511"/>
        <w:gridCol w:w="894"/>
        <w:gridCol w:w="99"/>
        <w:gridCol w:w="623"/>
        <w:gridCol w:w="173"/>
        <w:gridCol w:w="458"/>
        <w:gridCol w:w="155"/>
        <w:gridCol w:w="475"/>
        <w:gridCol w:w="141"/>
        <w:gridCol w:w="493"/>
        <w:gridCol w:w="121"/>
        <w:gridCol w:w="516"/>
        <w:gridCol w:w="298"/>
        <w:gridCol w:w="630"/>
        <w:gridCol w:w="118"/>
        <w:gridCol w:w="644"/>
        <w:gridCol w:w="14"/>
        <w:gridCol w:w="685"/>
        <w:gridCol w:w="755"/>
      </w:tblGrid>
      <w:tr w:rsidR="00D902EF" w:rsidTr="00893614">
        <w:tc>
          <w:tcPr>
            <w:tcW w:w="858" w:type="pct"/>
            <w:tcBorders>
              <w:top w:val="single" w:sz="6" w:space="0" w:color="auto"/>
              <w:bottom w:val="single" w:sz="6" w:space="0" w:color="auto"/>
            </w:tcBorders>
            <w:shd w:val="clear" w:color="auto" w:fill="auto"/>
          </w:tcPr>
          <w:p w:rsidR="00B54D7F" w:rsidRDefault="00B54D7F" w:rsidP="00B54D7F">
            <w:pPr>
              <w:pStyle w:val="TableColumnHeading"/>
              <w:jc w:val="left"/>
            </w:pPr>
          </w:p>
        </w:tc>
        <w:tc>
          <w:tcPr>
            <w:tcW w:w="564" w:type="pct"/>
            <w:gridSpan w:val="2"/>
            <w:tcBorders>
              <w:top w:val="single" w:sz="6" w:space="0" w:color="auto"/>
              <w:bottom w:val="single" w:sz="6" w:space="0" w:color="auto"/>
            </w:tcBorders>
            <w:shd w:val="clear" w:color="auto" w:fill="auto"/>
          </w:tcPr>
          <w:p w:rsidR="00B54D7F" w:rsidRDefault="00B54D7F" w:rsidP="00B54D7F">
            <w:pPr>
              <w:pStyle w:val="TableColumnHeading"/>
            </w:pPr>
            <w:r>
              <w:t>NSW</w:t>
            </w:r>
          </w:p>
        </w:tc>
        <w:tc>
          <w:tcPr>
            <w:tcW w:w="354" w:type="pct"/>
            <w:tcBorders>
              <w:top w:val="single" w:sz="6" w:space="0" w:color="auto"/>
              <w:bottom w:val="single" w:sz="6" w:space="0" w:color="auto"/>
            </w:tcBorders>
            <w:shd w:val="clear" w:color="auto" w:fill="auto"/>
          </w:tcPr>
          <w:p w:rsidR="00B54D7F" w:rsidRDefault="00B54D7F" w:rsidP="00B54D7F">
            <w:pPr>
              <w:pStyle w:val="TableColumnHeading"/>
            </w:pPr>
            <w:r>
              <w:t>Vic</w:t>
            </w:r>
          </w:p>
        </w:tc>
        <w:tc>
          <w:tcPr>
            <w:tcW w:w="358" w:type="pct"/>
            <w:gridSpan w:val="2"/>
            <w:tcBorders>
              <w:top w:val="single" w:sz="6" w:space="0" w:color="auto"/>
              <w:bottom w:val="single" w:sz="6" w:space="0" w:color="auto"/>
            </w:tcBorders>
            <w:shd w:val="clear" w:color="auto" w:fill="auto"/>
          </w:tcPr>
          <w:p w:rsidR="00B54D7F" w:rsidRDefault="00B54D7F" w:rsidP="00B54D7F">
            <w:pPr>
              <w:pStyle w:val="TableColumnHeading"/>
            </w:pPr>
            <w:r>
              <w:t>Qld</w:t>
            </w:r>
          </w:p>
        </w:tc>
        <w:tc>
          <w:tcPr>
            <w:tcW w:w="358" w:type="pct"/>
            <w:gridSpan w:val="2"/>
            <w:tcBorders>
              <w:top w:val="single" w:sz="6" w:space="0" w:color="auto"/>
              <w:bottom w:val="single" w:sz="6" w:space="0" w:color="auto"/>
            </w:tcBorders>
            <w:shd w:val="clear" w:color="auto" w:fill="auto"/>
          </w:tcPr>
          <w:p w:rsidR="00B54D7F" w:rsidRDefault="00B54D7F" w:rsidP="00B54D7F">
            <w:pPr>
              <w:pStyle w:val="TableColumnHeading"/>
            </w:pPr>
            <w:r>
              <w:t>WA</w:t>
            </w:r>
          </w:p>
        </w:tc>
        <w:tc>
          <w:tcPr>
            <w:tcW w:w="360" w:type="pct"/>
            <w:gridSpan w:val="2"/>
            <w:tcBorders>
              <w:top w:val="single" w:sz="6" w:space="0" w:color="auto"/>
              <w:bottom w:val="single" w:sz="6" w:space="0" w:color="auto"/>
            </w:tcBorders>
            <w:shd w:val="clear" w:color="auto" w:fill="auto"/>
          </w:tcPr>
          <w:p w:rsidR="00B54D7F" w:rsidRDefault="00B54D7F" w:rsidP="00B54D7F">
            <w:pPr>
              <w:pStyle w:val="TableColumnHeading"/>
            </w:pPr>
            <w:r>
              <w:t>SA</w:t>
            </w:r>
          </w:p>
        </w:tc>
        <w:tc>
          <w:tcPr>
            <w:tcW w:w="362" w:type="pct"/>
            <w:gridSpan w:val="2"/>
            <w:tcBorders>
              <w:top w:val="single" w:sz="6" w:space="0" w:color="auto"/>
              <w:bottom w:val="single" w:sz="6" w:space="0" w:color="auto"/>
            </w:tcBorders>
            <w:shd w:val="clear" w:color="auto" w:fill="auto"/>
          </w:tcPr>
          <w:p w:rsidR="00B54D7F" w:rsidRDefault="00B54D7F" w:rsidP="00B54D7F">
            <w:pPr>
              <w:pStyle w:val="TableColumnHeading"/>
            </w:pPr>
            <w:r>
              <w:t>Tas</w:t>
            </w:r>
          </w:p>
        </w:tc>
        <w:tc>
          <w:tcPr>
            <w:tcW w:w="527" w:type="pct"/>
            <w:gridSpan w:val="2"/>
            <w:tcBorders>
              <w:top w:val="single" w:sz="6" w:space="0" w:color="auto"/>
              <w:bottom w:val="single" w:sz="6" w:space="0" w:color="auto"/>
            </w:tcBorders>
            <w:shd w:val="clear" w:color="auto" w:fill="auto"/>
          </w:tcPr>
          <w:p w:rsidR="00B54D7F" w:rsidRDefault="00B54D7F" w:rsidP="00B54D7F">
            <w:pPr>
              <w:pStyle w:val="TableColumnHeading"/>
            </w:pPr>
            <w:r>
              <w:t>ACT</w:t>
            </w:r>
          </w:p>
        </w:tc>
        <w:tc>
          <w:tcPr>
            <w:tcW w:w="441" w:type="pct"/>
            <w:gridSpan w:val="3"/>
            <w:tcBorders>
              <w:top w:val="single" w:sz="6" w:space="0" w:color="auto"/>
              <w:bottom w:val="single" w:sz="6" w:space="0" w:color="auto"/>
            </w:tcBorders>
            <w:shd w:val="clear" w:color="auto" w:fill="auto"/>
          </w:tcPr>
          <w:p w:rsidR="00B54D7F" w:rsidRDefault="00B54D7F" w:rsidP="00B54D7F">
            <w:pPr>
              <w:pStyle w:val="TableColumnHeading"/>
            </w:pPr>
            <w:r>
              <w:t>NT</w:t>
            </w:r>
          </w:p>
        </w:tc>
        <w:tc>
          <w:tcPr>
            <w:tcW w:w="389" w:type="pct"/>
            <w:tcBorders>
              <w:top w:val="single" w:sz="6" w:space="0" w:color="auto"/>
              <w:bottom w:val="single" w:sz="6" w:space="0" w:color="auto"/>
            </w:tcBorders>
          </w:tcPr>
          <w:p w:rsidR="00B54D7F" w:rsidRDefault="00B54D7F" w:rsidP="00B54D7F">
            <w:pPr>
              <w:pStyle w:val="TableColumnHeading"/>
            </w:pPr>
            <w:r>
              <w:t>Aust</w:t>
            </w:r>
          </w:p>
        </w:tc>
        <w:tc>
          <w:tcPr>
            <w:tcW w:w="429" w:type="pct"/>
            <w:tcBorders>
              <w:top w:val="single" w:sz="6" w:space="0" w:color="auto"/>
              <w:bottom w:val="single" w:sz="6" w:space="0" w:color="auto"/>
            </w:tcBorders>
          </w:tcPr>
          <w:p w:rsidR="00B54D7F" w:rsidRDefault="00B54D7F" w:rsidP="00B54D7F">
            <w:pPr>
              <w:pStyle w:val="TableColumnHeading"/>
            </w:pPr>
            <w:r>
              <w:t>Source</w:t>
            </w:r>
          </w:p>
        </w:tc>
      </w:tr>
      <w:tr w:rsidR="00897010" w:rsidRPr="00DC618B" w:rsidTr="00D902EF">
        <w:trPr>
          <w:trHeight w:val="370"/>
        </w:trPr>
        <w:tc>
          <w:tcPr>
            <w:tcW w:w="5000" w:type="pct"/>
            <w:gridSpan w:val="19"/>
          </w:tcPr>
          <w:p w:rsidR="00897010" w:rsidRPr="0072579E" w:rsidRDefault="00B667F6" w:rsidP="00B54D7F">
            <w:pPr>
              <w:pStyle w:val="TableColumnHeading"/>
              <w:jc w:val="left"/>
              <w:rPr>
                <w:i w:val="0"/>
              </w:rPr>
            </w:pPr>
            <w:r w:rsidRPr="00B667F6">
              <w:rPr>
                <w:b/>
                <w:i w:val="0"/>
              </w:rPr>
              <w:t>E</w:t>
            </w:r>
            <w:r>
              <w:rPr>
                <w:b/>
                <w:i w:val="0"/>
              </w:rPr>
              <w:t xml:space="preserve">quity </w:t>
            </w:r>
            <w:r w:rsidRPr="004D0B92">
              <w:rPr>
                <w:b/>
                <w:i w:val="0"/>
              </w:rPr>
              <w:t>—</w:t>
            </w:r>
            <w:r>
              <w:rPr>
                <w:b/>
                <w:i w:val="0"/>
              </w:rPr>
              <w:t xml:space="preserve"> access</w:t>
            </w:r>
            <w:r w:rsidRPr="00B667F6">
              <w:rPr>
                <w:b/>
                <w:i w:val="0"/>
              </w:rPr>
              <w:t xml:space="preserve"> indicators</w:t>
            </w:r>
          </w:p>
        </w:tc>
      </w:tr>
      <w:tr w:rsidR="00B54D7F" w:rsidRPr="00DC618B" w:rsidTr="00D902EF">
        <w:trPr>
          <w:trHeight w:val="249"/>
        </w:trPr>
        <w:tc>
          <w:tcPr>
            <w:tcW w:w="5000" w:type="pct"/>
            <w:gridSpan w:val="19"/>
          </w:tcPr>
          <w:p w:rsidR="00B54D7F" w:rsidRPr="0072579E" w:rsidRDefault="00B54D7F" w:rsidP="00B54D7F">
            <w:pPr>
              <w:pStyle w:val="TableColumnHeading"/>
              <w:jc w:val="left"/>
              <w:rPr>
                <w:i w:val="0"/>
              </w:rPr>
            </w:pPr>
            <w:r w:rsidRPr="0072579E">
              <w:rPr>
                <w:i w:val="0"/>
              </w:rPr>
              <w:t>Use by different groups</w:t>
            </w:r>
          </w:p>
        </w:tc>
      </w:tr>
      <w:tr w:rsidR="00B54D7F" w:rsidRPr="00DC618B" w:rsidTr="00D902EF">
        <w:trPr>
          <w:trHeight w:val="708"/>
        </w:trPr>
        <w:tc>
          <w:tcPr>
            <w:tcW w:w="5000" w:type="pct"/>
            <w:gridSpan w:val="19"/>
          </w:tcPr>
          <w:p w:rsidR="00B54D7F" w:rsidRPr="00797DC6" w:rsidRDefault="00B54D7F" w:rsidP="0098754C">
            <w:pPr>
              <w:pStyle w:val="TableColumnHeading"/>
              <w:ind w:left="57"/>
              <w:jc w:val="left"/>
              <w:rPr>
                <w:rFonts w:ascii="Vivaldi" w:hAnsi="Vivaldi"/>
              </w:rPr>
            </w:pPr>
            <w:r w:rsidRPr="0039606C">
              <w:rPr>
                <w:i w:val="0"/>
              </w:rPr>
              <w:t xml:space="preserve">Access to residential aged care services by </w:t>
            </w:r>
            <w:r w:rsidR="000E6B3A">
              <w:rPr>
                <w:i w:val="0"/>
              </w:rPr>
              <w:t xml:space="preserve">all </w:t>
            </w:r>
            <w:r w:rsidRPr="0039606C">
              <w:rPr>
                <w:i w:val="0"/>
              </w:rPr>
              <w:t>people</w:t>
            </w:r>
            <w:r w:rsidR="000E6B3A">
              <w:rPr>
                <w:i w:val="0"/>
              </w:rPr>
              <w:t xml:space="preserve"> </w:t>
            </w:r>
            <w:r w:rsidRPr="0039606C">
              <w:rPr>
                <w:i w:val="0"/>
              </w:rPr>
              <w:t xml:space="preserve">—— aged care </w:t>
            </w:r>
            <w:r w:rsidR="000E6B3A">
              <w:rPr>
                <w:i w:val="0"/>
              </w:rPr>
              <w:t xml:space="preserve">recipients </w:t>
            </w:r>
            <w:r w:rsidRPr="0039606C">
              <w:rPr>
                <w:i w:val="0"/>
              </w:rPr>
              <w:t xml:space="preserve">per 1000 </w:t>
            </w:r>
            <w:r w:rsidR="0098754C" w:rsidRPr="00F87984">
              <w:rPr>
                <w:i w:val="0"/>
                <w:shd w:val="clear" w:color="auto" w:fill="FFFFFF" w:themeFill="background1"/>
              </w:rPr>
              <w:t>people aged 65 years or over and Indigenous Australians aged 50–64 years</w:t>
            </w:r>
            <w:r w:rsidR="000E6B3A">
              <w:rPr>
                <w:i w:val="0"/>
              </w:rPr>
              <w:t xml:space="preserve">, </w:t>
            </w:r>
            <w:r w:rsidR="00CA3D60">
              <w:rPr>
                <w:i w:val="0"/>
              </w:rPr>
              <w:t>30 June 2013</w:t>
            </w:r>
            <w:r w:rsidR="00B42326">
              <w:br/>
            </w:r>
            <w:r w:rsidR="002556E2" w:rsidRPr="002556E2">
              <w:rPr>
                <w:i w:val="0"/>
                <w:sz w:val="16"/>
                <w:szCs w:val="16"/>
              </w:rPr>
              <w:t xml:space="preserve">Most recent data for this measure are comparable </w:t>
            </w:r>
            <w:r w:rsidR="002556E2">
              <w:rPr>
                <w:i w:val="0"/>
                <w:sz w:val="16"/>
                <w:szCs w:val="16"/>
              </w:rPr>
              <w:t xml:space="preserve">and complete </w:t>
            </w:r>
            <w:r w:rsidR="00B42326" w:rsidRPr="009577B4">
              <w:rPr>
                <w:i w:val="0"/>
                <w:sz w:val="16"/>
                <w:szCs w:val="16"/>
              </w:rPr>
              <w:t>(chapter </w:t>
            </w:r>
            <w:r w:rsidR="00B42326">
              <w:rPr>
                <w:i w:val="0"/>
                <w:sz w:val="16"/>
                <w:szCs w:val="16"/>
              </w:rPr>
              <w:t>13</w:t>
            </w:r>
            <w:r w:rsidR="00B42326" w:rsidRPr="009577B4">
              <w:rPr>
                <w:i w:val="0"/>
                <w:sz w:val="16"/>
                <w:szCs w:val="16"/>
              </w:rPr>
              <w:t>)</w:t>
            </w:r>
          </w:p>
        </w:tc>
      </w:tr>
      <w:tr w:rsidR="00D902EF" w:rsidTr="00F87984">
        <w:tc>
          <w:tcPr>
            <w:tcW w:w="858" w:type="pct"/>
          </w:tcPr>
          <w:p w:rsidR="00CA3D60" w:rsidRDefault="00CA3D60" w:rsidP="00B54D7F">
            <w:pPr>
              <w:pStyle w:val="TableBodyText"/>
            </w:pPr>
            <w:r>
              <w:t>no.</w:t>
            </w:r>
          </w:p>
        </w:tc>
        <w:tc>
          <w:tcPr>
            <w:tcW w:w="564" w:type="pct"/>
            <w:gridSpan w:val="2"/>
            <w:vAlign w:val="center"/>
          </w:tcPr>
          <w:p w:rsidR="00CA3D60" w:rsidRPr="00CA3D60" w:rsidRDefault="00CA3D60" w:rsidP="00CA3D60">
            <w:pPr>
              <w:pStyle w:val="TableBodyText"/>
              <w:keepNext w:val="0"/>
            </w:pPr>
            <w:r w:rsidRPr="00CA3D60">
              <w:t xml:space="preserve">  53.7</w:t>
            </w:r>
          </w:p>
        </w:tc>
        <w:tc>
          <w:tcPr>
            <w:tcW w:w="354" w:type="pct"/>
            <w:vAlign w:val="center"/>
          </w:tcPr>
          <w:p w:rsidR="00CA3D60" w:rsidRPr="00CA3D60" w:rsidRDefault="00CA3D60" w:rsidP="00CA3D60">
            <w:pPr>
              <w:pStyle w:val="TableBodyText"/>
              <w:keepNext w:val="0"/>
            </w:pPr>
            <w:r w:rsidRPr="00CA3D60">
              <w:t xml:space="preserve">  53.5</w:t>
            </w:r>
          </w:p>
        </w:tc>
        <w:tc>
          <w:tcPr>
            <w:tcW w:w="358" w:type="pct"/>
            <w:gridSpan w:val="2"/>
            <w:vAlign w:val="center"/>
          </w:tcPr>
          <w:p w:rsidR="00CA3D60" w:rsidRPr="00CA3D60" w:rsidRDefault="00CA3D60" w:rsidP="00CA3D60">
            <w:pPr>
              <w:pStyle w:val="TableBodyText"/>
              <w:keepNext w:val="0"/>
            </w:pPr>
            <w:r w:rsidRPr="00CA3D60">
              <w:t xml:space="preserve">  48.4</w:t>
            </w:r>
          </w:p>
        </w:tc>
        <w:tc>
          <w:tcPr>
            <w:tcW w:w="358" w:type="pct"/>
            <w:gridSpan w:val="2"/>
            <w:vAlign w:val="center"/>
          </w:tcPr>
          <w:p w:rsidR="00CA3D60" w:rsidRPr="00CA3D60" w:rsidRDefault="00CA3D60" w:rsidP="00CA3D60">
            <w:pPr>
              <w:pStyle w:val="TableBodyText"/>
              <w:keepNext w:val="0"/>
            </w:pPr>
            <w:r w:rsidRPr="00CA3D60">
              <w:t xml:space="preserve">  46.7</w:t>
            </w:r>
          </w:p>
        </w:tc>
        <w:tc>
          <w:tcPr>
            <w:tcW w:w="360" w:type="pct"/>
            <w:gridSpan w:val="2"/>
            <w:vAlign w:val="center"/>
          </w:tcPr>
          <w:p w:rsidR="00CA3D60" w:rsidRPr="00CA3D60" w:rsidRDefault="00CA3D60" w:rsidP="00CA3D60">
            <w:pPr>
              <w:pStyle w:val="TableBodyText"/>
              <w:keepNext w:val="0"/>
            </w:pPr>
            <w:r w:rsidRPr="00CA3D60">
              <w:t xml:space="preserve">  59.8</w:t>
            </w:r>
          </w:p>
        </w:tc>
        <w:tc>
          <w:tcPr>
            <w:tcW w:w="362" w:type="pct"/>
            <w:gridSpan w:val="2"/>
            <w:vAlign w:val="center"/>
          </w:tcPr>
          <w:p w:rsidR="00CA3D60" w:rsidRPr="00CA3D60" w:rsidRDefault="00CA3D60" w:rsidP="00CA3D60">
            <w:pPr>
              <w:pStyle w:val="TableBodyText"/>
              <w:keepNext w:val="0"/>
            </w:pPr>
            <w:r w:rsidRPr="00CA3D60">
              <w:t xml:space="preserve">  48.5</w:t>
            </w:r>
          </w:p>
        </w:tc>
        <w:tc>
          <w:tcPr>
            <w:tcW w:w="527" w:type="pct"/>
            <w:gridSpan w:val="2"/>
            <w:vAlign w:val="center"/>
          </w:tcPr>
          <w:p w:rsidR="00CA3D60" w:rsidRPr="00CA3D60" w:rsidRDefault="00CA3D60" w:rsidP="00CA3D60">
            <w:pPr>
              <w:pStyle w:val="TableBodyText"/>
              <w:keepNext w:val="0"/>
            </w:pPr>
            <w:r w:rsidRPr="00CA3D60">
              <w:t xml:space="preserve">  44.5</w:t>
            </w:r>
          </w:p>
        </w:tc>
        <w:tc>
          <w:tcPr>
            <w:tcW w:w="441" w:type="pct"/>
            <w:gridSpan w:val="3"/>
            <w:vAlign w:val="center"/>
          </w:tcPr>
          <w:p w:rsidR="00CA3D60" w:rsidRPr="00CA3D60" w:rsidRDefault="00CA3D60" w:rsidP="00CA3D60">
            <w:pPr>
              <w:pStyle w:val="TableBodyText"/>
              <w:keepNext w:val="0"/>
            </w:pPr>
            <w:r w:rsidRPr="00CA3D60">
              <w:t xml:space="preserve">  27.7</w:t>
            </w:r>
          </w:p>
        </w:tc>
        <w:tc>
          <w:tcPr>
            <w:tcW w:w="389" w:type="pct"/>
            <w:shd w:val="clear" w:color="auto" w:fill="FFFFFF" w:themeFill="background1"/>
            <w:vAlign w:val="center"/>
          </w:tcPr>
          <w:p w:rsidR="00CA3D60" w:rsidRPr="00CA3D60" w:rsidRDefault="00CA3D60" w:rsidP="0098754C">
            <w:pPr>
              <w:pStyle w:val="TableBodyText"/>
              <w:keepNext w:val="0"/>
            </w:pPr>
            <w:r w:rsidRPr="00CA3D60">
              <w:t xml:space="preserve"> </w:t>
            </w:r>
            <w:r w:rsidR="0098754C">
              <w:t>5</w:t>
            </w:r>
            <w:r w:rsidRPr="00CA3D60">
              <w:t>2.0</w:t>
            </w:r>
          </w:p>
        </w:tc>
        <w:tc>
          <w:tcPr>
            <w:tcW w:w="429" w:type="pct"/>
          </w:tcPr>
          <w:p w:rsidR="00CA3D60" w:rsidRPr="00315910" w:rsidRDefault="00CA3D60" w:rsidP="00B54D7F">
            <w:pPr>
              <w:pStyle w:val="TableBodyText"/>
            </w:pPr>
            <w:r>
              <w:t>13A.28</w:t>
            </w:r>
          </w:p>
        </w:tc>
      </w:tr>
      <w:tr w:rsidR="00B54D7F" w:rsidRPr="00DC618B" w:rsidTr="00D902EF">
        <w:trPr>
          <w:trHeight w:val="228"/>
        </w:trPr>
        <w:tc>
          <w:tcPr>
            <w:tcW w:w="5000" w:type="pct"/>
            <w:gridSpan w:val="19"/>
          </w:tcPr>
          <w:p w:rsidR="00B54D7F" w:rsidRPr="00DC618B" w:rsidRDefault="00B54D7F" w:rsidP="00141F80">
            <w:pPr>
              <w:pStyle w:val="TableColumnHeading"/>
              <w:keepNext w:val="0"/>
              <w:ind w:left="57"/>
              <w:jc w:val="left"/>
            </w:pPr>
            <w:r w:rsidRPr="0039606C">
              <w:rPr>
                <w:i w:val="0"/>
              </w:rPr>
              <w:t>Access to residential aged care services by Indigenous</w:t>
            </w:r>
            <w:r w:rsidRPr="003F4C3B">
              <w:rPr>
                <w:i w:val="0"/>
              </w:rPr>
              <w:t xml:space="preserve"> </w:t>
            </w:r>
            <w:r w:rsidR="00141F80" w:rsidRPr="00C51941">
              <w:rPr>
                <w:i w:val="0"/>
              </w:rPr>
              <w:t>Australians</w:t>
            </w:r>
            <w:r w:rsidRPr="0039606C">
              <w:rPr>
                <w:i w:val="0"/>
              </w:rPr>
              <w:t xml:space="preserve"> —— Indigenous </w:t>
            </w:r>
            <w:r w:rsidR="000E6B3A" w:rsidRPr="0039606C">
              <w:rPr>
                <w:i w:val="0"/>
              </w:rPr>
              <w:t xml:space="preserve">aged care </w:t>
            </w:r>
            <w:r w:rsidR="000E6B3A">
              <w:rPr>
                <w:i w:val="0"/>
              </w:rPr>
              <w:t>recipients</w:t>
            </w:r>
            <w:r w:rsidRPr="0039606C">
              <w:rPr>
                <w:i w:val="0"/>
              </w:rPr>
              <w:t xml:space="preserve"> </w:t>
            </w:r>
            <w:r w:rsidR="000E6B3A" w:rsidRPr="0039606C">
              <w:rPr>
                <w:i w:val="0"/>
              </w:rPr>
              <w:t xml:space="preserve">per 1000 </w:t>
            </w:r>
            <w:r w:rsidR="000E6B3A">
              <w:rPr>
                <w:i w:val="0"/>
              </w:rPr>
              <w:t xml:space="preserve">Indigenous people aged 50 years or over, </w:t>
            </w:r>
            <w:r w:rsidR="006D5589">
              <w:rPr>
                <w:i w:val="0"/>
              </w:rPr>
              <w:t>2012-13</w:t>
            </w:r>
            <w:r w:rsidR="000E6B3A">
              <w:br/>
            </w:r>
            <w:r w:rsidR="002556E2" w:rsidRPr="002556E2">
              <w:rPr>
                <w:i w:val="0"/>
                <w:sz w:val="16"/>
                <w:szCs w:val="16"/>
              </w:rPr>
              <w:t>Most recent data for this measure are comparable and complete (chapter 13)</w:t>
            </w:r>
          </w:p>
        </w:tc>
      </w:tr>
      <w:tr w:rsidR="00D902EF" w:rsidRPr="00D650F0" w:rsidTr="00893614">
        <w:tc>
          <w:tcPr>
            <w:tcW w:w="858" w:type="pct"/>
          </w:tcPr>
          <w:p w:rsidR="00CA3D60" w:rsidRDefault="00CA3D60" w:rsidP="00237A88">
            <w:pPr>
              <w:pStyle w:val="TableBodyText"/>
              <w:keepNext w:val="0"/>
            </w:pPr>
            <w:r>
              <w:t>no.</w:t>
            </w:r>
          </w:p>
        </w:tc>
        <w:tc>
          <w:tcPr>
            <w:tcW w:w="564" w:type="pct"/>
            <w:gridSpan w:val="2"/>
            <w:vAlign w:val="center"/>
          </w:tcPr>
          <w:p w:rsidR="00CA3D60" w:rsidRPr="00CA3D60" w:rsidRDefault="00CA3D60" w:rsidP="00CA3D60">
            <w:pPr>
              <w:pStyle w:val="TableBodyText"/>
              <w:keepNext w:val="0"/>
            </w:pPr>
            <w:r w:rsidRPr="00CA3D60">
              <w:t xml:space="preserve">  12.8</w:t>
            </w:r>
          </w:p>
        </w:tc>
        <w:tc>
          <w:tcPr>
            <w:tcW w:w="354" w:type="pct"/>
            <w:vAlign w:val="center"/>
          </w:tcPr>
          <w:p w:rsidR="00CA3D60" w:rsidRPr="00CA3D60" w:rsidRDefault="00CA3D60" w:rsidP="00CA3D60">
            <w:pPr>
              <w:pStyle w:val="TableBodyText"/>
              <w:keepNext w:val="0"/>
            </w:pPr>
            <w:r w:rsidRPr="00CA3D60">
              <w:t xml:space="preserve">  27.2</w:t>
            </w:r>
          </w:p>
        </w:tc>
        <w:tc>
          <w:tcPr>
            <w:tcW w:w="358" w:type="pct"/>
            <w:gridSpan w:val="2"/>
            <w:vAlign w:val="center"/>
          </w:tcPr>
          <w:p w:rsidR="00CA3D60" w:rsidRPr="00CA3D60" w:rsidRDefault="00CA3D60" w:rsidP="00CA3D60">
            <w:pPr>
              <w:pStyle w:val="TableBodyText"/>
              <w:keepNext w:val="0"/>
            </w:pPr>
            <w:r w:rsidRPr="00CA3D60">
              <w:t xml:space="preserve">  19.3</w:t>
            </w:r>
          </w:p>
        </w:tc>
        <w:tc>
          <w:tcPr>
            <w:tcW w:w="358" w:type="pct"/>
            <w:gridSpan w:val="2"/>
            <w:vAlign w:val="center"/>
          </w:tcPr>
          <w:p w:rsidR="00CA3D60" w:rsidRPr="00CA3D60" w:rsidRDefault="00CA3D60" w:rsidP="00CA3D60">
            <w:pPr>
              <w:pStyle w:val="TableBodyText"/>
              <w:keepNext w:val="0"/>
            </w:pPr>
            <w:r w:rsidRPr="00CA3D60">
              <w:t xml:space="preserve">  28.5</w:t>
            </w:r>
          </w:p>
        </w:tc>
        <w:tc>
          <w:tcPr>
            <w:tcW w:w="360" w:type="pct"/>
            <w:gridSpan w:val="2"/>
            <w:vAlign w:val="center"/>
          </w:tcPr>
          <w:p w:rsidR="00CA3D60" w:rsidRPr="00CA3D60" w:rsidRDefault="00CA3D60" w:rsidP="00CA3D60">
            <w:pPr>
              <w:pStyle w:val="TableBodyText"/>
              <w:keepNext w:val="0"/>
            </w:pPr>
            <w:r w:rsidRPr="00CA3D60">
              <w:t xml:space="preserve">  42.2</w:t>
            </w:r>
          </w:p>
        </w:tc>
        <w:tc>
          <w:tcPr>
            <w:tcW w:w="362" w:type="pct"/>
            <w:gridSpan w:val="2"/>
            <w:vAlign w:val="center"/>
          </w:tcPr>
          <w:p w:rsidR="00CA3D60" w:rsidRPr="00CA3D60" w:rsidRDefault="00CA3D60" w:rsidP="00CA3D60">
            <w:pPr>
              <w:pStyle w:val="TableBodyText"/>
              <w:keepNext w:val="0"/>
            </w:pPr>
            <w:r w:rsidRPr="00CA3D60">
              <w:t xml:space="preserve">  7.8</w:t>
            </w:r>
          </w:p>
        </w:tc>
        <w:tc>
          <w:tcPr>
            <w:tcW w:w="527" w:type="pct"/>
            <w:gridSpan w:val="2"/>
            <w:vAlign w:val="center"/>
          </w:tcPr>
          <w:p w:rsidR="00CA3D60" w:rsidRPr="00CA3D60" w:rsidRDefault="00CA3D60" w:rsidP="00CA3D60">
            <w:pPr>
              <w:pStyle w:val="TableBodyText"/>
              <w:keepNext w:val="0"/>
            </w:pPr>
            <w:r w:rsidRPr="00CA3D60">
              <w:t xml:space="preserve">  5.0</w:t>
            </w:r>
          </w:p>
        </w:tc>
        <w:tc>
          <w:tcPr>
            <w:tcW w:w="441" w:type="pct"/>
            <w:gridSpan w:val="3"/>
            <w:vAlign w:val="center"/>
          </w:tcPr>
          <w:p w:rsidR="00CA3D60" w:rsidRPr="00CA3D60" w:rsidRDefault="00CA3D60" w:rsidP="00CA3D60">
            <w:pPr>
              <w:pStyle w:val="TableBodyText"/>
              <w:keepNext w:val="0"/>
            </w:pPr>
            <w:r w:rsidRPr="00CA3D60">
              <w:t xml:space="preserve">  30.8</w:t>
            </w:r>
          </w:p>
        </w:tc>
        <w:tc>
          <w:tcPr>
            <w:tcW w:w="389" w:type="pct"/>
            <w:vAlign w:val="center"/>
          </w:tcPr>
          <w:p w:rsidR="00CA3D60" w:rsidRPr="00CA3D60" w:rsidRDefault="00CA3D60" w:rsidP="00CA3D60">
            <w:pPr>
              <w:pStyle w:val="TableBodyText"/>
              <w:keepNext w:val="0"/>
            </w:pPr>
            <w:r w:rsidRPr="00CA3D60">
              <w:t xml:space="preserve">  21.0</w:t>
            </w:r>
          </w:p>
        </w:tc>
        <w:tc>
          <w:tcPr>
            <w:tcW w:w="429" w:type="pct"/>
            <w:shd w:val="clear" w:color="auto" w:fill="auto"/>
          </w:tcPr>
          <w:p w:rsidR="00CA3D60" w:rsidRPr="00315910" w:rsidRDefault="00CA3D60" w:rsidP="00CA3D60">
            <w:pPr>
              <w:pStyle w:val="TableBodyText"/>
              <w:keepNext w:val="0"/>
            </w:pPr>
            <w:r>
              <w:t>13A.33</w:t>
            </w:r>
          </w:p>
        </w:tc>
      </w:tr>
      <w:tr w:rsidR="00B54D7F" w:rsidRPr="00DC618B" w:rsidTr="00D902EF">
        <w:trPr>
          <w:trHeight w:val="273"/>
        </w:trPr>
        <w:tc>
          <w:tcPr>
            <w:tcW w:w="5000" w:type="pct"/>
            <w:gridSpan w:val="19"/>
            <w:shd w:val="clear" w:color="auto" w:fill="auto"/>
          </w:tcPr>
          <w:p w:rsidR="00B54D7F" w:rsidRPr="0039606C" w:rsidRDefault="00B54D7F" w:rsidP="00A12F65">
            <w:pPr>
              <w:pStyle w:val="TableColumnHeading"/>
              <w:keepNext w:val="0"/>
              <w:jc w:val="left"/>
              <w:rPr>
                <w:i w:val="0"/>
                <w:sz w:val="16"/>
                <w:szCs w:val="16"/>
              </w:rPr>
            </w:pPr>
            <w:r w:rsidRPr="0039606C">
              <w:rPr>
                <w:i w:val="0"/>
              </w:rPr>
              <w:t xml:space="preserve">Veterans in residential care per 1000 eligible veterans </w:t>
            </w:r>
            <w:r w:rsidR="00A12F65">
              <w:rPr>
                <w:i w:val="0"/>
              </w:rPr>
              <w:t>65</w:t>
            </w:r>
            <w:r w:rsidRPr="0039606C">
              <w:rPr>
                <w:i w:val="0"/>
              </w:rPr>
              <w:t xml:space="preserve"> years or over</w:t>
            </w:r>
            <w:r w:rsidR="000E6B3A">
              <w:rPr>
                <w:i w:val="0"/>
              </w:rPr>
              <w:t xml:space="preserve">, </w:t>
            </w:r>
            <w:r w:rsidR="006D5589">
              <w:rPr>
                <w:i w:val="0"/>
              </w:rPr>
              <w:t>2012-13</w:t>
            </w:r>
            <w:r w:rsidR="00B42326" w:rsidRPr="0039606C">
              <w:rPr>
                <w:i w:val="0"/>
                <w:sz w:val="16"/>
                <w:szCs w:val="16"/>
              </w:rPr>
              <w:br/>
            </w:r>
            <w:r w:rsidR="002556E2" w:rsidRPr="002556E2">
              <w:rPr>
                <w:i w:val="0"/>
                <w:sz w:val="16"/>
                <w:szCs w:val="16"/>
              </w:rPr>
              <w:t>Most recent data for this measure are comparable and complete (chapter 13)</w:t>
            </w:r>
          </w:p>
        </w:tc>
      </w:tr>
      <w:tr w:rsidR="00D902EF" w:rsidTr="00893614">
        <w:tc>
          <w:tcPr>
            <w:tcW w:w="858" w:type="pct"/>
            <w:shd w:val="clear" w:color="auto" w:fill="auto"/>
          </w:tcPr>
          <w:p w:rsidR="00A12F65" w:rsidRDefault="00A12F65" w:rsidP="00237A88">
            <w:pPr>
              <w:pStyle w:val="TableBodyText"/>
              <w:keepNext w:val="0"/>
            </w:pPr>
            <w:r>
              <w:t>no.</w:t>
            </w:r>
          </w:p>
        </w:tc>
        <w:tc>
          <w:tcPr>
            <w:tcW w:w="564" w:type="pct"/>
            <w:gridSpan w:val="2"/>
            <w:shd w:val="clear" w:color="auto" w:fill="auto"/>
            <w:vAlign w:val="center"/>
          </w:tcPr>
          <w:p w:rsidR="00A12F65" w:rsidRPr="00A12F65" w:rsidRDefault="00A12F65" w:rsidP="00A12F65">
            <w:pPr>
              <w:pStyle w:val="TableBodyText"/>
              <w:keepNext w:val="0"/>
            </w:pPr>
            <w:r w:rsidRPr="00A12F65">
              <w:t>170.3</w:t>
            </w:r>
          </w:p>
        </w:tc>
        <w:tc>
          <w:tcPr>
            <w:tcW w:w="354" w:type="pct"/>
            <w:shd w:val="clear" w:color="auto" w:fill="auto"/>
            <w:vAlign w:val="center"/>
          </w:tcPr>
          <w:p w:rsidR="00A12F65" w:rsidRPr="00A12F65" w:rsidRDefault="00A12F65" w:rsidP="00A12F65">
            <w:pPr>
              <w:pStyle w:val="TableBodyText"/>
              <w:keepNext w:val="0"/>
            </w:pPr>
            <w:r w:rsidRPr="00A12F65">
              <w:t>174.6</w:t>
            </w:r>
          </w:p>
        </w:tc>
        <w:tc>
          <w:tcPr>
            <w:tcW w:w="358" w:type="pct"/>
            <w:gridSpan w:val="2"/>
            <w:shd w:val="clear" w:color="auto" w:fill="auto"/>
            <w:vAlign w:val="center"/>
          </w:tcPr>
          <w:p w:rsidR="00A12F65" w:rsidRPr="00A12F65" w:rsidRDefault="00A12F65" w:rsidP="00A12F65">
            <w:pPr>
              <w:pStyle w:val="TableBodyText"/>
              <w:keepNext w:val="0"/>
            </w:pPr>
            <w:r w:rsidRPr="00A12F65">
              <w:t>133.7</w:t>
            </w:r>
          </w:p>
        </w:tc>
        <w:tc>
          <w:tcPr>
            <w:tcW w:w="358" w:type="pct"/>
            <w:gridSpan w:val="2"/>
            <w:shd w:val="clear" w:color="auto" w:fill="auto"/>
            <w:vAlign w:val="center"/>
          </w:tcPr>
          <w:p w:rsidR="00A12F65" w:rsidRPr="00A12F65" w:rsidRDefault="00A12F65" w:rsidP="00A12F65">
            <w:pPr>
              <w:pStyle w:val="TableBodyText"/>
              <w:keepNext w:val="0"/>
            </w:pPr>
            <w:r w:rsidRPr="00A12F65">
              <w:t>135.5</w:t>
            </w:r>
          </w:p>
        </w:tc>
        <w:tc>
          <w:tcPr>
            <w:tcW w:w="360" w:type="pct"/>
            <w:gridSpan w:val="2"/>
            <w:shd w:val="clear" w:color="auto" w:fill="auto"/>
            <w:vAlign w:val="center"/>
          </w:tcPr>
          <w:p w:rsidR="00A12F65" w:rsidRPr="00A12F65" w:rsidRDefault="00A12F65" w:rsidP="00A12F65">
            <w:pPr>
              <w:pStyle w:val="TableBodyText"/>
              <w:keepNext w:val="0"/>
            </w:pPr>
            <w:r w:rsidRPr="00A12F65">
              <w:t>172.9</w:t>
            </w:r>
          </w:p>
        </w:tc>
        <w:tc>
          <w:tcPr>
            <w:tcW w:w="362" w:type="pct"/>
            <w:gridSpan w:val="2"/>
            <w:shd w:val="clear" w:color="auto" w:fill="auto"/>
            <w:vAlign w:val="center"/>
          </w:tcPr>
          <w:p w:rsidR="00A12F65" w:rsidRPr="00A12F65" w:rsidRDefault="00A12F65" w:rsidP="00A12F65">
            <w:pPr>
              <w:pStyle w:val="TableBodyText"/>
              <w:keepNext w:val="0"/>
            </w:pPr>
            <w:r w:rsidRPr="00A12F65">
              <w:t>151.6</w:t>
            </w:r>
          </w:p>
        </w:tc>
        <w:tc>
          <w:tcPr>
            <w:tcW w:w="527" w:type="pct"/>
            <w:gridSpan w:val="2"/>
            <w:shd w:val="clear" w:color="auto" w:fill="auto"/>
            <w:vAlign w:val="center"/>
          </w:tcPr>
          <w:p w:rsidR="00A12F65" w:rsidRPr="00A12F65" w:rsidRDefault="00A12F65" w:rsidP="00A12F65">
            <w:pPr>
              <w:pStyle w:val="TableBodyText"/>
              <w:keepNext w:val="0"/>
            </w:pPr>
            <w:r w:rsidRPr="00A12F65">
              <w:t>108.0</w:t>
            </w:r>
          </w:p>
        </w:tc>
        <w:tc>
          <w:tcPr>
            <w:tcW w:w="433" w:type="pct"/>
            <w:gridSpan w:val="2"/>
            <w:shd w:val="clear" w:color="auto" w:fill="auto"/>
            <w:vAlign w:val="center"/>
          </w:tcPr>
          <w:p w:rsidR="00A12F65" w:rsidRPr="00A12F65" w:rsidRDefault="00A12F65" w:rsidP="00A12F65">
            <w:pPr>
              <w:pStyle w:val="TableBodyText"/>
              <w:keepNext w:val="0"/>
            </w:pPr>
            <w:r w:rsidRPr="00A12F65">
              <w:t>48.3</w:t>
            </w:r>
          </w:p>
        </w:tc>
        <w:tc>
          <w:tcPr>
            <w:tcW w:w="397" w:type="pct"/>
            <w:gridSpan w:val="2"/>
            <w:shd w:val="clear" w:color="auto" w:fill="auto"/>
            <w:vAlign w:val="center"/>
          </w:tcPr>
          <w:p w:rsidR="00A12F65" w:rsidRPr="00A12F65" w:rsidRDefault="00A12F65" w:rsidP="00A12F65">
            <w:pPr>
              <w:pStyle w:val="TableBodyText"/>
              <w:keepNext w:val="0"/>
            </w:pPr>
            <w:r w:rsidRPr="00A12F65">
              <w:t>158.0</w:t>
            </w:r>
          </w:p>
        </w:tc>
        <w:tc>
          <w:tcPr>
            <w:tcW w:w="429" w:type="pct"/>
          </w:tcPr>
          <w:p w:rsidR="00A12F65" w:rsidRPr="00315910" w:rsidRDefault="00A12F65" w:rsidP="00237A88">
            <w:pPr>
              <w:pStyle w:val="TableBodyText"/>
              <w:keepNext w:val="0"/>
            </w:pPr>
            <w:r>
              <w:t>13A.1</w:t>
            </w:r>
            <w:r w:rsidRPr="00315910">
              <w:t>4</w:t>
            </w:r>
          </w:p>
        </w:tc>
      </w:tr>
      <w:tr w:rsidR="000E6B3A" w:rsidTr="00D902EF">
        <w:tc>
          <w:tcPr>
            <w:tcW w:w="5000" w:type="pct"/>
            <w:gridSpan w:val="19"/>
            <w:shd w:val="clear" w:color="auto" w:fill="auto"/>
          </w:tcPr>
          <w:p w:rsidR="000E6B3A" w:rsidRDefault="000E6B3A" w:rsidP="00EE4CAC">
            <w:pPr>
              <w:pStyle w:val="TableBodyText"/>
              <w:keepNext w:val="0"/>
              <w:jc w:val="left"/>
            </w:pPr>
            <w:r>
              <w:t xml:space="preserve">Access to the HACC program </w:t>
            </w:r>
            <w:r w:rsidRPr="0039606C">
              <w:t xml:space="preserve">—— </w:t>
            </w:r>
            <w:r w:rsidR="00242C73" w:rsidRPr="00E950AB">
              <w:t xml:space="preserve">service hours per 1000 people aged </w:t>
            </w:r>
            <w:r w:rsidR="00EE4CAC">
              <w:t>65</w:t>
            </w:r>
            <w:r w:rsidR="00242C73" w:rsidRPr="00E950AB">
              <w:t xml:space="preserve"> years or over </w:t>
            </w:r>
            <w:r w:rsidR="004E224C">
              <w:t xml:space="preserve">and </w:t>
            </w:r>
            <w:r w:rsidR="00242C73" w:rsidRPr="00E950AB">
              <w:t xml:space="preserve">Indigenous </w:t>
            </w:r>
            <w:r w:rsidR="00242C73" w:rsidRPr="001B4A10">
              <w:t>people aged 50–6</w:t>
            </w:r>
            <w:r w:rsidR="00EE4CAC">
              <w:t>4</w:t>
            </w:r>
            <w:r w:rsidR="00242C73" w:rsidRPr="001B4A10">
              <w:t xml:space="preserve"> years</w:t>
            </w:r>
            <w:r w:rsidRPr="000E6B3A">
              <w:t xml:space="preserve">, </w:t>
            </w:r>
            <w:r w:rsidR="006D5589">
              <w:t>2012-13</w:t>
            </w:r>
            <w:r w:rsidR="00EE4CAC" w:rsidRPr="00242C73">
              <w:t xml:space="preserve"> </w:t>
            </w:r>
            <w:r w:rsidR="00242C73" w:rsidRPr="00242C73">
              <w:t>(no.)</w:t>
            </w:r>
          </w:p>
          <w:p w:rsidR="00B05754" w:rsidRDefault="002556E2" w:rsidP="00EE4CAC">
            <w:pPr>
              <w:pStyle w:val="TableBodyText"/>
              <w:keepNext w:val="0"/>
              <w:jc w:val="left"/>
            </w:pPr>
            <w:r w:rsidRPr="002556E2">
              <w:rPr>
                <w:sz w:val="16"/>
                <w:szCs w:val="16"/>
              </w:rPr>
              <w:t xml:space="preserve">Most recent data for this measure are comparable </w:t>
            </w:r>
            <w:r>
              <w:rPr>
                <w:i/>
                <w:sz w:val="16"/>
                <w:szCs w:val="16"/>
              </w:rPr>
              <w:t xml:space="preserve">and complete </w:t>
            </w:r>
            <w:r w:rsidRPr="009577B4">
              <w:rPr>
                <w:i/>
                <w:sz w:val="16"/>
                <w:szCs w:val="16"/>
              </w:rPr>
              <w:t>(chapter </w:t>
            </w:r>
            <w:r>
              <w:rPr>
                <w:i/>
                <w:sz w:val="16"/>
                <w:szCs w:val="16"/>
              </w:rPr>
              <w:t>13</w:t>
            </w:r>
            <w:r w:rsidRPr="009577B4">
              <w:rPr>
                <w:i/>
                <w:sz w:val="16"/>
                <w:szCs w:val="16"/>
              </w:rPr>
              <w:t>)</w:t>
            </w:r>
          </w:p>
        </w:tc>
      </w:tr>
      <w:tr w:rsidR="00D902EF" w:rsidTr="00F150BD">
        <w:tc>
          <w:tcPr>
            <w:tcW w:w="858" w:type="pct"/>
            <w:shd w:val="clear" w:color="auto" w:fill="auto"/>
            <w:vAlign w:val="center"/>
          </w:tcPr>
          <w:p w:rsidR="00A12F65" w:rsidRDefault="00A12F65" w:rsidP="00237A88">
            <w:pPr>
              <w:pStyle w:val="TableBodyText"/>
              <w:keepNext w:val="0"/>
              <w:jc w:val="left"/>
            </w:pPr>
            <w:r>
              <w:t>Major cities</w:t>
            </w:r>
          </w:p>
        </w:tc>
        <w:tc>
          <w:tcPr>
            <w:tcW w:w="508" w:type="pct"/>
            <w:shd w:val="clear" w:color="auto" w:fill="auto"/>
            <w:vAlign w:val="center"/>
          </w:tcPr>
          <w:p w:rsidR="00A12F65" w:rsidRPr="00A12F65" w:rsidRDefault="00A12F65" w:rsidP="00270756">
            <w:pPr>
              <w:pStyle w:val="TableBodyText"/>
              <w:rPr>
                <w:sz w:val="16"/>
                <w:szCs w:val="16"/>
              </w:rPr>
            </w:pPr>
            <w:r w:rsidRPr="00A12F65">
              <w:rPr>
                <w:sz w:val="16"/>
                <w:szCs w:val="16"/>
              </w:rPr>
              <w:t xml:space="preserve"> 8 836</w:t>
            </w:r>
          </w:p>
        </w:tc>
        <w:tc>
          <w:tcPr>
            <w:tcW w:w="508" w:type="pct"/>
            <w:gridSpan w:val="3"/>
            <w:shd w:val="clear" w:color="auto" w:fill="auto"/>
            <w:vAlign w:val="center"/>
          </w:tcPr>
          <w:p w:rsidR="00A12F65" w:rsidRPr="00A12F65" w:rsidRDefault="00A12F65" w:rsidP="00270756">
            <w:pPr>
              <w:pStyle w:val="TableBodyText"/>
              <w:rPr>
                <w:sz w:val="16"/>
                <w:szCs w:val="16"/>
              </w:rPr>
            </w:pPr>
            <w:r w:rsidRPr="00A12F65">
              <w:rPr>
                <w:sz w:val="16"/>
                <w:szCs w:val="16"/>
              </w:rPr>
              <w:t>10 526</w:t>
            </w:r>
          </w:p>
        </w:tc>
        <w:tc>
          <w:tcPr>
            <w:tcW w:w="348" w:type="pct"/>
            <w:gridSpan w:val="2"/>
            <w:shd w:val="clear" w:color="auto" w:fill="auto"/>
            <w:vAlign w:val="center"/>
          </w:tcPr>
          <w:p w:rsidR="00A12F65" w:rsidRPr="00A12F65" w:rsidRDefault="00A12F65" w:rsidP="00270756">
            <w:pPr>
              <w:pStyle w:val="TableBodyText"/>
              <w:rPr>
                <w:sz w:val="16"/>
                <w:szCs w:val="16"/>
              </w:rPr>
            </w:pPr>
            <w:r w:rsidRPr="00A12F65">
              <w:rPr>
                <w:sz w:val="16"/>
                <w:szCs w:val="16"/>
              </w:rPr>
              <w:t>11 579</w:t>
            </w:r>
          </w:p>
        </w:tc>
        <w:tc>
          <w:tcPr>
            <w:tcW w:w="350" w:type="pct"/>
            <w:gridSpan w:val="2"/>
            <w:shd w:val="clear" w:color="auto" w:fill="auto"/>
            <w:vAlign w:val="center"/>
          </w:tcPr>
          <w:p w:rsidR="00A12F65" w:rsidRPr="00A12F65" w:rsidRDefault="00A12F65" w:rsidP="00270756">
            <w:pPr>
              <w:pStyle w:val="TableBodyText"/>
              <w:rPr>
                <w:sz w:val="16"/>
                <w:szCs w:val="16"/>
              </w:rPr>
            </w:pPr>
            <w:r w:rsidRPr="00A12F65">
              <w:rPr>
                <w:sz w:val="16"/>
                <w:szCs w:val="16"/>
              </w:rPr>
              <w:t>10 258</w:t>
            </w:r>
          </w:p>
        </w:tc>
        <w:tc>
          <w:tcPr>
            <w:tcW w:w="349" w:type="pct"/>
            <w:gridSpan w:val="2"/>
            <w:shd w:val="clear" w:color="auto" w:fill="auto"/>
            <w:vAlign w:val="center"/>
          </w:tcPr>
          <w:p w:rsidR="00A12F65" w:rsidRPr="00A12F65" w:rsidRDefault="00A12F65" w:rsidP="00270756">
            <w:pPr>
              <w:pStyle w:val="TableBodyText"/>
              <w:rPr>
                <w:sz w:val="16"/>
                <w:szCs w:val="16"/>
              </w:rPr>
            </w:pPr>
            <w:r w:rsidRPr="00A12F65">
              <w:rPr>
                <w:sz w:val="16"/>
                <w:szCs w:val="16"/>
              </w:rPr>
              <w:t>11 308</w:t>
            </w:r>
          </w:p>
        </w:tc>
        <w:tc>
          <w:tcPr>
            <w:tcW w:w="462" w:type="pct"/>
            <w:gridSpan w:val="2"/>
            <w:shd w:val="clear" w:color="auto" w:fill="auto"/>
            <w:vAlign w:val="center"/>
          </w:tcPr>
          <w:p w:rsidR="00A12F65" w:rsidRPr="00A12F65" w:rsidRDefault="00A12F65" w:rsidP="00270756">
            <w:pPr>
              <w:pStyle w:val="TableBodyText"/>
              <w:rPr>
                <w:sz w:val="16"/>
                <w:szCs w:val="16"/>
              </w:rPr>
            </w:pPr>
            <w:r w:rsidRPr="00A12F65">
              <w:rPr>
                <w:sz w:val="16"/>
                <w:szCs w:val="16"/>
              </w:rPr>
              <w:t>..</w:t>
            </w:r>
          </w:p>
        </w:tc>
        <w:tc>
          <w:tcPr>
            <w:tcW w:w="425" w:type="pct"/>
            <w:gridSpan w:val="2"/>
            <w:shd w:val="clear" w:color="auto" w:fill="auto"/>
            <w:vAlign w:val="center"/>
          </w:tcPr>
          <w:p w:rsidR="00A12F65" w:rsidRPr="00A12F65" w:rsidRDefault="00A12F65" w:rsidP="00270756">
            <w:pPr>
              <w:pStyle w:val="TableBodyText"/>
              <w:rPr>
                <w:sz w:val="16"/>
                <w:szCs w:val="16"/>
              </w:rPr>
            </w:pPr>
            <w:r w:rsidRPr="00A12F65">
              <w:rPr>
                <w:sz w:val="16"/>
                <w:szCs w:val="16"/>
              </w:rPr>
              <w:t xml:space="preserve"> 8 606</w:t>
            </w:r>
          </w:p>
        </w:tc>
        <w:tc>
          <w:tcPr>
            <w:tcW w:w="366" w:type="pct"/>
            <w:shd w:val="clear" w:color="auto" w:fill="auto"/>
            <w:vAlign w:val="center"/>
          </w:tcPr>
          <w:p w:rsidR="00A12F65" w:rsidRPr="00A12F65" w:rsidRDefault="00A12F65" w:rsidP="00270756">
            <w:pPr>
              <w:pStyle w:val="TableBodyText"/>
              <w:rPr>
                <w:sz w:val="16"/>
                <w:szCs w:val="16"/>
              </w:rPr>
            </w:pPr>
            <w:r w:rsidRPr="00A12F65">
              <w:rPr>
                <w:sz w:val="16"/>
                <w:szCs w:val="16"/>
              </w:rPr>
              <w:t>..</w:t>
            </w:r>
          </w:p>
        </w:tc>
        <w:tc>
          <w:tcPr>
            <w:tcW w:w="397" w:type="pct"/>
            <w:gridSpan w:val="2"/>
            <w:vAlign w:val="center"/>
          </w:tcPr>
          <w:p w:rsidR="00A12F65" w:rsidRPr="00A12F65" w:rsidRDefault="00A12F65" w:rsidP="00A12F65">
            <w:pPr>
              <w:pStyle w:val="TableBodyText"/>
              <w:rPr>
                <w:sz w:val="16"/>
                <w:szCs w:val="16"/>
              </w:rPr>
            </w:pPr>
            <w:r w:rsidRPr="00A12F65">
              <w:rPr>
                <w:sz w:val="16"/>
                <w:szCs w:val="16"/>
              </w:rPr>
              <w:t xml:space="preserve"> 10 130</w:t>
            </w:r>
          </w:p>
        </w:tc>
        <w:tc>
          <w:tcPr>
            <w:tcW w:w="429" w:type="pct"/>
            <w:vAlign w:val="center"/>
          </w:tcPr>
          <w:p w:rsidR="00A12F65" w:rsidRPr="00237A88" w:rsidRDefault="00A12F65" w:rsidP="00A12F65">
            <w:pPr>
              <w:pStyle w:val="TableBodyText"/>
              <w:keepNext w:val="0"/>
              <w:pBdr>
                <w:left w:val="single" w:sz="24" w:space="12" w:color="C0C0C0"/>
              </w:pBdr>
            </w:pPr>
            <w:r w:rsidRPr="00237A88">
              <w:t>13A.</w:t>
            </w:r>
            <w:r>
              <w:t>48</w:t>
            </w:r>
          </w:p>
        </w:tc>
      </w:tr>
      <w:tr w:rsidR="00F150BD" w:rsidTr="00F87984">
        <w:tc>
          <w:tcPr>
            <w:tcW w:w="858" w:type="pct"/>
            <w:shd w:val="clear" w:color="auto" w:fill="auto"/>
            <w:vAlign w:val="center"/>
          </w:tcPr>
          <w:p w:rsidR="00F150BD" w:rsidRDefault="00F150BD" w:rsidP="00237A88">
            <w:pPr>
              <w:pStyle w:val="TableBodyText"/>
              <w:keepNext w:val="0"/>
              <w:jc w:val="left"/>
            </w:pPr>
            <w:r>
              <w:t>Inner regional</w:t>
            </w:r>
          </w:p>
        </w:tc>
        <w:tc>
          <w:tcPr>
            <w:tcW w:w="508" w:type="pct"/>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7 438</w:t>
            </w:r>
          </w:p>
        </w:tc>
        <w:tc>
          <w:tcPr>
            <w:tcW w:w="508" w:type="pct"/>
            <w:gridSpan w:val="3"/>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11 973</w:t>
            </w:r>
          </w:p>
        </w:tc>
        <w:tc>
          <w:tcPr>
            <w:tcW w:w="348"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9 211</w:t>
            </w:r>
          </w:p>
        </w:tc>
        <w:tc>
          <w:tcPr>
            <w:tcW w:w="350"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10 922</w:t>
            </w:r>
          </w:p>
        </w:tc>
        <w:tc>
          <w:tcPr>
            <w:tcW w:w="349"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7 667</w:t>
            </w:r>
          </w:p>
        </w:tc>
        <w:tc>
          <w:tcPr>
            <w:tcW w:w="462"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11 201</w:t>
            </w:r>
          </w:p>
        </w:tc>
        <w:tc>
          <w:tcPr>
            <w:tcW w:w="425"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w:t>
            </w:r>
          </w:p>
        </w:tc>
        <w:tc>
          <w:tcPr>
            <w:tcW w:w="366" w:type="pct"/>
            <w:shd w:val="clear" w:color="auto" w:fill="FFFFFF" w:themeFill="background1"/>
          </w:tcPr>
          <w:p w:rsidR="00F150BD" w:rsidRPr="00F150BD" w:rsidRDefault="00F150BD" w:rsidP="00F150BD">
            <w:pPr>
              <w:pStyle w:val="TableBodyText"/>
              <w:rPr>
                <w:sz w:val="16"/>
                <w:szCs w:val="16"/>
              </w:rPr>
            </w:pPr>
            <w:r w:rsidRPr="00F150BD">
              <w:rPr>
                <w:sz w:val="16"/>
                <w:szCs w:val="16"/>
              </w:rPr>
              <w:t>..</w:t>
            </w:r>
          </w:p>
        </w:tc>
        <w:tc>
          <w:tcPr>
            <w:tcW w:w="397"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9 414</w:t>
            </w:r>
          </w:p>
        </w:tc>
        <w:tc>
          <w:tcPr>
            <w:tcW w:w="429" w:type="pct"/>
            <w:vAlign w:val="center"/>
          </w:tcPr>
          <w:p w:rsidR="00F150BD" w:rsidRPr="00237A88" w:rsidRDefault="00F150BD" w:rsidP="00A12F65">
            <w:pPr>
              <w:pStyle w:val="TableBodyText"/>
              <w:keepNext w:val="0"/>
              <w:pBdr>
                <w:left w:val="single" w:sz="24" w:space="12" w:color="C0C0C0"/>
              </w:pBdr>
            </w:pPr>
            <w:r w:rsidRPr="00237A88">
              <w:t>13A.</w:t>
            </w:r>
            <w:r>
              <w:t>49</w:t>
            </w:r>
          </w:p>
        </w:tc>
      </w:tr>
      <w:tr w:rsidR="00F150BD" w:rsidTr="00F87984">
        <w:tc>
          <w:tcPr>
            <w:tcW w:w="858" w:type="pct"/>
            <w:shd w:val="clear" w:color="auto" w:fill="auto"/>
            <w:vAlign w:val="center"/>
          </w:tcPr>
          <w:p w:rsidR="00F150BD" w:rsidRDefault="00F150BD" w:rsidP="00D902EF">
            <w:pPr>
              <w:pStyle w:val="TableBodyText"/>
              <w:keepNext w:val="0"/>
              <w:pBdr>
                <w:left w:val="single" w:sz="24" w:space="12" w:color="C0C0C0"/>
              </w:pBdr>
              <w:jc w:val="left"/>
            </w:pPr>
            <w:r>
              <w:t>Outer regional</w:t>
            </w:r>
          </w:p>
        </w:tc>
        <w:tc>
          <w:tcPr>
            <w:tcW w:w="508" w:type="pct"/>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9 136</w:t>
            </w:r>
          </w:p>
        </w:tc>
        <w:tc>
          <w:tcPr>
            <w:tcW w:w="508" w:type="pct"/>
            <w:gridSpan w:val="3"/>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15 364</w:t>
            </w:r>
          </w:p>
        </w:tc>
        <w:tc>
          <w:tcPr>
            <w:tcW w:w="348"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11 004</w:t>
            </w:r>
          </w:p>
        </w:tc>
        <w:tc>
          <w:tcPr>
            <w:tcW w:w="350"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12 296</w:t>
            </w:r>
          </w:p>
        </w:tc>
        <w:tc>
          <w:tcPr>
            <w:tcW w:w="349"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10 655</w:t>
            </w:r>
          </w:p>
        </w:tc>
        <w:tc>
          <w:tcPr>
            <w:tcW w:w="462"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8 685</w:t>
            </w:r>
          </w:p>
        </w:tc>
        <w:tc>
          <w:tcPr>
            <w:tcW w:w="425"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w:t>
            </w:r>
          </w:p>
        </w:tc>
        <w:tc>
          <w:tcPr>
            <w:tcW w:w="366" w:type="pct"/>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3 027</w:t>
            </w:r>
          </w:p>
        </w:tc>
        <w:tc>
          <w:tcPr>
            <w:tcW w:w="397" w:type="pct"/>
            <w:gridSpan w:val="2"/>
            <w:shd w:val="clear" w:color="auto" w:fill="FFFFFF" w:themeFill="background1"/>
          </w:tcPr>
          <w:p w:rsidR="00F150BD" w:rsidRPr="00F150BD" w:rsidRDefault="00F150BD" w:rsidP="00F150BD">
            <w:pPr>
              <w:pStyle w:val="TableBodyText"/>
              <w:rPr>
                <w:sz w:val="16"/>
                <w:szCs w:val="16"/>
              </w:rPr>
            </w:pPr>
            <w:r w:rsidRPr="00F150BD">
              <w:rPr>
                <w:sz w:val="16"/>
                <w:szCs w:val="16"/>
              </w:rPr>
              <w:t xml:space="preserve"> 10 737</w:t>
            </w:r>
          </w:p>
        </w:tc>
        <w:tc>
          <w:tcPr>
            <w:tcW w:w="429" w:type="pct"/>
            <w:vAlign w:val="center"/>
          </w:tcPr>
          <w:p w:rsidR="00F150BD" w:rsidRPr="00237A88" w:rsidRDefault="00F150BD" w:rsidP="00D902EF">
            <w:pPr>
              <w:pStyle w:val="TableBodyText"/>
              <w:keepNext w:val="0"/>
              <w:pBdr>
                <w:left w:val="single" w:sz="24" w:space="12" w:color="C0C0C0"/>
              </w:pBdr>
            </w:pPr>
            <w:r w:rsidRPr="00237A88">
              <w:t>13A.</w:t>
            </w:r>
            <w:r>
              <w:t>50</w:t>
            </w:r>
          </w:p>
        </w:tc>
      </w:tr>
      <w:tr w:rsidR="00F150BD" w:rsidTr="00F87984">
        <w:tc>
          <w:tcPr>
            <w:tcW w:w="858" w:type="pct"/>
            <w:shd w:val="clear" w:color="auto" w:fill="auto"/>
            <w:vAlign w:val="center"/>
          </w:tcPr>
          <w:p w:rsidR="00F150BD" w:rsidRDefault="00F150BD" w:rsidP="00D902EF">
            <w:pPr>
              <w:pStyle w:val="TableBodyText"/>
              <w:keepNext w:val="0"/>
              <w:pBdr>
                <w:left w:val="single" w:sz="24" w:space="12" w:color="C0C0C0"/>
              </w:pBdr>
              <w:jc w:val="left"/>
            </w:pPr>
            <w:r>
              <w:t>Remote</w:t>
            </w:r>
          </w:p>
        </w:tc>
        <w:tc>
          <w:tcPr>
            <w:tcW w:w="508" w:type="pct"/>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12 468</w:t>
            </w:r>
          </w:p>
        </w:tc>
        <w:tc>
          <w:tcPr>
            <w:tcW w:w="508" w:type="pct"/>
            <w:gridSpan w:val="3"/>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24 321</w:t>
            </w:r>
          </w:p>
        </w:tc>
        <w:tc>
          <w:tcPr>
            <w:tcW w:w="348"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14 671</w:t>
            </w:r>
          </w:p>
        </w:tc>
        <w:tc>
          <w:tcPr>
            <w:tcW w:w="350"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10 659</w:t>
            </w:r>
          </w:p>
        </w:tc>
        <w:tc>
          <w:tcPr>
            <w:tcW w:w="349"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11 757</w:t>
            </w:r>
          </w:p>
        </w:tc>
        <w:tc>
          <w:tcPr>
            <w:tcW w:w="462"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7 094</w:t>
            </w:r>
          </w:p>
        </w:tc>
        <w:tc>
          <w:tcPr>
            <w:tcW w:w="425"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w:t>
            </w:r>
          </w:p>
        </w:tc>
        <w:tc>
          <w:tcPr>
            <w:tcW w:w="366" w:type="pct"/>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4 518</w:t>
            </w:r>
          </w:p>
        </w:tc>
        <w:tc>
          <w:tcPr>
            <w:tcW w:w="397"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11 591</w:t>
            </w:r>
          </w:p>
        </w:tc>
        <w:tc>
          <w:tcPr>
            <w:tcW w:w="429" w:type="pct"/>
            <w:vAlign w:val="center"/>
          </w:tcPr>
          <w:p w:rsidR="00F150BD" w:rsidRPr="00237A88" w:rsidRDefault="00F150BD" w:rsidP="00D902EF">
            <w:pPr>
              <w:pStyle w:val="TableBodyText"/>
              <w:keepNext w:val="0"/>
              <w:pBdr>
                <w:left w:val="single" w:sz="24" w:space="12" w:color="C0C0C0"/>
              </w:pBdr>
            </w:pPr>
            <w:r w:rsidRPr="00237A88">
              <w:t>13A.</w:t>
            </w:r>
            <w:r>
              <w:t>51</w:t>
            </w:r>
          </w:p>
        </w:tc>
      </w:tr>
      <w:tr w:rsidR="00F150BD" w:rsidTr="00F87984">
        <w:trPr>
          <w:trHeight w:val="207"/>
        </w:trPr>
        <w:tc>
          <w:tcPr>
            <w:tcW w:w="858" w:type="pct"/>
            <w:shd w:val="clear" w:color="auto" w:fill="auto"/>
            <w:vAlign w:val="center"/>
          </w:tcPr>
          <w:p w:rsidR="00F150BD" w:rsidRDefault="00F150BD" w:rsidP="00D902EF">
            <w:pPr>
              <w:pStyle w:val="TableBodyText"/>
              <w:keepNext w:val="0"/>
              <w:pBdr>
                <w:left w:val="single" w:sz="24" w:space="12" w:color="C0C0C0"/>
              </w:pBdr>
              <w:jc w:val="left"/>
            </w:pPr>
            <w:r>
              <w:t>Very remote</w:t>
            </w:r>
          </w:p>
        </w:tc>
        <w:tc>
          <w:tcPr>
            <w:tcW w:w="508" w:type="pct"/>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11 498</w:t>
            </w:r>
          </w:p>
        </w:tc>
        <w:tc>
          <w:tcPr>
            <w:tcW w:w="508" w:type="pct"/>
            <w:gridSpan w:val="3"/>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w:t>
            </w:r>
          </w:p>
        </w:tc>
        <w:tc>
          <w:tcPr>
            <w:tcW w:w="348"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13 536</w:t>
            </w:r>
          </w:p>
        </w:tc>
        <w:tc>
          <w:tcPr>
            <w:tcW w:w="350"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15 225</w:t>
            </w:r>
          </w:p>
        </w:tc>
        <w:tc>
          <w:tcPr>
            <w:tcW w:w="349"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22 582</w:t>
            </w:r>
          </w:p>
        </w:tc>
        <w:tc>
          <w:tcPr>
            <w:tcW w:w="462"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14 476</w:t>
            </w:r>
          </w:p>
        </w:tc>
        <w:tc>
          <w:tcPr>
            <w:tcW w:w="425"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w:t>
            </w:r>
          </w:p>
        </w:tc>
        <w:tc>
          <w:tcPr>
            <w:tcW w:w="366" w:type="pct"/>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6 156</w:t>
            </w:r>
          </w:p>
        </w:tc>
        <w:tc>
          <w:tcPr>
            <w:tcW w:w="397" w:type="pct"/>
            <w:gridSpan w:val="2"/>
            <w:shd w:val="clear" w:color="auto" w:fill="FFFFFF" w:themeFill="background1"/>
            <w:vAlign w:val="center"/>
          </w:tcPr>
          <w:p w:rsidR="00F150BD" w:rsidRPr="00F150BD" w:rsidRDefault="00F150BD" w:rsidP="00F150BD">
            <w:pPr>
              <w:pStyle w:val="TableBodyText"/>
              <w:rPr>
                <w:sz w:val="16"/>
                <w:szCs w:val="16"/>
              </w:rPr>
            </w:pPr>
            <w:r w:rsidRPr="00F150BD">
              <w:rPr>
                <w:sz w:val="16"/>
                <w:szCs w:val="16"/>
              </w:rPr>
              <w:t xml:space="preserve"> 12 816</w:t>
            </w:r>
          </w:p>
        </w:tc>
        <w:tc>
          <w:tcPr>
            <w:tcW w:w="429" w:type="pct"/>
            <w:vAlign w:val="center"/>
          </w:tcPr>
          <w:p w:rsidR="00F150BD" w:rsidRPr="00237A88" w:rsidRDefault="00F150BD" w:rsidP="00A12F65">
            <w:pPr>
              <w:pStyle w:val="TableBodyText"/>
              <w:keepNext w:val="0"/>
              <w:pBdr>
                <w:left w:val="single" w:sz="24" w:space="12" w:color="C0C0C0"/>
              </w:pBdr>
            </w:pPr>
            <w:r w:rsidRPr="00237A88">
              <w:t>13A.</w:t>
            </w:r>
            <w:r>
              <w:t>52</w:t>
            </w:r>
          </w:p>
        </w:tc>
      </w:tr>
      <w:tr w:rsidR="00D902EF" w:rsidTr="00F150BD">
        <w:tc>
          <w:tcPr>
            <w:tcW w:w="858" w:type="pct"/>
            <w:shd w:val="clear" w:color="auto" w:fill="auto"/>
            <w:vAlign w:val="center"/>
          </w:tcPr>
          <w:p w:rsidR="00A12F65" w:rsidRPr="00D902EF" w:rsidRDefault="00A12F65" w:rsidP="00237A88">
            <w:pPr>
              <w:pStyle w:val="TableBodyText"/>
              <w:keepNext w:val="0"/>
              <w:pBdr>
                <w:left w:val="single" w:sz="24" w:space="12" w:color="C0C0C0"/>
              </w:pBdr>
              <w:jc w:val="left"/>
              <w:rPr>
                <w:b/>
              </w:rPr>
            </w:pPr>
            <w:r w:rsidRPr="00D902EF">
              <w:rPr>
                <w:b/>
              </w:rPr>
              <w:t>All areas</w:t>
            </w:r>
          </w:p>
        </w:tc>
        <w:tc>
          <w:tcPr>
            <w:tcW w:w="508" w:type="pct"/>
            <w:shd w:val="clear" w:color="auto" w:fill="auto"/>
            <w:vAlign w:val="center"/>
          </w:tcPr>
          <w:p w:rsidR="00A12F65" w:rsidRPr="00A12F65" w:rsidRDefault="00A12F65" w:rsidP="00270756">
            <w:pPr>
              <w:pStyle w:val="TableBodyText"/>
              <w:rPr>
                <w:b/>
                <w:sz w:val="16"/>
                <w:szCs w:val="16"/>
              </w:rPr>
            </w:pPr>
            <w:r w:rsidRPr="00A12F65">
              <w:rPr>
                <w:b/>
                <w:sz w:val="16"/>
                <w:szCs w:val="16"/>
              </w:rPr>
              <w:t xml:space="preserve"> 8 545</w:t>
            </w:r>
          </w:p>
        </w:tc>
        <w:tc>
          <w:tcPr>
            <w:tcW w:w="508" w:type="pct"/>
            <w:gridSpan w:val="3"/>
            <w:shd w:val="clear" w:color="auto" w:fill="auto"/>
            <w:vAlign w:val="center"/>
          </w:tcPr>
          <w:p w:rsidR="00A12F65" w:rsidRPr="00A12F65" w:rsidRDefault="00A12F65" w:rsidP="00270756">
            <w:pPr>
              <w:pStyle w:val="TableBodyText"/>
              <w:rPr>
                <w:b/>
                <w:sz w:val="16"/>
                <w:szCs w:val="16"/>
              </w:rPr>
            </w:pPr>
            <w:r w:rsidRPr="00A12F65">
              <w:rPr>
                <w:b/>
                <w:sz w:val="16"/>
                <w:szCs w:val="16"/>
              </w:rPr>
              <w:t xml:space="preserve"> 11 158</w:t>
            </w:r>
          </w:p>
        </w:tc>
        <w:tc>
          <w:tcPr>
            <w:tcW w:w="348" w:type="pct"/>
            <w:gridSpan w:val="2"/>
            <w:shd w:val="clear" w:color="auto" w:fill="auto"/>
            <w:vAlign w:val="center"/>
          </w:tcPr>
          <w:p w:rsidR="00A12F65" w:rsidRPr="00A12F65" w:rsidRDefault="00A12F65" w:rsidP="00270756">
            <w:pPr>
              <w:pStyle w:val="TableBodyText"/>
              <w:rPr>
                <w:b/>
                <w:sz w:val="16"/>
                <w:szCs w:val="16"/>
              </w:rPr>
            </w:pPr>
            <w:r w:rsidRPr="00A12F65">
              <w:rPr>
                <w:b/>
                <w:sz w:val="16"/>
                <w:szCs w:val="16"/>
              </w:rPr>
              <w:t>10 992</w:t>
            </w:r>
          </w:p>
        </w:tc>
        <w:tc>
          <w:tcPr>
            <w:tcW w:w="350" w:type="pct"/>
            <w:gridSpan w:val="2"/>
            <w:shd w:val="clear" w:color="auto" w:fill="auto"/>
            <w:vAlign w:val="center"/>
          </w:tcPr>
          <w:p w:rsidR="00A12F65" w:rsidRPr="00A12F65" w:rsidRDefault="00A12F65" w:rsidP="00270756">
            <w:pPr>
              <w:pStyle w:val="TableBodyText"/>
              <w:rPr>
                <w:b/>
                <w:sz w:val="16"/>
                <w:szCs w:val="16"/>
              </w:rPr>
            </w:pPr>
            <w:r w:rsidRPr="00A12F65">
              <w:rPr>
                <w:b/>
                <w:sz w:val="16"/>
                <w:szCs w:val="16"/>
              </w:rPr>
              <w:t>10 599</w:t>
            </w:r>
          </w:p>
        </w:tc>
        <w:tc>
          <w:tcPr>
            <w:tcW w:w="349" w:type="pct"/>
            <w:gridSpan w:val="2"/>
            <w:shd w:val="clear" w:color="auto" w:fill="auto"/>
            <w:vAlign w:val="center"/>
          </w:tcPr>
          <w:p w:rsidR="00A12F65" w:rsidRPr="00A12F65" w:rsidRDefault="00A12F65" w:rsidP="00270756">
            <w:pPr>
              <w:pStyle w:val="TableBodyText"/>
              <w:rPr>
                <w:b/>
                <w:sz w:val="16"/>
                <w:szCs w:val="16"/>
              </w:rPr>
            </w:pPr>
            <w:r w:rsidRPr="00A12F65">
              <w:rPr>
                <w:b/>
                <w:sz w:val="16"/>
                <w:szCs w:val="16"/>
              </w:rPr>
              <w:t>10 876</w:t>
            </w:r>
          </w:p>
        </w:tc>
        <w:tc>
          <w:tcPr>
            <w:tcW w:w="462" w:type="pct"/>
            <w:gridSpan w:val="2"/>
            <w:shd w:val="clear" w:color="auto" w:fill="auto"/>
            <w:vAlign w:val="center"/>
          </w:tcPr>
          <w:p w:rsidR="00A12F65" w:rsidRPr="00A12F65" w:rsidRDefault="00A12F65" w:rsidP="00270756">
            <w:pPr>
              <w:pStyle w:val="TableBodyText"/>
              <w:rPr>
                <w:b/>
                <w:sz w:val="16"/>
                <w:szCs w:val="16"/>
              </w:rPr>
            </w:pPr>
            <w:r w:rsidRPr="00A12F65">
              <w:rPr>
                <w:b/>
                <w:sz w:val="16"/>
                <w:szCs w:val="16"/>
              </w:rPr>
              <w:t xml:space="preserve"> 10 266</w:t>
            </w:r>
          </w:p>
        </w:tc>
        <w:tc>
          <w:tcPr>
            <w:tcW w:w="425" w:type="pct"/>
            <w:gridSpan w:val="2"/>
            <w:shd w:val="clear" w:color="auto" w:fill="auto"/>
            <w:vAlign w:val="center"/>
          </w:tcPr>
          <w:p w:rsidR="00A12F65" w:rsidRPr="00A12F65" w:rsidRDefault="00A12F65" w:rsidP="00270756">
            <w:pPr>
              <w:pStyle w:val="TableBodyText"/>
              <w:rPr>
                <w:b/>
                <w:sz w:val="16"/>
                <w:szCs w:val="16"/>
              </w:rPr>
            </w:pPr>
            <w:r w:rsidRPr="00A12F65">
              <w:rPr>
                <w:b/>
                <w:sz w:val="16"/>
                <w:szCs w:val="16"/>
              </w:rPr>
              <w:t xml:space="preserve"> 8 594</w:t>
            </w:r>
          </w:p>
        </w:tc>
        <w:tc>
          <w:tcPr>
            <w:tcW w:w="366" w:type="pct"/>
            <w:shd w:val="clear" w:color="auto" w:fill="auto"/>
            <w:vAlign w:val="center"/>
          </w:tcPr>
          <w:p w:rsidR="00A12F65" w:rsidRPr="00A12F65" w:rsidRDefault="00A12F65" w:rsidP="00270756">
            <w:pPr>
              <w:pStyle w:val="TableBodyText"/>
              <w:rPr>
                <w:b/>
                <w:sz w:val="16"/>
                <w:szCs w:val="16"/>
              </w:rPr>
            </w:pPr>
            <w:r w:rsidRPr="00A12F65">
              <w:rPr>
                <w:b/>
                <w:sz w:val="16"/>
                <w:szCs w:val="16"/>
              </w:rPr>
              <w:t xml:space="preserve"> 4 207</w:t>
            </w:r>
          </w:p>
        </w:tc>
        <w:tc>
          <w:tcPr>
            <w:tcW w:w="397" w:type="pct"/>
            <w:gridSpan w:val="2"/>
            <w:vAlign w:val="center"/>
          </w:tcPr>
          <w:p w:rsidR="00A12F65" w:rsidRPr="00A12F65" w:rsidRDefault="00A12F65" w:rsidP="00A12F65">
            <w:pPr>
              <w:pStyle w:val="TableBodyText"/>
              <w:rPr>
                <w:b/>
                <w:sz w:val="16"/>
                <w:szCs w:val="16"/>
              </w:rPr>
            </w:pPr>
            <w:r w:rsidRPr="00A12F65">
              <w:rPr>
                <w:b/>
                <w:sz w:val="16"/>
                <w:szCs w:val="16"/>
              </w:rPr>
              <w:t>10 071</w:t>
            </w:r>
          </w:p>
        </w:tc>
        <w:tc>
          <w:tcPr>
            <w:tcW w:w="429" w:type="pct"/>
            <w:vAlign w:val="center"/>
          </w:tcPr>
          <w:p w:rsidR="00A12F65" w:rsidRPr="00237A88" w:rsidRDefault="00A12F65" w:rsidP="00A12F65">
            <w:pPr>
              <w:pStyle w:val="TableBodyText"/>
              <w:keepNext w:val="0"/>
              <w:pBdr>
                <w:left w:val="single" w:sz="24" w:space="12" w:color="C0C0C0"/>
              </w:pBdr>
            </w:pPr>
            <w:r w:rsidRPr="00237A88">
              <w:t>13A.</w:t>
            </w:r>
            <w:r>
              <w:t>46</w:t>
            </w:r>
          </w:p>
        </w:tc>
      </w:tr>
      <w:tr w:rsidR="00A12F65" w:rsidRPr="00D43111" w:rsidTr="00D902EF">
        <w:trPr>
          <w:trHeight w:val="315"/>
        </w:trPr>
        <w:tc>
          <w:tcPr>
            <w:tcW w:w="5000" w:type="pct"/>
            <w:gridSpan w:val="19"/>
            <w:shd w:val="clear" w:color="auto" w:fill="auto"/>
          </w:tcPr>
          <w:p w:rsidR="00A12F65" w:rsidRPr="00797DC6" w:rsidRDefault="00A12F65" w:rsidP="00237A88">
            <w:pPr>
              <w:pStyle w:val="TableColumnHeading"/>
              <w:keepNext w:val="0"/>
              <w:jc w:val="left"/>
            </w:pPr>
            <w:r w:rsidRPr="00B667F6">
              <w:rPr>
                <w:b/>
                <w:i w:val="0"/>
              </w:rPr>
              <w:t>Effectiveness</w:t>
            </w:r>
            <w:r>
              <w:rPr>
                <w:b/>
                <w:i w:val="0"/>
              </w:rPr>
              <w:t xml:space="preserve"> </w:t>
            </w:r>
            <w:r w:rsidRPr="004D0B92">
              <w:rPr>
                <w:b/>
                <w:i w:val="0"/>
              </w:rPr>
              <w:t>—</w:t>
            </w:r>
            <w:r>
              <w:rPr>
                <w:b/>
                <w:i w:val="0"/>
              </w:rPr>
              <w:t xml:space="preserve"> access</w:t>
            </w:r>
            <w:r w:rsidRPr="00B667F6">
              <w:rPr>
                <w:b/>
                <w:i w:val="0"/>
              </w:rPr>
              <w:t xml:space="preserve"> indicators</w:t>
            </w:r>
          </w:p>
        </w:tc>
      </w:tr>
      <w:tr w:rsidR="00A12F65" w:rsidRPr="00D43111" w:rsidTr="00D902EF">
        <w:trPr>
          <w:trHeight w:val="405"/>
        </w:trPr>
        <w:tc>
          <w:tcPr>
            <w:tcW w:w="5000" w:type="pct"/>
            <w:gridSpan w:val="19"/>
            <w:shd w:val="clear" w:color="auto" w:fill="auto"/>
          </w:tcPr>
          <w:p w:rsidR="00A12F65" w:rsidRPr="00797DC6" w:rsidRDefault="00A12F65" w:rsidP="00237A88">
            <w:pPr>
              <w:pStyle w:val="TableColumnHeading"/>
              <w:keepNext w:val="0"/>
              <w:jc w:val="left"/>
            </w:pPr>
            <w:r w:rsidRPr="00B667F6">
              <w:rPr>
                <w:i w:val="0"/>
              </w:rPr>
              <w:t>Total operational aged care places per 1000 people aged 70 years or over</w:t>
            </w:r>
            <w:r>
              <w:rPr>
                <w:i w:val="0"/>
              </w:rPr>
              <w:t xml:space="preserve"> (excluding transition care), 2012-13</w:t>
            </w:r>
            <w:r>
              <w:br/>
            </w:r>
            <w:r w:rsidR="002556E2" w:rsidRPr="002556E2">
              <w:rPr>
                <w:i w:val="0"/>
                <w:sz w:val="16"/>
                <w:szCs w:val="16"/>
              </w:rPr>
              <w:t>Most recent data for this measure are comparable and complete (chapter 13)</w:t>
            </w:r>
          </w:p>
        </w:tc>
      </w:tr>
      <w:tr w:rsidR="0012171C" w:rsidRPr="00D43111" w:rsidTr="00893614">
        <w:tc>
          <w:tcPr>
            <w:tcW w:w="858" w:type="pct"/>
            <w:shd w:val="clear" w:color="auto" w:fill="auto"/>
          </w:tcPr>
          <w:p w:rsidR="0012171C" w:rsidRDefault="0012171C" w:rsidP="00237A88">
            <w:pPr>
              <w:pStyle w:val="TableBodyText"/>
              <w:keepNext w:val="0"/>
            </w:pPr>
            <w:r>
              <w:t>no.</w:t>
            </w:r>
          </w:p>
        </w:tc>
        <w:tc>
          <w:tcPr>
            <w:tcW w:w="564" w:type="pct"/>
            <w:gridSpan w:val="2"/>
            <w:shd w:val="clear" w:color="auto" w:fill="auto"/>
          </w:tcPr>
          <w:p w:rsidR="0012171C" w:rsidRPr="0012171C" w:rsidRDefault="0012171C" w:rsidP="0012171C">
            <w:pPr>
              <w:pStyle w:val="TableBodyText"/>
              <w:keepNext w:val="0"/>
            </w:pPr>
            <w:r w:rsidRPr="0012171C">
              <w:t xml:space="preserve">  111.3</w:t>
            </w:r>
          </w:p>
        </w:tc>
        <w:tc>
          <w:tcPr>
            <w:tcW w:w="354" w:type="pct"/>
            <w:shd w:val="clear" w:color="auto" w:fill="auto"/>
          </w:tcPr>
          <w:p w:rsidR="0012171C" w:rsidRPr="0012171C" w:rsidRDefault="0012171C" w:rsidP="0012171C">
            <w:pPr>
              <w:pStyle w:val="TableBodyText"/>
              <w:keepNext w:val="0"/>
            </w:pPr>
            <w:r w:rsidRPr="0012171C">
              <w:t>110.4</w:t>
            </w:r>
          </w:p>
        </w:tc>
        <w:tc>
          <w:tcPr>
            <w:tcW w:w="358" w:type="pct"/>
            <w:gridSpan w:val="2"/>
            <w:shd w:val="clear" w:color="auto" w:fill="auto"/>
          </w:tcPr>
          <w:p w:rsidR="0012171C" w:rsidRPr="0012171C" w:rsidRDefault="0012171C" w:rsidP="0012171C">
            <w:pPr>
              <w:pStyle w:val="TableBodyText"/>
              <w:keepNext w:val="0"/>
            </w:pPr>
            <w:r w:rsidRPr="0012171C">
              <w:t>109.2</w:t>
            </w:r>
          </w:p>
        </w:tc>
        <w:tc>
          <w:tcPr>
            <w:tcW w:w="358" w:type="pct"/>
            <w:gridSpan w:val="2"/>
            <w:shd w:val="clear" w:color="auto" w:fill="auto"/>
          </w:tcPr>
          <w:p w:rsidR="0012171C" w:rsidRPr="0012171C" w:rsidRDefault="0012171C" w:rsidP="0012171C">
            <w:pPr>
              <w:pStyle w:val="TableBodyText"/>
              <w:keepNext w:val="0"/>
            </w:pPr>
            <w:r w:rsidRPr="0012171C">
              <w:t>113.8</w:t>
            </w:r>
          </w:p>
        </w:tc>
        <w:tc>
          <w:tcPr>
            <w:tcW w:w="360" w:type="pct"/>
            <w:gridSpan w:val="2"/>
            <w:shd w:val="clear" w:color="auto" w:fill="auto"/>
          </w:tcPr>
          <w:p w:rsidR="0012171C" w:rsidRPr="0012171C" w:rsidRDefault="0012171C" w:rsidP="0012171C">
            <w:pPr>
              <w:pStyle w:val="TableBodyText"/>
              <w:keepNext w:val="0"/>
            </w:pPr>
            <w:r w:rsidRPr="0012171C">
              <w:t>117.8</w:t>
            </w:r>
          </w:p>
        </w:tc>
        <w:tc>
          <w:tcPr>
            <w:tcW w:w="362" w:type="pct"/>
            <w:gridSpan w:val="2"/>
            <w:shd w:val="clear" w:color="auto" w:fill="auto"/>
          </w:tcPr>
          <w:p w:rsidR="0012171C" w:rsidRPr="0012171C" w:rsidRDefault="0012171C" w:rsidP="0012171C">
            <w:pPr>
              <w:pStyle w:val="TableBodyText"/>
              <w:keepNext w:val="0"/>
            </w:pPr>
            <w:r w:rsidRPr="0012171C">
              <w:t>106.7</w:t>
            </w:r>
          </w:p>
        </w:tc>
        <w:tc>
          <w:tcPr>
            <w:tcW w:w="527" w:type="pct"/>
            <w:gridSpan w:val="2"/>
            <w:shd w:val="clear" w:color="auto" w:fill="auto"/>
          </w:tcPr>
          <w:p w:rsidR="0012171C" w:rsidRPr="0012171C" w:rsidRDefault="0012171C" w:rsidP="0012171C">
            <w:pPr>
              <w:pStyle w:val="TableBodyText"/>
              <w:keepNext w:val="0"/>
            </w:pPr>
            <w:r w:rsidRPr="0012171C">
              <w:t xml:space="preserve">  115.5</w:t>
            </w:r>
          </w:p>
        </w:tc>
        <w:tc>
          <w:tcPr>
            <w:tcW w:w="441" w:type="pct"/>
            <w:gridSpan w:val="3"/>
            <w:shd w:val="clear" w:color="auto" w:fill="auto"/>
          </w:tcPr>
          <w:p w:rsidR="0012171C" w:rsidRPr="0012171C" w:rsidRDefault="0012171C" w:rsidP="0012171C">
            <w:pPr>
              <w:pStyle w:val="TableBodyText"/>
              <w:keepNext w:val="0"/>
            </w:pPr>
            <w:r w:rsidRPr="0012171C">
              <w:t xml:space="preserve">  213.5</w:t>
            </w:r>
          </w:p>
        </w:tc>
        <w:tc>
          <w:tcPr>
            <w:tcW w:w="389" w:type="pct"/>
          </w:tcPr>
          <w:p w:rsidR="0012171C" w:rsidRPr="0012171C" w:rsidRDefault="0012171C" w:rsidP="0012171C">
            <w:pPr>
              <w:pStyle w:val="TableBodyText"/>
              <w:keepNext w:val="0"/>
            </w:pPr>
            <w:r w:rsidRPr="0012171C">
              <w:t>111.7</w:t>
            </w:r>
          </w:p>
        </w:tc>
        <w:tc>
          <w:tcPr>
            <w:tcW w:w="429" w:type="pct"/>
          </w:tcPr>
          <w:p w:rsidR="0012171C" w:rsidRPr="00315910" w:rsidRDefault="0012171C" w:rsidP="00237A88">
            <w:pPr>
              <w:pStyle w:val="TableBodyText"/>
              <w:keepNext w:val="0"/>
            </w:pPr>
            <w:r>
              <w:t>13A.24</w:t>
            </w:r>
          </w:p>
        </w:tc>
      </w:tr>
      <w:tr w:rsidR="00A12F65" w:rsidTr="00D902EF">
        <w:tc>
          <w:tcPr>
            <w:tcW w:w="5000" w:type="pct"/>
            <w:gridSpan w:val="19"/>
            <w:shd w:val="clear" w:color="auto" w:fill="auto"/>
          </w:tcPr>
          <w:p w:rsidR="00A12F65" w:rsidRPr="0072579E" w:rsidRDefault="00A12F65" w:rsidP="00237A88">
            <w:pPr>
              <w:pStyle w:val="TableColumnHeading"/>
              <w:keepNext w:val="0"/>
              <w:jc w:val="left"/>
              <w:rPr>
                <w:i w:val="0"/>
              </w:rPr>
            </w:pPr>
            <w:r>
              <w:rPr>
                <w:i w:val="0"/>
              </w:rPr>
              <w:t xml:space="preserve">Elapsed times for aged care services </w:t>
            </w:r>
            <w:r w:rsidRPr="0039606C">
              <w:rPr>
                <w:i w:val="0"/>
              </w:rPr>
              <w:t>——</w:t>
            </w:r>
            <w:r>
              <w:t xml:space="preserve"> </w:t>
            </w:r>
            <w:r>
              <w:rPr>
                <w:i w:val="0"/>
              </w:rPr>
              <w:t xml:space="preserve"> </w:t>
            </w:r>
            <w:r w:rsidRPr="00B8278E">
              <w:rPr>
                <w:i w:val="0"/>
              </w:rPr>
              <w:t>proportion of people entering high care residential services entered within 3 months of approval</w:t>
            </w:r>
            <w:r>
              <w:rPr>
                <w:i w:val="0"/>
              </w:rPr>
              <w:t>, 2012-13</w:t>
            </w:r>
            <w:r>
              <w:t xml:space="preserve"> </w:t>
            </w:r>
            <w:r>
              <w:br/>
            </w:r>
            <w:r w:rsidR="002556E2" w:rsidRPr="002556E2">
              <w:rPr>
                <w:i w:val="0"/>
                <w:sz w:val="16"/>
                <w:szCs w:val="16"/>
              </w:rPr>
              <w:t>Most recent data for this measure are comparable and complete (chapter 13)</w:t>
            </w:r>
          </w:p>
        </w:tc>
      </w:tr>
      <w:tr w:rsidR="0012171C" w:rsidTr="00893614">
        <w:tc>
          <w:tcPr>
            <w:tcW w:w="858" w:type="pct"/>
            <w:shd w:val="clear" w:color="auto" w:fill="auto"/>
          </w:tcPr>
          <w:p w:rsidR="0012171C" w:rsidRPr="00335B9A" w:rsidRDefault="0012171C" w:rsidP="00237A88">
            <w:pPr>
              <w:pStyle w:val="TableBodyText"/>
              <w:keepNext w:val="0"/>
            </w:pPr>
            <w:r w:rsidRPr="00335B9A">
              <w:t>%</w:t>
            </w:r>
          </w:p>
        </w:tc>
        <w:tc>
          <w:tcPr>
            <w:tcW w:w="564" w:type="pct"/>
            <w:gridSpan w:val="2"/>
            <w:shd w:val="clear" w:color="auto" w:fill="auto"/>
            <w:vAlign w:val="center"/>
          </w:tcPr>
          <w:p w:rsidR="0012171C" w:rsidRPr="0012171C" w:rsidRDefault="0012171C" w:rsidP="0012171C">
            <w:pPr>
              <w:pStyle w:val="TableBodyText"/>
              <w:keepNext w:val="0"/>
            </w:pPr>
            <w:r w:rsidRPr="0012171C">
              <w:t xml:space="preserve">  74.0</w:t>
            </w:r>
          </w:p>
        </w:tc>
        <w:tc>
          <w:tcPr>
            <w:tcW w:w="354" w:type="pct"/>
            <w:shd w:val="clear" w:color="auto" w:fill="auto"/>
            <w:vAlign w:val="center"/>
          </w:tcPr>
          <w:p w:rsidR="0012171C" w:rsidRPr="0012171C" w:rsidRDefault="0012171C" w:rsidP="0012171C">
            <w:pPr>
              <w:pStyle w:val="TableBodyText"/>
              <w:keepNext w:val="0"/>
            </w:pPr>
            <w:r w:rsidRPr="0012171C">
              <w:t xml:space="preserve">  77.2</w:t>
            </w:r>
          </w:p>
        </w:tc>
        <w:tc>
          <w:tcPr>
            <w:tcW w:w="358" w:type="pct"/>
            <w:gridSpan w:val="2"/>
            <w:shd w:val="clear" w:color="auto" w:fill="auto"/>
            <w:vAlign w:val="center"/>
          </w:tcPr>
          <w:p w:rsidR="0012171C" w:rsidRPr="0012171C" w:rsidRDefault="0012171C" w:rsidP="0012171C">
            <w:pPr>
              <w:pStyle w:val="TableBodyText"/>
              <w:keepNext w:val="0"/>
            </w:pPr>
            <w:r w:rsidRPr="0012171C">
              <w:t xml:space="preserve">  66.1</w:t>
            </w:r>
          </w:p>
        </w:tc>
        <w:tc>
          <w:tcPr>
            <w:tcW w:w="358" w:type="pct"/>
            <w:gridSpan w:val="2"/>
            <w:shd w:val="clear" w:color="auto" w:fill="auto"/>
            <w:vAlign w:val="center"/>
          </w:tcPr>
          <w:p w:rsidR="0012171C" w:rsidRPr="0012171C" w:rsidRDefault="0012171C" w:rsidP="0012171C">
            <w:pPr>
              <w:pStyle w:val="TableBodyText"/>
              <w:keepNext w:val="0"/>
            </w:pPr>
            <w:r w:rsidRPr="0012171C">
              <w:t xml:space="preserve">  66.3</w:t>
            </w:r>
          </w:p>
        </w:tc>
        <w:tc>
          <w:tcPr>
            <w:tcW w:w="360" w:type="pct"/>
            <w:gridSpan w:val="2"/>
            <w:shd w:val="clear" w:color="auto" w:fill="auto"/>
            <w:vAlign w:val="center"/>
          </w:tcPr>
          <w:p w:rsidR="0012171C" w:rsidRPr="0012171C" w:rsidRDefault="0012171C" w:rsidP="0012171C">
            <w:pPr>
              <w:pStyle w:val="TableBodyText"/>
              <w:keepNext w:val="0"/>
            </w:pPr>
            <w:r w:rsidRPr="0012171C">
              <w:t xml:space="preserve">  70.6</w:t>
            </w:r>
          </w:p>
        </w:tc>
        <w:tc>
          <w:tcPr>
            <w:tcW w:w="362" w:type="pct"/>
            <w:gridSpan w:val="2"/>
            <w:shd w:val="clear" w:color="auto" w:fill="auto"/>
            <w:vAlign w:val="center"/>
          </w:tcPr>
          <w:p w:rsidR="0012171C" w:rsidRPr="0012171C" w:rsidRDefault="0012171C" w:rsidP="0012171C">
            <w:pPr>
              <w:pStyle w:val="TableBodyText"/>
              <w:keepNext w:val="0"/>
            </w:pPr>
            <w:r w:rsidRPr="0012171C">
              <w:t xml:space="preserve">  73.2</w:t>
            </w:r>
          </w:p>
        </w:tc>
        <w:tc>
          <w:tcPr>
            <w:tcW w:w="527" w:type="pct"/>
            <w:gridSpan w:val="2"/>
            <w:shd w:val="clear" w:color="auto" w:fill="auto"/>
            <w:vAlign w:val="center"/>
          </w:tcPr>
          <w:p w:rsidR="0012171C" w:rsidRPr="0012171C" w:rsidRDefault="0012171C" w:rsidP="0012171C">
            <w:pPr>
              <w:pStyle w:val="TableBodyText"/>
              <w:keepNext w:val="0"/>
            </w:pPr>
            <w:r w:rsidRPr="0012171C">
              <w:t xml:space="preserve">  56.3</w:t>
            </w:r>
          </w:p>
        </w:tc>
        <w:tc>
          <w:tcPr>
            <w:tcW w:w="441" w:type="pct"/>
            <w:gridSpan w:val="3"/>
            <w:shd w:val="clear" w:color="auto" w:fill="auto"/>
            <w:vAlign w:val="center"/>
          </w:tcPr>
          <w:p w:rsidR="0012171C" w:rsidRPr="0012171C" w:rsidRDefault="0012171C" w:rsidP="0012171C">
            <w:pPr>
              <w:pStyle w:val="TableBodyText"/>
              <w:keepNext w:val="0"/>
            </w:pPr>
            <w:r w:rsidRPr="0012171C">
              <w:t xml:space="preserve">  50.0</w:t>
            </w:r>
          </w:p>
        </w:tc>
        <w:tc>
          <w:tcPr>
            <w:tcW w:w="389" w:type="pct"/>
            <w:shd w:val="clear" w:color="auto" w:fill="auto"/>
            <w:vAlign w:val="center"/>
          </w:tcPr>
          <w:p w:rsidR="0012171C" w:rsidRPr="0012171C" w:rsidRDefault="0012171C" w:rsidP="0012171C">
            <w:pPr>
              <w:pStyle w:val="TableBodyText"/>
              <w:keepNext w:val="0"/>
            </w:pPr>
            <w:r w:rsidRPr="0012171C">
              <w:t xml:space="preserve">  72.0</w:t>
            </w:r>
          </w:p>
        </w:tc>
        <w:tc>
          <w:tcPr>
            <w:tcW w:w="429" w:type="pct"/>
          </w:tcPr>
          <w:p w:rsidR="0012171C" w:rsidRPr="00335B9A" w:rsidRDefault="0012171C" w:rsidP="0012171C">
            <w:pPr>
              <w:pStyle w:val="TableBodyText"/>
              <w:keepNext w:val="0"/>
            </w:pPr>
            <w:r w:rsidRPr="00335B9A">
              <w:t>13A.</w:t>
            </w:r>
            <w:r>
              <w:t>66</w:t>
            </w:r>
          </w:p>
        </w:tc>
      </w:tr>
      <w:tr w:rsidR="00A12F65" w:rsidTr="00D902EF">
        <w:trPr>
          <w:trHeight w:val="253"/>
        </w:trPr>
        <w:tc>
          <w:tcPr>
            <w:tcW w:w="5000" w:type="pct"/>
            <w:gridSpan w:val="19"/>
            <w:shd w:val="clear" w:color="auto" w:fill="auto"/>
          </w:tcPr>
          <w:p w:rsidR="00A12F65" w:rsidRPr="00B8278E" w:rsidRDefault="00A12F65" w:rsidP="00237A88">
            <w:pPr>
              <w:pStyle w:val="TableColumnHeading"/>
              <w:keepNext w:val="0"/>
              <w:jc w:val="left"/>
              <w:rPr>
                <w:i w:val="0"/>
              </w:rPr>
            </w:pPr>
            <w:r w:rsidRPr="00B667F6">
              <w:rPr>
                <w:b/>
                <w:i w:val="0"/>
              </w:rPr>
              <w:t>Effectiveness</w:t>
            </w:r>
            <w:r>
              <w:rPr>
                <w:b/>
                <w:i w:val="0"/>
              </w:rPr>
              <w:t xml:space="preserve"> </w:t>
            </w:r>
            <w:r w:rsidRPr="004D0B92">
              <w:rPr>
                <w:b/>
                <w:i w:val="0"/>
              </w:rPr>
              <w:t>—</w:t>
            </w:r>
            <w:r>
              <w:rPr>
                <w:b/>
                <w:i w:val="0"/>
              </w:rPr>
              <w:t xml:space="preserve"> appropriateness</w:t>
            </w:r>
            <w:r w:rsidRPr="00B667F6">
              <w:rPr>
                <w:b/>
                <w:i w:val="0"/>
              </w:rPr>
              <w:t xml:space="preserve"> indicators</w:t>
            </w:r>
          </w:p>
        </w:tc>
      </w:tr>
      <w:tr w:rsidR="00A12F65" w:rsidTr="00D902EF">
        <w:tc>
          <w:tcPr>
            <w:tcW w:w="5000" w:type="pct"/>
            <w:gridSpan w:val="19"/>
            <w:shd w:val="clear" w:color="auto" w:fill="auto"/>
          </w:tcPr>
          <w:p w:rsidR="00A12F65" w:rsidRPr="00B8278E" w:rsidRDefault="00A12F65" w:rsidP="00A12F65">
            <w:pPr>
              <w:pStyle w:val="TableColumnHeading"/>
              <w:keepNext w:val="0"/>
              <w:jc w:val="left"/>
              <w:rPr>
                <w:i w:val="0"/>
              </w:rPr>
            </w:pPr>
            <w:r w:rsidRPr="00B8278E">
              <w:rPr>
                <w:i w:val="0"/>
              </w:rPr>
              <w:t xml:space="preserve">Assessed longer term care arrangements </w:t>
            </w:r>
            <w:r w:rsidRPr="0039606C">
              <w:rPr>
                <w:i w:val="0"/>
              </w:rPr>
              <w:t>——</w:t>
            </w:r>
            <w:r w:rsidRPr="00B8278E">
              <w:rPr>
                <w:rFonts w:ascii="Vivaldi" w:hAnsi="Vivaldi"/>
                <w:i w:val="0"/>
              </w:rPr>
              <w:t xml:space="preserve"> </w:t>
            </w:r>
            <w:r w:rsidRPr="00B8278E">
              <w:rPr>
                <w:i w:val="0"/>
              </w:rPr>
              <w:t>proportion of clients recommend</w:t>
            </w:r>
            <w:r w:rsidR="0012171C">
              <w:rPr>
                <w:i w:val="0"/>
              </w:rPr>
              <w:t xml:space="preserve">ed to remain </w:t>
            </w:r>
            <w:r>
              <w:rPr>
                <w:i w:val="0"/>
              </w:rPr>
              <w:t>in the community, 2011-12</w:t>
            </w:r>
            <w:r>
              <w:br/>
            </w:r>
            <w:r w:rsidR="002556E2" w:rsidRPr="002556E2">
              <w:rPr>
                <w:i w:val="0"/>
                <w:sz w:val="16"/>
                <w:szCs w:val="16"/>
              </w:rPr>
              <w:t>Most recent data for this measure are comparable and complete (chapter 13)</w:t>
            </w:r>
          </w:p>
        </w:tc>
      </w:tr>
      <w:tr w:rsidR="0012171C" w:rsidTr="00893614">
        <w:tc>
          <w:tcPr>
            <w:tcW w:w="858" w:type="pct"/>
            <w:shd w:val="clear" w:color="auto" w:fill="auto"/>
          </w:tcPr>
          <w:p w:rsidR="0012171C" w:rsidRDefault="0012171C" w:rsidP="00237A88">
            <w:pPr>
              <w:pStyle w:val="TableBodyText"/>
              <w:keepNext w:val="0"/>
            </w:pPr>
            <w:r>
              <w:t>%</w:t>
            </w:r>
          </w:p>
        </w:tc>
        <w:tc>
          <w:tcPr>
            <w:tcW w:w="564" w:type="pct"/>
            <w:gridSpan w:val="2"/>
            <w:shd w:val="clear" w:color="auto" w:fill="auto"/>
            <w:vAlign w:val="center"/>
          </w:tcPr>
          <w:p w:rsidR="0012171C" w:rsidRPr="0012171C" w:rsidRDefault="0012171C" w:rsidP="0012171C">
            <w:pPr>
              <w:pStyle w:val="TableBodyText"/>
              <w:keepNext w:val="0"/>
            </w:pPr>
            <w:r w:rsidRPr="0012171C">
              <w:t xml:space="preserve">  49.0</w:t>
            </w:r>
          </w:p>
        </w:tc>
        <w:tc>
          <w:tcPr>
            <w:tcW w:w="354" w:type="pct"/>
            <w:shd w:val="clear" w:color="auto" w:fill="auto"/>
            <w:vAlign w:val="center"/>
          </w:tcPr>
          <w:p w:rsidR="0012171C" w:rsidRPr="0012171C" w:rsidRDefault="0012171C" w:rsidP="0012171C">
            <w:pPr>
              <w:pStyle w:val="TableBodyText"/>
              <w:keepNext w:val="0"/>
            </w:pPr>
            <w:r w:rsidRPr="0012171C">
              <w:t xml:space="preserve">  58.2</w:t>
            </w:r>
          </w:p>
        </w:tc>
        <w:tc>
          <w:tcPr>
            <w:tcW w:w="358" w:type="pct"/>
            <w:gridSpan w:val="2"/>
            <w:shd w:val="clear" w:color="auto" w:fill="auto"/>
            <w:vAlign w:val="center"/>
          </w:tcPr>
          <w:p w:rsidR="0012171C" w:rsidRPr="0012171C" w:rsidRDefault="0012171C" w:rsidP="0012171C">
            <w:pPr>
              <w:pStyle w:val="TableBodyText"/>
              <w:keepNext w:val="0"/>
            </w:pPr>
            <w:r w:rsidRPr="0012171C">
              <w:t xml:space="preserve">  42.0</w:t>
            </w:r>
          </w:p>
        </w:tc>
        <w:tc>
          <w:tcPr>
            <w:tcW w:w="358" w:type="pct"/>
            <w:gridSpan w:val="2"/>
            <w:shd w:val="clear" w:color="auto" w:fill="auto"/>
            <w:vAlign w:val="center"/>
          </w:tcPr>
          <w:p w:rsidR="0012171C" w:rsidRPr="0012171C" w:rsidRDefault="0012171C" w:rsidP="0012171C">
            <w:pPr>
              <w:pStyle w:val="TableBodyText"/>
              <w:keepNext w:val="0"/>
            </w:pPr>
            <w:r w:rsidRPr="0012171C">
              <w:t xml:space="preserve">  54.0</w:t>
            </w:r>
          </w:p>
        </w:tc>
        <w:tc>
          <w:tcPr>
            <w:tcW w:w="360" w:type="pct"/>
            <w:gridSpan w:val="2"/>
            <w:shd w:val="clear" w:color="auto" w:fill="auto"/>
            <w:vAlign w:val="center"/>
          </w:tcPr>
          <w:p w:rsidR="0012171C" w:rsidRPr="0012171C" w:rsidRDefault="0012171C" w:rsidP="0012171C">
            <w:pPr>
              <w:pStyle w:val="TableBodyText"/>
              <w:keepNext w:val="0"/>
            </w:pPr>
            <w:r w:rsidRPr="0012171C">
              <w:t xml:space="preserve">  38.9</w:t>
            </w:r>
          </w:p>
        </w:tc>
        <w:tc>
          <w:tcPr>
            <w:tcW w:w="362" w:type="pct"/>
            <w:gridSpan w:val="2"/>
            <w:shd w:val="clear" w:color="auto" w:fill="auto"/>
            <w:vAlign w:val="center"/>
          </w:tcPr>
          <w:p w:rsidR="0012171C" w:rsidRPr="0012171C" w:rsidRDefault="0012171C" w:rsidP="0012171C">
            <w:pPr>
              <w:pStyle w:val="TableBodyText"/>
              <w:keepNext w:val="0"/>
            </w:pPr>
            <w:r w:rsidRPr="0012171C">
              <w:t xml:space="preserve">  60.6</w:t>
            </w:r>
          </w:p>
        </w:tc>
        <w:tc>
          <w:tcPr>
            <w:tcW w:w="527" w:type="pct"/>
            <w:gridSpan w:val="2"/>
            <w:shd w:val="clear" w:color="auto" w:fill="auto"/>
            <w:vAlign w:val="center"/>
          </w:tcPr>
          <w:p w:rsidR="0012171C" w:rsidRPr="0012171C" w:rsidRDefault="0012171C" w:rsidP="0012171C">
            <w:pPr>
              <w:pStyle w:val="TableBodyText"/>
              <w:keepNext w:val="0"/>
            </w:pPr>
            <w:r w:rsidRPr="0012171C">
              <w:t xml:space="preserve">  76.4</w:t>
            </w:r>
          </w:p>
        </w:tc>
        <w:tc>
          <w:tcPr>
            <w:tcW w:w="441" w:type="pct"/>
            <w:gridSpan w:val="3"/>
            <w:shd w:val="clear" w:color="auto" w:fill="auto"/>
            <w:vAlign w:val="center"/>
          </w:tcPr>
          <w:p w:rsidR="0012171C" w:rsidRPr="0012171C" w:rsidRDefault="0012171C" w:rsidP="0012171C">
            <w:pPr>
              <w:pStyle w:val="TableBodyText"/>
              <w:keepNext w:val="0"/>
            </w:pPr>
            <w:r w:rsidRPr="0012171C">
              <w:t xml:space="preserve">  63.8</w:t>
            </w:r>
          </w:p>
        </w:tc>
        <w:tc>
          <w:tcPr>
            <w:tcW w:w="389" w:type="pct"/>
            <w:vAlign w:val="center"/>
          </w:tcPr>
          <w:p w:rsidR="0012171C" w:rsidRPr="0012171C" w:rsidRDefault="0012171C" w:rsidP="0012171C">
            <w:pPr>
              <w:pStyle w:val="TableBodyText"/>
              <w:keepNext w:val="0"/>
            </w:pPr>
            <w:r w:rsidRPr="0012171C">
              <w:t xml:space="preserve">  50.7</w:t>
            </w:r>
          </w:p>
        </w:tc>
        <w:tc>
          <w:tcPr>
            <w:tcW w:w="429" w:type="pct"/>
            <w:shd w:val="clear" w:color="auto" w:fill="auto"/>
          </w:tcPr>
          <w:p w:rsidR="0012171C" w:rsidRDefault="0012171C" w:rsidP="0012171C">
            <w:pPr>
              <w:pStyle w:val="TableBodyText"/>
              <w:keepNext w:val="0"/>
            </w:pPr>
            <w:r>
              <w:t>13A.70</w:t>
            </w:r>
          </w:p>
        </w:tc>
      </w:tr>
      <w:tr w:rsidR="00F87984" w:rsidTr="00F87984">
        <w:tc>
          <w:tcPr>
            <w:tcW w:w="5000" w:type="pct"/>
            <w:gridSpan w:val="19"/>
            <w:shd w:val="clear" w:color="auto" w:fill="auto"/>
          </w:tcPr>
          <w:p w:rsidR="00F87984" w:rsidRDefault="00F87984" w:rsidP="00F87984">
            <w:pPr>
              <w:pStyle w:val="Continued"/>
            </w:pPr>
            <w:r w:rsidRPr="004B6CA2">
              <w:t>(continued on next page)</w:t>
            </w:r>
          </w:p>
        </w:tc>
      </w:tr>
    </w:tbl>
    <w:p w:rsidR="00F87984" w:rsidRDefault="00F87984">
      <w:r>
        <w:br w:type="page"/>
      </w:r>
    </w:p>
    <w:p w:rsidR="00F87984" w:rsidRDefault="00F87984" w:rsidP="00F87984">
      <w:pPr>
        <w:pStyle w:val="TableTitle"/>
      </w:pPr>
      <w:r w:rsidRPr="00FA7C3D">
        <w:rPr>
          <w:b w:val="0"/>
        </w:rPr>
        <w:lastRenderedPageBreak/>
        <w:t xml:space="preserve">Table </w:t>
      </w:r>
      <w:r w:rsidRPr="00197646">
        <w:rPr>
          <w:b w:val="0"/>
        </w:rPr>
        <w:t>F.3</w:t>
      </w:r>
      <w:r>
        <w:tab/>
        <w:t>(continued)</w:t>
      </w:r>
    </w:p>
    <w:tbl>
      <w:tblPr>
        <w:tblW w:w="5008" w:type="pct"/>
        <w:tblCellMar>
          <w:left w:w="0" w:type="dxa"/>
          <w:right w:w="0" w:type="dxa"/>
        </w:tblCellMar>
        <w:tblLook w:val="0000" w:firstRow="0" w:lastRow="0" w:firstColumn="0" w:lastColumn="0" w:noHBand="0" w:noVBand="0"/>
      </w:tblPr>
      <w:tblGrid>
        <w:gridCol w:w="1436"/>
        <w:gridCol w:w="74"/>
        <w:gridCol w:w="710"/>
        <w:gridCol w:w="51"/>
        <w:gridCol w:w="627"/>
        <w:gridCol w:w="58"/>
        <w:gridCol w:w="623"/>
        <w:gridCol w:w="62"/>
        <w:gridCol w:w="620"/>
        <w:gridCol w:w="65"/>
        <w:gridCol w:w="620"/>
        <w:gridCol w:w="65"/>
        <w:gridCol w:w="620"/>
        <w:gridCol w:w="65"/>
        <w:gridCol w:w="685"/>
        <w:gridCol w:w="232"/>
        <w:gridCol w:w="636"/>
        <w:gridCol w:w="100"/>
        <w:gridCol w:w="585"/>
        <w:gridCol w:w="114"/>
        <w:gridCol w:w="755"/>
      </w:tblGrid>
      <w:tr w:rsidR="00F87984" w:rsidTr="00F87984">
        <w:tc>
          <w:tcPr>
            <w:tcW w:w="816" w:type="pct"/>
            <w:tcBorders>
              <w:top w:val="single" w:sz="6" w:space="0" w:color="auto"/>
              <w:bottom w:val="single" w:sz="6" w:space="0" w:color="auto"/>
            </w:tcBorders>
            <w:shd w:val="clear" w:color="auto" w:fill="auto"/>
          </w:tcPr>
          <w:p w:rsidR="00F87984" w:rsidRDefault="00F87984" w:rsidP="007E1AE2">
            <w:pPr>
              <w:pStyle w:val="TableColumnHeading"/>
              <w:jc w:val="left"/>
            </w:pPr>
          </w:p>
        </w:tc>
        <w:tc>
          <w:tcPr>
            <w:tcW w:w="474" w:type="pct"/>
            <w:gridSpan w:val="3"/>
            <w:tcBorders>
              <w:top w:val="single" w:sz="6" w:space="0" w:color="auto"/>
              <w:bottom w:val="single" w:sz="6" w:space="0" w:color="auto"/>
            </w:tcBorders>
            <w:shd w:val="clear" w:color="auto" w:fill="auto"/>
          </w:tcPr>
          <w:p w:rsidR="00F87984" w:rsidRDefault="00F87984" w:rsidP="007E1AE2">
            <w:pPr>
              <w:pStyle w:val="TableColumnHeading"/>
            </w:pPr>
            <w:r>
              <w:t>NSW</w:t>
            </w:r>
          </w:p>
        </w:tc>
        <w:tc>
          <w:tcPr>
            <w:tcW w:w="389" w:type="pct"/>
            <w:gridSpan w:val="2"/>
            <w:tcBorders>
              <w:top w:val="single" w:sz="6" w:space="0" w:color="auto"/>
              <w:bottom w:val="single" w:sz="6" w:space="0" w:color="auto"/>
            </w:tcBorders>
            <w:shd w:val="clear" w:color="auto" w:fill="auto"/>
          </w:tcPr>
          <w:p w:rsidR="00F87984" w:rsidRDefault="00F87984" w:rsidP="007E1AE2">
            <w:pPr>
              <w:pStyle w:val="TableColumnHeading"/>
            </w:pPr>
            <w:r>
              <w:t>Vic</w:t>
            </w:r>
          </w:p>
        </w:tc>
        <w:tc>
          <w:tcPr>
            <w:tcW w:w="389" w:type="pct"/>
            <w:gridSpan w:val="2"/>
            <w:tcBorders>
              <w:top w:val="single" w:sz="6" w:space="0" w:color="auto"/>
              <w:bottom w:val="single" w:sz="6" w:space="0" w:color="auto"/>
            </w:tcBorders>
            <w:shd w:val="clear" w:color="auto" w:fill="auto"/>
          </w:tcPr>
          <w:p w:rsidR="00F87984" w:rsidRDefault="00F87984" w:rsidP="007E1AE2">
            <w:pPr>
              <w:pStyle w:val="TableColumnHeading"/>
            </w:pPr>
            <w:r>
              <w:t>Qld</w:t>
            </w:r>
          </w:p>
        </w:tc>
        <w:tc>
          <w:tcPr>
            <w:tcW w:w="389" w:type="pct"/>
            <w:gridSpan w:val="2"/>
            <w:tcBorders>
              <w:top w:val="single" w:sz="6" w:space="0" w:color="auto"/>
              <w:bottom w:val="single" w:sz="6" w:space="0" w:color="auto"/>
            </w:tcBorders>
            <w:shd w:val="clear" w:color="auto" w:fill="auto"/>
          </w:tcPr>
          <w:p w:rsidR="00F87984" w:rsidRDefault="00F87984" w:rsidP="007E1AE2">
            <w:pPr>
              <w:pStyle w:val="TableColumnHeading"/>
            </w:pPr>
            <w:r>
              <w:t>WA</w:t>
            </w:r>
          </w:p>
        </w:tc>
        <w:tc>
          <w:tcPr>
            <w:tcW w:w="389" w:type="pct"/>
            <w:gridSpan w:val="2"/>
            <w:tcBorders>
              <w:top w:val="single" w:sz="6" w:space="0" w:color="auto"/>
              <w:bottom w:val="single" w:sz="6" w:space="0" w:color="auto"/>
            </w:tcBorders>
            <w:shd w:val="clear" w:color="auto" w:fill="auto"/>
          </w:tcPr>
          <w:p w:rsidR="00F87984" w:rsidRDefault="00F87984" w:rsidP="007E1AE2">
            <w:pPr>
              <w:pStyle w:val="TableColumnHeading"/>
            </w:pPr>
            <w:r>
              <w:t>SA</w:t>
            </w:r>
          </w:p>
        </w:tc>
        <w:tc>
          <w:tcPr>
            <w:tcW w:w="389" w:type="pct"/>
            <w:gridSpan w:val="2"/>
            <w:tcBorders>
              <w:top w:val="single" w:sz="6" w:space="0" w:color="auto"/>
              <w:bottom w:val="single" w:sz="6" w:space="0" w:color="auto"/>
            </w:tcBorders>
            <w:shd w:val="clear" w:color="auto" w:fill="auto"/>
          </w:tcPr>
          <w:p w:rsidR="00F87984" w:rsidRDefault="00F87984" w:rsidP="007E1AE2">
            <w:pPr>
              <w:pStyle w:val="TableColumnHeading"/>
            </w:pPr>
            <w:r>
              <w:t>Tas</w:t>
            </w:r>
          </w:p>
        </w:tc>
        <w:tc>
          <w:tcPr>
            <w:tcW w:w="389" w:type="pct"/>
            <w:tcBorders>
              <w:top w:val="single" w:sz="6" w:space="0" w:color="auto"/>
              <w:bottom w:val="single" w:sz="6" w:space="0" w:color="auto"/>
            </w:tcBorders>
            <w:shd w:val="clear" w:color="auto" w:fill="auto"/>
          </w:tcPr>
          <w:p w:rsidR="00F87984" w:rsidRDefault="00F87984" w:rsidP="007E1AE2">
            <w:pPr>
              <w:pStyle w:val="TableColumnHeading"/>
            </w:pPr>
            <w:r>
              <w:t>ACT</w:t>
            </w:r>
          </w:p>
        </w:tc>
        <w:tc>
          <w:tcPr>
            <w:tcW w:w="493" w:type="pct"/>
            <w:gridSpan w:val="2"/>
            <w:tcBorders>
              <w:top w:val="single" w:sz="6" w:space="0" w:color="auto"/>
              <w:bottom w:val="single" w:sz="6" w:space="0" w:color="auto"/>
            </w:tcBorders>
            <w:shd w:val="clear" w:color="auto" w:fill="auto"/>
          </w:tcPr>
          <w:p w:rsidR="00F87984" w:rsidRDefault="00F87984" w:rsidP="007E1AE2">
            <w:pPr>
              <w:pStyle w:val="TableColumnHeading"/>
            </w:pPr>
            <w:r>
              <w:t>NT</w:t>
            </w:r>
          </w:p>
        </w:tc>
        <w:tc>
          <w:tcPr>
            <w:tcW w:w="389" w:type="pct"/>
            <w:gridSpan w:val="2"/>
            <w:tcBorders>
              <w:top w:val="single" w:sz="6" w:space="0" w:color="auto"/>
              <w:bottom w:val="single" w:sz="6" w:space="0" w:color="auto"/>
            </w:tcBorders>
          </w:tcPr>
          <w:p w:rsidR="00F87984" w:rsidRDefault="00F87984" w:rsidP="007E1AE2">
            <w:pPr>
              <w:pStyle w:val="TableColumnHeading"/>
            </w:pPr>
            <w:r>
              <w:t>Aust</w:t>
            </w:r>
          </w:p>
        </w:tc>
        <w:tc>
          <w:tcPr>
            <w:tcW w:w="493" w:type="pct"/>
            <w:gridSpan w:val="2"/>
            <w:tcBorders>
              <w:top w:val="single" w:sz="6" w:space="0" w:color="auto"/>
              <w:bottom w:val="single" w:sz="6" w:space="0" w:color="auto"/>
            </w:tcBorders>
          </w:tcPr>
          <w:p w:rsidR="00F87984" w:rsidRDefault="00F87984" w:rsidP="007E1AE2">
            <w:pPr>
              <w:pStyle w:val="TableColumnHeading"/>
            </w:pPr>
            <w:r>
              <w:t>Source</w:t>
            </w:r>
          </w:p>
        </w:tc>
      </w:tr>
      <w:tr w:rsidR="00A12F65" w:rsidTr="00D902EF">
        <w:tc>
          <w:tcPr>
            <w:tcW w:w="5000" w:type="pct"/>
            <w:gridSpan w:val="21"/>
            <w:shd w:val="clear" w:color="auto" w:fill="auto"/>
          </w:tcPr>
          <w:p w:rsidR="00A12F65" w:rsidRPr="00B8278E" w:rsidRDefault="00A12F65" w:rsidP="00A12F65">
            <w:pPr>
              <w:pStyle w:val="TableBodyText"/>
              <w:keepNext w:val="0"/>
              <w:jc w:val="left"/>
            </w:pPr>
            <w:r w:rsidRPr="00705E90">
              <w:t>Hospital patient days used by aged care type patients</w:t>
            </w:r>
            <w:r w:rsidRPr="00B8278E">
              <w:t xml:space="preserve"> </w:t>
            </w:r>
            <w:r w:rsidRPr="0039606C">
              <w:t>——</w:t>
            </w:r>
            <w:bookmarkStart w:id="13" w:name="OLE_LINK60"/>
            <w:bookmarkStart w:id="14" w:name="OLE_LINK61"/>
            <w:r w:rsidRPr="00B8278E">
              <w:rPr>
                <w:rFonts w:ascii="Vivaldi" w:hAnsi="Vivaldi"/>
              </w:rPr>
              <w:t xml:space="preserve"> </w:t>
            </w:r>
            <w:r w:rsidRPr="00B8278E">
              <w:t>proportion of separations for ‘aged care type’ public hospitals patients that were 35 days or longer</w:t>
            </w:r>
            <w:bookmarkEnd w:id="13"/>
            <w:bookmarkEnd w:id="14"/>
            <w:r>
              <w:rPr>
                <w:i/>
              </w:rPr>
              <w:t xml:space="preserve">, </w:t>
            </w:r>
            <w:r w:rsidRPr="006D1337">
              <w:t>201</w:t>
            </w:r>
            <w:r>
              <w:t>1</w:t>
            </w:r>
            <w:r w:rsidRPr="006D1337">
              <w:t>-1</w:t>
            </w:r>
            <w:r>
              <w:t>2</w:t>
            </w:r>
            <w:r>
              <w:br/>
            </w:r>
            <w:r w:rsidR="002556E2" w:rsidRPr="002556E2">
              <w:rPr>
                <w:sz w:val="16"/>
                <w:szCs w:val="16"/>
              </w:rPr>
              <w:t>Most recent data for this measure are complete but are not comparable (chapter 13)</w:t>
            </w:r>
          </w:p>
        </w:tc>
      </w:tr>
      <w:tr w:rsidR="00893614" w:rsidTr="00F87984">
        <w:tc>
          <w:tcPr>
            <w:tcW w:w="858" w:type="pct"/>
            <w:gridSpan w:val="2"/>
            <w:shd w:val="clear" w:color="auto" w:fill="auto"/>
          </w:tcPr>
          <w:p w:rsidR="00893614" w:rsidRDefault="00893614" w:rsidP="00237A88">
            <w:pPr>
              <w:pStyle w:val="TableBodyText"/>
              <w:keepNext w:val="0"/>
            </w:pPr>
            <w:r>
              <w:t>%</w:t>
            </w:r>
          </w:p>
        </w:tc>
        <w:tc>
          <w:tcPr>
            <w:tcW w:w="403" w:type="pct"/>
            <w:shd w:val="clear" w:color="auto" w:fill="auto"/>
            <w:vAlign w:val="center"/>
          </w:tcPr>
          <w:p w:rsidR="00893614" w:rsidRPr="00893614" w:rsidRDefault="00893614" w:rsidP="00893614">
            <w:pPr>
              <w:pStyle w:val="TableBodyText"/>
              <w:keepNext w:val="0"/>
            </w:pPr>
            <w:r w:rsidRPr="00893614">
              <w:t xml:space="preserve">  7.8</w:t>
            </w:r>
          </w:p>
        </w:tc>
        <w:tc>
          <w:tcPr>
            <w:tcW w:w="385" w:type="pct"/>
            <w:gridSpan w:val="2"/>
            <w:shd w:val="clear" w:color="auto" w:fill="auto"/>
            <w:vAlign w:val="center"/>
          </w:tcPr>
          <w:p w:rsidR="00893614" w:rsidRPr="00893614" w:rsidRDefault="00893614" w:rsidP="00893614">
            <w:pPr>
              <w:pStyle w:val="TableBodyText"/>
              <w:keepNext w:val="0"/>
            </w:pPr>
            <w:r w:rsidRPr="00893614">
              <w:t xml:space="preserve">  26.6</w:t>
            </w:r>
          </w:p>
        </w:tc>
        <w:tc>
          <w:tcPr>
            <w:tcW w:w="387" w:type="pct"/>
            <w:gridSpan w:val="2"/>
            <w:shd w:val="clear" w:color="auto" w:fill="auto"/>
            <w:vAlign w:val="center"/>
          </w:tcPr>
          <w:p w:rsidR="00893614" w:rsidRPr="00893614" w:rsidRDefault="00893614" w:rsidP="00893614">
            <w:pPr>
              <w:pStyle w:val="TableBodyText"/>
              <w:keepNext w:val="0"/>
            </w:pPr>
            <w:r w:rsidRPr="00893614">
              <w:t xml:space="preserve">  16.7</w:t>
            </w:r>
          </w:p>
        </w:tc>
        <w:tc>
          <w:tcPr>
            <w:tcW w:w="387" w:type="pct"/>
            <w:gridSpan w:val="2"/>
            <w:shd w:val="clear" w:color="auto" w:fill="auto"/>
            <w:vAlign w:val="center"/>
          </w:tcPr>
          <w:p w:rsidR="00893614" w:rsidRPr="00893614" w:rsidRDefault="00893614" w:rsidP="00893614">
            <w:pPr>
              <w:pStyle w:val="TableBodyText"/>
              <w:keepNext w:val="0"/>
            </w:pPr>
            <w:r w:rsidRPr="00893614">
              <w:t xml:space="preserve">  14.5</w:t>
            </w:r>
          </w:p>
        </w:tc>
        <w:tc>
          <w:tcPr>
            <w:tcW w:w="389" w:type="pct"/>
            <w:gridSpan w:val="2"/>
            <w:shd w:val="clear" w:color="auto" w:fill="auto"/>
            <w:vAlign w:val="center"/>
          </w:tcPr>
          <w:p w:rsidR="00893614" w:rsidRPr="00893614" w:rsidRDefault="00893614" w:rsidP="00893614">
            <w:pPr>
              <w:pStyle w:val="TableBodyText"/>
              <w:keepNext w:val="0"/>
            </w:pPr>
            <w:r w:rsidRPr="00893614">
              <w:t xml:space="preserve">  10.2</w:t>
            </w:r>
          </w:p>
        </w:tc>
        <w:tc>
          <w:tcPr>
            <w:tcW w:w="389" w:type="pct"/>
            <w:gridSpan w:val="2"/>
            <w:shd w:val="clear" w:color="auto" w:fill="auto"/>
            <w:vAlign w:val="center"/>
          </w:tcPr>
          <w:p w:rsidR="00893614" w:rsidRPr="00893614" w:rsidRDefault="00893614" w:rsidP="00893614">
            <w:pPr>
              <w:pStyle w:val="TableBodyText"/>
              <w:keepNext w:val="0"/>
            </w:pPr>
            <w:r w:rsidRPr="00893614">
              <w:t xml:space="preserve">  17.4</w:t>
            </w:r>
          </w:p>
        </w:tc>
        <w:tc>
          <w:tcPr>
            <w:tcW w:w="558" w:type="pct"/>
            <w:gridSpan w:val="3"/>
            <w:shd w:val="clear" w:color="auto" w:fill="auto"/>
            <w:vAlign w:val="center"/>
          </w:tcPr>
          <w:p w:rsidR="00893614" w:rsidRPr="00893614" w:rsidRDefault="00893614" w:rsidP="00893614">
            <w:pPr>
              <w:pStyle w:val="TableBodyText"/>
              <w:keepNext w:val="0"/>
            </w:pPr>
            <w:r w:rsidRPr="00893614">
              <w:t xml:space="preserve">  10.2</w:t>
            </w:r>
          </w:p>
        </w:tc>
        <w:tc>
          <w:tcPr>
            <w:tcW w:w="418" w:type="pct"/>
            <w:gridSpan w:val="2"/>
            <w:shd w:val="clear" w:color="auto" w:fill="auto"/>
            <w:vAlign w:val="center"/>
          </w:tcPr>
          <w:p w:rsidR="00893614" w:rsidRPr="00893614" w:rsidRDefault="00893614" w:rsidP="00893614">
            <w:pPr>
              <w:pStyle w:val="TableBodyText"/>
              <w:keepNext w:val="0"/>
            </w:pPr>
            <w:r w:rsidRPr="00893614">
              <w:t xml:space="preserve">  37.5</w:t>
            </w:r>
          </w:p>
        </w:tc>
        <w:tc>
          <w:tcPr>
            <w:tcW w:w="397" w:type="pct"/>
            <w:gridSpan w:val="2"/>
            <w:shd w:val="clear" w:color="auto" w:fill="auto"/>
            <w:vAlign w:val="center"/>
          </w:tcPr>
          <w:p w:rsidR="00893614" w:rsidRPr="00893614" w:rsidRDefault="00893614" w:rsidP="00893614">
            <w:pPr>
              <w:pStyle w:val="TableBodyText"/>
              <w:keepNext w:val="0"/>
            </w:pPr>
            <w:r w:rsidRPr="00893614">
              <w:t xml:space="preserve">  11.9</w:t>
            </w:r>
          </w:p>
        </w:tc>
        <w:tc>
          <w:tcPr>
            <w:tcW w:w="428" w:type="pct"/>
            <w:shd w:val="clear" w:color="auto" w:fill="auto"/>
          </w:tcPr>
          <w:p w:rsidR="00893614" w:rsidRDefault="00893614" w:rsidP="00893614">
            <w:pPr>
              <w:pStyle w:val="TableBodyText"/>
              <w:keepNext w:val="0"/>
            </w:pPr>
            <w:r>
              <w:t>13A.72</w:t>
            </w:r>
          </w:p>
        </w:tc>
      </w:tr>
      <w:tr w:rsidR="00B54D7F" w:rsidTr="00B54D7F">
        <w:tc>
          <w:tcPr>
            <w:tcW w:w="5000" w:type="pct"/>
            <w:gridSpan w:val="21"/>
            <w:shd w:val="clear" w:color="auto" w:fill="auto"/>
          </w:tcPr>
          <w:p w:rsidR="00B54D7F" w:rsidRDefault="00B54D7F" w:rsidP="00EE4CAC">
            <w:pPr>
              <w:pStyle w:val="TableBodyText"/>
              <w:jc w:val="left"/>
            </w:pPr>
            <w:r w:rsidRPr="00504CED">
              <w:t>Intensity of care</w:t>
            </w:r>
            <w:r>
              <w:t xml:space="preserve"> </w:t>
            </w:r>
            <w:r w:rsidRPr="00B8278E">
              <w:rPr>
                <w:rFonts w:ascii="Vivaldi" w:hAnsi="Vivaldi"/>
              </w:rPr>
              <w:t xml:space="preserve">——  </w:t>
            </w:r>
            <w:r>
              <w:t>proportion of people who stayed in the same residential aged care service when changing from low care to high care</w:t>
            </w:r>
            <w:r w:rsidR="000E6B3A" w:rsidRPr="000E6B3A">
              <w:t xml:space="preserve">, </w:t>
            </w:r>
            <w:r w:rsidR="006D5589">
              <w:t>2012-13</w:t>
            </w:r>
            <w:r w:rsidR="00B42326">
              <w:t xml:space="preserve"> </w:t>
            </w:r>
            <w:r w:rsidR="00B42326">
              <w:br/>
            </w:r>
            <w:r w:rsidR="002556E2" w:rsidRPr="002556E2">
              <w:rPr>
                <w:sz w:val="16"/>
                <w:szCs w:val="16"/>
              </w:rPr>
              <w:t>Most recent data for this measure are comparable and complete (chapter 13)</w:t>
            </w:r>
          </w:p>
        </w:tc>
      </w:tr>
      <w:tr w:rsidR="00184012" w:rsidTr="00F87984">
        <w:tc>
          <w:tcPr>
            <w:tcW w:w="816" w:type="pct"/>
            <w:shd w:val="clear" w:color="auto" w:fill="auto"/>
          </w:tcPr>
          <w:p w:rsidR="00184012" w:rsidRDefault="00184012" w:rsidP="00B54D7F">
            <w:pPr>
              <w:pStyle w:val="TableBodyText"/>
            </w:pPr>
            <w:r>
              <w:t>%</w:t>
            </w:r>
          </w:p>
        </w:tc>
        <w:tc>
          <w:tcPr>
            <w:tcW w:w="474" w:type="pct"/>
            <w:gridSpan w:val="3"/>
            <w:shd w:val="clear" w:color="auto" w:fill="auto"/>
            <w:vAlign w:val="bottom"/>
          </w:tcPr>
          <w:p w:rsidR="00184012" w:rsidRPr="00184012" w:rsidRDefault="00184012" w:rsidP="00184012">
            <w:pPr>
              <w:pStyle w:val="TableBodyText"/>
              <w:keepNext w:val="0"/>
            </w:pPr>
            <w:r w:rsidRPr="00184012">
              <w:t>88.1</w:t>
            </w:r>
          </w:p>
        </w:tc>
        <w:tc>
          <w:tcPr>
            <w:tcW w:w="389" w:type="pct"/>
            <w:gridSpan w:val="2"/>
            <w:shd w:val="clear" w:color="auto" w:fill="auto"/>
            <w:vAlign w:val="bottom"/>
          </w:tcPr>
          <w:p w:rsidR="00184012" w:rsidRPr="00184012" w:rsidRDefault="00184012" w:rsidP="00184012">
            <w:pPr>
              <w:pStyle w:val="TableBodyText"/>
              <w:keepNext w:val="0"/>
            </w:pPr>
            <w:r w:rsidRPr="00184012">
              <w:t>92.5</w:t>
            </w:r>
          </w:p>
        </w:tc>
        <w:tc>
          <w:tcPr>
            <w:tcW w:w="389" w:type="pct"/>
            <w:gridSpan w:val="2"/>
            <w:shd w:val="clear" w:color="auto" w:fill="auto"/>
            <w:vAlign w:val="bottom"/>
          </w:tcPr>
          <w:p w:rsidR="00184012" w:rsidRPr="00184012" w:rsidRDefault="00184012" w:rsidP="00184012">
            <w:pPr>
              <w:pStyle w:val="TableBodyText"/>
              <w:keepNext w:val="0"/>
            </w:pPr>
            <w:r w:rsidRPr="00184012">
              <w:t>91.3</w:t>
            </w:r>
          </w:p>
        </w:tc>
        <w:tc>
          <w:tcPr>
            <w:tcW w:w="389" w:type="pct"/>
            <w:gridSpan w:val="2"/>
            <w:shd w:val="clear" w:color="auto" w:fill="auto"/>
            <w:vAlign w:val="bottom"/>
          </w:tcPr>
          <w:p w:rsidR="00184012" w:rsidRPr="00184012" w:rsidRDefault="00184012" w:rsidP="00184012">
            <w:pPr>
              <w:pStyle w:val="TableBodyText"/>
              <w:keepNext w:val="0"/>
            </w:pPr>
            <w:r w:rsidRPr="00184012">
              <w:t>92.4</w:t>
            </w:r>
          </w:p>
        </w:tc>
        <w:tc>
          <w:tcPr>
            <w:tcW w:w="389" w:type="pct"/>
            <w:gridSpan w:val="2"/>
            <w:shd w:val="clear" w:color="auto" w:fill="auto"/>
            <w:vAlign w:val="bottom"/>
          </w:tcPr>
          <w:p w:rsidR="00184012" w:rsidRPr="00184012" w:rsidRDefault="00184012" w:rsidP="00184012">
            <w:pPr>
              <w:pStyle w:val="TableBodyText"/>
              <w:keepNext w:val="0"/>
            </w:pPr>
            <w:r w:rsidRPr="00184012">
              <w:t>91.8</w:t>
            </w:r>
          </w:p>
        </w:tc>
        <w:tc>
          <w:tcPr>
            <w:tcW w:w="389" w:type="pct"/>
            <w:gridSpan w:val="2"/>
            <w:shd w:val="clear" w:color="auto" w:fill="auto"/>
            <w:vAlign w:val="bottom"/>
          </w:tcPr>
          <w:p w:rsidR="00184012" w:rsidRPr="00184012" w:rsidRDefault="00184012" w:rsidP="00184012">
            <w:pPr>
              <w:pStyle w:val="TableBodyText"/>
              <w:keepNext w:val="0"/>
            </w:pPr>
            <w:r w:rsidRPr="00184012">
              <w:t>93.8</w:t>
            </w:r>
          </w:p>
        </w:tc>
        <w:tc>
          <w:tcPr>
            <w:tcW w:w="389" w:type="pct"/>
            <w:shd w:val="clear" w:color="auto" w:fill="auto"/>
            <w:vAlign w:val="bottom"/>
          </w:tcPr>
          <w:p w:rsidR="00184012" w:rsidRPr="00184012" w:rsidRDefault="00184012" w:rsidP="00184012">
            <w:pPr>
              <w:pStyle w:val="TableBodyText"/>
              <w:keepNext w:val="0"/>
            </w:pPr>
            <w:r w:rsidRPr="00184012">
              <w:t>95.4</w:t>
            </w:r>
          </w:p>
        </w:tc>
        <w:tc>
          <w:tcPr>
            <w:tcW w:w="493" w:type="pct"/>
            <w:gridSpan w:val="2"/>
            <w:shd w:val="clear" w:color="auto" w:fill="auto"/>
            <w:vAlign w:val="bottom"/>
          </w:tcPr>
          <w:p w:rsidR="00184012" w:rsidRPr="00184012" w:rsidRDefault="00184012" w:rsidP="00184012">
            <w:pPr>
              <w:pStyle w:val="TableBodyText"/>
              <w:keepNext w:val="0"/>
            </w:pPr>
            <w:r w:rsidRPr="00184012">
              <w:t>92.9</w:t>
            </w:r>
          </w:p>
        </w:tc>
        <w:tc>
          <w:tcPr>
            <w:tcW w:w="389" w:type="pct"/>
            <w:gridSpan w:val="2"/>
            <w:vAlign w:val="bottom"/>
          </w:tcPr>
          <w:p w:rsidR="00184012" w:rsidRPr="00184012" w:rsidRDefault="00184012" w:rsidP="00184012">
            <w:pPr>
              <w:pStyle w:val="TableBodyText"/>
              <w:keepNext w:val="0"/>
            </w:pPr>
            <w:r w:rsidRPr="00184012">
              <w:t>91.0</w:t>
            </w:r>
          </w:p>
        </w:tc>
        <w:tc>
          <w:tcPr>
            <w:tcW w:w="493" w:type="pct"/>
            <w:gridSpan w:val="2"/>
          </w:tcPr>
          <w:p w:rsidR="00184012" w:rsidRDefault="00184012" w:rsidP="00184012">
            <w:pPr>
              <w:pStyle w:val="TableBodyText"/>
            </w:pPr>
            <w:r>
              <w:t>13A.37</w:t>
            </w:r>
          </w:p>
        </w:tc>
      </w:tr>
      <w:tr w:rsidR="00B667F6" w:rsidTr="00B54D7F">
        <w:tc>
          <w:tcPr>
            <w:tcW w:w="5000" w:type="pct"/>
            <w:gridSpan w:val="21"/>
            <w:shd w:val="clear" w:color="auto" w:fill="auto"/>
          </w:tcPr>
          <w:p w:rsidR="00B667F6" w:rsidRDefault="002B5B30" w:rsidP="002B5B30">
            <w:pPr>
              <w:pStyle w:val="TableColumnHeading"/>
              <w:jc w:val="left"/>
            </w:pPr>
            <w:r w:rsidRPr="00B667F6">
              <w:rPr>
                <w:b/>
                <w:i w:val="0"/>
              </w:rPr>
              <w:t>Effectiveness</w:t>
            </w:r>
            <w:r>
              <w:rPr>
                <w:b/>
                <w:i w:val="0"/>
              </w:rPr>
              <w:t xml:space="preserve"> </w:t>
            </w:r>
            <w:r w:rsidRPr="004D0B92">
              <w:rPr>
                <w:b/>
                <w:i w:val="0"/>
              </w:rPr>
              <w:t>—</w:t>
            </w:r>
            <w:r>
              <w:rPr>
                <w:b/>
                <w:i w:val="0"/>
              </w:rPr>
              <w:t xml:space="preserve"> quality</w:t>
            </w:r>
            <w:r w:rsidRPr="00B667F6">
              <w:rPr>
                <w:b/>
                <w:i w:val="0"/>
              </w:rPr>
              <w:t xml:space="preserve"> indicators</w:t>
            </w:r>
          </w:p>
        </w:tc>
      </w:tr>
      <w:tr w:rsidR="00B54D7F" w:rsidTr="00B54D7F">
        <w:tc>
          <w:tcPr>
            <w:tcW w:w="5000" w:type="pct"/>
            <w:gridSpan w:val="21"/>
            <w:shd w:val="clear" w:color="auto" w:fill="auto"/>
          </w:tcPr>
          <w:p w:rsidR="00B54D7F" w:rsidRPr="00551B18" w:rsidRDefault="00EE4CAC" w:rsidP="00184012">
            <w:pPr>
              <w:pStyle w:val="TableBodyText"/>
              <w:jc w:val="left"/>
            </w:pPr>
            <w:r w:rsidRPr="00551B18">
              <w:t>Compliance with service standards for residential care —— proportion of re-accredited residential aged care services that were granted a re-accreditation approval for a period of three years</w:t>
            </w:r>
            <w:r w:rsidR="00184012">
              <w:t xml:space="preserve"> during</w:t>
            </w:r>
            <w:r w:rsidRPr="00551B18">
              <w:t xml:space="preserve"> </w:t>
            </w:r>
            <w:r w:rsidRPr="00551B18">
              <w:br/>
            </w:r>
            <w:r w:rsidR="006D5589">
              <w:t>2012-13</w:t>
            </w:r>
            <w:r w:rsidRPr="00551B18">
              <w:t xml:space="preserve">  </w:t>
            </w:r>
            <w:r w:rsidRPr="00551B18">
              <w:br/>
            </w:r>
            <w:r w:rsidR="002556E2" w:rsidRPr="002556E2">
              <w:rPr>
                <w:sz w:val="16"/>
                <w:szCs w:val="16"/>
              </w:rPr>
              <w:t>Most recent data for this measure are comparable and complete (chapter 13)</w:t>
            </w:r>
          </w:p>
        </w:tc>
      </w:tr>
      <w:tr w:rsidR="00F150BD" w:rsidTr="00F87984">
        <w:tc>
          <w:tcPr>
            <w:tcW w:w="816" w:type="pct"/>
            <w:shd w:val="clear" w:color="auto" w:fill="auto"/>
          </w:tcPr>
          <w:p w:rsidR="00F150BD" w:rsidRDefault="00F150BD" w:rsidP="00EE4CAC">
            <w:pPr>
              <w:pStyle w:val="TableBodyText"/>
            </w:pPr>
            <w:r>
              <w:t>%</w:t>
            </w:r>
          </w:p>
        </w:tc>
        <w:tc>
          <w:tcPr>
            <w:tcW w:w="474" w:type="pct"/>
            <w:gridSpan w:val="3"/>
            <w:shd w:val="clear" w:color="auto" w:fill="auto"/>
            <w:vAlign w:val="bottom"/>
          </w:tcPr>
          <w:p w:rsidR="00F150BD" w:rsidRPr="00184012" w:rsidRDefault="00F150BD" w:rsidP="00184012">
            <w:pPr>
              <w:pStyle w:val="TableBodyText"/>
              <w:keepNext w:val="0"/>
            </w:pPr>
            <w:r w:rsidRPr="00184012">
              <w:t xml:space="preserve">  95.7</w:t>
            </w:r>
          </w:p>
        </w:tc>
        <w:tc>
          <w:tcPr>
            <w:tcW w:w="389" w:type="pct"/>
            <w:gridSpan w:val="2"/>
            <w:shd w:val="clear" w:color="auto" w:fill="auto"/>
            <w:vAlign w:val="bottom"/>
          </w:tcPr>
          <w:p w:rsidR="00F150BD" w:rsidRPr="00184012" w:rsidRDefault="00F150BD" w:rsidP="00184012">
            <w:pPr>
              <w:pStyle w:val="TableBodyText"/>
              <w:keepNext w:val="0"/>
            </w:pPr>
            <w:r w:rsidRPr="00184012">
              <w:t xml:space="preserve">  95.9</w:t>
            </w:r>
          </w:p>
        </w:tc>
        <w:tc>
          <w:tcPr>
            <w:tcW w:w="389" w:type="pct"/>
            <w:gridSpan w:val="2"/>
            <w:shd w:val="clear" w:color="auto" w:fill="auto"/>
            <w:vAlign w:val="bottom"/>
          </w:tcPr>
          <w:p w:rsidR="00F150BD" w:rsidRPr="00184012" w:rsidRDefault="00F150BD" w:rsidP="00184012">
            <w:pPr>
              <w:pStyle w:val="TableBodyText"/>
              <w:keepNext w:val="0"/>
            </w:pPr>
            <w:r w:rsidRPr="00184012">
              <w:t xml:space="preserve">  90.8</w:t>
            </w:r>
          </w:p>
        </w:tc>
        <w:tc>
          <w:tcPr>
            <w:tcW w:w="389" w:type="pct"/>
            <w:gridSpan w:val="2"/>
            <w:shd w:val="clear" w:color="auto" w:fill="auto"/>
            <w:vAlign w:val="bottom"/>
          </w:tcPr>
          <w:p w:rsidR="00F150BD" w:rsidRPr="00184012" w:rsidRDefault="00F150BD" w:rsidP="00184012">
            <w:pPr>
              <w:pStyle w:val="TableBodyText"/>
              <w:keepNext w:val="0"/>
            </w:pPr>
            <w:r w:rsidRPr="00184012">
              <w:t xml:space="preserve">  89.3</w:t>
            </w:r>
          </w:p>
        </w:tc>
        <w:tc>
          <w:tcPr>
            <w:tcW w:w="389" w:type="pct"/>
            <w:gridSpan w:val="2"/>
            <w:shd w:val="clear" w:color="auto" w:fill="auto"/>
            <w:vAlign w:val="bottom"/>
          </w:tcPr>
          <w:p w:rsidR="00F150BD" w:rsidRPr="00184012" w:rsidRDefault="00F150BD" w:rsidP="00184012">
            <w:pPr>
              <w:pStyle w:val="TableBodyText"/>
              <w:keepNext w:val="0"/>
            </w:pPr>
            <w:r w:rsidRPr="00184012">
              <w:t xml:space="preserve">  93.8</w:t>
            </w:r>
          </w:p>
        </w:tc>
        <w:tc>
          <w:tcPr>
            <w:tcW w:w="389" w:type="pct"/>
            <w:gridSpan w:val="2"/>
            <w:shd w:val="clear" w:color="auto" w:fill="FFFFFF" w:themeFill="background1"/>
            <w:vAlign w:val="bottom"/>
          </w:tcPr>
          <w:p w:rsidR="00F150BD" w:rsidRPr="00F150BD" w:rsidRDefault="00F150BD" w:rsidP="00F150BD">
            <w:pPr>
              <w:pStyle w:val="TableBodyText"/>
              <w:keepNext w:val="0"/>
            </w:pPr>
            <w:r w:rsidRPr="00F150BD">
              <w:t xml:space="preserve"> 100.0</w:t>
            </w:r>
          </w:p>
        </w:tc>
        <w:tc>
          <w:tcPr>
            <w:tcW w:w="389" w:type="pct"/>
            <w:shd w:val="clear" w:color="auto" w:fill="FFFFFF" w:themeFill="background1"/>
            <w:vAlign w:val="bottom"/>
          </w:tcPr>
          <w:p w:rsidR="00F150BD" w:rsidRPr="00F150BD" w:rsidRDefault="00F150BD" w:rsidP="00F150BD">
            <w:pPr>
              <w:pStyle w:val="TableBodyText"/>
              <w:keepNext w:val="0"/>
            </w:pPr>
            <w:r w:rsidRPr="00F150BD">
              <w:t xml:space="preserve">  66.7</w:t>
            </w:r>
          </w:p>
        </w:tc>
        <w:tc>
          <w:tcPr>
            <w:tcW w:w="493" w:type="pct"/>
            <w:gridSpan w:val="2"/>
            <w:shd w:val="clear" w:color="auto" w:fill="auto"/>
            <w:vAlign w:val="bottom"/>
          </w:tcPr>
          <w:p w:rsidR="00F150BD" w:rsidRPr="00184012" w:rsidRDefault="00F150BD" w:rsidP="00184012">
            <w:pPr>
              <w:pStyle w:val="TableBodyText"/>
              <w:keepNext w:val="0"/>
            </w:pPr>
            <w:r w:rsidRPr="00184012">
              <w:t xml:space="preserve">  20.0</w:t>
            </w:r>
          </w:p>
        </w:tc>
        <w:tc>
          <w:tcPr>
            <w:tcW w:w="389" w:type="pct"/>
            <w:gridSpan w:val="2"/>
            <w:vAlign w:val="bottom"/>
          </w:tcPr>
          <w:p w:rsidR="00F150BD" w:rsidRPr="00184012" w:rsidRDefault="00F150BD" w:rsidP="00184012">
            <w:pPr>
              <w:pStyle w:val="TableBodyText"/>
              <w:keepNext w:val="0"/>
            </w:pPr>
            <w:r w:rsidRPr="00184012">
              <w:t xml:space="preserve">  93.2</w:t>
            </w:r>
          </w:p>
        </w:tc>
        <w:tc>
          <w:tcPr>
            <w:tcW w:w="493" w:type="pct"/>
            <w:gridSpan w:val="2"/>
          </w:tcPr>
          <w:p w:rsidR="00F150BD" w:rsidRPr="00315910" w:rsidRDefault="00F150BD" w:rsidP="00184012">
            <w:pPr>
              <w:pStyle w:val="TableBodyText"/>
            </w:pPr>
            <w:r>
              <w:t>13A.74</w:t>
            </w:r>
          </w:p>
        </w:tc>
      </w:tr>
      <w:tr w:rsidR="00402229" w:rsidTr="00402229">
        <w:tc>
          <w:tcPr>
            <w:tcW w:w="5000" w:type="pct"/>
            <w:gridSpan w:val="21"/>
            <w:shd w:val="clear" w:color="auto" w:fill="auto"/>
          </w:tcPr>
          <w:p w:rsidR="00402229" w:rsidRPr="00551B18" w:rsidRDefault="00EE4CAC" w:rsidP="00184012">
            <w:pPr>
              <w:pStyle w:val="TableBodyText"/>
              <w:jc w:val="left"/>
            </w:pPr>
            <w:r w:rsidRPr="00424680">
              <w:t xml:space="preserve">Complaints </w:t>
            </w:r>
            <w:r w:rsidRPr="00424680">
              <w:rPr>
                <w:rFonts w:ascii="Vivaldi" w:hAnsi="Vivaldi"/>
              </w:rPr>
              <w:t xml:space="preserve">——  </w:t>
            </w:r>
            <w:r>
              <w:t>n</w:t>
            </w:r>
            <w:r w:rsidRPr="00705E90">
              <w:t>umber of complai</w:t>
            </w:r>
            <w:r w:rsidR="00141F80">
              <w:t xml:space="preserve">nts received by the </w:t>
            </w:r>
            <w:r w:rsidR="00141F80" w:rsidRPr="00C51941">
              <w:t xml:space="preserve">Complaints </w:t>
            </w:r>
            <w:r w:rsidRPr="00C51941">
              <w:t>Scheme</w:t>
            </w:r>
            <w:r w:rsidRPr="00705E90">
              <w:t xml:space="preserve"> per 1000 permanent care recipients</w:t>
            </w:r>
            <w:r w:rsidRPr="000E6B3A">
              <w:t xml:space="preserve">, </w:t>
            </w:r>
            <w:r w:rsidR="00141F80" w:rsidRPr="00C51941">
              <w:t>2012</w:t>
            </w:r>
            <w:r w:rsidR="00184012">
              <w:t>-13</w:t>
            </w:r>
            <w:r w:rsidRPr="000E6B3A">
              <w:br/>
            </w:r>
            <w:r w:rsidR="002556E2" w:rsidRPr="002556E2">
              <w:rPr>
                <w:sz w:val="16"/>
                <w:szCs w:val="16"/>
              </w:rPr>
              <w:t>Most recent data for this measure are comparable and complete (chapter 13)</w:t>
            </w:r>
          </w:p>
        </w:tc>
      </w:tr>
      <w:tr w:rsidR="00184012" w:rsidTr="00F87984">
        <w:tc>
          <w:tcPr>
            <w:tcW w:w="816" w:type="pct"/>
            <w:shd w:val="clear" w:color="auto" w:fill="auto"/>
          </w:tcPr>
          <w:p w:rsidR="00184012" w:rsidRDefault="00184012" w:rsidP="00EE4CAC">
            <w:pPr>
              <w:pStyle w:val="TableBodyText"/>
            </w:pPr>
            <w:r>
              <w:t>no.</w:t>
            </w:r>
          </w:p>
        </w:tc>
        <w:tc>
          <w:tcPr>
            <w:tcW w:w="474" w:type="pct"/>
            <w:gridSpan w:val="3"/>
            <w:shd w:val="clear" w:color="auto" w:fill="auto"/>
            <w:vAlign w:val="center"/>
          </w:tcPr>
          <w:p w:rsidR="00184012" w:rsidRPr="00184012" w:rsidRDefault="00184012" w:rsidP="00184012">
            <w:pPr>
              <w:pStyle w:val="TableBodyText"/>
              <w:keepNext w:val="0"/>
            </w:pPr>
            <w:r w:rsidRPr="00184012">
              <w:t xml:space="preserve">  20.5</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23.4</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26.1</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24.9</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20.1</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20.8</w:t>
            </w:r>
          </w:p>
        </w:tc>
        <w:tc>
          <w:tcPr>
            <w:tcW w:w="389" w:type="pct"/>
            <w:shd w:val="clear" w:color="auto" w:fill="auto"/>
            <w:vAlign w:val="center"/>
          </w:tcPr>
          <w:p w:rsidR="00184012" w:rsidRPr="00184012" w:rsidRDefault="00184012" w:rsidP="00184012">
            <w:pPr>
              <w:pStyle w:val="TableBodyText"/>
              <w:keepNext w:val="0"/>
            </w:pPr>
            <w:r w:rsidRPr="00184012">
              <w:t xml:space="preserve">  28.0</w:t>
            </w:r>
          </w:p>
        </w:tc>
        <w:tc>
          <w:tcPr>
            <w:tcW w:w="493" w:type="pct"/>
            <w:gridSpan w:val="2"/>
            <w:shd w:val="clear" w:color="auto" w:fill="auto"/>
            <w:vAlign w:val="center"/>
          </w:tcPr>
          <w:p w:rsidR="00184012" w:rsidRPr="00184012" w:rsidRDefault="00184012" w:rsidP="00184012">
            <w:pPr>
              <w:pStyle w:val="TableBodyText"/>
              <w:keepNext w:val="0"/>
            </w:pPr>
            <w:r w:rsidRPr="00184012">
              <w:t xml:space="preserve">  28.6</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22.7</w:t>
            </w:r>
          </w:p>
        </w:tc>
        <w:tc>
          <w:tcPr>
            <w:tcW w:w="493" w:type="pct"/>
            <w:gridSpan w:val="2"/>
          </w:tcPr>
          <w:p w:rsidR="00184012" w:rsidRPr="00315910" w:rsidRDefault="00184012" w:rsidP="00184012">
            <w:pPr>
              <w:pStyle w:val="TableBodyText"/>
            </w:pPr>
            <w:r>
              <w:t>13A.79</w:t>
            </w:r>
          </w:p>
        </w:tc>
      </w:tr>
      <w:tr w:rsidR="00B54D7F" w:rsidRPr="003E08D7" w:rsidTr="00B54D7F">
        <w:tc>
          <w:tcPr>
            <w:tcW w:w="5000" w:type="pct"/>
            <w:gridSpan w:val="21"/>
            <w:shd w:val="clear" w:color="auto" w:fill="auto"/>
          </w:tcPr>
          <w:p w:rsidR="00B54D7F" w:rsidRPr="00424680" w:rsidRDefault="004F4CF4" w:rsidP="00B54D7F">
            <w:pPr>
              <w:pStyle w:val="TableColumnHeading"/>
              <w:jc w:val="left"/>
              <w:rPr>
                <w:i w:val="0"/>
              </w:rPr>
            </w:pPr>
            <w:r w:rsidRPr="00551B18">
              <w:t>Compliance with service standards for community care  ——</w:t>
            </w:r>
            <w:r w:rsidRPr="00551B18">
              <w:rPr>
                <w:rFonts w:ascii="Vivaldi" w:hAnsi="Vivaldi"/>
              </w:rPr>
              <w:t xml:space="preserve">  </w:t>
            </w:r>
            <w:r>
              <w:t xml:space="preserve">proportion of </w:t>
            </w:r>
            <w:r w:rsidRPr="00705E90">
              <w:t xml:space="preserve">CACP, EACH, </w:t>
            </w:r>
            <w:r>
              <w:br/>
            </w:r>
            <w:r w:rsidRPr="00705E90">
              <w:t xml:space="preserve">EACH-D and </w:t>
            </w:r>
            <w:r>
              <w:t>NRCP</w:t>
            </w:r>
            <w:r w:rsidRPr="00705E90">
              <w:t xml:space="preserve"> </w:t>
            </w:r>
            <w:r>
              <w:t xml:space="preserve">service reviews for which an </w:t>
            </w:r>
            <w:r w:rsidRPr="00705E90">
              <w:t xml:space="preserve">Outcome 1 </w:t>
            </w:r>
            <w:r>
              <w:t>‘</w:t>
            </w:r>
            <w:r w:rsidRPr="00705E90">
              <w:t>effective processes and systems in place</w:t>
            </w:r>
            <w:r>
              <w:t xml:space="preserve"> was received’</w:t>
            </w:r>
            <w:r w:rsidRPr="00551B18">
              <w:br/>
            </w:r>
            <w:r w:rsidR="002556E2" w:rsidRPr="002556E2">
              <w:rPr>
                <w:sz w:val="16"/>
                <w:szCs w:val="16"/>
              </w:rPr>
              <w:t>Most recent data for this measure are comparable and complete (chapter 13)</w:t>
            </w:r>
          </w:p>
        </w:tc>
      </w:tr>
      <w:tr w:rsidR="00184012" w:rsidTr="00F87984">
        <w:tc>
          <w:tcPr>
            <w:tcW w:w="816" w:type="pct"/>
            <w:shd w:val="clear" w:color="auto" w:fill="auto"/>
          </w:tcPr>
          <w:p w:rsidR="00184012" w:rsidRDefault="00CA53B4" w:rsidP="00885024">
            <w:pPr>
              <w:pStyle w:val="TableBodyText"/>
              <w:pBdr>
                <w:left w:val="single" w:sz="24" w:space="12" w:color="C0C0C0"/>
              </w:pBdr>
            </w:pPr>
            <w:r>
              <w:t>%</w:t>
            </w:r>
          </w:p>
        </w:tc>
        <w:tc>
          <w:tcPr>
            <w:tcW w:w="474" w:type="pct"/>
            <w:gridSpan w:val="3"/>
            <w:shd w:val="clear" w:color="auto" w:fill="auto"/>
            <w:vAlign w:val="center"/>
          </w:tcPr>
          <w:p w:rsidR="00184012" w:rsidRPr="00184012" w:rsidRDefault="00184012" w:rsidP="00184012">
            <w:pPr>
              <w:pStyle w:val="TableBodyText"/>
              <w:keepNext w:val="0"/>
            </w:pPr>
            <w:r w:rsidRPr="00184012">
              <w:t xml:space="preserve">  67.5</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83.8</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47.2</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80.8</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92.9</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76.9</w:t>
            </w:r>
          </w:p>
        </w:tc>
        <w:tc>
          <w:tcPr>
            <w:tcW w:w="389" w:type="pct"/>
            <w:shd w:val="clear" w:color="auto" w:fill="auto"/>
            <w:vAlign w:val="center"/>
          </w:tcPr>
          <w:p w:rsidR="00184012" w:rsidRPr="00184012" w:rsidRDefault="00184012" w:rsidP="00184012">
            <w:pPr>
              <w:pStyle w:val="TableBodyText"/>
              <w:keepNext w:val="0"/>
            </w:pPr>
            <w:r w:rsidRPr="00184012">
              <w:t xml:space="preserve">  66.7</w:t>
            </w:r>
          </w:p>
        </w:tc>
        <w:tc>
          <w:tcPr>
            <w:tcW w:w="493" w:type="pct"/>
            <w:gridSpan w:val="2"/>
            <w:shd w:val="clear" w:color="auto" w:fill="auto"/>
            <w:vAlign w:val="center"/>
          </w:tcPr>
          <w:p w:rsidR="00184012" w:rsidRPr="00184012" w:rsidRDefault="00184012" w:rsidP="00184012">
            <w:pPr>
              <w:pStyle w:val="TableBodyText"/>
              <w:keepNext w:val="0"/>
            </w:pPr>
            <w:r w:rsidRPr="00184012">
              <w:t xml:space="preserve">  50.0</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70.0</w:t>
            </w:r>
          </w:p>
        </w:tc>
        <w:tc>
          <w:tcPr>
            <w:tcW w:w="493" w:type="pct"/>
            <w:gridSpan w:val="2"/>
          </w:tcPr>
          <w:p w:rsidR="00184012" w:rsidRPr="00551B18" w:rsidRDefault="00184012" w:rsidP="00184012">
            <w:pPr>
              <w:pStyle w:val="TableBodyText"/>
            </w:pPr>
            <w:r w:rsidRPr="00551B18">
              <w:t>13A.</w:t>
            </w:r>
            <w:r>
              <w:t>81</w:t>
            </w:r>
          </w:p>
        </w:tc>
      </w:tr>
      <w:tr w:rsidR="00B42326" w:rsidTr="00B54D7F">
        <w:tc>
          <w:tcPr>
            <w:tcW w:w="5000" w:type="pct"/>
            <w:gridSpan w:val="21"/>
            <w:shd w:val="clear" w:color="auto" w:fill="auto"/>
          </w:tcPr>
          <w:p w:rsidR="00B42326" w:rsidRDefault="00B42326" w:rsidP="00B42326">
            <w:pPr>
              <w:pStyle w:val="TableColumnHeading"/>
              <w:pBdr>
                <w:left w:val="single" w:sz="24" w:space="12" w:color="C0C0C0"/>
              </w:pBdr>
              <w:jc w:val="left"/>
            </w:pPr>
            <w:r w:rsidRPr="00B667F6">
              <w:rPr>
                <w:b/>
                <w:i w:val="0"/>
              </w:rPr>
              <w:t>Eff</w:t>
            </w:r>
            <w:r>
              <w:rPr>
                <w:b/>
                <w:i w:val="0"/>
              </w:rPr>
              <w:t>iciency</w:t>
            </w:r>
            <w:r w:rsidRPr="00B667F6">
              <w:rPr>
                <w:b/>
                <w:i w:val="0"/>
              </w:rPr>
              <w:t xml:space="preserve"> indicator</w:t>
            </w:r>
            <w:r>
              <w:rPr>
                <w:b/>
                <w:i w:val="0"/>
              </w:rPr>
              <w:t>s</w:t>
            </w:r>
          </w:p>
        </w:tc>
      </w:tr>
      <w:tr w:rsidR="00B54D7F" w:rsidTr="00B54D7F">
        <w:tc>
          <w:tcPr>
            <w:tcW w:w="5000" w:type="pct"/>
            <w:gridSpan w:val="21"/>
            <w:shd w:val="clear" w:color="auto" w:fill="auto"/>
          </w:tcPr>
          <w:p w:rsidR="00B54D7F" w:rsidRPr="00A93820" w:rsidRDefault="00B54D7F" w:rsidP="00184012">
            <w:pPr>
              <w:pStyle w:val="TableBodyText"/>
              <w:pBdr>
                <w:left w:val="single" w:sz="24" w:space="12" w:color="C0C0C0"/>
              </w:pBdr>
              <w:jc w:val="left"/>
            </w:pPr>
            <w:r>
              <w:t>C</w:t>
            </w:r>
            <w:r w:rsidRPr="00B42326">
              <w:t>ost</w:t>
            </w:r>
            <w:r>
              <w:t xml:space="preserve"> per ACAT asses</w:t>
            </w:r>
            <w:r w:rsidR="000E6B3A">
              <w:t xml:space="preserve">sment </w:t>
            </w:r>
            <w:r w:rsidRPr="002C4F41">
              <w:rPr>
                <w:rFonts w:ascii="Vivaldi" w:hAnsi="Vivaldi"/>
              </w:rPr>
              <w:t xml:space="preserve">——  </w:t>
            </w:r>
            <w:r>
              <w:t>Australian Government expenditure on aged care assessments, per assessment</w:t>
            </w:r>
            <w:r w:rsidR="000E6B3A">
              <w:t>, 20</w:t>
            </w:r>
            <w:r w:rsidR="004F4CF4">
              <w:t>1</w:t>
            </w:r>
            <w:r w:rsidR="00184012">
              <w:t>1</w:t>
            </w:r>
            <w:r w:rsidR="000E6B3A">
              <w:t>-1</w:t>
            </w:r>
            <w:r w:rsidR="00184012">
              <w:t>2</w:t>
            </w:r>
            <w:r w:rsidR="00B42326">
              <w:br/>
            </w:r>
            <w:r w:rsidR="002556E2" w:rsidRPr="002556E2">
              <w:rPr>
                <w:sz w:val="16"/>
                <w:szCs w:val="16"/>
              </w:rPr>
              <w:t>Most recent data for this measure are comparable and complete (chapter 13)</w:t>
            </w:r>
          </w:p>
        </w:tc>
      </w:tr>
      <w:tr w:rsidR="00184012" w:rsidTr="00F87984">
        <w:tc>
          <w:tcPr>
            <w:tcW w:w="816" w:type="pct"/>
            <w:shd w:val="clear" w:color="auto" w:fill="auto"/>
          </w:tcPr>
          <w:p w:rsidR="00184012" w:rsidRDefault="00184012" w:rsidP="00885024">
            <w:pPr>
              <w:pStyle w:val="TableBodyText"/>
            </w:pPr>
            <w:r>
              <w:t>$</w:t>
            </w:r>
          </w:p>
        </w:tc>
        <w:tc>
          <w:tcPr>
            <w:tcW w:w="474" w:type="pct"/>
            <w:gridSpan w:val="3"/>
            <w:shd w:val="clear" w:color="auto" w:fill="auto"/>
            <w:vAlign w:val="center"/>
          </w:tcPr>
          <w:p w:rsidR="00184012" w:rsidRPr="00184012" w:rsidRDefault="00184012" w:rsidP="00184012">
            <w:pPr>
              <w:pStyle w:val="TableBodyText"/>
              <w:keepNext w:val="0"/>
            </w:pPr>
            <w:r w:rsidRPr="00184012">
              <w:t xml:space="preserve">  509</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447</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505</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474</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676</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439</w:t>
            </w:r>
          </w:p>
        </w:tc>
        <w:tc>
          <w:tcPr>
            <w:tcW w:w="389" w:type="pct"/>
            <w:shd w:val="clear" w:color="auto" w:fill="auto"/>
            <w:vAlign w:val="center"/>
          </w:tcPr>
          <w:p w:rsidR="00184012" w:rsidRPr="00184012" w:rsidRDefault="00184012" w:rsidP="00184012">
            <w:pPr>
              <w:pStyle w:val="TableBodyText"/>
              <w:keepNext w:val="0"/>
            </w:pPr>
            <w:r w:rsidRPr="00184012">
              <w:t xml:space="preserve">  449</w:t>
            </w:r>
          </w:p>
        </w:tc>
        <w:tc>
          <w:tcPr>
            <w:tcW w:w="493" w:type="pct"/>
            <w:gridSpan w:val="2"/>
            <w:shd w:val="clear" w:color="auto" w:fill="auto"/>
            <w:vAlign w:val="center"/>
          </w:tcPr>
          <w:p w:rsidR="00184012" w:rsidRPr="00184012" w:rsidRDefault="00184012" w:rsidP="00184012">
            <w:pPr>
              <w:pStyle w:val="TableBodyText"/>
              <w:keepNext w:val="0"/>
            </w:pPr>
            <w:r w:rsidRPr="00184012">
              <w:t xml:space="preserve"> 1 197</w:t>
            </w:r>
          </w:p>
        </w:tc>
        <w:tc>
          <w:tcPr>
            <w:tcW w:w="389" w:type="pct"/>
            <w:gridSpan w:val="2"/>
            <w:shd w:val="clear" w:color="auto" w:fill="auto"/>
            <w:vAlign w:val="center"/>
          </w:tcPr>
          <w:p w:rsidR="00184012" w:rsidRPr="00184012" w:rsidRDefault="00184012" w:rsidP="00184012">
            <w:pPr>
              <w:pStyle w:val="TableBodyText"/>
              <w:keepNext w:val="0"/>
            </w:pPr>
            <w:r w:rsidRPr="00184012">
              <w:t xml:space="preserve">  502</w:t>
            </w:r>
          </w:p>
        </w:tc>
        <w:tc>
          <w:tcPr>
            <w:tcW w:w="493" w:type="pct"/>
            <w:gridSpan w:val="2"/>
          </w:tcPr>
          <w:p w:rsidR="00184012" w:rsidRPr="00315910" w:rsidRDefault="00184012" w:rsidP="00184012">
            <w:pPr>
              <w:pStyle w:val="TableBodyText"/>
            </w:pPr>
            <w:r w:rsidRPr="00A93820">
              <w:t>13A.</w:t>
            </w:r>
            <w:r>
              <w:t>84</w:t>
            </w:r>
          </w:p>
        </w:tc>
      </w:tr>
      <w:tr w:rsidR="00B54D7F" w:rsidTr="00B54D7F">
        <w:tc>
          <w:tcPr>
            <w:tcW w:w="5000" w:type="pct"/>
            <w:gridSpan w:val="21"/>
            <w:shd w:val="clear" w:color="auto" w:fill="auto"/>
          </w:tcPr>
          <w:p w:rsidR="00B54D7F" w:rsidRPr="002C4F41" w:rsidRDefault="00B54D7F" w:rsidP="00141F80">
            <w:pPr>
              <w:pStyle w:val="TableBodyText"/>
              <w:jc w:val="left"/>
            </w:pPr>
            <w:r w:rsidRPr="002C4F41">
              <w:t>Expenditure per head of target population</w:t>
            </w:r>
            <w:r>
              <w:t xml:space="preserve"> </w:t>
            </w:r>
            <w:r w:rsidRPr="002C4F41">
              <w:rPr>
                <w:rFonts w:ascii="Vivaldi" w:hAnsi="Vivaldi"/>
              </w:rPr>
              <w:t xml:space="preserve">——  </w:t>
            </w:r>
            <w:r>
              <w:t xml:space="preserve">Australian Government (DoHA and DVA) real expenditure on residential services per person aged </w:t>
            </w:r>
            <w:r w:rsidR="00141F80" w:rsidRPr="00C51941">
              <w:t>65</w:t>
            </w:r>
            <w:r>
              <w:t xml:space="preserve"> years or over </w:t>
            </w:r>
            <w:r w:rsidR="004E224C">
              <w:t>and</w:t>
            </w:r>
            <w:r>
              <w:t xml:space="preserve"> </w:t>
            </w:r>
            <w:r w:rsidRPr="00C51941">
              <w:t xml:space="preserve">Indigenous </w:t>
            </w:r>
            <w:r w:rsidR="00141F80" w:rsidRPr="00C51941">
              <w:t>Australians</w:t>
            </w:r>
            <w:r w:rsidRPr="00141F80">
              <w:rPr>
                <w:shd w:val="clear" w:color="auto" w:fill="BFBFBF" w:themeFill="background1" w:themeFillShade="BF"/>
              </w:rPr>
              <w:t xml:space="preserve"> </w:t>
            </w:r>
            <w:r>
              <w:t>aged 50–</w:t>
            </w:r>
            <w:r w:rsidRPr="00C51941">
              <w:t>6</w:t>
            </w:r>
            <w:r w:rsidR="00141F80" w:rsidRPr="00C51941">
              <w:t>4</w:t>
            </w:r>
            <w:r w:rsidRPr="00C51941">
              <w:t xml:space="preserve"> y</w:t>
            </w:r>
            <w:r>
              <w:t>ears (including payroll tax)</w:t>
            </w:r>
            <w:r w:rsidR="000E6B3A">
              <w:t xml:space="preserve">, </w:t>
            </w:r>
            <w:r w:rsidR="006D5589">
              <w:t>2012-13</w:t>
            </w:r>
            <w:r w:rsidR="00B42326">
              <w:t xml:space="preserve"> </w:t>
            </w:r>
            <w:r w:rsidR="00B42326">
              <w:br/>
            </w:r>
            <w:r w:rsidR="002556E2" w:rsidRPr="002556E2">
              <w:rPr>
                <w:sz w:val="16"/>
                <w:szCs w:val="16"/>
              </w:rPr>
              <w:t>Most recent data for this measure are comparable and complete (chapter 13)</w:t>
            </w:r>
          </w:p>
        </w:tc>
      </w:tr>
      <w:tr w:rsidR="00CA178F" w:rsidTr="00F87984">
        <w:tc>
          <w:tcPr>
            <w:tcW w:w="816" w:type="pct"/>
            <w:shd w:val="clear" w:color="auto" w:fill="auto"/>
          </w:tcPr>
          <w:p w:rsidR="00CA178F" w:rsidRDefault="00CA178F" w:rsidP="00885024">
            <w:pPr>
              <w:pStyle w:val="TableBodyText"/>
            </w:pPr>
            <w:r>
              <w:t>$</w:t>
            </w:r>
          </w:p>
        </w:tc>
        <w:tc>
          <w:tcPr>
            <w:tcW w:w="474" w:type="pct"/>
            <w:gridSpan w:val="3"/>
            <w:shd w:val="clear" w:color="auto" w:fill="auto"/>
            <w:vAlign w:val="center"/>
          </w:tcPr>
          <w:p w:rsidR="00CA178F" w:rsidRPr="00516024" w:rsidRDefault="00CA178F" w:rsidP="00516024">
            <w:pPr>
              <w:pStyle w:val="TableBodyText"/>
              <w:keepNext w:val="0"/>
            </w:pPr>
            <w:r w:rsidRPr="00516024">
              <w:t xml:space="preserve"> 2 629</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2 807</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2 546</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2 439</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3 143</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2 483</w:t>
            </w:r>
          </w:p>
        </w:tc>
        <w:tc>
          <w:tcPr>
            <w:tcW w:w="389" w:type="pct"/>
            <w:shd w:val="clear" w:color="auto" w:fill="auto"/>
            <w:vAlign w:val="center"/>
          </w:tcPr>
          <w:p w:rsidR="00CA178F" w:rsidRPr="00516024" w:rsidRDefault="00CA178F" w:rsidP="00516024">
            <w:pPr>
              <w:pStyle w:val="TableBodyText"/>
              <w:keepNext w:val="0"/>
            </w:pPr>
            <w:r w:rsidRPr="00516024">
              <w:t xml:space="preserve"> 2 137</w:t>
            </w:r>
          </w:p>
        </w:tc>
        <w:tc>
          <w:tcPr>
            <w:tcW w:w="493" w:type="pct"/>
            <w:gridSpan w:val="2"/>
            <w:shd w:val="clear" w:color="auto" w:fill="auto"/>
            <w:vAlign w:val="center"/>
          </w:tcPr>
          <w:p w:rsidR="00CA178F" w:rsidRPr="00516024" w:rsidRDefault="00CA178F" w:rsidP="00516024">
            <w:pPr>
              <w:pStyle w:val="TableBodyText"/>
              <w:keepNext w:val="0"/>
            </w:pPr>
            <w:r w:rsidRPr="00516024">
              <w:t xml:space="preserve"> 1 550</w:t>
            </w:r>
          </w:p>
        </w:tc>
        <w:tc>
          <w:tcPr>
            <w:tcW w:w="389" w:type="pct"/>
            <w:gridSpan w:val="2"/>
            <w:shd w:val="clear" w:color="auto" w:fill="auto"/>
            <w:vAlign w:val="center"/>
          </w:tcPr>
          <w:p w:rsidR="00CA178F" w:rsidRPr="00516024" w:rsidRDefault="00CA178F" w:rsidP="00516024">
            <w:pPr>
              <w:pStyle w:val="TableBodyText"/>
              <w:keepNext w:val="0"/>
            </w:pPr>
            <w:r w:rsidRPr="00516024">
              <w:t xml:space="preserve"> 2 661</w:t>
            </w:r>
          </w:p>
        </w:tc>
        <w:tc>
          <w:tcPr>
            <w:tcW w:w="493" w:type="pct"/>
            <w:gridSpan w:val="2"/>
          </w:tcPr>
          <w:p w:rsidR="00CA178F" w:rsidRPr="00315910" w:rsidRDefault="00CA178F" w:rsidP="00CA178F">
            <w:pPr>
              <w:pStyle w:val="TableBodyText"/>
            </w:pPr>
            <w:r>
              <w:t>13A.86</w:t>
            </w:r>
          </w:p>
        </w:tc>
      </w:tr>
      <w:tr w:rsidR="00CA178F" w:rsidTr="008D12EF">
        <w:trPr>
          <w:trHeight w:val="358"/>
        </w:trPr>
        <w:tc>
          <w:tcPr>
            <w:tcW w:w="5000" w:type="pct"/>
            <w:gridSpan w:val="21"/>
            <w:shd w:val="clear" w:color="auto" w:fill="auto"/>
          </w:tcPr>
          <w:p w:rsidR="00CA178F" w:rsidRDefault="00CA178F" w:rsidP="002B5B30">
            <w:pPr>
              <w:pStyle w:val="TableColumnHeading"/>
              <w:jc w:val="left"/>
            </w:pPr>
            <w:r>
              <w:rPr>
                <w:b/>
                <w:i w:val="0"/>
              </w:rPr>
              <w:t>Outcome</w:t>
            </w:r>
            <w:r w:rsidRPr="00B667F6">
              <w:rPr>
                <w:b/>
                <w:i w:val="0"/>
              </w:rPr>
              <w:t xml:space="preserve"> indicator</w:t>
            </w:r>
            <w:r>
              <w:rPr>
                <w:b/>
                <w:i w:val="0"/>
              </w:rPr>
              <w:t>s</w:t>
            </w:r>
          </w:p>
        </w:tc>
      </w:tr>
      <w:tr w:rsidR="00CA178F" w:rsidTr="008D12EF">
        <w:trPr>
          <w:trHeight w:val="772"/>
        </w:trPr>
        <w:tc>
          <w:tcPr>
            <w:tcW w:w="5000" w:type="pct"/>
            <w:gridSpan w:val="21"/>
            <w:shd w:val="clear" w:color="auto" w:fill="auto"/>
          </w:tcPr>
          <w:p w:rsidR="00CA178F" w:rsidRDefault="00CA178F" w:rsidP="00B54D7F">
            <w:pPr>
              <w:pStyle w:val="TableBodyText"/>
              <w:jc w:val="left"/>
            </w:pPr>
            <w:r>
              <w:t>M</w:t>
            </w:r>
            <w:r w:rsidRPr="002C4F41">
              <w:t>ainte</w:t>
            </w:r>
            <w:r>
              <w:t xml:space="preserve">nance of individual functioning </w:t>
            </w:r>
            <w:r w:rsidRPr="002C4F41">
              <w:t xml:space="preserve">— </w:t>
            </w:r>
            <w:r w:rsidRPr="009F4F77">
              <w:t xml:space="preserve">improvement in </w:t>
            </w:r>
            <w:r>
              <w:t>Transition Care Program (TCP)</w:t>
            </w:r>
            <w:r w:rsidRPr="009F4F77">
              <w:t xml:space="preserve"> client</w:t>
            </w:r>
            <w:r>
              <w:t>’</w:t>
            </w:r>
            <w:r w:rsidRPr="009F4F77">
              <w:t xml:space="preserve">s level of functioning, reflected in the movement from the average Modified Barthel Index (MBI) score on entry </w:t>
            </w:r>
            <w:r>
              <w:t xml:space="preserve">to the average MBI score on exit, 2012-13  </w:t>
            </w:r>
            <w:r>
              <w:br/>
            </w:r>
            <w:r w:rsidR="002556E2" w:rsidRPr="002556E2">
              <w:rPr>
                <w:sz w:val="16"/>
                <w:szCs w:val="16"/>
              </w:rPr>
              <w:t>Most recent data for this measure are comparable and complete (chapter 13)</w:t>
            </w:r>
          </w:p>
        </w:tc>
      </w:tr>
      <w:tr w:rsidR="00CA178F" w:rsidTr="00CE3455">
        <w:tc>
          <w:tcPr>
            <w:tcW w:w="5000" w:type="pct"/>
            <w:gridSpan w:val="21"/>
            <w:shd w:val="clear" w:color="auto" w:fill="auto"/>
          </w:tcPr>
          <w:p w:rsidR="00CA178F" w:rsidRDefault="00CA178F" w:rsidP="00CE3455">
            <w:pPr>
              <w:pStyle w:val="TableColumnHeading"/>
              <w:pBdr>
                <w:left w:val="single" w:sz="24" w:space="12" w:color="C0C0C0"/>
              </w:pBdr>
              <w:jc w:val="left"/>
            </w:pPr>
            <w:r>
              <w:rPr>
                <w:b/>
                <w:i w:val="0"/>
              </w:rPr>
              <w:t>Average MBI on entry</w:t>
            </w:r>
          </w:p>
        </w:tc>
      </w:tr>
      <w:tr w:rsidR="00B226D4" w:rsidTr="00596FDF">
        <w:tc>
          <w:tcPr>
            <w:tcW w:w="816" w:type="pct"/>
            <w:shd w:val="clear" w:color="auto" w:fill="auto"/>
            <w:vAlign w:val="center"/>
          </w:tcPr>
          <w:p w:rsidR="00B226D4" w:rsidRDefault="00B226D4" w:rsidP="00885024">
            <w:pPr>
              <w:pStyle w:val="TableBodyText"/>
              <w:rPr>
                <w:rFonts w:cs="Arial"/>
              </w:rPr>
            </w:pPr>
            <w:r w:rsidRPr="00CE3455">
              <w:t>no.</w:t>
            </w:r>
          </w:p>
        </w:tc>
        <w:tc>
          <w:tcPr>
            <w:tcW w:w="474" w:type="pct"/>
            <w:gridSpan w:val="3"/>
            <w:shd w:val="clear" w:color="auto" w:fill="FFFFFF" w:themeFill="background1"/>
            <w:vAlign w:val="center"/>
          </w:tcPr>
          <w:p w:rsidR="00B226D4" w:rsidRPr="00B226D4" w:rsidRDefault="00B226D4" w:rsidP="00B226D4">
            <w:pPr>
              <w:pStyle w:val="TableBodyText"/>
              <w:keepNext w:val="0"/>
            </w:pPr>
            <w:r w:rsidRPr="00B226D4">
              <w:t xml:space="preserve">  80</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66</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78</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58</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67</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66</w:t>
            </w:r>
          </w:p>
        </w:tc>
        <w:tc>
          <w:tcPr>
            <w:tcW w:w="389" w:type="pct"/>
            <w:shd w:val="clear" w:color="auto" w:fill="FFFFFF" w:themeFill="background1"/>
            <w:vAlign w:val="center"/>
          </w:tcPr>
          <w:p w:rsidR="00B226D4" w:rsidRPr="00B226D4" w:rsidRDefault="00B226D4" w:rsidP="00B226D4">
            <w:pPr>
              <w:pStyle w:val="TableBodyText"/>
              <w:keepNext w:val="0"/>
            </w:pPr>
            <w:r w:rsidRPr="00B226D4">
              <w:t xml:space="preserve">  82</w:t>
            </w:r>
          </w:p>
        </w:tc>
        <w:tc>
          <w:tcPr>
            <w:tcW w:w="493" w:type="pct"/>
            <w:gridSpan w:val="2"/>
            <w:shd w:val="clear" w:color="auto" w:fill="FFFFFF" w:themeFill="background1"/>
            <w:vAlign w:val="center"/>
          </w:tcPr>
          <w:p w:rsidR="00B226D4" w:rsidRPr="00B226D4" w:rsidRDefault="00B226D4" w:rsidP="00B226D4">
            <w:pPr>
              <w:pStyle w:val="TableBodyText"/>
              <w:keepNext w:val="0"/>
            </w:pPr>
            <w:r w:rsidRPr="00B226D4">
              <w:t xml:space="preserve">  79</w:t>
            </w:r>
          </w:p>
        </w:tc>
        <w:tc>
          <w:tcPr>
            <w:tcW w:w="389" w:type="pct"/>
            <w:gridSpan w:val="2"/>
            <w:shd w:val="clear" w:color="auto" w:fill="FFFFFF" w:themeFill="background1"/>
            <w:vAlign w:val="center"/>
          </w:tcPr>
          <w:p w:rsidR="00B226D4" w:rsidRPr="00B226D4" w:rsidRDefault="00B226D4" w:rsidP="00B226D4">
            <w:pPr>
              <w:pStyle w:val="TableBodyText"/>
              <w:keepNext w:val="0"/>
            </w:pPr>
            <w:r w:rsidRPr="00B226D4">
              <w:t xml:space="preserve">  72</w:t>
            </w:r>
          </w:p>
        </w:tc>
        <w:tc>
          <w:tcPr>
            <w:tcW w:w="493" w:type="pct"/>
            <w:gridSpan w:val="2"/>
            <w:vAlign w:val="center"/>
          </w:tcPr>
          <w:p w:rsidR="00B226D4" w:rsidRDefault="00B226D4" w:rsidP="00516024">
            <w:pPr>
              <w:pStyle w:val="TableBodyText"/>
            </w:pPr>
            <w:r>
              <w:t>13A.90</w:t>
            </w:r>
          </w:p>
        </w:tc>
      </w:tr>
      <w:tr w:rsidR="00CA178F" w:rsidTr="00596FDF">
        <w:tc>
          <w:tcPr>
            <w:tcW w:w="5000" w:type="pct"/>
            <w:gridSpan w:val="21"/>
            <w:shd w:val="clear" w:color="auto" w:fill="FFFFFF" w:themeFill="background1"/>
          </w:tcPr>
          <w:p w:rsidR="00CA178F" w:rsidRDefault="00CA178F" w:rsidP="00CE3455">
            <w:pPr>
              <w:pStyle w:val="TableColumnHeading"/>
              <w:pBdr>
                <w:left w:val="single" w:sz="24" w:space="12" w:color="C0C0C0"/>
              </w:pBdr>
              <w:jc w:val="left"/>
            </w:pPr>
            <w:r>
              <w:rPr>
                <w:b/>
                <w:i w:val="0"/>
              </w:rPr>
              <w:t>Average MBI on exit</w:t>
            </w:r>
          </w:p>
        </w:tc>
      </w:tr>
      <w:tr w:rsidR="00B226D4" w:rsidTr="00596FDF">
        <w:tc>
          <w:tcPr>
            <w:tcW w:w="816" w:type="pct"/>
            <w:tcBorders>
              <w:bottom w:val="single" w:sz="4" w:space="0" w:color="auto"/>
            </w:tcBorders>
            <w:shd w:val="clear" w:color="auto" w:fill="auto"/>
            <w:vAlign w:val="center"/>
          </w:tcPr>
          <w:p w:rsidR="00B226D4" w:rsidRDefault="00B226D4" w:rsidP="00885024">
            <w:pPr>
              <w:pStyle w:val="TableBodyText"/>
              <w:rPr>
                <w:rFonts w:cs="Arial"/>
              </w:rPr>
            </w:pPr>
            <w:r>
              <w:t>n</w:t>
            </w:r>
            <w:r w:rsidRPr="00CE3455">
              <w:t>o</w:t>
            </w:r>
            <w:r>
              <w:t>.</w:t>
            </w:r>
          </w:p>
        </w:tc>
        <w:tc>
          <w:tcPr>
            <w:tcW w:w="474" w:type="pct"/>
            <w:gridSpan w:val="3"/>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91</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74</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90</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64</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84</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83</w:t>
            </w:r>
          </w:p>
        </w:tc>
        <w:tc>
          <w:tcPr>
            <w:tcW w:w="389" w:type="pct"/>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94</w:t>
            </w:r>
          </w:p>
        </w:tc>
        <w:tc>
          <w:tcPr>
            <w:tcW w:w="493"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89</w:t>
            </w:r>
          </w:p>
        </w:tc>
        <w:tc>
          <w:tcPr>
            <w:tcW w:w="389" w:type="pct"/>
            <w:gridSpan w:val="2"/>
            <w:tcBorders>
              <w:bottom w:val="single" w:sz="4" w:space="0" w:color="auto"/>
            </w:tcBorders>
            <w:shd w:val="clear" w:color="auto" w:fill="FFFFFF" w:themeFill="background1"/>
            <w:vAlign w:val="center"/>
          </w:tcPr>
          <w:p w:rsidR="00B226D4" w:rsidRPr="00B226D4" w:rsidRDefault="00B226D4" w:rsidP="00B226D4">
            <w:pPr>
              <w:pStyle w:val="TableBodyText"/>
              <w:keepNext w:val="0"/>
            </w:pPr>
            <w:r w:rsidRPr="00B226D4">
              <w:t xml:space="preserve">  83</w:t>
            </w:r>
          </w:p>
        </w:tc>
        <w:tc>
          <w:tcPr>
            <w:tcW w:w="493" w:type="pct"/>
            <w:gridSpan w:val="2"/>
            <w:tcBorders>
              <w:bottom w:val="single" w:sz="4" w:space="0" w:color="auto"/>
            </w:tcBorders>
            <w:vAlign w:val="center"/>
          </w:tcPr>
          <w:p w:rsidR="00B226D4" w:rsidRDefault="00B226D4" w:rsidP="00516024">
            <w:pPr>
              <w:pStyle w:val="TableBodyText"/>
            </w:pPr>
            <w:r>
              <w:t>13A.90</w:t>
            </w:r>
          </w:p>
        </w:tc>
      </w:tr>
    </w:tbl>
    <w:p w:rsidR="00B54D7F" w:rsidRDefault="00B54D7F" w:rsidP="00B54D7F">
      <w:pPr>
        <w:pStyle w:val="Note"/>
      </w:pPr>
      <w:r w:rsidRPr="0012694F">
        <w:rPr>
          <w:rStyle w:val="NoteLabel"/>
        </w:rPr>
        <w:t>a</w:t>
      </w:r>
      <w:r w:rsidRPr="0012694F">
        <w:rPr>
          <w:rFonts w:cs="Arial"/>
        </w:rPr>
        <w:t> </w:t>
      </w:r>
      <w:r w:rsidRPr="0012694F">
        <w:t xml:space="preserve">Caveats for these data are available in Chapter 13 and Attachment 13A. Refer to the indicator interpretation boxes in </w:t>
      </w:r>
      <w:r w:rsidR="007716AF">
        <w:t>C</w:t>
      </w:r>
      <w:r w:rsidRPr="0012694F">
        <w:t>hapter 13 for information to assist with</w:t>
      </w:r>
      <w:r w:rsidR="009F11A1">
        <w:t xml:space="preserve"> the</w:t>
      </w:r>
      <w:r w:rsidRPr="0012694F">
        <w:t xml:space="preserve"> interpret</w:t>
      </w:r>
      <w:r w:rsidR="009F11A1">
        <w:t xml:space="preserve">ation of </w:t>
      </w:r>
      <w:r w:rsidRPr="0012694F">
        <w:t xml:space="preserve">data presented in this table. </w:t>
      </w:r>
      <w:r w:rsidRPr="0012694F">
        <w:rPr>
          <w:rStyle w:val="NoteLabel"/>
        </w:rPr>
        <w:t>b</w:t>
      </w:r>
      <w:r w:rsidRPr="0012694F">
        <w:t xml:space="preserve"> Some data are derived from detailed data in Chapter 13 and Attachment 13A.  </w:t>
      </w:r>
      <w:r w:rsidRPr="0012694F">
        <w:rPr>
          <w:b/>
        </w:rPr>
        <w:t>na</w:t>
      </w:r>
      <w:r w:rsidRPr="0012694F">
        <w:t xml:space="preserve"> Not available. </w:t>
      </w:r>
      <w:r w:rsidRPr="00C13CE2">
        <w:t>–</w:t>
      </w:r>
      <w:r w:rsidRPr="0012694F">
        <w:t xml:space="preserve"> Nil or rounded to zero.</w:t>
      </w:r>
    </w:p>
    <w:p w:rsidR="00B54D7F" w:rsidRDefault="00B54D7F" w:rsidP="00B54D7F">
      <w:pPr>
        <w:pStyle w:val="Source"/>
      </w:pPr>
      <w:r>
        <w:rPr>
          <w:i/>
        </w:rPr>
        <w:t>Source</w:t>
      </w:r>
      <w:r>
        <w:t>: Chapter 13 and Attachment 13A.</w:t>
      </w:r>
    </w:p>
    <w:p w:rsidR="00871A1F" w:rsidRPr="00492F0A" w:rsidRDefault="00871A1F" w:rsidP="00E50722">
      <w:pPr>
        <w:pStyle w:val="Heading4"/>
        <w:rPr>
          <w:color w:val="000000"/>
        </w:rPr>
      </w:pPr>
      <w:r w:rsidRPr="00492F0A">
        <w:rPr>
          <w:color w:val="000000"/>
        </w:rPr>
        <w:lastRenderedPageBreak/>
        <w:t>Services for people with disability</w:t>
      </w:r>
    </w:p>
    <w:p w:rsidR="00B54D7F" w:rsidRPr="00C13CE2" w:rsidRDefault="00B54D7F" w:rsidP="00E50722">
      <w:pPr>
        <w:pStyle w:val="BodyText"/>
        <w:spacing w:before="120"/>
        <w:rPr>
          <w:color w:val="000000"/>
        </w:rPr>
      </w:pPr>
      <w:r w:rsidRPr="00C13CE2">
        <w:rPr>
          <w:color w:val="000000"/>
        </w:rPr>
        <w:t xml:space="preserve">The performance indicator framework for services for people with disability is presented in figure </w:t>
      </w:r>
      <w:r w:rsidR="00C043A8" w:rsidRPr="00C043A8">
        <w:t>F.</w:t>
      </w:r>
      <w:r w:rsidR="00E33535">
        <w:t>9</w:t>
      </w:r>
      <w:r w:rsidR="00C13CE2">
        <w:rPr>
          <w:color w:val="000000"/>
        </w:rPr>
        <w:t>.</w:t>
      </w:r>
      <w:r w:rsidR="00570CC2">
        <w:rPr>
          <w:color w:val="000000"/>
        </w:rPr>
        <w:t xml:space="preserve"> </w:t>
      </w:r>
      <w:r w:rsidR="00570CC2">
        <w:t>This</w:t>
      </w:r>
      <w:r w:rsidR="00570CC2" w:rsidRPr="00E6147C">
        <w:t xml:space="preserve"> framework provides comprehensive information on the equity, effectiveness</w:t>
      </w:r>
      <w:r w:rsidR="00570CC2">
        <w:t>,</w:t>
      </w:r>
      <w:r w:rsidR="00570CC2" w:rsidRPr="00E6147C">
        <w:t xml:space="preserve"> efficiency </w:t>
      </w:r>
      <w:r w:rsidR="00570CC2">
        <w:t xml:space="preserve">and the outcomes </w:t>
      </w:r>
      <w:r w:rsidR="00570CC2" w:rsidRPr="00E6147C">
        <w:t>of</w:t>
      </w:r>
      <w:r w:rsidR="00570CC2">
        <w:t xml:space="preserve"> </w:t>
      </w:r>
      <w:r w:rsidR="00E50722">
        <w:t xml:space="preserve">disability </w:t>
      </w:r>
      <w:r w:rsidR="00570CC2" w:rsidRPr="00F21C84">
        <w:t>services</w:t>
      </w:r>
      <w:r w:rsidR="00570CC2">
        <w:rPr>
          <w:color w:val="000000"/>
        </w:rPr>
        <w:t>.</w:t>
      </w:r>
    </w:p>
    <w:p w:rsidR="00B54D7F" w:rsidRPr="00F21C84" w:rsidRDefault="00B54D7F" w:rsidP="00B54D7F">
      <w:pPr>
        <w:pStyle w:val="FigureTitle"/>
        <w:keepLines w:val="0"/>
      </w:pPr>
      <w:r w:rsidRPr="00F21C84">
        <w:rPr>
          <w:b w:val="0"/>
        </w:rPr>
        <w:t xml:space="preserve">Figure </w:t>
      </w:r>
      <w:r w:rsidR="00E33535">
        <w:rPr>
          <w:b w:val="0"/>
        </w:rPr>
        <w:t>F.9</w:t>
      </w:r>
      <w:r w:rsidRPr="00F21C84">
        <w:tab/>
      </w:r>
      <w:r w:rsidR="007A2FDF">
        <w:t>S</w:t>
      </w:r>
      <w:r w:rsidRPr="00F21C84">
        <w:t xml:space="preserve">ervices for people with disability </w:t>
      </w:r>
      <w:r w:rsidR="007A2FDF">
        <w:t>performance indicator framework</w:t>
      </w:r>
    </w:p>
    <w:tbl>
      <w:tblPr>
        <w:tblW w:w="5000" w:type="pct"/>
        <w:tblBorders>
          <w:top w:val="single" w:sz="6" w:space="0" w:color="auto"/>
          <w:bottom w:val="single" w:sz="6" w:space="0" w:color="auto"/>
        </w:tblBorders>
        <w:tblCellMar>
          <w:left w:w="0" w:type="dxa"/>
          <w:right w:w="0" w:type="dxa"/>
        </w:tblCellMar>
        <w:tblLook w:val="0000" w:firstRow="0" w:lastRow="0" w:firstColumn="0" w:lastColumn="0" w:noHBand="0" w:noVBand="0"/>
      </w:tblPr>
      <w:tblGrid>
        <w:gridCol w:w="8789"/>
      </w:tblGrid>
      <w:tr w:rsidR="00B54D7F" w:rsidRPr="00F21C84" w:rsidTr="00E50722">
        <w:tc>
          <w:tcPr>
            <w:tcW w:w="5000" w:type="pct"/>
            <w:tcBorders>
              <w:top w:val="single" w:sz="6" w:space="0" w:color="auto"/>
              <w:bottom w:val="single" w:sz="6" w:space="0" w:color="auto"/>
              <w:right w:val="nil"/>
            </w:tcBorders>
          </w:tcPr>
          <w:p w:rsidR="00B54D7F" w:rsidRPr="00F21C84" w:rsidRDefault="004401B4" w:rsidP="00B54D7F">
            <w:pPr>
              <w:pStyle w:val="Figure"/>
              <w:keepNext w:val="0"/>
            </w:pPr>
            <w:r>
              <w:rPr>
                <w:noProof/>
              </w:rPr>
              <w:drawing>
                <wp:inline distT="0" distB="0" distL="0" distR="0">
                  <wp:extent cx="5572760" cy="6659880"/>
                  <wp:effectExtent l="0" t="0" r="0" b="0"/>
                  <wp:docPr id="6" name="Picture 6" descr="Figure F.9 Services for people with disability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72760" cy="6659880"/>
                          </a:xfrm>
                          <a:prstGeom prst="rect">
                            <a:avLst/>
                          </a:prstGeom>
                          <a:noFill/>
                          <a:ln>
                            <a:noFill/>
                          </a:ln>
                        </pic:spPr>
                      </pic:pic>
                    </a:graphicData>
                  </a:graphic>
                </wp:inline>
              </w:drawing>
            </w:r>
          </w:p>
        </w:tc>
      </w:tr>
    </w:tbl>
    <w:p w:rsidR="00B54D7F" w:rsidRPr="002153A0" w:rsidRDefault="00B54D7F" w:rsidP="00E50722">
      <w:pPr>
        <w:pStyle w:val="BodyText"/>
        <w:spacing w:before="120"/>
        <w:rPr>
          <w:color w:val="000000"/>
        </w:rPr>
      </w:pPr>
      <w:r w:rsidRPr="002153A0">
        <w:rPr>
          <w:color w:val="000000"/>
        </w:rPr>
        <w:lastRenderedPageBreak/>
        <w:t xml:space="preserve">An overview of </w:t>
      </w:r>
      <w:r w:rsidR="002153A0">
        <w:rPr>
          <w:color w:val="000000"/>
        </w:rPr>
        <w:t>services for people with disability</w:t>
      </w:r>
      <w:r w:rsidRPr="002153A0">
        <w:rPr>
          <w:color w:val="000000"/>
        </w:rPr>
        <w:t xml:space="preserve"> performance indicator results for </w:t>
      </w:r>
      <w:r w:rsidR="00024A62" w:rsidRPr="002153A0">
        <w:rPr>
          <w:color w:val="000000"/>
        </w:rPr>
        <w:t>20</w:t>
      </w:r>
      <w:r w:rsidR="00024A62">
        <w:rPr>
          <w:color w:val="000000"/>
        </w:rPr>
        <w:t>11</w:t>
      </w:r>
      <w:r w:rsidRPr="002153A0">
        <w:rPr>
          <w:color w:val="000000"/>
        </w:rPr>
        <w:noBreakHyphen/>
        <w:t>1</w:t>
      </w:r>
      <w:r w:rsidR="00024A62">
        <w:rPr>
          <w:color w:val="000000"/>
        </w:rPr>
        <w:t>2</w:t>
      </w:r>
      <w:r w:rsidRPr="002153A0">
        <w:rPr>
          <w:color w:val="000000"/>
        </w:rPr>
        <w:t xml:space="preserve"> are presented in table </w:t>
      </w:r>
      <w:r w:rsidR="00B80C16">
        <w:rPr>
          <w:color w:val="000000"/>
        </w:rPr>
        <w:t>F.</w:t>
      </w:r>
      <w:r w:rsidR="00CD7978">
        <w:rPr>
          <w:color w:val="000000"/>
        </w:rPr>
        <w:t>4</w:t>
      </w:r>
      <w:r w:rsidR="002153A0">
        <w:rPr>
          <w:color w:val="000000"/>
        </w:rPr>
        <w:t>.</w:t>
      </w:r>
      <w:r w:rsidRPr="002153A0">
        <w:rPr>
          <w:color w:val="000000"/>
        </w:rPr>
        <w:t xml:space="preserve"> </w:t>
      </w:r>
      <w:r w:rsidR="009F11A1">
        <w:t>Information to assist the interpretation of these data can be found in the indicator interpretation boxes in chapter 14 and the footnotes in attachment 14A.</w:t>
      </w:r>
    </w:p>
    <w:p w:rsidR="00B54D7F" w:rsidRDefault="00B54D7F" w:rsidP="00B54D7F">
      <w:pPr>
        <w:pStyle w:val="TableTitle"/>
      </w:pPr>
      <w:r>
        <w:rPr>
          <w:b w:val="0"/>
        </w:rPr>
        <w:t xml:space="preserve">Table </w:t>
      </w:r>
      <w:bookmarkStart w:id="15" w:name="OLE_LINK3"/>
      <w:r w:rsidR="00197646">
        <w:rPr>
          <w:b w:val="0"/>
        </w:rPr>
        <w:t>F.</w:t>
      </w:r>
      <w:r w:rsidR="00914946">
        <w:rPr>
          <w:b w:val="0"/>
          <w:noProof/>
        </w:rPr>
        <w:t>4</w:t>
      </w:r>
      <w:bookmarkEnd w:id="15"/>
      <w:r>
        <w:tab/>
      </w:r>
      <w:r w:rsidRPr="008A075D">
        <w:t>Performance indicat</w:t>
      </w:r>
      <w:r>
        <w:t xml:space="preserve">ors for </w:t>
      </w:r>
      <w:r w:rsidR="00A8321A">
        <w:t xml:space="preserve">services for </w:t>
      </w:r>
      <w:r>
        <w:t xml:space="preserve">people with disability, </w:t>
      </w:r>
      <w:r w:rsidR="00B80C16">
        <w:t>20</w:t>
      </w:r>
      <w:r w:rsidR="00E33535">
        <w:t>1</w:t>
      </w:r>
      <w:r w:rsidR="00024A62">
        <w:t>1</w:t>
      </w:r>
      <w:r>
        <w:t>-</w:t>
      </w:r>
      <w:r w:rsidR="00B80C16">
        <w:t>1</w:t>
      </w:r>
      <w:r w:rsidR="00024A62">
        <w:t>2</w:t>
      </w:r>
      <w:r w:rsidR="00B80C16" w:rsidRPr="000A2EAE">
        <w:rPr>
          <w:rStyle w:val="NoteLabel"/>
          <w:b/>
        </w:rPr>
        <w:t>a</w:t>
      </w:r>
      <w:r w:rsidRPr="000A2EAE">
        <w:rPr>
          <w:rStyle w:val="NoteLabel"/>
          <w:b/>
        </w:rPr>
        <w:t>, b</w:t>
      </w:r>
      <w:r w:rsidR="0070036E">
        <w:rPr>
          <w:rStyle w:val="NoteLabel"/>
          <w:b/>
        </w:rPr>
        <w:t>, c, d</w:t>
      </w:r>
    </w:p>
    <w:tbl>
      <w:tblPr>
        <w:tblW w:w="5004" w:type="pct"/>
        <w:tblLayout w:type="fixed"/>
        <w:tblCellMar>
          <w:left w:w="0" w:type="dxa"/>
          <w:right w:w="0" w:type="dxa"/>
        </w:tblCellMar>
        <w:tblLook w:val="0000" w:firstRow="0" w:lastRow="0" w:firstColumn="0" w:lastColumn="0" w:noHBand="0" w:noVBand="0"/>
      </w:tblPr>
      <w:tblGrid>
        <w:gridCol w:w="297"/>
        <w:gridCol w:w="836"/>
        <w:gridCol w:w="850"/>
        <w:gridCol w:w="850"/>
        <w:gridCol w:w="851"/>
        <w:gridCol w:w="850"/>
        <w:gridCol w:w="851"/>
        <w:gridCol w:w="707"/>
        <w:gridCol w:w="7"/>
        <w:gridCol w:w="992"/>
        <w:gridCol w:w="862"/>
        <w:gridCol w:w="843"/>
      </w:tblGrid>
      <w:tr w:rsidR="00DC267D" w:rsidTr="00DC267D">
        <w:tc>
          <w:tcPr>
            <w:tcW w:w="169" w:type="pct"/>
            <w:tcBorders>
              <w:top w:val="single" w:sz="6" w:space="0" w:color="auto"/>
              <w:bottom w:val="single" w:sz="6" w:space="0" w:color="auto"/>
            </w:tcBorders>
            <w:shd w:val="clear" w:color="auto" w:fill="auto"/>
          </w:tcPr>
          <w:p w:rsidR="00B54D7F" w:rsidRDefault="00B54D7F" w:rsidP="00B54D7F">
            <w:pPr>
              <w:pStyle w:val="TableColumnHeading"/>
              <w:jc w:val="left"/>
            </w:pPr>
          </w:p>
        </w:tc>
        <w:tc>
          <w:tcPr>
            <w:tcW w:w="475" w:type="pct"/>
            <w:tcBorders>
              <w:top w:val="single" w:sz="6" w:space="0" w:color="auto"/>
              <w:bottom w:val="single" w:sz="6" w:space="0" w:color="auto"/>
            </w:tcBorders>
            <w:shd w:val="clear" w:color="auto" w:fill="auto"/>
          </w:tcPr>
          <w:p w:rsidR="00B54D7F" w:rsidRDefault="00B54D7F" w:rsidP="00B54D7F">
            <w:pPr>
              <w:pStyle w:val="TableColumnHeading"/>
            </w:pPr>
            <w:r>
              <w:t>NSW</w:t>
            </w:r>
          </w:p>
        </w:tc>
        <w:tc>
          <w:tcPr>
            <w:tcW w:w="483" w:type="pct"/>
            <w:tcBorders>
              <w:top w:val="single" w:sz="6" w:space="0" w:color="auto"/>
              <w:bottom w:val="single" w:sz="6" w:space="0" w:color="auto"/>
            </w:tcBorders>
            <w:shd w:val="clear" w:color="auto" w:fill="auto"/>
          </w:tcPr>
          <w:p w:rsidR="00B54D7F" w:rsidRDefault="00B54D7F" w:rsidP="00B54D7F">
            <w:pPr>
              <w:pStyle w:val="TableColumnHeading"/>
            </w:pPr>
            <w:r>
              <w:t>Vic</w:t>
            </w:r>
          </w:p>
        </w:tc>
        <w:tc>
          <w:tcPr>
            <w:tcW w:w="483" w:type="pct"/>
            <w:tcBorders>
              <w:top w:val="single" w:sz="6" w:space="0" w:color="auto"/>
              <w:bottom w:val="single" w:sz="6" w:space="0" w:color="auto"/>
            </w:tcBorders>
            <w:shd w:val="clear" w:color="auto" w:fill="auto"/>
          </w:tcPr>
          <w:p w:rsidR="00B54D7F" w:rsidRDefault="00B54D7F" w:rsidP="00B54D7F">
            <w:pPr>
              <w:pStyle w:val="TableColumnHeading"/>
            </w:pPr>
            <w:r>
              <w:t>Qld</w:t>
            </w:r>
          </w:p>
        </w:tc>
        <w:tc>
          <w:tcPr>
            <w:tcW w:w="484" w:type="pct"/>
            <w:tcBorders>
              <w:top w:val="single" w:sz="6" w:space="0" w:color="auto"/>
              <w:bottom w:val="single" w:sz="6" w:space="0" w:color="auto"/>
            </w:tcBorders>
            <w:shd w:val="clear" w:color="auto" w:fill="auto"/>
          </w:tcPr>
          <w:p w:rsidR="00B54D7F" w:rsidRDefault="00B54D7F" w:rsidP="00B54D7F">
            <w:pPr>
              <w:pStyle w:val="TableColumnHeading"/>
            </w:pPr>
            <w:r>
              <w:t>WA</w:t>
            </w:r>
          </w:p>
        </w:tc>
        <w:tc>
          <w:tcPr>
            <w:tcW w:w="483" w:type="pct"/>
            <w:tcBorders>
              <w:top w:val="single" w:sz="6" w:space="0" w:color="auto"/>
              <w:bottom w:val="single" w:sz="6" w:space="0" w:color="auto"/>
            </w:tcBorders>
            <w:shd w:val="clear" w:color="auto" w:fill="auto"/>
          </w:tcPr>
          <w:p w:rsidR="00B54D7F" w:rsidRDefault="00B54D7F" w:rsidP="00B54D7F">
            <w:pPr>
              <w:pStyle w:val="TableColumnHeading"/>
            </w:pPr>
            <w:r>
              <w:t>SA</w:t>
            </w:r>
          </w:p>
        </w:tc>
        <w:tc>
          <w:tcPr>
            <w:tcW w:w="484" w:type="pct"/>
            <w:tcBorders>
              <w:top w:val="single" w:sz="6" w:space="0" w:color="auto"/>
              <w:bottom w:val="single" w:sz="6" w:space="0" w:color="auto"/>
            </w:tcBorders>
            <w:shd w:val="clear" w:color="auto" w:fill="auto"/>
          </w:tcPr>
          <w:p w:rsidR="00B54D7F" w:rsidRDefault="00B54D7F" w:rsidP="00B54D7F">
            <w:pPr>
              <w:pStyle w:val="TableColumnHeading"/>
            </w:pPr>
            <w:r>
              <w:t>Tas</w:t>
            </w:r>
          </w:p>
        </w:tc>
        <w:tc>
          <w:tcPr>
            <w:tcW w:w="406" w:type="pct"/>
            <w:gridSpan w:val="2"/>
            <w:tcBorders>
              <w:top w:val="single" w:sz="6" w:space="0" w:color="auto"/>
              <w:bottom w:val="single" w:sz="6" w:space="0" w:color="auto"/>
            </w:tcBorders>
            <w:shd w:val="clear" w:color="auto" w:fill="auto"/>
          </w:tcPr>
          <w:p w:rsidR="00B54D7F" w:rsidRDefault="00B54D7F" w:rsidP="00B54D7F">
            <w:pPr>
              <w:pStyle w:val="TableColumnHeading"/>
            </w:pPr>
            <w:r>
              <w:t>ACT</w:t>
            </w:r>
          </w:p>
        </w:tc>
        <w:tc>
          <w:tcPr>
            <w:tcW w:w="564" w:type="pct"/>
            <w:tcBorders>
              <w:top w:val="single" w:sz="6" w:space="0" w:color="auto"/>
              <w:bottom w:val="single" w:sz="6" w:space="0" w:color="auto"/>
            </w:tcBorders>
            <w:shd w:val="clear" w:color="auto" w:fill="auto"/>
          </w:tcPr>
          <w:p w:rsidR="00B54D7F" w:rsidRDefault="00B54D7F" w:rsidP="00B54D7F">
            <w:pPr>
              <w:pStyle w:val="TableColumnHeading"/>
            </w:pPr>
            <w:r>
              <w:t>NT</w:t>
            </w:r>
          </w:p>
        </w:tc>
        <w:tc>
          <w:tcPr>
            <w:tcW w:w="490" w:type="pct"/>
            <w:tcBorders>
              <w:top w:val="single" w:sz="6" w:space="0" w:color="auto"/>
              <w:bottom w:val="single" w:sz="6" w:space="0" w:color="auto"/>
            </w:tcBorders>
          </w:tcPr>
          <w:p w:rsidR="00B54D7F" w:rsidRDefault="00B54D7F" w:rsidP="00B54D7F">
            <w:pPr>
              <w:pStyle w:val="TableColumnHeading"/>
            </w:pPr>
            <w:r>
              <w:t>Aust</w:t>
            </w:r>
          </w:p>
        </w:tc>
        <w:tc>
          <w:tcPr>
            <w:tcW w:w="479" w:type="pct"/>
            <w:tcBorders>
              <w:top w:val="single" w:sz="6" w:space="0" w:color="auto"/>
              <w:bottom w:val="single" w:sz="6" w:space="0" w:color="auto"/>
            </w:tcBorders>
          </w:tcPr>
          <w:p w:rsidR="00B54D7F" w:rsidRDefault="00B54D7F" w:rsidP="00B54D7F">
            <w:pPr>
              <w:pStyle w:val="TableColumnHeading"/>
            </w:pPr>
            <w:r>
              <w:t>Source</w:t>
            </w:r>
          </w:p>
        </w:tc>
      </w:tr>
      <w:tr w:rsidR="002B5B30" w:rsidRPr="00DC618B" w:rsidTr="00DC267D">
        <w:trPr>
          <w:trHeight w:val="329"/>
        </w:trPr>
        <w:tc>
          <w:tcPr>
            <w:tcW w:w="5000" w:type="pct"/>
            <w:gridSpan w:val="12"/>
          </w:tcPr>
          <w:p w:rsidR="002B5B30" w:rsidRPr="00551B18" w:rsidRDefault="002B5B30" w:rsidP="00B54D7F">
            <w:pPr>
              <w:pStyle w:val="TableColumnHeading"/>
              <w:jc w:val="left"/>
              <w:rPr>
                <w:i w:val="0"/>
              </w:rPr>
            </w:pPr>
            <w:r w:rsidRPr="00551B18">
              <w:rPr>
                <w:b/>
                <w:i w:val="0"/>
              </w:rPr>
              <w:t>Equity — access indicators</w:t>
            </w:r>
          </w:p>
        </w:tc>
      </w:tr>
      <w:tr w:rsidR="00B54D7F" w:rsidRPr="00DC618B" w:rsidTr="00DC267D">
        <w:trPr>
          <w:trHeight w:val="329"/>
        </w:trPr>
        <w:tc>
          <w:tcPr>
            <w:tcW w:w="5000" w:type="pct"/>
            <w:gridSpan w:val="12"/>
          </w:tcPr>
          <w:p w:rsidR="00B54D7F" w:rsidRPr="00551B18" w:rsidRDefault="00B54D7F" w:rsidP="006B1005">
            <w:pPr>
              <w:pStyle w:val="TableColumnHeading"/>
              <w:jc w:val="left"/>
              <w:rPr>
                <w:i w:val="0"/>
              </w:rPr>
            </w:pPr>
            <w:r w:rsidRPr="00551B18">
              <w:rPr>
                <w:i w:val="0"/>
              </w:rPr>
              <w:t xml:space="preserve">Access to NDA </w:t>
            </w:r>
            <w:r w:rsidR="00024A62">
              <w:rPr>
                <w:i w:val="0"/>
              </w:rPr>
              <w:t xml:space="preserve">accommodation support </w:t>
            </w:r>
            <w:r w:rsidRPr="00551B18">
              <w:rPr>
                <w:i w:val="0"/>
              </w:rPr>
              <w:t>services</w:t>
            </w:r>
            <w:r w:rsidR="0033586C" w:rsidRPr="00551B18">
              <w:t xml:space="preserve"> </w:t>
            </w:r>
            <w:r w:rsidR="0033586C" w:rsidRPr="00551B18">
              <w:br/>
            </w:r>
            <w:r w:rsidR="00A619A9" w:rsidRPr="002556E2">
              <w:rPr>
                <w:i w:val="0"/>
                <w:sz w:val="16"/>
                <w:szCs w:val="16"/>
              </w:rPr>
              <w:t>Most recent data for this measure are comparable and complete</w:t>
            </w:r>
            <w:r w:rsidR="0033586C" w:rsidRPr="00551B18">
              <w:rPr>
                <w:i w:val="0"/>
                <w:sz w:val="16"/>
                <w:szCs w:val="16"/>
              </w:rPr>
              <w:t xml:space="preserve"> (chapter 14)</w:t>
            </w:r>
          </w:p>
        </w:tc>
      </w:tr>
      <w:tr w:rsidR="00B54D7F" w:rsidRPr="00DC618B" w:rsidTr="00DC267D">
        <w:trPr>
          <w:trHeight w:val="346"/>
        </w:trPr>
        <w:tc>
          <w:tcPr>
            <w:tcW w:w="5000" w:type="pct"/>
            <w:gridSpan w:val="12"/>
          </w:tcPr>
          <w:p w:rsidR="00B54D7F" w:rsidRPr="00551B18" w:rsidRDefault="00B54D7F" w:rsidP="006B1005">
            <w:pPr>
              <w:pStyle w:val="TableColumnHeading"/>
              <w:jc w:val="left"/>
              <w:rPr>
                <w:i w:val="0"/>
              </w:rPr>
            </w:pPr>
            <w:r w:rsidRPr="00551B18">
              <w:t xml:space="preserve"> Proportion of potential population </w:t>
            </w:r>
            <w:r w:rsidR="0082780C">
              <w:t>who used</w:t>
            </w:r>
            <w:r w:rsidR="00B80C16" w:rsidRPr="00551B18">
              <w:t xml:space="preserve"> </w:t>
            </w:r>
            <w:r w:rsidR="00024A62">
              <w:t>accommodation</w:t>
            </w:r>
            <w:r w:rsidR="00024A62" w:rsidRPr="00551B18">
              <w:t xml:space="preserve"> </w:t>
            </w:r>
            <w:r w:rsidR="00B80C16" w:rsidRPr="00551B18">
              <w:t>support services</w:t>
            </w:r>
          </w:p>
        </w:tc>
      </w:tr>
      <w:tr w:rsidR="00DC267D" w:rsidTr="00DC267D">
        <w:trPr>
          <w:trHeight w:val="357"/>
        </w:trPr>
        <w:tc>
          <w:tcPr>
            <w:tcW w:w="169" w:type="pct"/>
          </w:tcPr>
          <w:p w:rsidR="00024A62" w:rsidRPr="00551B18" w:rsidRDefault="00024A62" w:rsidP="00B54D7F">
            <w:pPr>
              <w:pStyle w:val="TableBodyText"/>
            </w:pPr>
            <w:r w:rsidRPr="00551B18">
              <w:t>%</w:t>
            </w:r>
          </w:p>
        </w:tc>
        <w:tc>
          <w:tcPr>
            <w:tcW w:w="475" w:type="pct"/>
            <w:vAlign w:val="center"/>
          </w:tcPr>
          <w:p w:rsidR="00024A62" w:rsidRPr="0082780C" w:rsidRDefault="00024A62" w:rsidP="0082780C">
            <w:pPr>
              <w:pStyle w:val="TableBodyText"/>
              <w:keepNext w:val="0"/>
            </w:pPr>
            <w:r>
              <w:rPr>
                <w:rFonts w:cs="Arial"/>
              </w:rPr>
              <w:t>6.4</w:t>
            </w:r>
          </w:p>
        </w:tc>
        <w:tc>
          <w:tcPr>
            <w:tcW w:w="483" w:type="pct"/>
            <w:vAlign w:val="center"/>
          </w:tcPr>
          <w:p w:rsidR="00024A62" w:rsidRPr="0082780C" w:rsidRDefault="00024A62" w:rsidP="0082780C">
            <w:pPr>
              <w:pStyle w:val="TableBodyText"/>
              <w:keepNext w:val="0"/>
            </w:pPr>
            <w:r>
              <w:rPr>
                <w:rFonts w:cs="Arial"/>
              </w:rPr>
              <w:t>6.1</w:t>
            </w:r>
          </w:p>
        </w:tc>
        <w:tc>
          <w:tcPr>
            <w:tcW w:w="483" w:type="pct"/>
            <w:vAlign w:val="center"/>
          </w:tcPr>
          <w:p w:rsidR="00024A62" w:rsidRPr="0082780C" w:rsidRDefault="00024A62" w:rsidP="0082780C">
            <w:pPr>
              <w:pStyle w:val="TableBodyText"/>
              <w:keepNext w:val="0"/>
            </w:pPr>
            <w:r>
              <w:rPr>
                <w:rFonts w:cs="Arial"/>
              </w:rPr>
              <w:t>6.5</w:t>
            </w:r>
          </w:p>
        </w:tc>
        <w:tc>
          <w:tcPr>
            <w:tcW w:w="484" w:type="pct"/>
            <w:vAlign w:val="center"/>
          </w:tcPr>
          <w:p w:rsidR="00024A62" w:rsidRPr="0082780C" w:rsidRDefault="00024A62" w:rsidP="0082780C">
            <w:pPr>
              <w:pStyle w:val="TableBodyText"/>
              <w:keepNext w:val="0"/>
            </w:pPr>
            <w:r>
              <w:rPr>
                <w:rFonts w:cs="Arial"/>
              </w:rPr>
              <w:t>6.7</w:t>
            </w:r>
          </w:p>
        </w:tc>
        <w:tc>
          <w:tcPr>
            <w:tcW w:w="483" w:type="pct"/>
            <w:vAlign w:val="center"/>
          </w:tcPr>
          <w:p w:rsidR="00024A62" w:rsidRPr="0082780C" w:rsidRDefault="00024A62" w:rsidP="0082780C">
            <w:pPr>
              <w:pStyle w:val="TableBodyText"/>
              <w:keepNext w:val="0"/>
            </w:pPr>
            <w:r>
              <w:rPr>
                <w:rFonts w:cs="Arial"/>
              </w:rPr>
              <w:t>14.6</w:t>
            </w:r>
          </w:p>
        </w:tc>
        <w:tc>
          <w:tcPr>
            <w:tcW w:w="484" w:type="pct"/>
            <w:vAlign w:val="center"/>
          </w:tcPr>
          <w:p w:rsidR="00024A62" w:rsidRPr="0082780C" w:rsidRDefault="00024A62" w:rsidP="0082780C">
            <w:pPr>
              <w:pStyle w:val="TableBodyText"/>
              <w:keepNext w:val="0"/>
            </w:pPr>
            <w:r>
              <w:rPr>
                <w:rFonts w:cs="Arial"/>
              </w:rPr>
              <w:t>11.3</w:t>
            </w:r>
          </w:p>
        </w:tc>
        <w:tc>
          <w:tcPr>
            <w:tcW w:w="406" w:type="pct"/>
            <w:gridSpan w:val="2"/>
            <w:vAlign w:val="center"/>
          </w:tcPr>
          <w:p w:rsidR="00024A62" w:rsidRPr="0082780C" w:rsidRDefault="00024A62" w:rsidP="0082780C">
            <w:pPr>
              <w:pStyle w:val="TableBodyText"/>
              <w:keepNext w:val="0"/>
            </w:pPr>
            <w:r>
              <w:rPr>
                <w:rFonts w:cs="Arial"/>
              </w:rPr>
              <w:t>5.7</w:t>
            </w:r>
          </w:p>
        </w:tc>
        <w:tc>
          <w:tcPr>
            <w:tcW w:w="564" w:type="pct"/>
            <w:vAlign w:val="center"/>
          </w:tcPr>
          <w:p w:rsidR="00024A62" w:rsidRPr="0082780C" w:rsidRDefault="00024A62" w:rsidP="0082780C">
            <w:pPr>
              <w:pStyle w:val="TableBodyText"/>
              <w:keepNext w:val="0"/>
            </w:pPr>
            <w:r>
              <w:rPr>
                <w:rFonts w:cs="Arial"/>
              </w:rPr>
              <w:t>3.6</w:t>
            </w:r>
          </w:p>
        </w:tc>
        <w:tc>
          <w:tcPr>
            <w:tcW w:w="490" w:type="pct"/>
            <w:vAlign w:val="center"/>
          </w:tcPr>
          <w:p w:rsidR="00024A62" w:rsidRPr="0082780C" w:rsidRDefault="00024A62" w:rsidP="0082780C">
            <w:pPr>
              <w:pStyle w:val="TableBodyText"/>
              <w:keepNext w:val="0"/>
            </w:pPr>
            <w:r>
              <w:rPr>
                <w:rFonts w:cs="Arial"/>
              </w:rPr>
              <w:t>7.0</w:t>
            </w:r>
          </w:p>
        </w:tc>
        <w:tc>
          <w:tcPr>
            <w:tcW w:w="479" w:type="pct"/>
          </w:tcPr>
          <w:p w:rsidR="00024A62" w:rsidRPr="00551B18" w:rsidRDefault="00024A62" w:rsidP="00B54D7F">
            <w:pPr>
              <w:pStyle w:val="TableBodyText"/>
            </w:pPr>
            <w:r w:rsidRPr="00551B18">
              <w:t>14A.16</w:t>
            </w:r>
          </w:p>
        </w:tc>
      </w:tr>
      <w:tr w:rsidR="00B54D7F" w:rsidRPr="00DC618B" w:rsidTr="00DC267D">
        <w:trPr>
          <w:trHeight w:val="228"/>
        </w:trPr>
        <w:tc>
          <w:tcPr>
            <w:tcW w:w="5000" w:type="pct"/>
            <w:gridSpan w:val="12"/>
          </w:tcPr>
          <w:p w:rsidR="00B54D7F" w:rsidRPr="00551B18" w:rsidRDefault="00024A62" w:rsidP="006B1005">
            <w:pPr>
              <w:pStyle w:val="TableColumnHeading"/>
              <w:jc w:val="left"/>
              <w:rPr>
                <w:i w:val="0"/>
              </w:rPr>
            </w:pPr>
            <w:r>
              <w:rPr>
                <w:i w:val="0"/>
              </w:rPr>
              <w:t xml:space="preserve">Users of </w:t>
            </w:r>
            <w:r w:rsidRPr="00551B18">
              <w:rPr>
                <w:i w:val="0"/>
              </w:rPr>
              <w:t xml:space="preserve">NDA </w:t>
            </w:r>
            <w:r>
              <w:rPr>
                <w:i w:val="0"/>
              </w:rPr>
              <w:t xml:space="preserve">accommodation support </w:t>
            </w:r>
            <w:r w:rsidRPr="00551B18">
              <w:rPr>
                <w:i w:val="0"/>
              </w:rPr>
              <w:t>services</w:t>
            </w:r>
            <w:r>
              <w:rPr>
                <w:i w:val="0"/>
              </w:rPr>
              <w:t xml:space="preserve"> by severity of disability</w:t>
            </w:r>
            <w:r w:rsidR="0033586C" w:rsidRPr="00551B18">
              <w:br/>
            </w:r>
            <w:r w:rsidR="0033586C" w:rsidRPr="00551B18">
              <w:rPr>
                <w:i w:val="0"/>
                <w:sz w:val="16"/>
                <w:szCs w:val="16"/>
              </w:rPr>
              <w:t>Data for this indicator are comparable, subject to caveats (chapter 14)</w:t>
            </w:r>
          </w:p>
        </w:tc>
      </w:tr>
      <w:tr w:rsidR="00B54D7F" w:rsidRPr="00DC618B" w:rsidTr="00DC267D">
        <w:trPr>
          <w:trHeight w:val="228"/>
        </w:trPr>
        <w:tc>
          <w:tcPr>
            <w:tcW w:w="5000" w:type="pct"/>
            <w:gridSpan w:val="12"/>
          </w:tcPr>
          <w:p w:rsidR="00B54D7F" w:rsidRPr="00551B18" w:rsidRDefault="00B54D7F" w:rsidP="006B1005">
            <w:pPr>
              <w:pStyle w:val="TableColumnHeading"/>
              <w:keepNext w:val="0"/>
              <w:jc w:val="left"/>
              <w:rPr>
                <w:i w:val="0"/>
              </w:rPr>
            </w:pPr>
            <w:r w:rsidRPr="00551B18">
              <w:t xml:space="preserve"> </w:t>
            </w:r>
            <w:r w:rsidR="00D010DB" w:rsidRPr="00551B18">
              <w:t>Proportion of u</w:t>
            </w:r>
            <w:r w:rsidRPr="00551B18">
              <w:t>sers who need help with Assisted Daily Living</w:t>
            </w:r>
            <w:r w:rsidR="0033586C" w:rsidRPr="00551B18">
              <w:t xml:space="preserve"> </w:t>
            </w:r>
            <w:r w:rsidR="0033586C" w:rsidRPr="00551B18">
              <w:br/>
            </w:r>
            <w:r w:rsidR="00A619A9" w:rsidRPr="002556E2">
              <w:rPr>
                <w:i w:val="0"/>
                <w:sz w:val="16"/>
                <w:szCs w:val="16"/>
              </w:rPr>
              <w:t xml:space="preserve">Most recent data for this measure are comparable and complete </w:t>
            </w:r>
            <w:r w:rsidR="0033586C" w:rsidRPr="00551B18">
              <w:rPr>
                <w:i w:val="0"/>
                <w:sz w:val="16"/>
                <w:szCs w:val="16"/>
              </w:rPr>
              <w:t>(chapter 14)</w:t>
            </w:r>
          </w:p>
        </w:tc>
      </w:tr>
      <w:tr w:rsidR="00DC267D" w:rsidRPr="00D650F0" w:rsidTr="00DC267D">
        <w:tc>
          <w:tcPr>
            <w:tcW w:w="169" w:type="pct"/>
          </w:tcPr>
          <w:p w:rsidR="00024A62" w:rsidRDefault="00024A62" w:rsidP="00357A35">
            <w:pPr>
              <w:pStyle w:val="TableBodyText"/>
              <w:keepNext w:val="0"/>
            </w:pPr>
            <w:r>
              <w:t>%</w:t>
            </w:r>
          </w:p>
        </w:tc>
        <w:tc>
          <w:tcPr>
            <w:tcW w:w="475" w:type="pct"/>
            <w:vAlign w:val="center"/>
          </w:tcPr>
          <w:p w:rsidR="00024A62" w:rsidRPr="0082780C" w:rsidRDefault="00024A62" w:rsidP="0082780C">
            <w:pPr>
              <w:pStyle w:val="TableBodyText"/>
              <w:keepNext w:val="0"/>
            </w:pPr>
            <w:r>
              <w:rPr>
                <w:rFonts w:cs="Arial"/>
              </w:rPr>
              <w:t>84.2</w:t>
            </w:r>
          </w:p>
        </w:tc>
        <w:tc>
          <w:tcPr>
            <w:tcW w:w="483" w:type="pct"/>
            <w:vAlign w:val="center"/>
          </w:tcPr>
          <w:p w:rsidR="00024A62" w:rsidRPr="0082780C" w:rsidRDefault="00024A62" w:rsidP="0082780C">
            <w:pPr>
              <w:pStyle w:val="TableBodyText"/>
              <w:keepNext w:val="0"/>
            </w:pPr>
            <w:r>
              <w:rPr>
                <w:rFonts w:cs="Arial"/>
              </w:rPr>
              <w:t>75.8</w:t>
            </w:r>
          </w:p>
        </w:tc>
        <w:tc>
          <w:tcPr>
            <w:tcW w:w="483" w:type="pct"/>
            <w:vAlign w:val="center"/>
          </w:tcPr>
          <w:p w:rsidR="00024A62" w:rsidRPr="0082780C" w:rsidRDefault="00024A62" w:rsidP="0082780C">
            <w:pPr>
              <w:pStyle w:val="TableBodyText"/>
              <w:keepNext w:val="0"/>
            </w:pPr>
            <w:r>
              <w:rPr>
                <w:rFonts w:cs="Arial"/>
              </w:rPr>
              <w:t>88.5</w:t>
            </w:r>
          </w:p>
        </w:tc>
        <w:tc>
          <w:tcPr>
            <w:tcW w:w="484" w:type="pct"/>
            <w:vAlign w:val="center"/>
          </w:tcPr>
          <w:p w:rsidR="00024A62" w:rsidRPr="0082780C" w:rsidRDefault="00024A62" w:rsidP="0082780C">
            <w:pPr>
              <w:pStyle w:val="TableBodyText"/>
              <w:keepNext w:val="0"/>
            </w:pPr>
            <w:r>
              <w:rPr>
                <w:rFonts w:cs="Arial"/>
              </w:rPr>
              <w:t>94.2</w:t>
            </w:r>
          </w:p>
        </w:tc>
        <w:tc>
          <w:tcPr>
            <w:tcW w:w="483" w:type="pct"/>
            <w:vAlign w:val="center"/>
          </w:tcPr>
          <w:p w:rsidR="00024A62" w:rsidRPr="0082780C" w:rsidRDefault="00024A62" w:rsidP="0082780C">
            <w:pPr>
              <w:pStyle w:val="TableBodyText"/>
              <w:keepNext w:val="0"/>
            </w:pPr>
            <w:r>
              <w:rPr>
                <w:rFonts w:cs="Arial"/>
              </w:rPr>
              <w:t>79.1</w:t>
            </w:r>
          </w:p>
        </w:tc>
        <w:tc>
          <w:tcPr>
            <w:tcW w:w="484" w:type="pct"/>
            <w:vAlign w:val="center"/>
          </w:tcPr>
          <w:p w:rsidR="00024A62" w:rsidRPr="0082780C" w:rsidRDefault="00024A62" w:rsidP="0082780C">
            <w:pPr>
              <w:pStyle w:val="TableBodyText"/>
              <w:keepNext w:val="0"/>
            </w:pPr>
            <w:r>
              <w:rPr>
                <w:rFonts w:cs="Arial"/>
              </w:rPr>
              <w:t>89.5</w:t>
            </w:r>
          </w:p>
        </w:tc>
        <w:tc>
          <w:tcPr>
            <w:tcW w:w="406" w:type="pct"/>
            <w:gridSpan w:val="2"/>
            <w:vAlign w:val="center"/>
          </w:tcPr>
          <w:p w:rsidR="00024A62" w:rsidRPr="0082780C" w:rsidRDefault="00024A62" w:rsidP="0082780C">
            <w:pPr>
              <w:pStyle w:val="TableBodyText"/>
              <w:keepNext w:val="0"/>
            </w:pPr>
            <w:r>
              <w:rPr>
                <w:rFonts w:cs="Arial"/>
              </w:rPr>
              <w:t>89.5</w:t>
            </w:r>
          </w:p>
        </w:tc>
        <w:tc>
          <w:tcPr>
            <w:tcW w:w="564" w:type="pct"/>
            <w:vAlign w:val="center"/>
          </w:tcPr>
          <w:p w:rsidR="00024A62" w:rsidRPr="0082780C" w:rsidRDefault="00024A62" w:rsidP="0082780C">
            <w:pPr>
              <w:pStyle w:val="TableBodyText"/>
              <w:keepNext w:val="0"/>
            </w:pPr>
            <w:r>
              <w:rPr>
                <w:rFonts w:cs="Arial"/>
              </w:rPr>
              <w:t>88.3</w:t>
            </w:r>
          </w:p>
        </w:tc>
        <w:tc>
          <w:tcPr>
            <w:tcW w:w="490" w:type="pct"/>
            <w:vAlign w:val="center"/>
          </w:tcPr>
          <w:p w:rsidR="00024A62" w:rsidRPr="0082780C" w:rsidRDefault="00024A62" w:rsidP="0082780C">
            <w:pPr>
              <w:pStyle w:val="TableBodyText"/>
              <w:keepNext w:val="0"/>
            </w:pPr>
            <w:r>
              <w:rPr>
                <w:rFonts w:cs="Arial"/>
              </w:rPr>
              <w:t>83.9</w:t>
            </w:r>
          </w:p>
        </w:tc>
        <w:tc>
          <w:tcPr>
            <w:tcW w:w="479" w:type="pct"/>
            <w:shd w:val="clear" w:color="auto" w:fill="auto"/>
          </w:tcPr>
          <w:p w:rsidR="00024A62" w:rsidRPr="00315910" w:rsidRDefault="00024A62" w:rsidP="006B1005">
            <w:pPr>
              <w:pStyle w:val="TableBodyText"/>
              <w:keepNext w:val="0"/>
              <w:rPr>
                <w:i/>
              </w:rPr>
            </w:pPr>
            <w:r w:rsidRPr="00AF5CC7">
              <w:t>1</w:t>
            </w:r>
            <w:r>
              <w:t>4</w:t>
            </w:r>
            <w:r w:rsidRPr="00AF5CC7">
              <w:t>A.</w:t>
            </w:r>
            <w:r>
              <w:t>24</w:t>
            </w:r>
          </w:p>
        </w:tc>
      </w:tr>
      <w:tr w:rsidR="00B54D7F" w:rsidRPr="00DC618B" w:rsidTr="00DC267D">
        <w:trPr>
          <w:trHeight w:val="273"/>
        </w:trPr>
        <w:tc>
          <w:tcPr>
            <w:tcW w:w="5000" w:type="pct"/>
            <w:gridSpan w:val="12"/>
            <w:shd w:val="clear" w:color="auto" w:fill="auto"/>
          </w:tcPr>
          <w:p w:rsidR="00B54D7F" w:rsidRPr="009A21E3" w:rsidRDefault="00B54D7F" w:rsidP="00357A35">
            <w:pPr>
              <w:pStyle w:val="TableColumnHeading"/>
              <w:keepNext w:val="0"/>
              <w:jc w:val="left"/>
              <w:rPr>
                <w:i w:val="0"/>
              </w:rPr>
            </w:pPr>
            <w:r w:rsidRPr="009A21E3">
              <w:rPr>
                <w:i w:val="0"/>
              </w:rPr>
              <w:t>Service use by special needs groups</w:t>
            </w:r>
          </w:p>
        </w:tc>
      </w:tr>
      <w:tr w:rsidR="00B54D7F" w:rsidRPr="00DC618B" w:rsidTr="00DC267D">
        <w:trPr>
          <w:trHeight w:val="273"/>
        </w:trPr>
        <w:tc>
          <w:tcPr>
            <w:tcW w:w="5000" w:type="pct"/>
            <w:gridSpan w:val="12"/>
            <w:shd w:val="clear" w:color="auto" w:fill="auto"/>
          </w:tcPr>
          <w:p w:rsidR="00B54D7F" w:rsidRDefault="00B54D7F" w:rsidP="005A6280">
            <w:pPr>
              <w:pStyle w:val="TableColumnHeading"/>
              <w:keepNext w:val="0"/>
              <w:jc w:val="left"/>
            </w:pPr>
            <w:r>
              <w:t xml:space="preserve"> </w:t>
            </w:r>
            <w:r w:rsidR="00B2190D">
              <w:t>Proportion</w:t>
            </w:r>
            <w:r w:rsidR="00024A62">
              <w:t xml:space="preserve"> of</w:t>
            </w:r>
            <w:r w:rsidR="00B2190D">
              <w:t xml:space="preserve"> </w:t>
            </w:r>
            <w:r w:rsidR="00024A62" w:rsidRPr="00024A62">
              <w:t>Indigenous Australians using acco</w:t>
            </w:r>
            <w:r w:rsidR="00024A62">
              <w:t>m</w:t>
            </w:r>
            <w:r w:rsidR="00024A62" w:rsidRPr="00024A62">
              <w:t>modation support services per 1000 Indigenous potential population</w:t>
            </w:r>
            <w:r w:rsidR="0033586C">
              <w:br/>
            </w:r>
            <w:r w:rsidR="00A619A9" w:rsidRPr="002556E2">
              <w:rPr>
                <w:i w:val="0"/>
                <w:sz w:val="16"/>
                <w:szCs w:val="16"/>
              </w:rPr>
              <w:t xml:space="preserve">Most recent data for this measure are comparable and complete </w:t>
            </w:r>
            <w:r w:rsidR="0033586C" w:rsidRPr="0033586C">
              <w:rPr>
                <w:i w:val="0"/>
                <w:sz w:val="16"/>
                <w:szCs w:val="16"/>
              </w:rPr>
              <w:t>(chapter 1</w:t>
            </w:r>
            <w:r w:rsidR="0033586C">
              <w:rPr>
                <w:i w:val="0"/>
                <w:sz w:val="16"/>
                <w:szCs w:val="16"/>
              </w:rPr>
              <w:t>4</w:t>
            </w:r>
            <w:r w:rsidR="0033586C" w:rsidRPr="0033586C">
              <w:rPr>
                <w:i w:val="0"/>
                <w:sz w:val="16"/>
                <w:szCs w:val="16"/>
              </w:rPr>
              <w:t>)</w:t>
            </w:r>
          </w:p>
        </w:tc>
      </w:tr>
      <w:tr w:rsidR="00DC267D" w:rsidTr="00DC267D">
        <w:tc>
          <w:tcPr>
            <w:tcW w:w="169" w:type="pct"/>
            <w:shd w:val="clear" w:color="auto" w:fill="auto"/>
          </w:tcPr>
          <w:p w:rsidR="00024A62" w:rsidRDefault="00024A62" w:rsidP="00357A35">
            <w:pPr>
              <w:pStyle w:val="TableBodyText"/>
              <w:keepNext w:val="0"/>
            </w:pPr>
            <w:r>
              <w:t>%</w:t>
            </w:r>
          </w:p>
        </w:tc>
        <w:tc>
          <w:tcPr>
            <w:tcW w:w="475" w:type="pct"/>
            <w:shd w:val="clear" w:color="auto" w:fill="auto"/>
            <w:vAlign w:val="center"/>
          </w:tcPr>
          <w:p w:rsidR="00024A62" w:rsidRPr="003C1745" w:rsidRDefault="00024A62" w:rsidP="003C1745">
            <w:pPr>
              <w:pStyle w:val="TableBodyText"/>
              <w:keepNext w:val="0"/>
            </w:pPr>
            <w:r>
              <w:rPr>
                <w:rFonts w:cs="Arial"/>
              </w:rPr>
              <w:t>48.0</w:t>
            </w:r>
          </w:p>
        </w:tc>
        <w:tc>
          <w:tcPr>
            <w:tcW w:w="483" w:type="pct"/>
            <w:shd w:val="clear" w:color="auto" w:fill="auto"/>
            <w:vAlign w:val="center"/>
          </w:tcPr>
          <w:p w:rsidR="00024A62" w:rsidRPr="003C1745" w:rsidRDefault="00024A62" w:rsidP="003C1745">
            <w:pPr>
              <w:pStyle w:val="TableBodyText"/>
              <w:keepNext w:val="0"/>
            </w:pPr>
            <w:r>
              <w:rPr>
                <w:rFonts w:cs="Arial"/>
              </w:rPr>
              <w:t>53.5</w:t>
            </w:r>
          </w:p>
        </w:tc>
        <w:tc>
          <w:tcPr>
            <w:tcW w:w="483" w:type="pct"/>
            <w:shd w:val="clear" w:color="auto" w:fill="auto"/>
            <w:vAlign w:val="center"/>
          </w:tcPr>
          <w:p w:rsidR="00024A62" w:rsidRPr="003C1745" w:rsidRDefault="00024A62" w:rsidP="003C1745">
            <w:pPr>
              <w:pStyle w:val="TableBodyText"/>
              <w:keepNext w:val="0"/>
            </w:pPr>
            <w:r>
              <w:rPr>
                <w:rFonts w:cs="Arial"/>
              </w:rPr>
              <w:t>66.6</w:t>
            </w:r>
          </w:p>
        </w:tc>
        <w:tc>
          <w:tcPr>
            <w:tcW w:w="484" w:type="pct"/>
            <w:shd w:val="clear" w:color="auto" w:fill="auto"/>
            <w:vAlign w:val="center"/>
          </w:tcPr>
          <w:p w:rsidR="00024A62" w:rsidRPr="003C1745" w:rsidRDefault="00024A62" w:rsidP="003C1745">
            <w:pPr>
              <w:pStyle w:val="TableBodyText"/>
              <w:keepNext w:val="0"/>
            </w:pPr>
            <w:r>
              <w:rPr>
                <w:rFonts w:cs="Arial"/>
              </w:rPr>
              <w:t>86.6</w:t>
            </w:r>
          </w:p>
        </w:tc>
        <w:tc>
          <w:tcPr>
            <w:tcW w:w="483" w:type="pct"/>
            <w:shd w:val="clear" w:color="auto" w:fill="auto"/>
            <w:vAlign w:val="center"/>
          </w:tcPr>
          <w:p w:rsidR="00024A62" w:rsidRPr="003C1745" w:rsidRDefault="00024A62" w:rsidP="003C1745">
            <w:pPr>
              <w:pStyle w:val="TableBodyText"/>
              <w:keepNext w:val="0"/>
            </w:pPr>
            <w:r>
              <w:rPr>
                <w:rFonts w:cs="Arial"/>
              </w:rPr>
              <w:t>170.9</w:t>
            </w:r>
          </w:p>
        </w:tc>
        <w:tc>
          <w:tcPr>
            <w:tcW w:w="484" w:type="pct"/>
            <w:shd w:val="clear" w:color="auto" w:fill="auto"/>
            <w:vAlign w:val="center"/>
          </w:tcPr>
          <w:p w:rsidR="00024A62" w:rsidRPr="003C1745" w:rsidRDefault="00024A62" w:rsidP="003C1745">
            <w:pPr>
              <w:pStyle w:val="TableBodyText"/>
              <w:keepNext w:val="0"/>
            </w:pPr>
            <w:r>
              <w:rPr>
                <w:rFonts w:cs="Arial"/>
              </w:rPr>
              <w:t>39.8</w:t>
            </w:r>
          </w:p>
        </w:tc>
        <w:tc>
          <w:tcPr>
            <w:tcW w:w="406" w:type="pct"/>
            <w:gridSpan w:val="2"/>
            <w:shd w:val="clear" w:color="auto" w:fill="auto"/>
            <w:vAlign w:val="center"/>
          </w:tcPr>
          <w:p w:rsidR="00024A62" w:rsidRPr="003C1745" w:rsidRDefault="00024A62" w:rsidP="003C1745">
            <w:pPr>
              <w:pStyle w:val="TableBodyText"/>
              <w:keepNext w:val="0"/>
            </w:pPr>
            <w:r>
              <w:rPr>
                <w:rFonts w:cs="Arial"/>
              </w:rPr>
              <w:t>47.1</w:t>
            </w:r>
          </w:p>
        </w:tc>
        <w:tc>
          <w:tcPr>
            <w:tcW w:w="564" w:type="pct"/>
            <w:shd w:val="clear" w:color="auto" w:fill="auto"/>
            <w:vAlign w:val="center"/>
          </w:tcPr>
          <w:p w:rsidR="00024A62" w:rsidRPr="003C1745" w:rsidRDefault="00024A62" w:rsidP="003C1745">
            <w:pPr>
              <w:pStyle w:val="TableBodyText"/>
              <w:keepNext w:val="0"/>
            </w:pPr>
            <w:r>
              <w:rPr>
                <w:rFonts w:cs="Arial"/>
              </w:rPr>
              <w:t>70.3</w:t>
            </w:r>
          </w:p>
        </w:tc>
        <w:tc>
          <w:tcPr>
            <w:tcW w:w="490" w:type="pct"/>
            <w:vAlign w:val="center"/>
          </w:tcPr>
          <w:p w:rsidR="00024A62" w:rsidRPr="003C1745" w:rsidRDefault="00024A62" w:rsidP="003C1745">
            <w:pPr>
              <w:pStyle w:val="TableBodyText"/>
              <w:keepNext w:val="0"/>
            </w:pPr>
            <w:r>
              <w:rPr>
                <w:rFonts w:cs="Arial"/>
              </w:rPr>
              <w:t>65.6</w:t>
            </w:r>
          </w:p>
        </w:tc>
        <w:tc>
          <w:tcPr>
            <w:tcW w:w="479" w:type="pct"/>
            <w:shd w:val="clear" w:color="auto" w:fill="auto"/>
          </w:tcPr>
          <w:p w:rsidR="00024A62" w:rsidRPr="00315910" w:rsidRDefault="00024A62" w:rsidP="006B1005">
            <w:pPr>
              <w:pStyle w:val="TableBodyText"/>
              <w:keepNext w:val="0"/>
              <w:rPr>
                <w:i/>
              </w:rPr>
            </w:pPr>
            <w:r w:rsidRPr="00AF5CC7">
              <w:t>1</w:t>
            </w:r>
            <w:r>
              <w:t>4</w:t>
            </w:r>
            <w:r w:rsidRPr="00AF5CC7">
              <w:t>A.</w:t>
            </w:r>
            <w:r>
              <w:t>41</w:t>
            </w:r>
          </w:p>
        </w:tc>
      </w:tr>
      <w:tr w:rsidR="00B54D7F" w:rsidRPr="00D43111" w:rsidTr="00DC267D">
        <w:tc>
          <w:tcPr>
            <w:tcW w:w="5000" w:type="pct"/>
            <w:gridSpan w:val="12"/>
            <w:shd w:val="clear" w:color="auto" w:fill="auto"/>
          </w:tcPr>
          <w:p w:rsidR="00B54D7F" w:rsidRPr="007E4FE4" w:rsidRDefault="00B54D7F" w:rsidP="00357A35">
            <w:pPr>
              <w:pStyle w:val="TableColumnHeading"/>
              <w:keepNext w:val="0"/>
              <w:jc w:val="left"/>
              <w:rPr>
                <w:i w:val="0"/>
              </w:rPr>
            </w:pPr>
            <w:r w:rsidRPr="007E4FE4">
              <w:rPr>
                <w:i w:val="0"/>
              </w:rPr>
              <w:t>Access to community accommodation and care services</w:t>
            </w:r>
          </w:p>
        </w:tc>
      </w:tr>
      <w:tr w:rsidR="00B54D7F" w:rsidRPr="00D43111" w:rsidTr="00DC267D">
        <w:tc>
          <w:tcPr>
            <w:tcW w:w="5000" w:type="pct"/>
            <w:gridSpan w:val="12"/>
            <w:shd w:val="clear" w:color="auto" w:fill="auto"/>
          </w:tcPr>
          <w:p w:rsidR="00B54D7F" w:rsidRPr="007E4FE4" w:rsidRDefault="00B54D7F" w:rsidP="00357A35">
            <w:pPr>
              <w:pStyle w:val="TableColumnHeading"/>
              <w:keepNext w:val="0"/>
              <w:jc w:val="left"/>
            </w:pPr>
            <w:r>
              <w:t xml:space="preserve"> </w:t>
            </w:r>
            <w:r w:rsidRPr="007E4FE4">
              <w:t>Users of NDA community accommodation and care services as a proportion of all accommodation support service users</w:t>
            </w:r>
            <w:r w:rsidR="0033586C">
              <w:t xml:space="preserve"> </w:t>
            </w:r>
            <w:r w:rsidR="0033586C">
              <w:br/>
            </w:r>
            <w:r w:rsidR="00A619A9" w:rsidRPr="002556E2">
              <w:rPr>
                <w:i w:val="0"/>
                <w:sz w:val="16"/>
                <w:szCs w:val="16"/>
              </w:rPr>
              <w:t>Most recent data for this measure are comparable and complete</w:t>
            </w:r>
            <w:r w:rsidR="0033586C" w:rsidRPr="0033586C">
              <w:rPr>
                <w:i w:val="0"/>
                <w:sz w:val="16"/>
                <w:szCs w:val="16"/>
              </w:rPr>
              <w:t xml:space="preserve"> (chapter 1</w:t>
            </w:r>
            <w:r w:rsidR="0033586C">
              <w:rPr>
                <w:i w:val="0"/>
                <w:sz w:val="16"/>
                <w:szCs w:val="16"/>
              </w:rPr>
              <w:t>4</w:t>
            </w:r>
            <w:r w:rsidR="0033586C" w:rsidRPr="0033586C">
              <w:rPr>
                <w:i w:val="0"/>
                <w:sz w:val="16"/>
                <w:szCs w:val="16"/>
              </w:rPr>
              <w:t>)</w:t>
            </w:r>
          </w:p>
        </w:tc>
      </w:tr>
      <w:tr w:rsidR="00DC267D" w:rsidRPr="00D43111" w:rsidTr="00DC267D">
        <w:tc>
          <w:tcPr>
            <w:tcW w:w="169" w:type="pct"/>
            <w:shd w:val="clear" w:color="auto" w:fill="auto"/>
          </w:tcPr>
          <w:p w:rsidR="00024A62" w:rsidRDefault="00024A62" w:rsidP="00357A35">
            <w:pPr>
              <w:pStyle w:val="TableBodyText"/>
              <w:keepNext w:val="0"/>
            </w:pPr>
            <w:r>
              <w:t>%</w:t>
            </w:r>
          </w:p>
        </w:tc>
        <w:tc>
          <w:tcPr>
            <w:tcW w:w="475" w:type="pct"/>
            <w:shd w:val="clear" w:color="auto" w:fill="auto"/>
            <w:vAlign w:val="center"/>
          </w:tcPr>
          <w:p w:rsidR="00024A62" w:rsidRPr="003C1745" w:rsidRDefault="00024A62" w:rsidP="003C1745">
            <w:pPr>
              <w:pStyle w:val="TableBodyText"/>
              <w:keepNext w:val="0"/>
            </w:pPr>
            <w:r>
              <w:rPr>
                <w:rFonts w:cs="Arial"/>
              </w:rPr>
              <w:t>87.4</w:t>
            </w:r>
          </w:p>
        </w:tc>
        <w:tc>
          <w:tcPr>
            <w:tcW w:w="483" w:type="pct"/>
            <w:shd w:val="clear" w:color="auto" w:fill="auto"/>
            <w:vAlign w:val="center"/>
          </w:tcPr>
          <w:p w:rsidR="00024A62" w:rsidRPr="003C1745" w:rsidRDefault="00024A62" w:rsidP="003C1745">
            <w:pPr>
              <w:pStyle w:val="TableBodyText"/>
              <w:keepNext w:val="0"/>
            </w:pPr>
            <w:r>
              <w:rPr>
                <w:rFonts w:cs="Arial"/>
              </w:rPr>
              <w:t>95.3</w:t>
            </w:r>
          </w:p>
        </w:tc>
        <w:tc>
          <w:tcPr>
            <w:tcW w:w="483" w:type="pct"/>
            <w:shd w:val="clear" w:color="auto" w:fill="auto"/>
            <w:vAlign w:val="center"/>
          </w:tcPr>
          <w:p w:rsidR="00024A62" w:rsidRPr="003C1745" w:rsidRDefault="00024A62" w:rsidP="003C1745">
            <w:pPr>
              <w:pStyle w:val="TableBodyText"/>
              <w:keepNext w:val="0"/>
            </w:pPr>
            <w:r>
              <w:rPr>
                <w:rFonts w:cs="Arial"/>
              </w:rPr>
              <w:t>89.4</w:t>
            </w:r>
          </w:p>
        </w:tc>
        <w:tc>
          <w:tcPr>
            <w:tcW w:w="484" w:type="pct"/>
            <w:shd w:val="clear" w:color="auto" w:fill="auto"/>
            <w:vAlign w:val="center"/>
          </w:tcPr>
          <w:p w:rsidR="00024A62" w:rsidRPr="003C1745" w:rsidRDefault="00024A62" w:rsidP="003C1745">
            <w:pPr>
              <w:pStyle w:val="TableBodyText"/>
              <w:keepNext w:val="0"/>
            </w:pPr>
            <w:r>
              <w:rPr>
                <w:rFonts w:cs="Arial"/>
              </w:rPr>
              <w:t>92.3</w:t>
            </w:r>
          </w:p>
        </w:tc>
        <w:tc>
          <w:tcPr>
            <w:tcW w:w="483" w:type="pct"/>
            <w:shd w:val="clear" w:color="auto" w:fill="auto"/>
            <w:vAlign w:val="center"/>
          </w:tcPr>
          <w:p w:rsidR="00024A62" w:rsidRPr="003C1745" w:rsidRDefault="00024A62" w:rsidP="003C1745">
            <w:pPr>
              <w:pStyle w:val="TableBodyText"/>
              <w:keepNext w:val="0"/>
            </w:pPr>
            <w:r>
              <w:rPr>
                <w:rFonts w:cs="Arial"/>
              </w:rPr>
              <w:t>89.8</w:t>
            </w:r>
          </w:p>
        </w:tc>
        <w:tc>
          <w:tcPr>
            <w:tcW w:w="484" w:type="pct"/>
            <w:shd w:val="clear" w:color="auto" w:fill="auto"/>
            <w:vAlign w:val="center"/>
          </w:tcPr>
          <w:p w:rsidR="00024A62" w:rsidRPr="003C1745" w:rsidRDefault="00024A62" w:rsidP="003C1745">
            <w:pPr>
              <w:pStyle w:val="TableBodyText"/>
              <w:keepNext w:val="0"/>
            </w:pPr>
            <w:r>
              <w:rPr>
                <w:rFonts w:cs="Arial"/>
              </w:rPr>
              <w:t>85.6</w:t>
            </w:r>
          </w:p>
        </w:tc>
        <w:tc>
          <w:tcPr>
            <w:tcW w:w="406" w:type="pct"/>
            <w:gridSpan w:val="2"/>
            <w:shd w:val="clear" w:color="auto" w:fill="auto"/>
            <w:vAlign w:val="center"/>
          </w:tcPr>
          <w:p w:rsidR="00024A62" w:rsidRPr="003C1745" w:rsidRDefault="00024A62" w:rsidP="003C1745">
            <w:pPr>
              <w:pStyle w:val="TableBodyText"/>
              <w:keepNext w:val="0"/>
            </w:pPr>
            <w:r>
              <w:rPr>
                <w:rFonts w:cs="Arial"/>
              </w:rPr>
              <w:t>100.0</w:t>
            </w:r>
          </w:p>
        </w:tc>
        <w:tc>
          <w:tcPr>
            <w:tcW w:w="564" w:type="pct"/>
            <w:shd w:val="clear" w:color="auto" w:fill="auto"/>
            <w:vAlign w:val="center"/>
          </w:tcPr>
          <w:p w:rsidR="00024A62" w:rsidRPr="003C1745" w:rsidRDefault="00024A62" w:rsidP="003C1745">
            <w:pPr>
              <w:pStyle w:val="TableBodyText"/>
              <w:keepNext w:val="0"/>
            </w:pPr>
            <w:r>
              <w:rPr>
                <w:rFonts w:cs="Arial"/>
              </w:rPr>
              <w:t>100.0</w:t>
            </w:r>
          </w:p>
        </w:tc>
        <w:tc>
          <w:tcPr>
            <w:tcW w:w="490" w:type="pct"/>
            <w:vAlign w:val="center"/>
          </w:tcPr>
          <w:p w:rsidR="00024A62" w:rsidRPr="003C1745" w:rsidRDefault="00024A62" w:rsidP="003C1745">
            <w:pPr>
              <w:pStyle w:val="TableBodyText"/>
              <w:keepNext w:val="0"/>
            </w:pPr>
            <w:r>
              <w:rPr>
                <w:rFonts w:cs="Arial"/>
              </w:rPr>
              <w:t>90.5</w:t>
            </w:r>
          </w:p>
        </w:tc>
        <w:tc>
          <w:tcPr>
            <w:tcW w:w="479" w:type="pct"/>
            <w:shd w:val="clear" w:color="auto" w:fill="auto"/>
          </w:tcPr>
          <w:p w:rsidR="00024A62" w:rsidRPr="00315910" w:rsidRDefault="00024A62" w:rsidP="006B1005">
            <w:pPr>
              <w:pStyle w:val="TableBodyText"/>
              <w:keepNext w:val="0"/>
              <w:rPr>
                <w:i/>
              </w:rPr>
            </w:pPr>
            <w:r w:rsidRPr="00AF5CC7">
              <w:t>1</w:t>
            </w:r>
            <w:r>
              <w:t>4</w:t>
            </w:r>
            <w:r w:rsidRPr="00AF5CC7">
              <w:t>A.</w:t>
            </w:r>
            <w:r w:rsidR="00142377">
              <w:t>57</w:t>
            </w:r>
          </w:p>
        </w:tc>
      </w:tr>
      <w:tr w:rsidR="00B54D7F" w:rsidTr="00DC267D">
        <w:tc>
          <w:tcPr>
            <w:tcW w:w="5000" w:type="pct"/>
            <w:gridSpan w:val="12"/>
            <w:shd w:val="clear" w:color="auto" w:fill="auto"/>
          </w:tcPr>
          <w:p w:rsidR="00B54D7F" w:rsidRPr="008916D0" w:rsidRDefault="00B54D7F" w:rsidP="00357A35">
            <w:pPr>
              <w:pStyle w:val="TableColumnHeading"/>
              <w:keepNext w:val="0"/>
              <w:jc w:val="left"/>
              <w:rPr>
                <w:i w:val="0"/>
              </w:rPr>
            </w:pPr>
            <w:r w:rsidRPr="008916D0">
              <w:rPr>
                <w:i w:val="0"/>
              </w:rPr>
              <w:t xml:space="preserve">Assistance for younger people </w:t>
            </w:r>
            <w:r w:rsidR="009731E2">
              <w:rPr>
                <w:i w:val="0"/>
              </w:rPr>
              <w:t xml:space="preserve">with disability </w:t>
            </w:r>
            <w:r w:rsidRPr="008916D0">
              <w:rPr>
                <w:i w:val="0"/>
              </w:rPr>
              <w:t>in residential aged care</w:t>
            </w:r>
          </w:p>
        </w:tc>
      </w:tr>
      <w:tr w:rsidR="00B54D7F" w:rsidTr="00DC267D">
        <w:tc>
          <w:tcPr>
            <w:tcW w:w="5000" w:type="pct"/>
            <w:gridSpan w:val="12"/>
            <w:shd w:val="clear" w:color="auto" w:fill="auto"/>
          </w:tcPr>
          <w:p w:rsidR="00B54D7F" w:rsidRDefault="00B54D7F" w:rsidP="00E43C4B">
            <w:pPr>
              <w:pStyle w:val="TableColumnHeading"/>
              <w:keepNext w:val="0"/>
              <w:jc w:val="left"/>
              <w:rPr>
                <w:i w:val="0"/>
              </w:rPr>
            </w:pPr>
            <w:r>
              <w:t xml:space="preserve"> </w:t>
            </w:r>
            <w:r w:rsidR="00B2190D" w:rsidRPr="00B2190D">
              <w:t xml:space="preserve">Rate of younger people admitted to permanent residential aged care per 10 000 potential population </w:t>
            </w:r>
            <w:r w:rsidR="003F7C74">
              <w:t>(</w:t>
            </w:r>
            <w:r w:rsidR="00CF68CE">
              <w:t>2012</w:t>
            </w:r>
            <w:r w:rsidR="00E43C4B">
              <w:noBreakHyphen/>
            </w:r>
            <w:r w:rsidR="003F7C74">
              <w:t>1</w:t>
            </w:r>
            <w:r w:rsidR="00CF68CE">
              <w:t>3</w:t>
            </w:r>
            <w:r w:rsidR="003F7C74">
              <w:t>)</w:t>
            </w:r>
            <w:r w:rsidR="0033586C">
              <w:br/>
            </w:r>
            <w:r w:rsidR="00A619A9" w:rsidRPr="002556E2">
              <w:rPr>
                <w:i w:val="0"/>
                <w:sz w:val="16"/>
                <w:szCs w:val="16"/>
              </w:rPr>
              <w:t>Most recent data for this measure are comparable and complete</w:t>
            </w:r>
            <w:r w:rsidR="0033586C" w:rsidRPr="0033586C">
              <w:rPr>
                <w:i w:val="0"/>
                <w:sz w:val="16"/>
                <w:szCs w:val="16"/>
              </w:rPr>
              <w:t xml:space="preserve"> (chapter 1</w:t>
            </w:r>
            <w:r w:rsidR="0033586C">
              <w:rPr>
                <w:i w:val="0"/>
                <w:sz w:val="16"/>
                <w:szCs w:val="16"/>
              </w:rPr>
              <w:t>4</w:t>
            </w:r>
            <w:r w:rsidR="0033586C" w:rsidRPr="0033586C">
              <w:rPr>
                <w:i w:val="0"/>
                <w:sz w:val="16"/>
                <w:szCs w:val="16"/>
              </w:rPr>
              <w:t>)</w:t>
            </w:r>
          </w:p>
        </w:tc>
      </w:tr>
      <w:tr w:rsidR="00DC267D" w:rsidTr="00DC267D">
        <w:tc>
          <w:tcPr>
            <w:tcW w:w="169" w:type="pct"/>
            <w:shd w:val="clear" w:color="auto" w:fill="auto"/>
          </w:tcPr>
          <w:p w:rsidR="00CF68CE" w:rsidRDefault="00CF68CE" w:rsidP="00357A35">
            <w:pPr>
              <w:pStyle w:val="TableBodyText"/>
              <w:keepNext w:val="0"/>
            </w:pPr>
            <w:r>
              <w:t>%</w:t>
            </w:r>
          </w:p>
        </w:tc>
        <w:tc>
          <w:tcPr>
            <w:tcW w:w="475" w:type="pct"/>
            <w:shd w:val="clear" w:color="auto" w:fill="auto"/>
            <w:vAlign w:val="center"/>
          </w:tcPr>
          <w:p w:rsidR="00CF68CE" w:rsidRPr="00383759" w:rsidRDefault="00CF68CE" w:rsidP="003F7C74">
            <w:pPr>
              <w:pStyle w:val="TableBodyText"/>
              <w:keepNext w:val="0"/>
            </w:pPr>
            <w:r w:rsidRPr="006B1005">
              <w:t xml:space="preserve">  44</w:t>
            </w:r>
            <w:r w:rsidR="00E43C4B">
              <w:t>.8</w:t>
            </w:r>
          </w:p>
        </w:tc>
        <w:tc>
          <w:tcPr>
            <w:tcW w:w="483" w:type="pct"/>
            <w:shd w:val="clear" w:color="auto" w:fill="auto"/>
            <w:vAlign w:val="center"/>
          </w:tcPr>
          <w:p w:rsidR="00CF68CE" w:rsidRPr="00383759" w:rsidRDefault="00E43C4B" w:rsidP="003F7C74">
            <w:pPr>
              <w:pStyle w:val="TableBodyText"/>
              <w:keepNext w:val="0"/>
            </w:pPr>
            <w:r>
              <w:t>&lt;42.8</w:t>
            </w:r>
          </w:p>
        </w:tc>
        <w:tc>
          <w:tcPr>
            <w:tcW w:w="483" w:type="pct"/>
            <w:shd w:val="clear" w:color="auto" w:fill="auto"/>
            <w:vAlign w:val="center"/>
          </w:tcPr>
          <w:p w:rsidR="00CF68CE" w:rsidRPr="00383759" w:rsidRDefault="00CF68CE" w:rsidP="003F7C74">
            <w:pPr>
              <w:pStyle w:val="TableBodyText"/>
              <w:keepNext w:val="0"/>
            </w:pPr>
            <w:r w:rsidRPr="006B1005">
              <w:t xml:space="preserve">  33</w:t>
            </w:r>
            <w:r w:rsidR="00E43C4B">
              <w:t>.3</w:t>
            </w:r>
          </w:p>
        </w:tc>
        <w:tc>
          <w:tcPr>
            <w:tcW w:w="484" w:type="pct"/>
            <w:shd w:val="clear" w:color="auto" w:fill="auto"/>
            <w:vAlign w:val="center"/>
          </w:tcPr>
          <w:p w:rsidR="00CF68CE" w:rsidRPr="00383759" w:rsidRDefault="00CF68CE" w:rsidP="00E43C4B">
            <w:pPr>
              <w:pStyle w:val="TableBodyText"/>
              <w:keepNext w:val="0"/>
            </w:pPr>
            <w:r w:rsidRPr="006B1005">
              <w:t xml:space="preserve">  2</w:t>
            </w:r>
            <w:r w:rsidR="00E43C4B">
              <w:t>6.6</w:t>
            </w:r>
          </w:p>
        </w:tc>
        <w:tc>
          <w:tcPr>
            <w:tcW w:w="483" w:type="pct"/>
            <w:shd w:val="clear" w:color="auto" w:fill="auto"/>
            <w:vAlign w:val="center"/>
          </w:tcPr>
          <w:p w:rsidR="00CF68CE" w:rsidRPr="00383759" w:rsidRDefault="00CF68CE" w:rsidP="00E43C4B">
            <w:pPr>
              <w:pStyle w:val="TableBodyText"/>
              <w:keepNext w:val="0"/>
            </w:pPr>
            <w:r w:rsidRPr="006B1005">
              <w:t xml:space="preserve">  4</w:t>
            </w:r>
            <w:r w:rsidR="00E43C4B">
              <w:t>2.6</w:t>
            </w:r>
          </w:p>
        </w:tc>
        <w:tc>
          <w:tcPr>
            <w:tcW w:w="484" w:type="pct"/>
            <w:shd w:val="clear" w:color="auto" w:fill="auto"/>
            <w:vAlign w:val="center"/>
          </w:tcPr>
          <w:p w:rsidR="00CF68CE" w:rsidRPr="00383759" w:rsidRDefault="00CF68CE" w:rsidP="00E43C4B">
            <w:pPr>
              <w:pStyle w:val="TableBodyText"/>
              <w:keepNext w:val="0"/>
            </w:pPr>
            <w:r w:rsidRPr="006B1005">
              <w:t xml:space="preserve">  6</w:t>
            </w:r>
            <w:r w:rsidR="00E43C4B">
              <w:t>0.8</w:t>
            </w:r>
          </w:p>
        </w:tc>
        <w:tc>
          <w:tcPr>
            <w:tcW w:w="406" w:type="pct"/>
            <w:gridSpan w:val="2"/>
            <w:shd w:val="clear" w:color="auto" w:fill="auto"/>
            <w:vAlign w:val="center"/>
          </w:tcPr>
          <w:p w:rsidR="00CF68CE" w:rsidRPr="00383759" w:rsidRDefault="00CF68CE" w:rsidP="00E43C4B">
            <w:pPr>
              <w:pStyle w:val="TableBodyText"/>
              <w:keepNext w:val="0"/>
            </w:pPr>
            <w:r w:rsidRPr="006B1005">
              <w:t xml:space="preserve">  2</w:t>
            </w:r>
            <w:r w:rsidR="00E43C4B">
              <w:t>1.6</w:t>
            </w:r>
          </w:p>
        </w:tc>
        <w:tc>
          <w:tcPr>
            <w:tcW w:w="564" w:type="pct"/>
            <w:shd w:val="clear" w:color="auto" w:fill="auto"/>
            <w:vAlign w:val="center"/>
          </w:tcPr>
          <w:p w:rsidR="00CF68CE" w:rsidRPr="00383759" w:rsidRDefault="00CF68CE" w:rsidP="003F7C74">
            <w:pPr>
              <w:pStyle w:val="TableBodyText"/>
              <w:keepNext w:val="0"/>
            </w:pPr>
            <w:r w:rsidRPr="006B1005">
              <w:t>np</w:t>
            </w:r>
          </w:p>
        </w:tc>
        <w:tc>
          <w:tcPr>
            <w:tcW w:w="490" w:type="pct"/>
            <w:shd w:val="clear" w:color="auto" w:fill="auto"/>
            <w:vAlign w:val="center"/>
          </w:tcPr>
          <w:p w:rsidR="00CF68CE" w:rsidRDefault="00CF68CE" w:rsidP="00E43C4B">
            <w:pPr>
              <w:pStyle w:val="TableBodyText"/>
              <w:keepNext w:val="0"/>
            </w:pPr>
            <w:r w:rsidRPr="006B1005">
              <w:t xml:space="preserve">  3</w:t>
            </w:r>
            <w:r w:rsidR="00E43C4B">
              <w:t>8.7</w:t>
            </w:r>
          </w:p>
        </w:tc>
        <w:tc>
          <w:tcPr>
            <w:tcW w:w="479" w:type="pct"/>
            <w:shd w:val="clear" w:color="auto" w:fill="auto"/>
          </w:tcPr>
          <w:p w:rsidR="00CF68CE" w:rsidRPr="00315910" w:rsidRDefault="00CF68CE" w:rsidP="006B1005">
            <w:pPr>
              <w:pStyle w:val="TableBodyText"/>
              <w:keepNext w:val="0"/>
              <w:rPr>
                <w:i/>
              </w:rPr>
            </w:pPr>
            <w:r w:rsidRPr="00AF5CC7">
              <w:t>1</w:t>
            </w:r>
            <w:r>
              <w:t>4</w:t>
            </w:r>
            <w:r w:rsidRPr="00AF5CC7">
              <w:t>A.</w:t>
            </w:r>
            <w:r>
              <w:t>64</w:t>
            </w:r>
          </w:p>
        </w:tc>
      </w:tr>
      <w:tr w:rsidR="00A954E2" w:rsidRPr="003E08D7" w:rsidTr="00DC267D">
        <w:tc>
          <w:tcPr>
            <w:tcW w:w="5000" w:type="pct"/>
            <w:gridSpan w:val="12"/>
            <w:shd w:val="clear" w:color="auto" w:fill="auto"/>
          </w:tcPr>
          <w:p w:rsidR="00A954E2" w:rsidRDefault="00A954E2" w:rsidP="00357A35">
            <w:pPr>
              <w:pStyle w:val="TableColumnHeading"/>
              <w:keepNext w:val="0"/>
              <w:jc w:val="left"/>
              <w:rPr>
                <w:i w:val="0"/>
              </w:rPr>
            </w:pPr>
            <w:r w:rsidRPr="00B667F6">
              <w:rPr>
                <w:b/>
                <w:i w:val="0"/>
              </w:rPr>
              <w:t>E</w:t>
            </w:r>
            <w:r>
              <w:rPr>
                <w:b/>
                <w:i w:val="0"/>
              </w:rPr>
              <w:t>fficiency</w:t>
            </w:r>
            <w:r w:rsidRPr="00B667F6">
              <w:rPr>
                <w:b/>
                <w:i w:val="0"/>
              </w:rPr>
              <w:t xml:space="preserve"> indicators</w:t>
            </w:r>
          </w:p>
        </w:tc>
      </w:tr>
      <w:tr w:rsidR="00B54D7F" w:rsidRPr="003E08D7" w:rsidTr="00DC267D">
        <w:tc>
          <w:tcPr>
            <w:tcW w:w="5000" w:type="pct"/>
            <w:gridSpan w:val="12"/>
            <w:shd w:val="clear" w:color="auto" w:fill="auto"/>
          </w:tcPr>
          <w:p w:rsidR="00B54D7F" w:rsidRPr="0072579E" w:rsidRDefault="005444F7" w:rsidP="00357A35">
            <w:pPr>
              <w:pStyle w:val="TableColumnHeading"/>
              <w:keepNext w:val="0"/>
              <w:jc w:val="left"/>
              <w:rPr>
                <w:i w:val="0"/>
              </w:rPr>
            </w:pPr>
            <w:r>
              <w:rPr>
                <w:i w:val="0"/>
              </w:rPr>
              <w:t>Government contribution per user of non-government provided services</w:t>
            </w:r>
          </w:p>
        </w:tc>
      </w:tr>
      <w:tr w:rsidR="00B54D7F" w:rsidRPr="003E08D7" w:rsidTr="00DC267D">
        <w:tc>
          <w:tcPr>
            <w:tcW w:w="5000" w:type="pct"/>
            <w:gridSpan w:val="12"/>
            <w:shd w:val="clear" w:color="auto" w:fill="auto"/>
          </w:tcPr>
          <w:p w:rsidR="00B54D7F" w:rsidRPr="00FC133F" w:rsidRDefault="00B54D7F" w:rsidP="00357A35">
            <w:pPr>
              <w:pStyle w:val="TableColumnHeading"/>
              <w:keepNext w:val="0"/>
              <w:jc w:val="left"/>
              <w:rPr>
                <w:i w:val="0"/>
              </w:rPr>
            </w:pPr>
            <w:r>
              <w:t xml:space="preserve"> </w:t>
            </w:r>
            <w:r w:rsidRPr="009C11B7">
              <w:t xml:space="preserve">Government funding per user of non-government provided accommodation support services in </w:t>
            </w:r>
            <w:r w:rsidR="006B0B22">
              <w:t>institutional/residential setting</w:t>
            </w:r>
            <w:r w:rsidR="0033586C" w:rsidRPr="00B42326">
              <w:rPr>
                <w:sz w:val="16"/>
                <w:szCs w:val="16"/>
              </w:rPr>
              <w:t xml:space="preserve"> </w:t>
            </w:r>
            <w:r w:rsidR="0033586C">
              <w:br/>
            </w:r>
            <w:r w:rsidR="0033586C" w:rsidRPr="0033586C">
              <w:rPr>
                <w:i w:val="0"/>
                <w:sz w:val="16"/>
                <w:szCs w:val="16"/>
              </w:rPr>
              <w:t>Data for this indicator not complete or not directly comparable (chapter 1</w:t>
            </w:r>
            <w:r w:rsidR="0033586C">
              <w:rPr>
                <w:i w:val="0"/>
                <w:sz w:val="16"/>
                <w:szCs w:val="16"/>
              </w:rPr>
              <w:t>4</w:t>
            </w:r>
            <w:r w:rsidR="0033586C" w:rsidRPr="0033586C">
              <w:rPr>
                <w:i w:val="0"/>
                <w:sz w:val="16"/>
                <w:szCs w:val="16"/>
              </w:rPr>
              <w:t>)</w:t>
            </w:r>
          </w:p>
        </w:tc>
      </w:tr>
      <w:tr w:rsidR="00DC267D" w:rsidTr="00DC267D">
        <w:tc>
          <w:tcPr>
            <w:tcW w:w="169" w:type="pct"/>
            <w:shd w:val="clear" w:color="auto" w:fill="auto"/>
          </w:tcPr>
          <w:p w:rsidR="00A619A9" w:rsidRDefault="00A619A9" w:rsidP="00357A35">
            <w:pPr>
              <w:pStyle w:val="TableBodyText"/>
              <w:keepNext w:val="0"/>
            </w:pPr>
            <w:r>
              <w:t>$</w:t>
            </w:r>
          </w:p>
        </w:tc>
        <w:tc>
          <w:tcPr>
            <w:tcW w:w="475" w:type="pct"/>
            <w:shd w:val="clear" w:color="auto" w:fill="auto"/>
            <w:vAlign w:val="center"/>
          </w:tcPr>
          <w:p w:rsidR="00A619A9" w:rsidRPr="00446543" w:rsidRDefault="00A619A9" w:rsidP="003F7C74">
            <w:pPr>
              <w:pStyle w:val="TableBodyText"/>
              <w:keepNext w:val="0"/>
              <w:rPr>
                <w:sz w:val="18"/>
                <w:szCs w:val="18"/>
              </w:rPr>
            </w:pPr>
            <w:r>
              <w:rPr>
                <w:rFonts w:cs="Arial"/>
              </w:rPr>
              <w:t>79 365</w:t>
            </w:r>
          </w:p>
        </w:tc>
        <w:tc>
          <w:tcPr>
            <w:tcW w:w="483" w:type="pct"/>
            <w:shd w:val="clear" w:color="auto" w:fill="auto"/>
            <w:vAlign w:val="center"/>
          </w:tcPr>
          <w:p w:rsidR="00A619A9" w:rsidRPr="00446543" w:rsidRDefault="00A619A9" w:rsidP="003F7C74">
            <w:pPr>
              <w:pStyle w:val="TableBodyText"/>
              <w:keepNext w:val="0"/>
              <w:rPr>
                <w:sz w:val="18"/>
                <w:szCs w:val="18"/>
              </w:rPr>
            </w:pPr>
            <w:r>
              <w:rPr>
                <w:rFonts w:cs="Arial"/>
              </w:rPr>
              <w:t>30 270</w:t>
            </w:r>
          </w:p>
        </w:tc>
        <w:tc>
          <w:tcPr>
            <w:tcW w:w="483" w:type="pct"/>
            <w:shd w:val="clear" w:color="auto" w:fill="auto"/>
            <w:vAlign w:val="center"/>
          </w:tcPr>
          <w:p w:rsidR="00A619A9" w:rsidRPr="00446543" w:rsidRDefault="00A619A9" w:rsidP="003F7C74">
            <w:pPr>
              <w:pStyle w:val="TableBodyText"/>
              <w:keepNext w:val="0"/>
              <w:rPr>
                <w:sz w:val="18"/>
                <w:szCs w:val="18"/>
              </w:rPr>
            </w:pPr>
            <w:r>
              <w:rPr>
                <w:rFonts w:cs="Arial"/>
              </w:rPr>
              <w:t>55 686</w:t>
            </w:r>
          </w:p>
        </w:tc>
        <w:tc>
          <w:tcPr>
            <w:tcW w:w="484" w:type="pct"/>
            <w:shd w:val="clear" w:color="auto" w:fill="auto"/>
            <w:vAlign w:val="center"/>
          </w:tcPr>
          <w:p w:rsidR="00A619A9" w:rsidRPr="00446543" w:rsidRDefault="00A619A9" w:rsidP="003F7C74">
            <w:pPr>
              <w:pStyle w:val="TableBodyText"/>
              <w:keepNext w:val="0"/>
              <w:rPr>
                <w:sz w:val="18"/>
                <w:szCs w:val="18"/>
              </w:rPr>
            </w:pPr>
            <w:r>
              <w:rPr>
                <w:rFonts w:cs="Arial"/>
              </w:rPr>
              <w:t>86 198</w:t>
            </w:r>
          </w:p>
        </w:tc>
        <w:tc>
          <w:tcPr>
            <w:tcW w:w="483" w:type="pct"/>
            <w:shd w:val="clear" w:color="auto" w:fill="auto"/>
            <w:vAlign w:val="center"/>
          </w:tcPr>
          <w:p w:rsidR="00A619A9" w:rsidRPr="00446543" w:rsidRDefault="00A619A9" w:rsidP="003F7C74">
            <w:pPr>
              <w:pStyle w:val="TableBodyText"/>
              <w:keepNext w:val="0"/>
              <w:rPr>
                <w:sz w:val="18"/>
                <w:szCs w:val="18"/>
              </w:rPr>
            </w:pPr>
            <w:r>
              <w:rPr>
                <w:rFonts w:cs="Arial"/>
              </w:rPr>
              <w:t>56 894</w:t>
            </w:r>
          </w:p>
        </w:tc>
        <w:tc>
          <w:tcPr>
            <w:tcW w:w="484" w:type="pct"/>
            <w:shd w:val="clear" w:color="auto" w:fill="auto"/>
            <w:vAlign w:val="center"/>
          </w:tcPr>
          <w:p w:rsidR="00A619A9" w:rsidRPr="00446543" w:rsidRDefault="00A619A9" w:rsidP="003F7C74">
            <w:pPr>
              <w:pStyle w:val="TableBodyText"/>
              <w:keepNext w:val="0"/>
              <w:rPr>
                <w:sz w:val="18"/>
                <w:szCs w:val="18"/>
              </w:rPr>
            </w:pPr>
            <w:r>
              <w:rPr>
                <w:rFonts w:cs="Arial"/>
              </w:rPr>
              <w:t>40 950</w:t>
            </w:r>
          </w:p>
        </w:tc>
        <w:tc>
          <w:tcPr>
            <w:tcW w:w="402" w:type="pct"/>
            <w:shd w:val="clear" w:color="auto" w:fill="auto"/>
            <w:vAlign w:val="center"/>
          </w:tcPr>
          <w:p w:rsidR="00A619A9" w:rsidRPr="00446543" w:rsidRDefault="00A619A9" w:rsidP="00885024">
            <w:pPr>
              <w:pStyle w:val="TableBodyText"/>
              <w:keepNext w:val="0"/>
              <w:rPr>
                <w:sz w:val="18"/>
                <w:szCs w:val="18"/>
              </w:rPr>
            </w:pPr>
            <w:r w:rsidRPr="00446543">
              <w:rPr>
                <w:sz w:val="18"/>
                <w:szCs w:val="18"/>
              </w:rPr>
              <w:t>..</w:t>
            </w:r>
          </w:p>
        </w:tc>
        <w:tc>
          <w:tcPr>
            <w:tcW w:w="568" w:type="pct"/>
            <w:gridSpan w:val="2"/>
            <w:shd w:val="clear" w:color="auto" w:fill="auto"/>
            <w:vAlign w:val="center"/>
          </w:tcPr>
          <w:p w:rsidR="00A619A9" w:rsidRPr="00446543" w:rsidRDefault="00A619A9" w:rsidP="00885024">
            <w:pPr>
              <w:pStyle w:val="TableBodyText"/>
              <w:keepNext w:val="0"/>
              <w:rPr>
                <w:sz w:val="18"/>
                <w:szCs w:val="18"/>
              </w:rPr>
            </w:pPr>
            <w:r w:rsidRPr="00446543">
              <w:rPr>
                <w:sz w:val="18"/>
                <w:szCs w:val="18"/>
              </w:rPr>
              <w:t>..</w:t>
            </w:r>
          </w:p>
        </w:tc>
        <w:tc>
          <w:tcPr>
            <w:tcW w:w="490" w:type="pct"/>
            <w:shd w:val="clear" w:color="auto" w:fill="auto"/>
            <w:vAlign w:val="center"/>
          </w:tcPr>
          <w:p w:rsidR="00A619A9" w:rsidRPr="00446543" w:rsidRDefault="00A619A9" w:rsidP="00DC267D">
            <w:pPr>
              <w:ind w:right="57"/>
              <w:jc w:val="right"/>
              <w:rPr>
                <w:i/>
                <w:sz w:val="18"/>
                <w:szCs w:val="18"/>
              </w:rPr>
            </w:pPr>
            <w:r>
              <w:rPr>
                <w:rFonts w:ascii="Arial" w:hAnsi="Arial" w:cs="Arial"/>
                <w:sz w:val="20"/>
                <w:szCs w:val="20"/>
              </w:rPr>
              <w:t>59 551</w:t>
            </w:r>
          </w:p>
        </w:tc>
        <w:tc>
          <w:tcPr>
            <w:tcW w:w="479" w:type="pct"/>
            <w:shd w:val="clear" w:color="auto" w:fill="auto"/>
          </w:tcPr>
          <w:p w:rsidR="00A619A9" w:rsidRPr="00963C8F" w:rsidRDefault="00A619A9" w:rsidP="00DC267D">
            <w:pPr>
              <w:pStyle w:val="TableBodyText"/>
              <w:keepNext w:val="0"/>
              <w:spacing w:before="100"/>
              <w:rPr>
                <w:i/>
                <w:sz w:val="24"/>
                <w:szCs w:val="24"/>
              </w:rPr>
            </w:pPr>
            <w:r w:rsidRPr="00963C8F">
              <w:t>14A.</w:t>
            </w:r>
            <w:r>
              <w:t>77</w:t>
            </w:r>
          </w:p>
        </w:tc>
      </w:tr>
      <w:tr w:rsidR="00A25D48" w:rsidRPr="003E08D7" w:rsidTr="00DC267D">
        <w:tc>
          <w:tcPr>
            <w:tcW w:w="5000" w:type="pct"/>
            <w:gridSpan w:val="12"/>
            <w:shd w:val="clear" w:color="auto" w:fill="auto"/>
          </w:tcPr>
          <w:p w:rsidR="00A25D48" w:rsidRPr="004B6CA2" w:rsidRDefault="00A25D48" w:rsidP="00FA7C3D">
            <w:pPr>
              <w:pStyle w:val="Continued"/>
            </w:pPr>
            <w:r w:rsidRPr="004B6CA2">
              <w:t>(continued on next page)</w:t>
            </w:r>
          </w:p>
        </w:tc>
      </w:tr>
    </w:tbl>
    <w:p w:rsidR="00FA7C3D" w:rsidRDefault="00FA7C3D" w:rsidP="00FA7C3D">
      <w:pPr>
        <w:pStyle w:val="TableTitle"/>
      </w:pPr>
      <w:r>
        <w:rPr>
          <w:b w:val="0"/>
        </w:rPr>
        <w:lastRenderedPageBreak/>
        <w:t xml:space="preserve">Table </w:t>
      </w:r>
      <w:r w:rsidR="00197646" w:rsidRPr="00197646">
        <w:rPr>
          <w:b w:val="0"/>
        </w:rPr>
        <w:t>F.4</w:t>
      </w:r>
      <w:r>
        <w:tab/>
      </w:r>
      <w:r w:rsidR="008928A2">
        <w:t>(continued)</w:t>
      </w:r>
    </w:p>
    <w:tbl>
      <w:tblPr>
        <w:tblW w:w="5008" w:type="pct"/>
        <w:tblLayout w:type="fixed"/>
        <w:tblCellMar>
          <w:left w:w="0" w:type="dxa"/>
          <w:right w:w="0" w:type="dxa"/>
        </w:tblCellMar>
        <w:tblLook w:val="0000" w:firstRow="0" w:lastRow="0" w:firstColumn="0" w:lastColumn="0" w:noHBand="0" w:noVBand="0"/>
      </w:tblPr>
      <w:tblGrid>
        <w:gridCol w:w="422"/>
        <w:gridCol w:w="686"/>
        <w:gridCol w:w="18"/>
        <w:gridCol w:w="710"/>
        <w:gridCol w:w="56"/>
        <w:gridCol w:w="886"/>
        <w:gridCol w:w="49"/>
        <w:gridCol w:w="711"/>
        <w:gridCol w:w="30"/>
        <w:gridCol w:w="822"/>
        <w:gridCol w:w="63"/>
        <w:gridCol w:w="886"/>
        <w:gridCol w:w="48"/>
        <w:gridCol w:w="838"/>
        <w:gridCol w:w="12"/>
        <w:gridCol w:w="849"/>
        <w:gridCol w:w="25"/>
        <w:gridCol w:w="789"/>
        <w:gridCol w:w="39"/>
        <w:gridCol w:w="852"/>
        <w:gridCol w:w="12"/>
      </w:tblGrid>
      <w:tr w:rsidR="00446543" w:rsidTr="006B1005">
        <w:trPr>
          <w:gridAfter w:val="1"/>
          <w:wAfter w:w="7" w:type="pct"/>
        </w:trPr>
        <w:tc>
          <w:tcPr>
            <w:tcW w:w="240" w:type="pct"/>
            <w:tcBorders>
              <w:top w:val="single" w:sz="6" w:space="0" w:color="auto"/>
              <w:bottom w:val="single" w:sz="6" w:space="0" w:color="auto"/>
            </w:tcBorders>
            <w:shd w:val="clear" w:color="auto" w:fill="auto"/>
          </w:tcPr>
          <w:p w:rsidR="00A25D48" w:rsidRDefault="00A25D48" w:rsidP="00A25D48">
            <w:pPr>
              <w:pStyle w:val="TableColumnHeading"/>
              <w:jc w:val="left"/>
            </w:pPr>
          </w:p>
        </w:tc>
        <w:tc>
          <w:tcPr>
            <w:tcW w:w="390" w:type="pct"/>
            <w:tcBorders>
              <w:top w:val="single" w:sz="6" w:space="0" w:color="auto"/>
              <w:bottom w:val="single" w:sz="6" w:space="0" w:color="auto"/>
            </w:tcBorders>
            <w:shd w:val="clear" w:color="auto" w:fill="auto"/>
          </w:tcPr>
          <w:p w:rsidR="00A25D48" w:rsidRDefault="00A25D48" w:rsidP="00A25D48">
            <w:pPr>
              <w:pStyle w:val="TableColumnHeading"/>
            </w:pPr>
            <w:r>
              <w:t>NSW</w:t>
            </w:r>
          </w:p>
        </w:tc>
        <w:tc>
          <w:tcPr>
            <w:tcW w:w="445" w:type="pct"/>
            <w:gridSpan w:val="3"/>
            <w:tcBorders>
              <w:top w:val="single" w:sz="6" w:space="0" w:color="auto"/>
              <w:bottom w:val="single" w:sz="6" w:space="0" w:color="auto"/>
            </w:tcBorders>
            <w:shd w:val="clear" w:color="auto" w:fill="auto"/>
          </w:tcPr>
          <w:p w:rsidR="00A25D48" w:rsidRDefault="00A25D48" w:rsidP="00A25D48">
            <w:pPr>
              <w:pStyle w:val="TableColumnHeading"/>
            </w:pPr>
            <w:r>
              <w:t>Vic</w:t>
            </w:r>
          </w:p>
        </w:tc>
        <w:tc>
          <w:tcPr>
            <w:tcW w:w="503" w:type="pct"/>
            <w:tcBorders>
              <w:top w:val="single" w:sz="6" w:space="0" w:color="auto"/>
              <w:bottom w:val="single" w:sz="6" w:space="0" w:color="auto"/>
            </w:tcBorders>
            <w:shd w:val="clear" w:color="auto" w:fill="auto"/>
          </w:tcPr>
          <w:p w:rsidR="00A25D48" w:rsidRDefault="00A25D48" w:rsidP="00A25D48">
            <w:pPr>
              <w:pStyle w:val="TableColumnHeading"/>
            </w:pPr>
            <w:r>
              <w:t>Qld</w:t>
            </w:r>
          </w:p>
        </w:tc>
        <w:tc>
          <w:tcPr>
            <w:tcW w:w="449" w:type="pct"/>
            <w:gridSpan w:val="3"/>
            <w:tcBorders>
              <w:top w:val="single" w:sz="6" w:space="0" w:color="auto"/>
              <w:bottom w:val="single" w:sz="6" w:space="0" w:color="auto"/>
            </w:tcBorders>
            <w:shd w:val="clear" w:color="auto" w:fill="auto"/>
          </w:tcPr>
          <w:p w:rsidR="00A25D48" w:rsidRDefault="00A25D48" w:rsidP="00A25D48">
            <w:pPr>
              <w:pStyle w:val="TableColumnHeading"/>
            </w:pPr>
            <w:r>
              <w:t>WA</w:t>
            </w:r>
          </w:p>
        </w:tc>
        <w:tc>
          <w:tcPr>
            <w:tcW w:w="503" w:type="pct"/>
            <w:gridSpan w:val="2"/>
            <w:tcBorders>
              <w:top w:val="single" w:sz="6" w:space="0" w:color="auto"/>
              <w:bottom w:val="single" w:sz="6" w:space="0" w:color="auto"/>
            </w:tcBorders>
            <w:shd w:val="clear" w:color="auto" w:fill="auto"/>
          </w:tcPr>
          <w:p w:rsidR="00A25D48" w:rsidRDefault="00A25D48" w:rsidP="00A25D48">
            <w:pPr>
              <w:pStyle w:val="TableColumnHeading"/>
            </w:pPr>
            <w:r>
              <w:t>SA</w:t>
            </w:r>
          </w:p>
        </w:tc>
        <w:tc>
          <w:tcPr>
            <w:tcW w:w="503" w:type="pct"/>
            <w:tcBorders>
              <w:top w:val="single" w:sz="6" w:space="0" w:color="auto"/>
              <w:bottom w:val="single" w:sz="6" w:space="0" w:color="auto"/>
            </w:tcBorders>
            <w:shd w:val="clear" w:color="auto" w:fill="auto"/>
          </w:tcPr>
          <w:p w:rsidR="00A25D48" w:rsidRDefault="00A25D48" w:rsidP="00A25D48">
            <w:pPr>
              <w:pStyle w:val="TableColumnHeading"/>
            </w:pPr>
            <w:r>
              <w:t>Tas</w:t>
            </w:r>
          </w:p>
        </w:tc>
        <w:tc>
          <w:tcPr>
            <w:tcW w:w="503" w:type="pct"/>
            <w:gridSpan w:val="2"/>
            <w:tcBorders>
              <w:top w:val="single" w:sz="6" w:space="0" w:color="auto"/>
              <w:bottom w:val="single" w:sz="6" w:space="0" w:color="auto"/>
            </w:tcBorders>
            <w:shd w:val="clear" w:color="auto" w:fill="auto"/>
          </w:tcPr>
          <w:p w:rsidR="00A25D48" w:rsidRDefault="00A25D48" w:rsidP="00A25D48">
            <w:pPr>
              <w:pStyle w:val="TableColumnHeading"/>
            </w:pPr>
            <w:r>
              <w:t>ACT</w:t>
            </w:r>
          </w:p>
        </w:tc>
        <w:tc>
          <w:tcPr>
            <w:tcW w:w="503" w:type="pct"/>
            <w:gridSpan w:val="3"/>
            <w:tcBorders>
              <w:top w:val="single" w:sz="6" w:space="0" w:color="auto"/>
              <w:bottom w:val="single" w:sz="6" w:space="0" w:color="auto"/>
            </w:tcBorders>
            <w:shd w:val="clear" w:color="auto" w:fill="auto"/>
          </w:tcPr>
          <w:p w:rsidR="00A25D48" w:rsidRDefault="00A25D48" w:rsidP="00A25D48">
            <w:pPr>
              <w:pStyle w:val="TableColumnHeading"/>
            </w:pPr>
            <w:r>
              <w:t>NT</w:t>
            </w:r>
          </w:p>
        </w:tc>
        <w:tc>
          <w:tcPr>
            <w:tcW w:w="448" w:type="pct"/>
            <w:tcBorders>
              <w:top w:val="single" w:sz="6" w:space="0" w:color="auto"/>
              <w:bottom w:val="single" w:sz="6" w:space="0" w:color="auto"/>
            </w:tcBorders>
          </w:tcPr>
          <w:p w:rsidR="00A25D48" w:rsidRDefault="00A25D48" w:rsidP="00A25D48">
            <w:pPr>
              <w:pStyle w:val="TableColumnHeading"/>
            </w:pPr>
            <w:r>
              <w:t>Aust</w:t>
            </w:r>
          </w:p>
        </w:tc>
        <w:tc>
          <w:tcPr>
            <w:tcW w:w="506" w:type="pct"/>
            <w:gridSpan w:val="2"/>
            <w:tcBorders>
              <w:top w:val="single" w:sz="6" w:space="0" w:color="auto"/>
              <w:bottom w:val="single" w:sz="6" w:space="0" w:color="auto"/>
            </w:tcBorders>
          </w:tcPr>
          <w:p w:rsidR="00A25D48" w:rsidRDefault="00A25D48" w:rsidP="00A25D48">
            <w:pPr>
              <w:pStyle w:val="TableColumnHeading"/>
            </w:pPr>
            <w:r>
              <w:t>Source</w:t>
            </w:r>
          </w:p>
        </w:tc>
      </w:tr>
      <w:tr w:rsidR="00357A35" w:rsidRPr="003E08D7" w:rsidTr="00446543">
        <w:tc>
          <w:tcPr>
            <w:tcW w:w="5000" w:type="pct"/>
            <w:gridSpan w:val="21"/>
            <w:shd w:val="clear" w:color="auto" w:fill="auto"/>
          </w:tcPr>
          <w:p w:rsidR="00357A35" w:rsidRPr="00056717" w:rsidRDefault="00357A35" w:rsidP="00357A35">
            <w:pPr>
              <w:pStyle w:val="TableColumnHeading"/>
              <w:keepNext w:val="0"/>
              <w:jc w:val="left"/>
              <w:rPr>
                <w:i w:val="0"/>
              </w:rPr>
            </w:pPr>
            <w:r>
              <w:rPr>
                <w:i w:val="0"/>
              </w:rPr>
              <w:t>Cost per user of State and territory administered services</w:t>
            </w:r>
          </w:p>
        </w:tc>
      </w:tr>
      <w:tr w:rsidR="00357A35" w:rsidRPr="003E08D7" w:rsidTr="00446543">
        <w:tc>
          <w:tcPr>
            <w:tcW w:w="5000" w:type="pct"/>
            <w:gridSpan w:val="21"/>
            <w:shd w:val="clear" w:color="auto" w:fill="auto"/>
          </w:tcPr>
          <w:p w:rsidR="00357A35" w:rsidRPr="009C11B7" w:rsidRDefault="00357A35" w:rsidP="00357A35">
            <w:pPr>
              <w:pStyle w:val="TableColumnHeading"/>
              <w:keepNext w:val="0"/>
              <w:jc w:val="left"/>
              <w:rPr>
                <w:i w:val="0"/>
              </w:rPr>
            </w:pPr>
            <w:r>
              <w:t xml:space="preserve"> </w:t>
            </w:r>
            <w:r w:rsidRPr="009C11B7">
              <w:t>Total estimated expenditure per service user, State and Territory government administered programs</w:t>
            </w:r>
            <w:r>
              <w:t xml:space="preserve"> </w:t>
            </w:r>
            <w:r>
              <w:br/>
            </w:r>
            <w:r w:rsidRPr="0033586C">
              <w:rPr>
                <w:i w:val="0"/>
                <w:sz w:val="16"/>
                <w:szCs w:val="16"/>
              </w:rPr>
              <w:t>Data for this indicator not complete or not directly comparable (chapter 1</w:t>
            </w:r>
            <w:r>
              <w:rPr>
                <w:i w:val="0"/>
                <w:sz w:val="16"/>
                <w:szCs w:val="16"/>
              </w:rPr>
              <w:t>4</w:t>
            </w:r>
            <w:r w:rsidRPr="0033586C">
              <w:rPr>
                <w:i w:val="0"/>
                <w:sz w:val="16"/>
                <w:szCs w:val="16"/>
              </w:rPr>
              <w:t>)</w:t>
            </w:r>
          </w:p>
        </w:tc>
      </w:tr>
      <w:tr w:rsidR="00E43C4B" w:rsidTr="006B1005">
        <w:tc>
          <w:tcPr>
            <w:tcW w:w="240" w:type="pct"/>
            <w:shd w:val="clear" w:color="auto" w:fill="auto"/>
          </w:tcPr>
          <w:p w:rsidR="00E43C4B" w:rsidRDefault="00E43C4B" w:rsidP="00357A35">
            <w:pPr>
              <w:pStyle w:val="TableBodyText"/>
              <w:keepNext w:val="0"/>
            </w:pPr>
            <w:r>
              <w:t>$</w:t>
            </w:r>
          </w:p>
        </w:tc>
        <w:tc>
          <w:tcPr>
            <w:tcW w:w="400" w:type="pct"/>
            <w:gridSpan w:val="2"/>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36 761</w:t>
            </w:r>
          </w:p>
        </w:tc>
        <w:tc>
          <w:tcPr>
            <w:tcW w:w="403" w:type="pct"/>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23 815</w:t>
            </w:r>
          </w:p>
        </w:tc>
        <w:tc>
          <w:tcPr>
            <w:tcW w:w="563" w:type="pct"/>
            <w:gridSpan w:val="3"/>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38 991</w:t>
            </w:r>
          </w:p>
        </w:tc>
        <w:tc>
          <w:tcPr>
            <w:tcW w:w="404" w:type="pct"/>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39 049</w:t>
            </w:r>
          </w:p>
        </w:tc>
        <w:tc>
          <w:tcPr>
            <w:tcW w:w="484" w:type="pct"/>
            <w:gridSpan w:val="2"/>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22 139</w:t>
            </w:r>
          </w:p>
        </w:tc>
        <w:tc>
          <w:tcPr>
            <w:tcW w:w="566" w:type="pct"/>
            <w:gridSpan w:val="3"/>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23 410</w:t>
            </w:r>
          </w:p>
        </w:tc>
        <w:tc>
          <w:tcPr>
            <w:tcW w:w="483" w:type="pct"/>
            <w:gridSpan w:val="2"/>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19 734</w:t>
            </w:r>
          </w:p>
        </w:tc>
        <w:tc>
          <w:tcPr>
            <w:tcW w:w="482" w:type="pct"/>
            <w:shd w:val="clear" w:color="auto" w:fill="auto"/>
            <w:vAlign w:val="center"/>
          </w:tcPr>
          <w:p w:rsidR="00E43C4B" w:rsidRPr="00E43C4B" w:rsidRDefault="00E43C4B" w:rsidP="00E43C4B">
            <w:pPr>
              <w:pStyle w:val="TableBodyText"/>
              <w:keepNext w:val="0"/>
              <w:rPr>
                <w:sz w:val="16"/>
                <w:szCs w:val="16"/>
              </w:rPr>
            </w:pPr>
            <w:r w:rsidRPr="00E43C4B">
              <w:rPr>
                <w:sz w:val="16"/>
                <w:szCs w:val="16"/>
              </w:rPr>
              <w:t xml:space="preserve"> 25 900</w:t>
            </w:r>
          </w:p>
        </w:tc>
        <w:tc>
          <w:tcPr>
            <w:tcW w:w="484" w:type="pct"/>
            <w:gridSpan w:val="3"/>
            <w:shd w:val="clear" w:color="auto" w:fill="auto"/>
          </w:tcPr>
          <w:p w:rsidR="00E43C4B" w:rsidRPr="00E43C4B" w:rsidRDefault="00E43C4B" w:rsidP="00E43C4B">
            <w:pPr>
              <w:pStyle w:val="TableBodyText"/>
              <w:keepNext w:val="0"/>
              <w:rPr>
                <w:sz w:val="16"/>
                <w:szCs w:val="16"/>
              </w:rPr>
            </w:pPr>
            <w:r w:rsidRPr="00446543">
              <w:rPr>
                <w:sz w:val="16"/>
                <w:szCs w:val="16"/>
              </w:rPr>
              <w:t xml:space="preserve"> </w:t>
            </w:r>
            <w:r w:rsidRPr="00E43C4B">
              <w:rPr>
                <w:sz w:val="16"/>
                <w:szCs w:val="16"/>
              </w:rPr>
              <w:t>35 640</w:t>
            </w:r>
          </w:p>
        </w:tc>
        <w:tc>
          <w:tcPr>
            <w:tcW w:w="491" w:type="pct"/>
            <w:gridSpan w:val="2"/>
            <w:shd w:val="clear" w:color="auto" w:fill="auto"/>
          </w:tcPr>
          <w:p w:rsidR="00E43C4B" w:rsidRPr="00315910" w:rsidRDefault="00E43C4B" w:rsidP="006B1005">
            <w:pPr>
              <w:pStyle w:val="TableBodyText"/>
              <w:keepNext w:val="0"/>
              <w:rPr>
                <w:i/>
              </w:rPr>
            </w:pPr>
            <w:r w:rsidRPr="00AF5CC7">
              <w:t>1</w:t>
            </w:r>
            <w:r>
              <w:t>4</w:t>
            </w:r>
            <w:r w:rsidRPr="00AF5CC7">
              <w:t>A.</w:t>
            </w:r>
            <w:r>
              <w:t>80</w:t>
            </w:r>
          </w:p>
        </w:tc>
      </w:tr>
      <w:tr w:rsidR="00B54D7F" w:rsidRPr="003E08D7" w:rsidTr="006B1005">
        <w:trPr>
          <w:gridAfter w:val="1"/>
          <w:wAfter w:w="7" w:type="pct"/>
        </w:trPr>
        <w:tc>
          <w:tcPr>
            <w:tcW w:w="4993" w:type="pct"/>
            <w:gridSpan w:val="20"/>
            <w:shd w:val="clear" w:color="auto" w:fill="auto"/>
          </w:tcPr>
          <w:p w:rsidR="00B54D7F" w:rsidRPr="0072579E" w:rsidRDefault="00B54D7F" w:rsidP="00B54D7F">
            <w:pPr>
              <w:pStyle w:val="TableColumnHeading"/>
              <w:jc w:val="left"/>
              <w:rPr>
                <w:i w:val="0"/>
              </w:rPr>
            </w:pPr>
            <w:r>
              <w:rPr>
                <w:i w:val="0"/>
              </w:rPr>
              <w:t>Administrative expenditure as a proportion of total recurrent expenditure</w:t>
            </w:r>
          </w:p>
        </w:tc>
      </w:tr>
      <w:tr w:rsidR="00B54D7F" w:rsidRPr="003E08D7" w:rsidTr="006B1005">
        <w:trPr>
          <w:gridAfter w:val="1"/>
          <w:wAfter w:w="7" w:type="pct"/>
        </w:trPr>
        <w:tc>
          <w:tcPr>
            <w:tcW w:w="4993" w:type="pct"/>
            <w:gridSpan w:val="20"/>
            <w:shd w:val="clear" w:color="auto" w:fill="auto"/>
          </w:tcPr>
          <w:p w:rsidR="00B54D7F" w:rsidRPr="00B33BA5" w:rsidRDefault="00B54D7F" w:rsidP="00E43C4B">
            <w:pPr>
              <w:pStyle w:val="TableColumnHeading"/>
              <w:jc w:val="left"/>
              <w:rPr>
                <w:i w:val="0"/>
                <w:szCs w:val="24"/>
              </w:rPr>
            </w:pPr>
            <w:r>
              <w:t xml:space="preserve"> </w:t>
            </w:r>
            <w:r w:rsidRPr="00B33BA5">
              <w:t>Administration expenditure as a proportion of total expenditure (</w:t>
            </w:r>
            <w:r w:rsidR="00E43C4B">
              <w:t>in</w:t>
            </w:r>
            <w:r w:rsidRPr="00B33BA5">
              <w:t>cluding actual and imputed payroll ta</w:t>
            </w:r>
            <w:r>
              <w:t>x)</w:t>
            </w:r>
            <w:r w:rsidR="0033586C">
              <w:t xml:space="preserve"> </w:t>
            </w:r>
            <w:r w:rsidR="003F7C74">
              <w:t>(201</w:t>
            </w:r>
            <w:r w:rsidR="00FD520D">
              <w:t>2</w:t>
            </w:r>
            <w:r w:rsidR="003F7C74">
              <w:t>-1</w:t>
            </w:r>
            <w:r w:rsidR="00FD520D">
              <w:t>3</w:t>
            </w:r>
            <w:r w:rsidR="003F7C74">
              <w:t>)</w:t>
            </w:r>
            <w:r w:rsidR="0033586C">
              <w:br/>
            </w:r>
            <w:r w:rsidR="0033586C" w:rsidRPr="0033586C">
              <w:rPr>
                <w:i w:val="0"/>
                <w:sz w:val="16"/>
                <w:szCs w:val="16"/>
              </w:rPr>
              <w:t>Data for this indicator not complete or not directly comparable (chapter 1</w:t>
            </w:r>
            <w:r w:rsidR="0033586C">
              <w:rPr>
                <w:i w:val="0"/>
                <w:sz w:val="16"/>
                <w:szCs w:val="16"/>
              </w:rPr>
              <w:t>4</w:t>
            </w:r>
            <w:r w:rsidR="0033586C" w:rsidRPr="0033586C">
              <w:rPr>
                <w:i w:val="0"/>
                <w:sz w:val="16"/>
                <w:szCs w:val="16"/>
              </w:rPr>
              <w:t>)</w:t>
            </w:r>
          </w:p>
        </w:tc>
      </w:tr>
      <w:tr w:rsidR="00E43C4B" w:rsidTr="006B1005">
        <w:trPr>
          <w:gridAfter w:val="1"/>
          <w:wAfter w:w="7" w:type="pct"/>
        </w:trPr>
        <w:tc>
          <w:tcPr>
            <w:tcW w:w="240" w:type="pct"/>
            <w:shd w:val="clear" w:color="auto" w:fill="auto"/>
          </w:tcPr>
          <w:p w:rsidR="00E43C4B" w:rsidRDefault="00E43C4B" w:rsidP="00B54D7F">
            <w:pPr>
              <w:pStyle w:val="TableBodyText"/>
            </w:pPr>
            <w:r>
              <w:t>%</w:t>
            </w:r>
          </w:p>
        </w:tc>
        <w:tc>
          <w:tcPr>
            <w:tcW w:w="390" w:type="pct"/>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8.3</w:t>
            </w:r>
          </w:p>
        </w:tc>
        <w:tc>
          <w:tcPr>
            <w:tcW w:w="445" w:type="pct"/>
            <w:gridSpan w:val="3"/>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7.1</w:t>
            </w:r>
          </w:p>
        </w:tc>
        <w:tc>
          <w:tcPr>
            <w:tcW w:w="503" w:type="pct"/>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6.1</w:t>
            </w:r>
          </w:p>
        </w:tc>
        <w:tc>
          <w:tcPr>
            <w:tcW w:w="449" w:type="pct"/>
            <w:gridSpan w:val="3"/>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3.9</w:t>
            </w:r>
          </w:p>
        </w:tc>
        <w:tc>
          <w:tcPr>
            <w:tcW w:w="503" w:type="pct"/>
            <w:gridSpan w:val="2"/>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4.3</w:t>
            </w:r>
          </w:p>
        </w:tc>
        <w:tc>
          <w:tcPr>
            <w:tcW w:w="503" w:type="pct"/>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7.9</w:t>
            </w:r>
          </w:p>
        </w:tc>
        <w:tc>
          <w:tcPr>
            <w:tcW w:w="503" w:type="pct"/>
            <w:gridSpan w:val="2"/>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7.9</w:t>
            </w:r>
          </w:p>
        </w:tc>
        <w:tc>
          <w:tcPr>
            <w:tcW w:w="503" w:type="pct"/>
            <w:gridSpan w:val="3"/>
            <w:shd w:val="clear" w:color="auto" w:fill="auto"/>
            <w:vAlign w:val="center"/>
          </w:tcPr>
          <w:p w:rsidR="00E43C4B" w:rsidRDefault="00E43C4B">
            <w:pPr>
              <w:jc w:val="right"/>
              <w:rPr>
                <w:rFonts w:ascii="Arial" w:hAnsi="Arial" w:cs="Arial"/>
                <w:sz w:val="20"/>
                <w:szCs w:val="20"/>
              </w:rPr>
            </w:pPr>
            <w:r>
              <w:rPr>
                <w:rFonts w:ascii="Arial" w:hAnsi="Arial" w:cs="Arial"/>
                <w:sz w:val="20"/>
                <w:szCs w:val="20"/>
              </w:rPr>
              <w:t>5.2</w:t>
            </w:r>
          </w:p>
        </w:tc>
        <w:tc>
          <w:tcPr>
            <w:tcW w:w="448" w:type="pct"/>
            <w:shd w:val="clear" w:color="auto" w:fill="auto"/>
            <w:vAlign w:val="center"/>
          </w:tcPr>
          <w:p w:rsidR="00E43C4B" w:rsidRDefault="00E43C4B" w:rsidP="00E43C4B">
            <w:pPr>
              <w:jc w:val="right"/>
              <w:rPr>
                <w:rFonts w:ascii="Arial" w:hAnsi="Arial" w:cs="Arial"/>
                <w:sz w:val="20"/>
                <w:szCs w:val="20"/>
              </w:rPr>
            </w:pPr>
            <w:r>
              <w:rPr>
                <w:rFonts w:ascii="Arial" w:hAnsi="Arial" w:cs="Arial"/>
                <w:sz w:val="20"/>
                <w:szCs w:val="20"/>
              </w:rPr>
              <w:t>6.7</w:t>
            </w:r>
          </w:p>
        </w:tc>
        <w:tc>
          <w:tcPr>
            <w:tcW w:w="506" w:type="pct"/>
            <w:gridSpan w:val="2"/>
            <w:shd w:val="clear" w:color="auto" w:fill="auto"/>
          </w:tcPr>
          <w:p w:rsidR="00E43C4B" w:rsidRPr="00315910" w:rsidRDefault="00E43C4B" w:rsidP="006B1005">
            <w:pPr>
              <w:pStyle w:val="TableBodyText"/>
              <w:rPr>
                <w:i/>
              </w:rPr>
            </w:pPr>
            <w:r>
              <w:t>14A.81</w:t>
            </w:r>
          </w:p>
        </w:tc>
      </w:tr>
      <w:tr w:rsidR="00423D1B" w:rsidRPr="003E08D7" w:rsidTr="006B1005">
        <w:trPr>
          <w:gridAfter w:val="1"/>
          <w:wAfter w:w="7" w:type="pct"/>
        </w:trPr>
        <w:tc>
          <w:tcPr>
            <w:tcW w:w="4993" w:type="pct"/>
            <w:gridSpan w:val="20"/>
            <w:shd w:val="clear" w:color="auto" w:fill="auto"/>
          </w:tcPr>
          <w:p w:rsidR="00B1589A" w:rsidRPr="00825E5F" w:rsidRDefault="00423D1B" w:rsidP="00E43C4B">
            <w:pPr>
              <w:pStyle w:val="TableColumnHeading"/>
              <w:jc w:val="left"/>
              <w:rPr>
                <w:b/>
                <w:i w:val="0"/>
              </w:rPr>
            </w:pPr>
            <w:r>
              <w:rPr>
                <w:b/>
                <w:i w:val="0"/>
              </w:rPr>
              <w:t>Outcome</w:t>
            </w:r>
            <w:r w:rsidRPr="00B667F6">
              <w:rPr>
                <w:b/>
                <w:i w:val="0"/>
              </w:rPr>
              <w:t xml:space="preserve"> indicators</w:t>
            </w:r>
            <w:r w:rsidR="00B1589A">
              <w:rPr>
                <w:b/>
                <w:i w:val="0"/>
              </w:rPr>
              <w:t xml:space="preserve"> </w:t>
            </w:r>
          </w:p>
        </w:tc>
      </w:tr>
      <w:tr w:rsidR="00423D1B" w:rsidRPr="003E08D7" w:rsidTr="006B1005">
        <w:trPr>
          <w:gridAfter w:val="1"/>
          <w:wAfter w:w="7" w:type="pct"/>
        </w:trPr>
        <w:tc>
          <w:tcPr>
            <w:tcW w:w="4993" w:type="pct"/>
            <w:gridSpan w:val="20"/>
            <w:shd w:val="clear" w:color="auto" w:fill="auto"/>
          </w:tcPr>
          <w:p w:rsidR="00423D1B" w:rsidRPr="00423D1B" w:rsidRDefault="00423D1B" w:rsidP="00167E6D">
            <w:pPr>
              <w:pStyle w:val="TableColumnHeading"/>
              <w:jc w:val="left"/>
              <w:rPr>
                <w:i w:val="0"/>
              </w:rPr>
            </w:pPr>
            <w:r w:rsidRPr="00423D1B">
              <w:rPr>
                <w:i w:val="0"/>
              </w:rPr>
              <w:t>Labour force participation and employment of people with disability</w:t>
            </w:r>
          </w:p>
        </w:tc>
      </w:tr>
      <w:tr w:rsidR="00423D1B" w:rsidRPr="003E08D7" w:rsidTr="006B1005">
        <w:trPr>
          <w:gridAfter w:val="1"/>
          <w:wAfter w:w="7" w:type="pct"/>
        </w:trPr>
        <w:tc>
          <w:tcPr>
            <w:tcW w:w="4993" w:type="pct"/>
            <w:gridSpan w:val="20"/>
            <w:shd w:val="clear" w:color="auto" w:fill="auto"/>
          </w:tcPr>
          <w:p w:rsidR="00423D1B" w:rsidRPr="00FC133F" w:rsidRDefault="0066484F" w:rsidP="0066484F">
            <w:pPr>
              <w:pStyle w:val="TableColumnHeading"/>
              <w:jc w:val="left"/>
              <w:rPr>
                <w:i w:val="0"/>
              </w:rPr>
            </w:pPr>
            <w:r>
              <w:t xml:space="preserve">Labour force participation rate for people with disability aged 15-64 years </w:t>
            </w:r>
            <w:r w:rsidR="00423D1B">
              <w:br/>
            </w:r>
            <w:r w:rsidR="00167E6D" w:rsidRPr="0033586C">
              <w:rPr>
                <w:i w:val="0"/>
                <w:sz w:val="16"/>
                <w:szCs w:val="16"/>
              </w:rPr>
              <w:t>Data for this indicator are comparable, subject to caveats (chapter 1</w:t>
            </w:r>
            <w:r w:rsidR="00167E6D">
              <w:rPr>
                <w:i w:val="0"/>
                <w:sz w:val="16"/>
                <w:szCs w:val="16"/>
              </w:rPr>
              <w:t>4</w:t>
            </w:r>
            <w:r w:rsidR="00167E6D" w:rsidRPr="0033586C">
              <w:rPr>
                <w:i w:val="0"/>
                <w:sz w:val="16"/>
                <w:szCs w:val="16"/>
              </w:rPr>
              <w:t>)</w:t>
            </w:r>
          </w:p>
        </w:tc>
      </w:tr>
      <w:tr w:rsidR="00446543" w:rsidTr="006B1005">
        <w:trPr>
          <w:gridAfter w:val="1"/>
          <w:wAfter w:w="7" w:type="pct"/>
        </w:trPr>
        <w:tc>
          <w:tcPr>
            <w:tcW w:w="240" w:type="pct"/>
            <w:shd w:val="clear" w:color="auto" w:fill="auto"/>
          </w:tcPr>
          <w:p w:rsidR="00423D1B" w:rsidRDefault="00167E6D" w:rsidP="00B54D7F">
            <w:pPr>
              <w:pStyle w:val="TableBodyText"/>
            </w:pPr>
            <w:r>
              <w:t>%</w:t>
            </w:r>
          </w:p>
        </w:tc>
        <w:tc>
          <w:tcPr>
            <w:tcW w:w="390" w:type="pct"/>
            <w:shd w:val="clear" w:color="auto" w:fill="auto"/>
            <w:vAlign w:val="center"/>
          </w:tcPr>
          <w:p w:rsidR="00423D1B" w:rsidRDefault="0066484F" w:rsidP="0066484F">
            <w:pPr>
              <w:pStyle w:val="TableBodyText"/>
              <w:rPr>
                <w:rFonts w:cs="Arial"/>
              </w:rPr>
            </w:pPr>
            <w:r>
              <w:t>76.3</w:t>
            </w:r>
            <w:r w:rsidR="007C37FC">
              <w:br/>
            </w:r>
            <w:r w:rsidR="00167E6D" w:rsidRPr="00167E6D">
              <w:rPr>
                <w:u w:val="single"/>
              </w:rPr>
              <w:t>+</w:t>
            </w:r>
            <w:r w:rsidRPr="0066484F">
              <w:t>1.0</w:t>
            </w:r>
          </w:p>
        </w:tc>
        <w:tc>
          <w:tcPr>
            <w:tcW w:w="445" w:type="pct"/>
            <w:gridSpan w:val="3"/>
            <w:shd w:val="clear" w:color="auto" w:fill="auto"/>
            <w:vAlign w:val="center"/>
          </w:tcPr>
          <w:p w:rsidR="00423D1B" w:rsidRDefault="0066484F" w:rsidP="0066484F">
            <w:pPr>
              <w:pStyle w:val="TableBodyText"/>
              <w:rPr>
                <w:rFonts w:cs="Arial"/>
              </w:rPr>
            </w:pPr>
            <w:r>
              <w:rPr>
                <w:rFonts w:cs="Arial"/>
              </w:rPr>
              <w:t>77.8</w:t>
            </w:r>
            <w:r w:rsidR="007C37FC">
              <w:rPr>
                <w:rFonts w:cs="Arial"/>
              </w:rPr>
              <w:br/>
            </w:r>
            <w:r w:rsidR="00167E6D" w:rsidRPr="00167E6D">
              <w:rPr>
                <w:rFonts w:cs="Arial"/>
                <w:u w:val="single"/>
              </w:rPr>
              <w:t>+</w:t>
            </w:r>
            <w:r>
              <w:rPr>
                <w:rFonts w:cs="Arial"/>
              </w:rPr>
              <w:t>1.0</w:t>
            </w:r>
          </w:p>
        </w:tc>
        <w:tc>
          <w:tcPr>
            <w:tcW w:w="503" w:type="pct"/>
            <w:shd w:val="clear" w:color="auto" w:fill="auto"/>
            <w:vAlign w:val="center"/>
          </w:tcPr>
          <w:p w:rsidR="00423D1B" w:rsidRDefault="0066484F" w:rsidP="0066484F">
            <w:pPr>
              <w:pStyle w:val="TableBodyText"/>
              <w:rPr>
                <w:rFonts w:cs="Arial"/>
              </w:rPr>
            </w:pPr>
            <w:r>
              <w:rPr>
                <w:rFonts w:cs="Arial"/>
              </w:rPr>
              <w:t>79.9</w:t>
            </w:r>
            <w:r w:rsidR="007C37FC">
              <w:rPr>
                <w:rFonts w:cs="Arial"/>
              </w:rPr>
              <w:br/>
            </w:r>
            <w:r w:rsidR="00167E6D" w:rsidRPr="00167E6D">
              <w:rPr>
                <w:rFonts w:cs="Arial"/>
                <w:u w:val="single"/>
              </w:rPr>
              <w:t>+</w:t>
            </w:r>
            <w:r>
              <w:rPr>
                <w:rFonts w:cs="Arial"/>
              </w:rPr>
              <w:t>1.1</w:t>
            </w:r>
          </w:p>
        </w:tc>
        <w:tc>
          <w:tcPr>
            <w:tcW w:w="449" w:type="pct"/>
            <w:gridSpan w:val="3"/>
            <w:shd w:val="clear" w:color="auto" w:fill="auto"/>
            <w:vAlign w:val="center"/>
          </w:tcPr>
          <w:p w:rsidR="00423D1B" w:rsidRDefault="0066484F" w:rsidP="0066484F">
            <w:pPr>
              <w:pStyle w:val="TableBodyText"/>
              <w:rPr>
                <w:rFonts w:cs="Arial"/>
              </w:rPr>
            </w:pPr>
            <w:r>
              <w:rPr>
                <w:rFonts w:cs="Arial"/>
              </w:rPr>
              <w:t>81.7</w:t>
            </w:r>
            <w:r w:rsidR="007C37FC">
              <w:rPr>
                <w:rFonts w:cs="Arial"/>
              </w:rPr>
              <w:br/>
            </w:r>
            <w:r w:rsidR="00167E6D" w:rsidRPr="00167E6D">
              <w:rPr>
                <w:rFonts w:cs="Arial"/>
                <w:u w:val="single"/>
              </w:rPr>
              <w:t>+</w:t>
            </w:r>
            <w:r>
              <w:rPr>
                <w:rFonts w:cs="Arial"/>
              </w:rPr>
              <w:t>1.4</w:t>
            </w:r>
          </w:p>
        </w:tc>
        <w:tc>
          <w:tcPr>
            <w:tcW w:w="503" w:type="pct"/>
            <w:gridSpan w:val="2"/>
            <w:shd w:val="clear" w:color="auto" w:fill="auto"/>
            <w:vAlign w:val="center"/>
          </w:tcPr>
          <w:p w:rsidR="00423D1B" w:rsidRDefault="0066484F" w:rsidP="0066484F">
            <w:pPr>
              <w:pStyle w:val="TableBodyText"/>
              <w:rPr>
                <w:rFonts w:cs="Arial"/>
              </w:rPr>
            </w:pPr>
            <w:r>
              <w:rPr>
                <w:rFonts w:cs="Arial"/>
              </w:rPr>
              <w:t>77.9</w:t>
            </w:r>
            <w:r w:rsidR="007C37FC">
              <w:rPr>
                <w:rFonts w:cs="Arial"/>
              </w:rPr>
              <w:br/>
            </w:r>
            <w:r w:rsidR="00167E6D" w:rsidRPr="00167E6D">
              <w:rPr>
                <w:rFonts w:cs="Arial"/>
                <w:u w:val="single"/>
              </w:rPr>
              <w:t>+</w:t>
            </w:r>
            <w:r>
              <w:rPr>
                <w:rFonts w:cs="Arial"/>
              </w:rPr>
              <w:t>1.3</w:t>
            </w:r>
          </w:p>
        </w:tc>
        <w:tc>
          <w:tcPr>
            <w:tcW w:w="503" w:type="pct"/>
            <w:shd w:val="clear" w:color="auto" w:fill="auto"/>
            <w:vAlign w:val="center"/>
          </w:tcPr>
          <w:p w:rsidR="00423D1B" w:rsidRDefault="0066484F" w:rsidP="0066484F">
            <w:pPr>
              <w:pStyle w:val="TableBodyText"/>
              <w:rPr>
                <w:rFonts w:cs="Arial"/>
              </w:rPr>
            </w:pPr>
            <w:r>
              <w:rPr>
                <w:rFonts w:cs="Arial"/>
              </w:rPr>
              <w:t>73.9</w:t>
            </w:r>
            <w:r w:rsidR="007C37FC">
              <w:rPr>
                <w:rFonts w:cs="Arial"/>
              </w:rPr>
              <w:br/>
            </w:r>
            <w:r w:rsidR="00167E6D" w:rsidRPr="00167E6D">
              <w:rPr>
                <w:rFonts w:cs="Arial"/>
                <w:u w:val="single"/>
              </w:rPr>
              <w:t>+</w:t>
            </w:r>
            <w:r>
              <w:rPr>
                <w:rFonts w:cs="Arial"/>
              </w:rPr>
              <w:t>2.7</w:t>
            </w:r>
          </w:p>
        </w:tc>
        <w:tc>
          <w:tcPr>
            <w:tcW w:w="503" w:type="pct"/>
            <w:gridSpan w:val="2"/>
            <w:shd w:val="clear" w:color="auto" w:fill="auto"/>
            <w:vAlign w:val="center"/>
          </w:tcPr>
          <w:p w:rsidR="00423D1B" w:rsidRDefault="0066484F" w:rsidP="0066484F">
            <w:pPr>
              <w:pStyle w:val="TableBodyText"/>
              <w:rPr>
                <w:rFonts w:cs="Arial"/>
              </w:rPr>
            </w:pPr>
            <w:r>
              <w:rPr>
                <w:rFonts w:cs="Arial"/>
              </w:rPr>
              <w:t>83.5</w:t>
            </w:r>
            <w:r w:rsidR="007C37FC">
              <w:rPr>
                <w:rFonts w:cs="Arial"/>
              </w:rPr>
              <w:br/>
            </w:r>
            <w:r w:rsidR="00167E6D" w:rsidRPr="00167E6D">
              <w:rPr>
                <w:rFonts w:cs="Arial"/>
                <w:u w:val="single"/>
              </w:rPr>
              <w:t>+</w:t>
            </w:r>
            <w:r w:rsidR="00E72396">
              <w:rPr>
                <w:rFonts w:cs="Arial"/>
              </w:rPr>
              <w:t>1.</w:t>
            </w:r>
            <w:r>
              <w:rPr>
                <w:rFonts w:cs="Arial"/>
              </w:rPr>
              <w:t>5</w:t>
            </w:r>
          </w:p>
        </w:tc>
        <w:tc>
          <w:tcPr>
            <w:tcW w:w="503" w:type="pct"/>
            <w:gridSpan w:val="3"/>
            <w:shd w:val="clear" w:color="auto" w:fill="auto"/>
            <w:vAlign w:val="center"/>
          </w:tcPr>
          <w:p w:rsidR="00423D1B" w:rsidRDefault="0066484F" w:rsidP="0066484F">
            <w:pPr>
              <w:pStyle w:val="TableBodyText"/>
              <w:rPr>
                <w:rFonts w:cs="Arial"/>
              </w:rPr>
            </w:pPr>
            <w:r>
              <w:rPr>
                <w:rFonts w:cs="Arial"/>
              </w:rPr>
              <w:t>8</w:t>
            </w:r>
            <w:r w:rsidR="00D12C5F">
              <w:rPr>
                <w:rFonts w:cs="Arial"/>
              </w:rPr>
              <w:t>6.</w:t>
            </w:r>
            <w:r>
              <w:rPr>
                <w:rFonts w:cs="Arial"/>
              </w:rPr>
              <w:t>0</w:t>
            </w:r>
            <w:r w:rsidR="007C37FC">
              <w:rPr>
                <w:rFonts w:cs="Arial"/>
              </w:rPr>
              <w:br/>
            </w:r>
            <w:r w:rsidR="00167E6D" w:rsidRPr="00167E6D">
              <w:rPr>
                <w:rFonts w:cs="Arial"/>
                <w:u w:val="single"/>
              </w:rPr>
              <w:t>+</w:t>
            </w:r>
            <w:r w:rsidR="00E72396">
              <w:rPr>
                <w:rFonts w:cs="Arial"/>
              </w:rPr>
              <w:t>1.</w:t>
            </w:r>
            <w:r>
              <w:rPr>
                <w:rFonts w:cs="Arial"/>
              </w:rPr>
              <w:t>8</w:t>
            </w:r>
          </w:p>
        </w:tc>
        <w:tc>
          <w:tcPr>
            <w:tcW w:w="448" w:type="pct"/>
            <w:shd w:val="clear" w:color="auto" w:fill="auto"/>
            <w:vAlign w:val="center"/>
          </w:tcPr>
          <w:p w:rsidR="00423D1B" w:rsidRDefault="0066484F" w:rsidP="0066484F">
            <w:pPr>
              <w:pStyle w:val="TableBodyText"/>
              <w:rPr>
                <w:rFonts w:cs="Arial"/>
              </w:rPr>
            </w:pPr>
            <w:r>
              <w:rPr>
                <w:rFonts w:cs="Arial"/>
              </w:rPr>
              <w:t>7</w:t>
            </w:r>
            <w:r w:rsidR="00D12C5F">
              <w:rPr>
                <w:rFonts w:cs="Arial"/>
              </w:rPr>
              <w:t>8.</w:t>
            </w:r>
            <w:r>
              <w:rPr>
                <w:rFonts w:cs="Arial"/>
              </w:rPr>
              <w:t>2</w:t>
            </w:r>
            <w:r w:rsidR="007C37FC">
              <w:rPr>
                <w:rFonts w:cs="Arial"/>
              </w:rPr>
              <w:br/>
            </w:r>
            <w:r w:rsidR="00167E6D" w:rsidRPr="00167E6D">
              <w:rPr>
                <w:rFonts w:cs="Arial"/>
                <w:u w:val="single"/>
              </w:rPr>
              <w:t>+</w:t>
            </w:r>
            <w:r w:rsidR="00E72396">
              <w:rPr>
                <w:rFonts w:cs="Arial"/>
              </w:rPr>
              <w:t>0.</w:t>
            </w:r>
            <w:r>
              <w:rPr>
                <w:rFonts w:cs="Arial"/>
              </w:rPr>
              <w:t>4</w:t>
            </w:r>
          </w:p>
        </w:tc>
        <w:tc>
          <w:tcPr>
            <w:tcW w:w="506" w:type="pct"/>
            <w:gridSpan w:val="2"/>
            <w:shd w:val="clear" w:color="auto" w:fill="auto"/>
          </w:tcPr>
          <w:p w:rsidR="00423D1B" w:rsidRDefault="00167E6D" w:rsidP="0066484F">
            <w:pPr>
              <w:pStyle w:val="TableBodyText"/>
            </w:pPr>
            <w:r>
              <w:t>14A.8</w:t>
            </w:r>
            <w:r w:rsidR="0066484F">
              <w:t>3</w:t>
            </w:r>
          </w:p>
        </w:tc>
      </w:tr>
      <w:tr w:rsidR="00167E6D" w:rsidRPr="003E08D7" w:rsidTr="006B1005">
        <w:trPr>
          <w:gridAfter w:val="1"/>
          <w:wAfter w:w="7" w:type="pct"/>
        </w:trPr>
        <w:tc>
          <w:tcPr>
            <w:tcW w:w="4993" w:type="pct"/>
            <w:gridSpan w:val="20"/>
            <w:shd w:val="clear" w:color="auto" w:fill="auto"/>
          </w:tcPr>
          <w:p w:rsidR="00167E6D" w:rsidRPr="00167E6D" w:rsidRDefault="00167E6D" w:rsidP="00167E6D">
            <w:pPr>
              <w:pStyle w:val="TableColumnHeading"/>
              <w:jc w:val="left"/>
              <w:rPr>
                <w:i w:val="0"/>
              </w:rPr>
            </w:pPr>
            <w:r w:rsidRPr="00167E6D">
              <w:rPr>
                <w:i w:val="0"/>
              </w:rPr>
              <w:t>Labour force participation of primary carers of people with disability</w:t>
            </w:r>
          </w:p>
        </w:tc>
      </w:tr>
      <w:tr w:rsidR="00167E6D" w:rsidRPr="003E08D7" w:rsidTr="006B1005">
        <w:trPr>
          <w:gridAfter w:val="1"/>
          <w:wAfter w:w="7" w:type="pct"/>
        </w:trPr>
        <w:tc>
          <w:tcPr>
            <w:tcW w:w="4993" w:type="pct"/>
            <w:gridSpan w:val="20"/>
            <w:shd w:val="clear" w:color="auto" w:fill="auto"/>
          </w:tcPr>
          <w:p w:rsidR="00167E6D" w:rsidRPr="00FC133F" w:rsidRDefault="00167E6D" w:rsidP="00167E6D">
            <w:pPr>
              <w:pStyle w:val="TableColumnHeading"/>
              <w:jc w:val="left"/>
              <w:rPr>
                <w:i w:val="0"/>
              </w:rPr>
            </w:pPr>
            <w:r>
              <w:t xml:space="preserve">Labour force participation rate for </w:t>
            </w:r>
            <w:r w:rsidR="00E8205C">
              <w:t>primary carers aged 15-64 years</w:t>
            </w:r>
            <w:r w:rsidRPr="00B42326">
              <w:rPr>
                <w:sz w:val="16"/>
                <w:szCs w:val="16"/>
              </w:rPr>
              <w:t xml:space="preserve"> </w:t>
            </w:r>
            <w:r w:rsidR="003F7C74">
              <w:rPr>
                <w:sz w:val="16"/>
                <w:szCs w:val="16"/>
              </w:rPr>
              <w:t xml:space="preserve"> (2009)</w:t>
            </w:r>
            <w:r>
              <w:br/>
            </w:r>
            <w:r w:rsidRPr="0033586C">
              <w:rPr>
                <w:i w:val="0"/>
                <w:sz w:val="16"/>
                <w:szCs w:val="16"/>
              </w:rPr>
              <w:t>Data for this indicator are comparable, subject to caveats (chapter 1</w:t>
            </w:r>
            <w:r>
              <w:rPr>
                <w:i w:val="0"/>
                <w:sz w:val="16"/>
                <w:szCs w:val="16"/>
              </w:rPr>
              <w:t>4</w:t>
            </w:r>
            <w:r w:rsidRPr="0033586C">
              <w:rPr>
                <w:i w:val="0"/>
                <w:sz w:val="16"/>
                <w:szCs w:val="16"/>
              </w:rPr>
              <w:t>)</w:t>
            </w:r>
          </w:p>
        </w:tc>
      </w:tr>
      <w:tr w:rsidR="00446543" w:rsidTr="006B1005">
        <w:trPr>
          <w:gridAfter w:val="1"/>
          <w:wAfter w:w="7" w:type="pct"/>
        </w:trPr>
        <w:tc>
          <w:tcPr>
            <w:tcW w:w="240" w:type="pct"/>
            <w:shd w:val="clear" w:color="auto" w:fill="auto"/>
          </w:tcPr>
          <w:p w:rsidR="00167E6D" w:rsidRDefault="00167E6D" w:rsidP="00167E6D">
            <w:pPr>
              <w:pStyle w:val="TableBodyText"/>
            </w:pPr>
            <w:r>
              <w:t>%</w:t>
            </w:r>
          </w:p>
        </w:tc>
        <w:tc>
          <w:tcPr>
            <w:tcW w:w="390" w:type="pct"/>
            <w:shd w:val="clear" w:color="auto" w:fill="auto"/>
            <w:vAlign w:val="center"/>
          </w:tcPr>
          <w:p w:rsidR="00167E6D" w:rsidRPr="00551B18" w:rsidRDefault="00DD5C7D" w:rsidP="00DD5C7D">
            <w:pPr>
              <w:pStyle w:val="TableBodyText"/>
              <w:rPr>
                <w:rFonts w:cs="Arial"/>
              </w:rPr>
            </w:pPr>
            <w:r>
              <w:t>47.5</w:t>
            </w:r>
            <w:r w:rsidR="00E8205C" w:rsidRPr="00551B18">
              <w:t>.</w:t>
            </w:r>
            <w:r w:rsidR="007C37FC">
              <w:br/>
            </w:r>
            <w:r w:rsidR="00167E6D" w:rsidRPr="00551B18">
              <w:rPr>
                <w:u w:val="single"/>
              </w:rPr>
              <w:t>+</w:t>
            </w:r>
            <w:r>
              <w:t>7.3</w:t>
            </w:r>
          </w:p>
        </w:tc>
        <w:tc>
          <w:tcPr>
            <w:tcW w:w="445" w:type="pct"/>
            <w:gridSpan w:val="3"/>
            <w:shd w:val="clear" w:color="auto" w:fill="auto"/>
            <w:vAlign w:val="center"/>
          </w:tcPr>
          <w:p w:rsidR="00167E6D" w:rsidRPr="00551B18" w:rsidRDefault="003F7C74" w:rsidP="00DD5C7D">
            <w:pPr>
              <w:pStyle w:val="TableBodyText"/>
              <w:rPr>
                <w:rFonts w:cs="Arial"/>
              </w:rPr>
            </w:pPr>
            <w:r>
              <w:rPr>
                <w:rFonts w:cs="Arial"/>
              </w:rPr>
              <w:t>5</w:t>
            </w:r>
            <w:r w:rsidR="00DD5C7D">
              <w:rPr>
                <w:rFonts w:cs="Arial"/>
              </w:rPr>
              <w:t>3.4</w:t>
            </w:r>
            <w:r w:rsidR="007C37FC">
              <w:rPr>
                <w:rFonts w:cs="Arial"/>
              </w:rPr>
              <w:br/>
            </w:r>
            <w:r w:rsidR="00167E6D" w:rsidRPr="00551B18">
              <w:rPr>
                <w:rFonts w:cs="Arial"/>
                <w:u w:val="single"/>
              </w:rPr>
              <w:t>+</w:t>
            </w:r>
            <w:r w:rsidR="00DD5C7D">
              <w:rPr>
                <w:rFonts w:cs="Arial"/>
              </w:rPr>
              <w:t>4.4</w:t>
            </w:r>
          </w:p>
        </w:tc>
        <w:tc>
          <w:tcPr>
            <w:tcW w:w="503" w:type="pct"/>
            <w:shd w:val="clear" w:color="auto" w:fill="auto"/>
            <w:vAlign w:val="center"/>
          </w:tcPr>
          <w:p w:rsidR="00167E6D" w:rsidRPr="00551B18" w:rsidRDefault="00E8205C" w:rsidP="00DD5C7D">
            <w:pPr>
              <w:pStyle w:val="TableBodyText"/>
              <w:rPr>
                <w:rFonts w:cs="Arial"/>
              </w:rPr>
            </w:pPr>
            <w:r w:rsidRPr="00551B18">
              <w:rPr>
                <w:rFonts w:cs="Arial"/>
              </w:rPr>
              <w:t>5</w:t>
            </w:r>
            <w:r w:rsidR="00DD5C7D">
              <w:rPr>
                <w:rFonts w:cs="Arial"/>
              </w:rPr>
              <w:t>5.6</w:t>
            </w:r>
            <w:r w:rsidR="007C37FC">
              <w:rPr>
                <w:rFonts w:cs="Arial"/>
              </w:rPr>
              <w:br/>
            </w:r>
            <w:r w:rsidR="00167E6D" w:rsidRPr="00551B18">
              <w:rPr>
                <w:rFonts w:cs="Arial"/>
                <w:u w:val="single"/>
              </w:rPr>
              <w:t>+</w:t>
            </w:r>
            <w:r w:rsidR="00DD5C7D">
              <w:rPr>
                <w:rFonts w:cs="Arial"/>
              </w:rPr>
              <w:t>6</w:t>
            </w:r>
            <w:r w:rsidR="003F7C74" w:rsidRPr="003F7C74">
              <w:rPr>
                <w:rFonts w:cs="Arial"/>
              </w:rPr>
              <w:t>.</w:t>
            </w:r>
            <w:r w:rsidR="00963C8F" w:rsidRPr="00551B18">
              <w:rPr>
                <w:rFonts w:cs="Arial"/>
              </w:rPr>
              <w:t>6</w:t>
            </w:r>
          </w:p>
        </w:tc>
        <w:tc>
          <w:tcPr>
            <w:tcW w:w="449" w:type="pct"/>
            <w:gridSpan w:val="3"/>
            <w:shd w:val="clear" w:color="auto" w:fill="auto"/>
            <w:vAlign w:val="center"/>
          </w:tcPr>
          <w:p w:rsidR="00167E6D" w:rsidRPr="00551B18" w:rsidRDefault="00E8205C" w:rsidP="00DD5C7D">
            <w:pPr>
              <w:pStyle w:val="TableBodyText"/>
              <w:rPr>
                <w:rFonts w:cs="Arial"/>
              </w:rPr>
            </w:pPr>
            <w:r w:rsidRPr="00551B18">
              <w:rPr>
                <w:rFonts w:cs="Arial"/>
              </w:rPr>
              <w:t>5</w:t>
            </w:r>
            <w:r w:rsidR="00DD5C7D">
              <w:rPr>
                <w:rFonts w:cs="Arial"/>
              </w:rPr>
              <w:t>9.4</w:t>
            </w:r>
            <w:r w:rsidR="007C37FC">
              <w:rPr>
                <w:rFonts w:cs="Arial"/>
              </w:rPr>
              <w:br/>
            </w:r>
            <w:r w:rsidR="00167E6D" w:rsidRPr="00551B18">
              <w:rPr>
                <w:rFonts w:cs="Arial"/>
                <w:u w:val="single"/>
              </w:rPr>
              <w:t>+</w:t>
            </w:r>
            <w:r w:rsidR="00DD5C7D">
              <w:rPr>
                <w:rFonts w:cs="Arial"/>
              </w:rPr>
              <w:t>8.6</w:t>
            </w:r>
          </w:p>
        </w:tc>
        <w:tc>
          <w:tcPr>
            <w:tcW w:w="503" w:type="pct"/>
            <w:gridSpan w:val="2"/>
            <w:shd w:val="clear" w:color="auto" w:fill="auto"/>
            <w:vAlign w:val="center"/>
          </w:tcPr>
          <w:p w:rsidR="00167E6D" w:rsidRPr="00551B18" w:rsidRDefault="00963C8F" w:rsidP="00DD5C7D">
            <w:pPr>
              <w:pStyle w:val="TableBodyText"/>
              <w:rPr>
                <w:rFonts w:cs="Arial"/>
              </w:rPr>
            </w:pPr>
            <w:r w:rsidRPr="00551B18">
              <w:rPr>
                <w:rFonts w:cs="Arial"/>
              </w:rPr>
              <w:t>5</w:t>
            </w:r>
            <w:r w:rsidR="003F7C74">
              <w:rPr>
                <w:rFonts w:cs="Arial"/>
              </w:rPr>
              <w:t>2</w:t>
            </w:r>
            <w:r w:rsidRPr="00551B18">
              <w:rPr>
                <w:rFonts w:cs="Arial"/>
              </w:rPr>
              <w:t>.</w:t>
            </w:r>
            <w:r w:rsidR="00DD5C7D">
              <w:rPr>
                <w:rFonts w:cs="Arial"/>
              </w:rPr>
              <w:t>7</w:t>
            </w:r>
            <w:r w:rsidR="007C37FC">
              <w:rPr>
                <w:rFonts w:cs="Arial"/>
              </w:rPr>
              <w:br/>
            </w:r>
            <w:r w:rsidR="00167E6D" w:rsidRPr="00551B18">
              <w:rPr>
                <w:rFonts w:cs="Arial"/>
                <w:u w:val="single"/>
              </w:rPr>
              <w:t>+</w:t>
            </w:r>
            <w:r w:rsidR="003F7C74">
              <w:rPr>
                <w:rFonts w:cs="Arial"/>
              </w:rPr>
              <w:t>9.</w:t>
            </w:r>
            <w:r w:rsidR="00DD5C7D">
              <w:rPr>
                <w:rFonts w:cs="Arial"/>
              </w:rPr>
              <w:t>6</w:t>
            </w:r>
          </w:p>
        </w:tc>
        <w:tc>
          <w:tcPr>
            <w:tcW w:w="503" w:type="pct"/>
            <w:shd w:val="clear" w:color="auto" w:fill="auto"/>
            <w:vAlign w:val="center"/>
          </w:tcPr>
          <w:p w:rsidR="00167E6D" w:rsidRPr="00551B18" w:rsidRDefault="00E8205C" w:rsidP="00DD5C7D">
            <w:pPr>
              <w:pStyle w:val="TableBodyText"/>
              <w:rPr>
                <w:rFonts w:cs="Arial"/>
              </w:rPr>
            </w:pPr>
            <w:r w:rsidRPr="00551B18">
              <w:rPr>
                <w:rFonts w:cs="Arial"/>
              </w:rPr>
              <w:t>5</w:t>
            </w:r>
            <w:r w:rsidR="00DD5C7D">
              <w:rPr>
                <w:rFonts w:cs="Arial"/>
              </w:rPr>
              <w:t>8.</w:t>
            </w:r>
            <w:r w:rsidR="00963C8F" w:rsidRPr="00551B18">
              <w:rPr>
                <w:rFonts w:cs="Arial"/>
              </w:rPr>
              <w:t>2</w:t>
            </w:r>
            <w:r w:rsidR="007C37FC">
              <w:rPr>
                <w:rFonts w:cs="Arial"/>
              </w:rPr>
              <w:br/>
            </w:r>
            <w:r w:rsidR="00167E6D" w:rsidRPr="00551B18">
              <w:rPr>
                <w:rFonts w:cs="Arial"/>
                <w:u w:val="single"/>
              </w:rPr>
              <w:t>+</w:t>
            </w:r>
            <w:r w:rsidR="00963C8F" w:rsidRPr="00551B18">
              <w:rPr>
                <w:rFonts w:cs="Arial"/>
              </w:rPr>
              <w:t>1</w:t>
            </w:r>
            <w:r w:rsidR="00A675F4">
              <w:rPr>
                <w:rFonts w:cs="Arial"/>
              </w:rPr>
              <w:t>2.</w:t>
            </w:r>
            <w:r w:rsidR="00DD5C7D">
              <w:rPr>
                <w:rFonts w:cs="Arial"/>
              </w:rPr>
              <w:t>7</w:t>
            </w:r>
          </w:p>
        </w:tc>
        <w:tc>
          <w:tcPr>
            <w:tcW w:w="503" w:type="pct"/>
            <w:gridSpan w:val="2"/>
            <w:shd w:val="clear" w:color="auto" w:fill="auto"/>
            <w:vAlign w:val="center"/>
          </w:tcPr>
          <w:p w:rsidR="00167E6D" w:rsidRPr="00551B18" w:rsidRDefault="00E8205C" w:rsidP="00DD5C7D">
            <w:pPr>
              <w:pStyle w:val="TableBodyText"/>
              <w:rPr>
                <w:rFonts w:cs="Arial"/>
              </w:rPr>
            </w:pPr>
            <w:r w:rsidRPr="00551B18">
              <w:rPr>
                <w:rFonts w:cs="Arial"/>
              </w:rPr>
              <w:t>6</w:t>
            </w:r>
            <w:r w:rsidR="00963C8F" w:rsidRPr="00551B18">
              <w:rPr>
                <w:rFonts w:cs="Arial"/>
              </w:rPr>
              <w:t>7</w:t>
            </w:r>
            <w:r w:rsidR="00DD5C7D">
              <w:rPr>
                <w:rFonts w:cs="Arial"/>
              </w:rPr>
              <w:t>.8</w:t>
            </w:r>
            <w:r w:rsidR="007C37FC">
              <w:rPr>
                <w:rFonts w:cs="Arial"/>
              </w:rPr>
              <w:br/>
            </w:r>
            <w:r w:rsidR="00167E6D" w:rsidRPr="00551B18">
              <w:rPr>
                <w:rFonts w:cs="Arial"/>
                <w:u w:val="single"/>
              </w:rPr>
              <w:t>+</w:t>
            </w:r>
            <w:r w:rsidR="00963C8F" w:rsidRPr="00551B18">
              <w:rPr>
                <w:rFonts w:cs="Arial"/>
              </w:rPr>
              <w:t>1</w:t>
            </w:r>
            <w:r w:rsidR="00DD5C7D">
              <w:rPr>
                <w:rFonts w:cs="Arial"/>
              </w:rPr>
              <w:t>4.7</w:t>
            </w:r>
          </w:p>
        </w:tc>
        <w:tc>
          <w:tcPr>
            <w:tcW w:w="503" w:type="pct"/>
            <w:gridSpan w:val="3"/>
            <w:shd w:val="clear" w:color="auto" w:fill="auto"/>
            <w:vAlign w:val="center"/>
          </w:tcPr>
          <w:p w:rsidR="00167E6D" w:rsidRPr="00551B18" w:rsidRDefault="00DD5C7D" w:rsidP="00DD5C7D">
            <w:pPr>
              <w:pStyle w:val="TableBodyText"/>
              <w:rPr>
                <w:rFonts w:cs="Arial"/>
              </w:rPr>
            </w:pPr>
            <w:r>
              <w:rPr>
                <w:rFonts w:cs="Arial"/>
              </w:rPr>
              <w:t>91.2</w:t>
            </w:r>
            <w:r w:rsidR="007C37FC">
              <w:rPr>
                <w:rFonts w:cs="Arial"/>
              </w:rPr>
              <w:br/>
            </w:r>
            <w:r w:rsidR="00167E6D" w:rsidRPr="00551B18">
              <w:rPr>
                <w:rFonts w:cs="Arial"/>
                <w:u w:val="single"/>
              </w:rPr>
              <w:t>+</w:t>
            </w:r>
            <w:r>
              <w:rPr>
                <w:rFonts w:cs="Arial"/>
              </w:rPr>
              <w:t>21.1</w:t>
            </w:r>
          </w:p>
        </w:tc>
        <w:tc>
          <w:tcPr>
            <w:tcW w:w="448" w:type="pct"/>
            <w:shd w:val="clear" w:color="auto" w:fill="auto"/>
            <w:vAlign w:val="center"/>
          </w:tcPr>
          <w:p w:rsidR="00167E6D" w:rsidRPr="00551B18" w:rsidRDefault="00E8205C" w:rsidP="00DD5C7D">
            <w:pPr>
              <w:pStyle w:val="TableBodyText"/>
              <w:rPr>
                <w:rFonts w:cs="Arial"/>
              </w:rPr>
            </w:pPr>
            <w:r w:rsidRPr="00551B18">
              <w:rPr>
                <w:rFonts w:cs="Arial"/>
              </w:rPr>
              <w:t>5</w:t>
            </w:r>
            <w:r w:rsidR="00DD5C7D">
              <w:rPr>
                <w:rFonts w:cs="Arial"/>
              </w:rPr>
              <w:t>2.8</w:t>
            </w:r>
            <w:r w:rsidR="007C37FC">
              <w:rPr>
                <w:rFonts w:cs="Arial"/>
              </w:rPr>
              <w:br/>
            </w:r>
            <w:r w:rsidR="00167E6D" w:rsidRPr="00551B18">
              <w:rPr>
                <w:rFonts w:cs="Arial"/>
                <w:u w:val="single"/>
              </w:rPr>
              <w:t>+</w:t>
            </w:r>
            <w:r w:rsidRPr="00551B18">
              <w:rPr>
                <w:rFonts w:cs="Arial"/>
              </w:rPr>
              <w:t>3.</w:t>
            </w:r>
            <w:r w:rsidR="00DD5C7D">
              <w:rPr>
                <w:rFonts w:cs="Arial"/>
              </w:rPr>
              <w:t>2</w:t>
            </w:r>
          </w:p>
        </w:tc>
        <w:tc>
          <w:tcPr>
            <w:tcW w:w="506" w:type="pct"/>
            <w:gridSpan w:val="2"/>
            <w:shd w:val="clear" w:color="auto" w:fill="auto"/>
          </w:tcPr>
          <w:p w:rsidR="00167E6D" w:rsidRDefault="00167E6D" w:rsidP="00DD5C7D">
            <w:pPr>
              <w:pStyle w:val="TableBodyText"/>
            </w:pPr>
            <w:r>
              <w:t>14A.</w:t>
            </w:r>
            <w:r w:rsidR="00E8205C">
              <w:t>10</w:t>
            </w:r>
            <w:r w:rsidR="00DD5C7D">
              <w:t>0</w:t>
            </w:r>
          </w:p>
        </w:tc>
      </w:tr>
      <w:tr w:rsidR="00271F7C" w:rsidRPr="003E08D7" w:rsidTr="006B1005">
        <w:trPr>
          <w:gridAfter w:val="1"/>
          <w:wAfter w:w="7" w:type="pct"/>
        </w:trPr>
        <w:tc>
          <w:tcPr>
            <w:tcW w:w="4993" w:type="pct"/>
            <w:gridSpan w:val="20"/>
            <w:shd w:val="clear" w:color="auto" w:fill="auto"/>
          </w:tcPr>
          <w:p w:rsidR="004E072D" w:rsidRPr="004E072D" w:rsidRDefault="004E072D" w:rsidP="00271F7C">
            <w:pPr>
              <w:pStyle w:val="TableColumnHeading"/>
              <w:jc w:val="left"/>
              <w:rPr>
                <w:i w:val="0"/>
              </w:rPr>
            </w:pPr>
            <w:r w:rsidRPr="004E072D">
              <w:rPr>
                <w:i w:val="0"/>
              </w:rPr>
              <w:t>Social participation of people with disability</w:t>
            </w:r>
          </w:p>
        </w:tc>
      </w:tr>
      <w:tr w:rsidR="00271F7C" w:rsidRPr="003E08D7" w:rsidTr="006B1005">
        <w:trPr>
          <w:gridAfter w:val="1"/>
          <w:wAfter w:w="7" w:type="pct"/>
        </w:trPr>
        <w:tc>
          <w:tcPr>
            <w:tcW w:w="4993" w:type="pct"/>
            <w:gridSpan w:val="20"/>
            <w:shd w:val="clear" w:color="auto" w:fill="auto"/>
          </w:tcPr>
          <w:p w:rsidR="004E072D" w:rsidRPr="00FC133F" w:rsidRDefault="00271F7C" w:rsidP="00DD5C7D">
            <w:pPr>
              <w:pStyle w:val="TableColumnHeading"/>
              <w:jc w:val="left"/>
              <w:rPr>
                <w:i w:val="0"/>
              </w:rPr>
            </w:pPr>
            <w:r>
              <w:t xml:space="preserve">People with disability aged </w:t>
            </w:r>
            <w:r w:rsidR="00DD5C7D">
              <w:t>1</w:t>
            </w:r>
            <w:r>
              <w:t>5-64 years who have had face to face contact with ex</w:t>
            </w:r>
            <w:r w:rsidR="0066097B">
              <w:noBreakHyphen/>
            </w:r>
            <w:r>
              <w:t>household family or friends in the previous week</w:t>
            </w:r>
            <w:r w:rsidR="00A675F4">
              <w:t xml:space="preserve"> </w:t>
            </w:r>
            <w:r w:rsidR="004E072D" w:rsidRPr="00B42326">
              <w:rPr>
                <w:sz w:val="16"/>
                <w:szCs w:val="16"/>
              </w:rPr>
              <w:t xml:space="preserve"> </w:t>
            </w:r>
            <w:r w:rsidR="004E072D">
              <w:br/>
            </w:r>
            <w:r w:rsidR="004E072D" w:rsidRPr="0033586C">
              <w:rPr>
                <w:i w:val="0"/>
                <w:sz w:val="16"/>
                <w:szCs w:val="16"/>
              </w:rPr>
              <w:t>Data for this indicator are comparable, subject to caveats (chapter 1</w:t>
            </w:r>
            <w:r w:rsidR="004E072D">
              <w:rPr>
                <w:i w:val="0"/>
                <w:sz w:val="16"/>
                <w:szCs w:val="16"/>
              </w:rPr>
              <w:t>4</w:t>
            </w:r>
            <w:r w:rsidR="004E072D" w:rsidRPr="0033586C">
              <w:rPr>
                <w:i w:val="0"/>
                <w:sz w:val="16"/>
                <w:szCs w:val="16"/>
              </w:rPr>
              <w:t>)</w:t>
            </w:r>
          </w:p>
        </w:tc>
      </w:tr>
      <w:tr w:rsidR="00446543" w:rsidTr="006B1005">
        <w:trPr>
          <w:gridAfter w:val="1"/>
          <w:wAfter w:w="7" w:type="pct"/>
        </w:trPr>
        <w:tc>
          <w:tcPr>
            <w:tcW w:w="240" w:type="pct"/>
            <w:shd w:val="clear" w:color="auto" w:fill="auto"/>
          </w:tcPr>
          <w:p w:rsidR="004E072D" w:rsidRDefault="004E072D" w:rsidP="00271F7C">
            <w:pPr>
              <w:pStyle w:val="TableBodyText"/>
            </w:pPr>
            <w:r>
              <w:t>%</w:t>
            </w:r>
          </w:p>
        </w:tc>
        <w:tc>
          <w:tcPr>
            <w:tcW w:w="390" w:type="pct"/>
            <w:shd w:val="clear" w:color="auto" w:fill="auto"/>
            <w:vAlign w:val="center"/>
          </w:tcPr>
          <w:p w:rsidR="004E072D" w:rsidRPr="00551B18" w:rsidRDefault="00DD5C7D" w:rsidP="00DD5C7D">
            <w:pPr>
              <w:pStyle w:val="TableBodyText"/>
              <w:rPr>
                <w:rFonts w:cs="Arial"/>
              </w:rPr>
            </w:pPr>
            <w:r>
              <w:t>72.8</w:t>
            </w:r>
            <w:r w:rsidR="004E072D" w:rsidRPr="00551B18">
              <w:t>.</w:t>
            </w:r>
            <w:r w:rsidR="007C37FC">
              <w:br/>
            </w:r>
            <w:r w:rsidR="004E072D" w:rsidRPr="00551B18">
              <w:rPr>
                <w:u w:val="single"/>
              </w:rPr>
              <w:t>+</w:t>
            </w:r>
            <w:r>
              <w:t>2.9</w:t>
            </w:r>
          </w:p>
        </w:tc>
        <w:tc>
          <w:tcPr>
            <w:tcW w:w="445" w:type="pct"/>
            <w:gridSpan w:val="3"/>
            <w:shd w:val="clear" w:color="auto" w:fill="auto"/>
            <w:vAlign w:val="center"/>
          </w:tcPr>
          <w:p w:rsidR="004E072D" w:rsidRPr="00551B18" w:rsidRDefault="00963C8F" w:rsidP="00DD5C7D">
            <w:pPr>
              <w:pStyle w:val="TableBodyText"/>
              <w:rPr>
                <w:rFonts w:cs="Arial"/>
              </w:rPr>
            </w:pPr>
            <w:r w:rsidRPr="00551B18">
              <w:rPr>
                <w:rFonts w:cs="Arial"/>
              </w:rPr>
              <w:t>76.</w:t>
            </w:r>
            <w:r w:rsidR="00DD5C7D">
              <w:rPr>
                <w:rFonts w:cs="Arial"/>
              </w:rPr>
              <w:t>3</w:t>
            </w:r>
            <w:r w:rsidR="007C37FC">
              <w:rPr>
                <w:rFonts w:cs="Arial"/>
              </w:rPr>
              <w:br/>
            </w:r>
            <w:r w:rsidR="004E072D" w:rsidRPr="00551B18">
              <w:rPr>
                <w:rFonts w:cs="Arial"/>
                <w:u w:val="single"/>
              </w:rPr>
              <w:t>+</w:t>
            </w:r>
            <w:r w:rsidR="00DD5C7D">
              <w:rPr>
                <w:rFonts w:cs="Arial"/>
              </w:rPr>
              <w:t>3.2</w:t>
            </w:r>
          </w:p>
        </w:tc>
        <w:tc>
          <w:tcPr>
            <w:tcW w:w="503" w:type="pct"/>
            <w:shd w:val="clear" w:color="auto" w:fill="auto"/>
            <w:vAlign w:val="center"/>
          </w:tcPr>
          <w:p w:rsidR="004E072D" w:rsidRPr="00551B18" w:rsidRDefault="00DD5C7D" w:rsidP="00DD5C7D">
            <w:pPr>
              <w:pStyle w:val="TableBodyText"/>
              <w:rPr>
                <w:rFonts w:cs="Arial"/>
              </w:rPr>
            </w:pPr>
            <w:r>
              <w:rPr>
                <w:rFonts w:cs="Arial"/>
              </w:rPr>
              <w:t>69.</w:t>
            </w:r>
            <w:r w:rsidR="00963C8F" w:rsidRPr="00551B18">
              <w:rPr>
                <w:rFonts w:cs="Arial"/>
              </w:rPr>
              <w:t>7</w:t>
            </w:r>
            <w:r w:rsidR="007C37FC">
              <w:rPr>
                <w:rFonts w:cs="Arial"/>
              </w:rPr>
              <w:br/>
            </w:r>
            <w:r w:rsidR="004E072D" w:rsidRPr="00551B18">
              <w:rPr>
                <w:rFonts w:cs="Arial"/>
                <w:u w:val="single"/>
              </w:rPr>
              <w:t>+</w:t>
            </w:r>
            <w:r>
              <w:rPr>
                <w:rFonts w:cs="Arial"/>
              </w:rPr>
              <w:t>1.6</w:t>
            </w:r>
          </w:p>
        </w:tc>
        <w:tc>
          <w:tcPr>
            <w:tcW w:w="449" w:type="pct"/>
            <w:gridSpan w:val="3"/>
            <w:shd w:val="clear" w:color="auto" w:fill="auto"/>
            <w:vAlign w:val="center"/>
          </w:tcPr>
          <w:p w:rsidR="004E072D" w:rsidRPr="00551B18" w:rsidRDefault="00963C8F" w:rsidP="00DD5C7D">
            <w:pPr>
              <w:pStyle w:val="TableBodyText"/>
              <w:rPr>
                <w:rFonts w:cs="Arial"/>
              </w:rPr>
            </w:pPr>
            <w:r w:rsidRPr="00551B18">
              <w:rPr>
                <w:rFonts w:cs="Arial"/>
              </w:rPr>
              <w:t>7</w:t>
            </w:r>
            <w:r w:rsidR="00DD5C7D">
              <w:rPr>
                <w:rFonts w:cs="Arial"/>
              </w:rPr>
              <w:t>7.</w:t>
            </w:r>
            <w:r w:rsidRPr="00551B18">
              <w:rPr>
                <w:rFonts w:cs="Arial"/>
              </w:rPr>
              <w:t>6</w:t>
            </w:r>
            <w:r w:rsidR="007C37FC">
              <w:rPr>
                <w:rFonts w:cs="Arial"/>
              </w:rPr>
              <w:br/>
            </w:r>
            <w:r w:rsidR="004E072D" w:rsidRPr="00551B18">
              <w:rPr>
                <w:rFonts w:cs="Arial"/>
                <w:u w:val="single"/>
              </w:rPr>
              <w:t>+</w:t>
            </w:r>
            <w:r w:rsidRPr="00551B18">
              <w:rPr>
                <w:rFonts w:cs="Arial"/>
              </w:rPr>
              <w:t>3.</w:t>
            </w:r>
            <w:r w:rsidR="00DD5C7D">
              <w:rPr>
                <w:rFonts w:cs="Arial"/>
              </w:rPr>
              <w:t>0</w:t>
            </w:r>
          </w:p>
        </w:tc>
        <w:tc>
          <w:tcPr>
            <w:tcW w:w="503" w:type="pct"/>
            <w:gridSpan w:val="2"/>
            <w:shd w:val="clear" w:color="auto" w:fill="auto"/>
            <w:vAlign w:val="center"/>
          </w:tcPr>
          <w:p w:rsidR="004E072D" w:rsidRPr="00551B18" w:rsidRDefault="00963C8F" w:rsidP="00DD5C7D">
            <w:pPr>
              <w:pStyle w:val="TableBodyText"/>
              <w:rPr>
                <w:rFonts w:cs="Arial"/>
              </w:rPr>
            </w:pPr>
            <w:r w:rsidRPr="00551B18">
              <w:rPr>
                <w:rFonts w:cs="Arial"/>
              </w:rPr>
              <w:t>7</w:t>
            </w:r>
            <w:r w:rsidR="00DD5C7D">
              <w:rPr>
                <w:rFonts w:cs="Arial"/>
              </w:rPr>
              <w:t>7.5</w:t>
            </w:r>
            <w:r w:rsidR="007C37FC">
              <w:rPr>
                <w:rFonts w:cs="Arial"/>
              </w:rPr>
              <w:br/>
            </w:r>
            <w:r w:rsidR="004E072D" w:rsidRPr="00551B18">
              <w:rPr>
                <w:rFonts w:cs="Arial"/>
                <w:u w:val="single"/>
              </w:rPr>
              <w:t>+</w:t>
            </w:r>
            <w:r w:rsidRPr="00551B18">
              <w:rPr>
                <w:rFonts w:cs="Arial"/>
              </w:rPr>
              <w:t>2</w:t>
            </w:r>
            <w:r w:rsidR="00DD5C7D">
              <w:rPr>
                <w:rFonts w:cs="Arial"/>
              </w:rPr>
              <w:t>.6</w:t>
            </w:r>
          </w:p>
        </w:tc>
        <w:tc>
          <w:tcPr>
            <w:tcW w:w="503" w:type="pct"/>
            <w:shd w:val="clear" w:color="auto" w:fill="auto"/>
            <w:vAlign w:val="center"/>
          </w:tcPr>
          <w:p w:rsidR="004E072D" w:rsidRPr="00551B18" w:rsidRDefault="00DD5C7D" w:rsidP="00271F7C">
            <w:pPr>
              <w:pStyle w:val="TableBodyText"/>
              <w:rPr>
                <w:rFonts w:cs="Arial"/>
              </w:rPr>
            </w:pPr>
            <w:r w:rsidRPr="00551B18">
              <w:rPr>
                <w:rFonts w:cs="Arial"/>
              </w:rPr>
              <w:t>78</w:t>
            </w:r>
            <w:r>
              <w:rPr>
                <w:rFonts w:cs="Arial"/>
              </w:rPr>
              <w:t>.1</w:t>
            </w:r>
            <w:r>
              <w:rPr>
                <w:rFonts w:cs="Arial"/>
              </w:rPr>
              <w:br/>
            </w:r>
            <w:r w:rsidRPr="00551B18">
              <w:rPr>
                <w:rFonts w:cs="Arial"/>
                <w:u w:val="single"/>
              </w:rPr>
              <w:t>+</w:t>
            </w:r>
            <w:r>
              <w:rPr>
                <w:rFonts w:cs="Arial"/>
              </w:rPr>
              <w:t>5.9</w:t>
            </w:r>
          </w:p>
        </w:tc>
        <w:tc>
          <w:tcPr>
            <w:tcW w:w="503" w:type="pct"/>
            <w:gridSpan w:val="2"/>
            <w:shd w:val="clear" w:color="auto" w:fill="auto"/>
            <w:vAlign w:val="center"/>
          </w:tcPr>
          <w:p w:rsidR="004E072D" w:rsidRPr="00551B18" w:rsidRDefault="00DD5C7D" w:rsidP="00DD5C7D">
            <w:pPr>
              <w:pStyle w:val="TableBodyText"/>
              <w:rPr>
                <w:rFonts w:cs="Arial"/>
              </w:rPr>
            </w:pPr>
            <w:r w:rsidRPr="00551B18">
              <w:rPr>
                <w:rFonts w:cs="Arial"/>
              </w:rPr>
              <w:t>7</w:t>
            </w:r>
            <w:r>
              <w:rPr>
                <w:rFonts w:cs="Arial"/>
              </w:rPr>
              <w:t>3.</w:t>
            </w:r>
            <w:r w:rsidRPr="00551B18">
              <w:rPr>
                <w:rFonts w:cs="Arial"/>
              </w:rPr>
              <w:t>8</w:t>
            </w:r>
            <w:r>
              <w:rPr>
                <w:rFonts w:cs="Arial"/>
              </w:rPr>
              <w:br/>
            </w:r>
            <w:r w:rsidRPr="00551B18">
              <w:rPr>
                <w:rFonts w:cs="Arial"/>
                <w:u w:val="single"/>
              </w:rPr>
              <w:t>+</w:t>
            </w:r>
            <w:r w:rsidRPr="00551B18">
              <w:rPr>
                <w:rFonts w:cs="Arial"/>
              </w:rPr>
              <w:t>20.4</w:t>
            </w:r>
          </w:p>
        </w:tc>
        <w:tc>
          <w:tcPr>
            <w:tcW w:w="503" w:type="pct"/>
            <w:gridSpan w:val="3"/>
            <w:shd w:val="clear" w:color="auto" w:fill="auto"/>
            <w:vAlign w:val="center"/>
          </w:tcPr>
          <w:p w:rsidR="004E072D" w:rsidRPr="00551B18" w:rsidRDefault="00963C8F" w:rsidP="008046B5">
            <w:pPr>
              <w:pStyle w:val="TableBodyText"/>
              <w:rPr>
                <w:rFonts w:cs="Arial"/>
              </w:rPr>
            </w:pPr>
            <w:r w:rsidRPr="00551B18">
              <w:rPr>
                <w:rFonts w:cs="Arial"/>
              </w:rPr>
              <w:t>7</w:t>
            </w:r>
            <w:r w:rsidR="00DD5C7D">
              <w:rPr>
                <w:rFonts w:cs="Arial"/>
              </w:rPr>
              <w:t>2.7</w:t>
            </w:r>
            <w:r w:rsidR="007C37FC">
              <w:rPr>
                <w:rFonts w:cs="Arial"/>
              </w:rPr>
              <w:br/>
            </w:r>
            <w:r w:rsidR="004E072D" w:rsidRPr="00551B18">
              <w:rPr>
                <w:rFonts w:cs="Arial"/>
                <w:u w:val="single"/>
              </w:rPr>
              <w:t>+</w:t>
            </w:r>
            <w:r w:rsidR="008046B5">
              <w:rPr>
                <w:rFonts w:cs="Arial"/>
              </w:rPr>
              <w:t>5.3</w:t>
            </w:r>
          </w:p>
        </w:tc>
        <w:tc>
          <w:tcPr>
            <w:tcW w:w="448" w:type="pct"/>
            <w:shd w:val="clear" w:color="auto" w:fill="auto"/>
            <w:vAlign w:val="center"/>
          </w:tcPr>
          <w:p w:rsidR="004E072D" w:rsidRPr="00551B18" w:rsidRDefault="00963C8F" w:rsidP="008046B5">
            <w:pPr>
              <w:pStyle w:val="TableBodyText"/>
              <w:rPr>
                <w:rFonts w:cs="Arial"/>
              </w:rPr>
            </w:pPr>
            <w:r w:rsidRPr="00551B18">
              <w:rPr>
                <w:rFonts w:cs="Arial"/>
              </w:rPr>
              <w:t>7</w:t>
            </w:r>
            <w:r w:rsidR="008046B5">
              <w:rPr>
                <w:rFonts w:cs="Arial"/>
              </w:rPr>
              <w:t>4.</w:t>
            </w:r>
            <w:r w:rsidRPr="00551B18">
              <w:rPr>
                <w:rFonts w:cs="Arial"/>
              </w:rPr>
              <w:t>2</w:t>
            </w:r>
            <w:r w:rsidR="007C37FC">
              <w:rPr>
                <w:rFonts w:cs="Arial"/>
              </w:rPr>
              <w:br/>
            </w:r>
            <w:r w:rsidR="004E072D" w:rsidRPr="00551B18">
              <w:rPr>
                <w:rFonts w:cs="Arial"/>
                <w:u w:val="single"/>
              </w:rPr>
              <w:t>+</w:t>
            </w:r>
            <w:r w:rsidR="008046B5">
              <w:rPr>
                <w:rFonts w:cs="Arial"/>
              </w:rPr>
              <w:t>1.2</w:t>
            </w:r>
          </w:p>
        </w:tc>
        <w:tc>
          <w:tcPr>
            <w:tcW w:w="506" w:type="pct"/>
            <w:gridSpan w:val="2"/>
            <w:shd w:val="clear" w:color="auto" w:fill="auto"/>
          </w:tcPr>
          <w:p w:rsidR="004E072D" w:rsidRDefault="004E072D" w:rsidP="008046B5">
            <w:pPr>
              <w:pStyle w:val="TableBodyText"/>
            </w:pPr>
            <w:r>
              <w:t>14A.1</w:t>
            </w:r>
            <w:r w:rsidR="008046B5">
              <w:t>15</w:t>
            </w:r>
          </w:p>
        </w:tc>
      </w:tr>
      <w:tr w:rsidR="005B2A57" w:rsidRPr="003E08D7" w:rsidTr="006B1005">
        <w:trPr>
          <w:gridAfter w:val="1"/>
          <w:wAfter w:w="7" w:type="pct"/>
        </w:trPr>
        <w:tc>
          <w:tcPr>
            <w:tcW w:w="4993" w:type="pct"/>
            <w:gridSpan w:val="20"/>
            <w:shd w:val="clear" w:color="auto" w:fill="auto"/>
          </w:tcPr>
          <w:p w:rsidR="005B2A57" w:rsidRPr="005B2A57" w:rsidRDefault="005B2A57" w:rsidP="005B2A57">
            <w:pPr>
              <w:pStyle w:val="TableColumnHeading"/>
              <w:jc w:val="left"/>
              <w:rPr>
                <w:i w:val="0"/>
              </w:rPr>
            </w:pPr>
            <w:r w:rsidRPr="005B2A57">
              <w:rPr>
                <w:i w:val="0"/>
              </w:rPr>
              <w:t>Use of other services by people with disability</w:t>
            </w:r>
          </w:p>
        </w:tc>
      </w:tr>
      <w:tr w:rsidR="00E945C6" w:rsidRPr="003E08D7" w:rsidTr="006B1005">
        <w:trPr>
          <w:gridAfter w:val="1"/>
          <w:wAfter w:w="7" w:type="pct"/>
        </w:trPr>
        <w:tc>
          <w:tcPr>
            <w:tcW w:w="4993" w:type="pct"/>
            <w:gridSpan w:val="20"/>
            <w:shd w:val="clear" w:color="auto" w:fill="auto"/>
          </w:tcPr>
          <w:p w:rsidR="00E945C6" w:rsidRDefault="00E945C6" w:rsidP="00A675F4">
            <w:pPr>
              <w:pStyle w:val="TableColumnHeading"/>
              <w:jc w:val="left"/>
            </w:pPr>
            <w:r>
              <w:t>People with a profound/severe disability (children aged 3-5 years) who attended pre-school</w:t>
            </w:r>
            <w:r w:rsidR="008046B5">
              <w:t xml:space="preserve"> (2011)</w:t>
            </w:r>
          </w:p>
        </w:tc>
      </w:tr>
      <w:tr w:rsidR="00E945C6" w:rsidRPr="003E08D7" w:rsidTr="006B1005">
        <w:trPr>
          <w:gridAfter w:val="1"/>
          <w:wAfter w:w="7" w:type="pct"/>
        </w:trPr>
        <w:tc>
          <w:tcPr>
            <w:tcW w:w="4993" w:type="pct"/>
            <w:gridSpan w:val="20"/>
            <w:tcBorders>
              <w:bottom w:val="single" w:sz="4" w:space="0" w:color="auto"/>
            </w:tcBorders>
            <w:shd w:val="clear" w:color="auto" w:fill="auto"/>
          </w:tcPr>
          <w:tbl>
            <w:tblPr>
              <w:tblW w:w="5008" w:type="pct"/>
              <w:tblLayout w:type="fixed"/>
              <w:tblCellMar>
                <w:left w:w="0" w:type="dxa"/>
                <w:right w:w="0" w:type="dxa"/>
              </w:tblCellMar>
              <w:tblLook w:val="0000" w:firstRow="0" w:lastRow="0" w:firstColumn="0" w:lastColumn="0" w:noHBand="0" w:noVBand="0"/>
            </w:tblPr>
            <w:tblGrid>
              <w:gridCol w:w="425"/>
              <w:gridCol w:w="689"/>
              <w:gridCol w:w="784"/>
              <w:gridCol w:w="888"/>
              <w:gridCol w:w="792"/>
              <w:gridCol w:w="888"/>
              <w:gridCol w:w="888"/>
              <w:gridCol w:w="888"/>
              <w:gridCol w:w="888"/>
              <w:gridCol w:w="791"/>
              <w:gridCol w:w="884"/>
            </w:tblGrid>
            <w:tr w:rsidR="00E945C6" w:rsidRPr="003A1456" w:rsidTr="00C51941">
              <w:tc>
                <w:tcPr>
                  <w:tcW w:w="242" w:type="pct"/>
                  <w:shd w:val="clear" w:color="auto" w:fill="auto"/>
                </w:tcPr>
                <w:p w:rsidR="00E945C6" w:rsidRPr="003A1456" w:rsidRDefault="00E945C6" w:rsidP="00E320A7">
                  <w:pPr>
                    <w:pStyle w:val="TableBodyText"/>
                  </w:pPr>
                  <w:r w:rsidRPr="003A1456">
                    <w:t>%</w:t>
                  </w:r>
                </w:p>
              </w:tc>
              <w:tc>
                <w:tcPr>
                  <w:tcW w:w="391" w:type="pct"/>
                  <w:shd w:val="clear" w:color="auto" w:fill="auto"/>
                  <w:vAlign w:val="center"/>
                </w:tcPr>
                <w:p w:rsidR="00E945C6" w:rsidRPr="003A1456" w:rsidRDefault="00E945C6" w:rsidP="00E320A7">
                  <w:pPr>
                    <w:jc w:val="right"/>
                    <w:rPr>
                      <w:rFonts w:ascii="Arial" w:hAnsi="Arial" w:cs="Arial"/>
                      <w:sz w:val="20"/>
                      <w:szCs w:val="20"/>
                    </w:rPr>
                  </w:pPr>
                  <w:r>
                    <w:rPr>
                      <w:rFonts w:ascii="Arial" w:hAnsi="Arial" w:cs="Arial"/>
                      <w:sz w:val="20"/>
                      <w:szCs w:val="20"/>
                    </w:rPr>
                    <w:t>51.1</w:t>
                  </w:r>
                </w:p>
              </w:tc>
              <w:tc>
                <w:tcPr>
                  <w:tcW w:w="445"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45.5</w:t>
                  </w:r>
                </w:p>
              </w:tc>
              <w:tc>
                <w:tcPr>
                  <w:tcW w:w="503"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30.4</w:t>
                  </w:r>
                </w:p>
              </w:tc>
              <w:tc>
                <w:tcPr>
                  <w:tcW w:w="449"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36.8</w:t>
                  </w:r>
                </w:p>
              </w:tc>
              <w:tc>
                <w:tcPr>
                  <w:tcW w:w="503"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41.6</w:t>
                  </w:r>
                </w:p>
              </w:tc>
              <w:tc>
                <w:tcPr>
                  <w:tcW w:w="503"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25.3</w:t>
                  </w:r>
                </w:p>
              </w:tc>
              <w:tc>
                <w:tcPr>
                  <w:tcW w:w="503"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48.4</w:t>
                  </w:r>
                </w:p>
              </w:tc>
              <w:tc>
                <w:tcPr>
                  <w:tcW w:w="503"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44.1</w:t>
                  </w:r>
                </w:p>
              </w:tc>
              <w:tc>
                <w:tcPr>
                  <w:tcW w:w="448" w:type="pct"/>
                  <w:shd w:val="clear" w:color="auto" w:fill="auto"/>
                  <w:vAlign w:val="center"/>
                </w:tcPr>
                <w:p w:rsidR="00E945C6" w:rsidRPr="003A1456" w:rsidRDefault="00E945C6" w:rsidP="00E945C6">
                  <w:pPr>
                    <w:jc w:val="right"/>
                    <w:rPr>
                      <w:rFonts w:ascii="Arial" w:hAnsi="Arial" w:cs="Arial"/>
                      <w:sz w:val="20"/>
                      <w:szCs w:val="20"/>
                    </w:rPr>
                  </w:pPr>
                  <w:r>
                    <w:rPr>
                      <w:rFonts w:ascii="Arial" w:hAnsi="Arial" w:cs="Arial"/>
                      <w:sz w:val="20"/>
                      <w:szCs w:val="20"/>
                    </w:rPr>
                    <w:t>42.6</w:t>
                  </w:r>
                </w:p>
              </w:tc>
              <w:tc>
                <w:tcPr>
                  <w:tcW w:w="501" w:type="pct"/>
                  <w:shd w:val="clear" w:color="auto" w:fill="auto"/>
                </w:tcPr>
                <w:p w:rsidR="00E945C6" w:rsidRPr="003A1456" w:rsidRDefault="00E945C6" w:rsidP="008046B5">
                  <w:pPr>
                    <w:pStyle w:val="TableBodyText"/>
                  </w:pPr>
                  <w:r w:rsidRPr="003A1456">
                    <w:t>14A.</w:t>
                  </w:r>
                  <w:r>
                    <w:t>14</w:t>
                  </w:r>
                  <w:r w:rsidR="008046B5">
                    <w:t>0</w:t>
                  </w:r>
                </w:p>
              </w:tc>
            </w:tr>
          </w:tbl>
          <w:p w:rsidR="00E945C6" w:rsidRDefault="00E945C6"/>
        </w:tc>
      </w:tr>
    </w:tbl>
    <w:p w:rsidR="00B54D7F" w:rsidRDefault="00B54D7F" w:rsidP="00B54D7F">
      <w:pPr>
        <w:pStyle w:val="Note"/>
      </w:pPr>
      <w:r w:rsidRPr="0012694F">
        <w:rPr>
          <w:rStyle w:val="NoteLabel"/>
        </w:rPr>
        <w:t>a</w:t>
      </w:r>
      <w:r w:rsidRPr="0012694F">
        <w:rPr>
          <w:rFonts w:cs="Arial"/>
        </w:rPr>
        <w:t> </w:t>
      </w:r>
      <w:r w:rsidRPr="0012694F">
        <w:t>Caveats for these data are available in Chapter 1</w:t>
      </w:r>
      <w:r>
        <w:t>4</w:t>
      </w:r>
      <w:r w:rsidRPr="0012694F">
        <w:t xml:space="preserve"> and Attachment 1</w:t>
      </w:r>
      <w:r>
        <w:t>4</w:t>
      </w:r>
      <w:r w:rsidRPr="0012694F">
        <w:t xml:space="preserve">A. Refer to the indicator interpretation boxes in </w:t>
      </w:r>
      <w:r w:rsidR="007716AF">
        <w:t>C</w:t>
      </w:r>
      <w:r w:rsidRPr="0012694F">
        <w:t>hapter 1</w:t>
      </w:r>
      <w:r>
        <w:t>4</w:t>
      </w:r>
      <w:r w:rsidRPr="0012694F">
        <w:t xml:space="preserve"> for information to assist with </w:t>
      </w:r>
      <w:r w:rsidR="009F11A1">
        <w:t xml:space="preserve">the </w:t>
      </w:r>
      <w:r w:rsidR="001F4425" w:rsidRPr="0012694F">
        <w:t>interpreta</w:t>
      </w:r>
      <w:r w:rsidR="001F4425">
        <w:t>tion</w:t>
      </w:r>
      <w:r w:rsidR="009F11A1">
        <w:t xml:space="preserve"> of</w:t>
      </w:r>
      <w:r w:rsidRPr="0012694F">
        <w:t xml:space="preserve"> data presented in this table. </w:t>
      </w:r>
      <w:r w:rsidRPr="0012694F">
        <w:rPr>
          <w:rStyle w:val="NoteLabel"/>
        </w:rPr>
        <w:t>b</w:t>
      </w:r>
      <w:r w:rsidRPr="0012694F">
        <w:t> Some data are derived from detailed data in Chapter 1</w:t>
      </w:r>
      <w:r>
        <w:t>4</w:t>
      </w:r>
      <w:r w:rsidRPr="0012694F">
        <w:t xml:space="preserve"> and Attachment 1</w:t>
      </w:r>
      <w:r>
        <w:t>4</w:t>
      </w:r>
      <w:r w:rsidRPr="0012694F">
        <w:t xml:space="preserve">A. </w:t>
      </w:r>
      <w:r w:rsidRPr="0012694F">
        <w:rPr>
          <w:rStyle w:val="NoteLabel"/>
        </w:rPr>
        <w:t>c</w:t>
      </w:r>
      <w:r w:rsidRPr="0012694F">
        <w:t> Data are for 20</w:t>
      </w:r>
      <w:r w:rsidR="002A5B05">
        <w:t>1</w:t>
      </w:r>
      <w:r w:rsidR="00FD520D">
        <w:t>1-12</w:t>
      </w:r>
      <w:r w:rsidR="00A675F4">
        <w:t xml:space="preserve"> except where noted</w:t>
      </w:r>
      <w:r w:rsidRPr="0012694F">
        <w:t xml:space="preserve">. </w:t>
      </w:r>
      <w:r w:rsidRPr="0012694F">
        <w:rPr>
          <w:rStyle w:val="NoteLabel"/>
        </w:rPr>
        <w:t>d</w:t>
      </w:r>
      <w:r w:rsidRPr="0012694F">
        <w:t> Data are as at 30 June 20</w:t>
      </w:r>
      <w:r w:rsidR="002A5B05">
        <w:t>1</w:t>
      </w:r>
      <w:r w:rsidR="00FD520D">
        <w:t>2</w:t>
      </w:r>
      <w:r w:rsidR="00A675F4">
        <w:t xml:space="preserve"> except where noted</w:t>
      </w:r>
      <w:r w:rsidRPr="0012694F">
        <w:t>.</w:t>
      </w:r>
      <w:r w:rsidR="00825E5F">
        <w:t xml:space="preserve"> </w:t>
      </w:r>
      <w:r w:rsidR="00A675F4" w:rsidRPr="00A675F4">
        <w:t>.. Not applicable.</w:t>
      </w:r>
      <w:r w:rsidR="009C3574">
        <w:t xml:space="preserve"> </w:t>
      </w:r>
      <w:r w:rsidR="009C3574" w:rsidRPr="006B1005">
        <w:rPr>
          <w:b/>
        </w:rPr>
        <w:t>np</w:t>
      </w:r>
      <w:r w:rsidR="009C3574">
        <w:t xml:space="preserve"> Not published</w:t>
      </w:r>
      <w:r w:rsidR="00825E5F">
        <w:t>.</w:t>
      </w:r>
    </w:p>
    <w:p w:rsidR="00B54D7F" w:rsidRDefault="00B54D7F" w:rsidP="002027A9">
      <w:pPr>
        <w:pStyle w:val="Source"/>
        <w:spacing w:after="0"/>
      </w:pPr>
      <w:r>
        <w:rPr>
          <w:i/>
        </w:rPr>
        <w:t>Source</w:t>
      </w:r>
      <w:r>
        <w:t>: Chapter 14 and Attachment 14A.</w:t>
      </w:r>
    </w:p>
    <w:p w:rsidR="00AC5366" w:rsidRDefault="00AC5366">
      <w:pPr>
        <w:rPr>
          <w:szCs w:val="20"/>
        </w:rPr>
      </w:pPr>
      <w:r>
        <w:br w:type="page"/>
      </w:r>
    </w:p>
    <w:p w:rsidR="00B54D7F" w:rsidRPr="007F3818" w:rsidRDefault="006349DC" w:rsidP="007F3818">
      <w:pPr>
        <w:pStyle w:val="Heading4"/>
        <w:rPr>
          <w:color w:val="000000"/>
        </w:rPr>
      </w:pPr>
      <w:r>
        <w:rPr>
          <w:color w:val="000000"/>
        </w:rPr>
        <w:lastRenderedPageBreak/>
        <w:t xml:space="preserve">Child protection </w:t>
      </w:r>
      <w:r w:rsidR="002153A0" w:rsidRPr="007F3818">
        <w:rPr>
          <w:color w:val="000000"/>
        </w:rPr>
        <w:t>services</w:t>
      </w:r>
    </w:p>
    <w:p w:rsidR="00DB2B72" w:rsidRPr="002153A0" w:rsidRDefault="00B54D7F" w:rsidP="00DB2B72">
      <w:pPr>
        <w:pStyle w:val="BodyText"/>
        <w:rPr>
          <w:color w:val="000000"/>
        </w:rPr>
      </w:pPr>
      <w:r w:rsidRPr="002153A0">
        <w:rPr>
          <w:color w:val="000000"/>
        </w:rPr>
        <w:t xml:space="preserve">The performance indicator framework for child protection services is presented in </w:t>
      </w:r>
      <w:r w:rsidRPr="00551B18">
        <w:rPr>
          <w:color w:val="000000"/>
        </w:rPr>
        <w:t xml:space="preserve">figure </w:t>
      </w:r>
      <w:r w:rsidR="00C043A8" w:rsidRPr="00C043A8">
        <w:t>F.</w:t>
      </w:r>
      <w:r w:rsidR="00E33535">
        <w:t>10</w:t>
      </w:r>
      <w:r w:rsidR="00570CC2" w:rsidRPr="00551B18">
        <w:rPr>
          <w:color w:val="000000"/>
          <w:szCs w:val="26"/>
        </w:rPr>
        <w:t xml:space="preserve">. </w:t>
      </w:r>
      <w:r w:rsidR="00570CC2" w:rsidRPr="00551B18">
        <w:t>This framework provides comprehensive information on the equity, effectiveness, efficiency</w:t>
      </w:r>
      <w:r w:rsidR="00570CC2" w:rsidRPr="00E6147C">
        <w:t xml:space="preserve"> </w:t>
      </w:r>
      <w:r w:rsidR="00570CC2">
        <w:t xml:space="preserve">and the outcomes </w:t>
      </w:r>
      <w:r w:rsidR="00570CC2" w:rsidRPr="00E6147C">
        <w:t>of</w:t>
      </w:r>
      <w:r w:rsidR="00570CC2">
        <w:t xml:space="preserve"> </w:t>
      </w:r>
      <w:r w:rsidR="006349DC">
        <w:t xml:space="preserve">child protection </w:t>
      </w:r>
      <w:r w:rsidR="00825E5F">
        <w:t xml:space="preserve">and out-of-home care </w:t>
      </w:r>
      <w:r w:rsidR="00570CC2" w:rsidRPr="00F21C84">
        <w:t>ser</w:t>
      </w:r>
      <w:r w:rsidR="00B16F51">
        <w:t>vices</w:t>
      </w:r>
      <w:r w:rsidR="00570CC2">
        <w:rPr>
          <w:color w:val="000000"/>
        </w:rPr>
        <w:t>.</w:t>
      </w:r>
    </w:p>
    <w:p w:rsidR="00357A35" w:rsidRDefault="00B54D7F" w:rsidP="00DB2B72">
      <w:pPr>
        <w:pStyle w:val="FigureTitle"/>
      </w:pPr>
      <w:r w:rsidRPr="00DA7F0D">
        <w:rPr>
          <w:b w:val="0"/>
        </w:rPr>
        <w:lastRenderedPageBreak/>
        <w:t xml:space="preserve">Figure </w:t>
      </w:r>
      <w:r w:rsidR="00E33535">
        <w:rPr>
          <w:b w:val="0"/>
        </w:rPr>
        <w:t>F.</w:t>
      </w:r>
      <w:r w:rsidR="004420D6">
        <w:rPr>
          <w:b w:val="0"/>
        </w:rPr>
        <w:t>10</w:t>
      </w:r>
      <w:r w:rsidRPr="00A94B71">
        <w:tab/>
      </w:r>
      <w:r w:rsidR="007A2FDF">
        <w:t>C</w:t>
      </w:r>
      <w:r w:rsidRPr="00AC7DB1">
        <w:t>hild protection services</w:t>
      </w:r>
      <w:r w:rsidR="007A2FDF">
        <w:t xml:space="preserve">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57A35">
        <w:tc>
          <w:tcPr>
            <w:tcW w:w="8777" w:type="dxa"/>
          </w:tcPr>
          <w:p w:rsidR="00357A35" w:rsidRPr="002027A9" w:rsidRDefault="006E15B7" w:rsidP="002027A9">
            <w:pPr>
              <w:pStyle w:val="Figure"/>
              <w:spacing w:before="40" w:after="40"/>
            </w:pPr>
            <w:r w:rsidRPr="007A59B2">
              <w:rPr>
                <w:noProof/>
              </w:rPr>
              <w:drawing>
                <wp:inline distT="0" distB="0" distL="0" distR="0" wp14:anchorId="0A5D9CC4" wp14:editId="4453C31A">
                  <wp:extent cx="5380572" cy="7697337"/>
                  <wp:effectExtent l="0" t="0" r="0" b="0"/>
                  <wp:docPr id="37" name="Picture 37" descr="Figure F.10 Child protection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8">
                            <a:extLst>
                              <a:ext uri="{28A0092B-C50C-407E-A947-70E740481C1C}">
                                <a14:useLocalDpi xmlns:a14="http://schemas.microsoft.com/office/drawing/2010/main" val="0"/>
                              </a:ext>
                            </a:extLst>
                          </a:blip>
                          <a:srcRect b="10035"/>
                          <a:stretch/>
                        </pic:blipFill>
                        <pic:spPr bwMode="auto">
                          <a:xfrm>
                            <a:off x="0" y="0"/>
                            <a:ext cx="5380032" cy="7696564"/>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B54D7F" w:rsidRPr="00FA7C3D" w:rsidRDefault="00B54D7F" w:rsidP="00675517">
      <w:pPr>
        <w:pStyle w:val="BodyText"/>
        <w:keepNext/>
        <w:rPr>
          <w:b/>
          <w:color w:val="000000"/>
        </w:rPr>
      </w:pPr>
      <w:r w:rsidRPr="002153A0">
        <w:rPr>
          <w:color w:val="000000"/>
        </w:rPr>
        <w:lastRenderedPageBreak/>
        <w:t>An overview of child protection and out</w:t>
      </w:r>
      <w:r w:rsidRPr="002153A0">
        <w:rPr>
          <w:color w:val="000000"/>
        </w:rPr>
        <w:noBreakHyphen/>
        <w:t>of</w:t>
      </w:r>
      <w:r w:rsidRPr="002153A0">
        <w:rPr>
          <w:color w:val="000000"/>
        </w:rPr>
        <w:noBreakHyphen/>
        <w:t xml:space="preserve">home care services performance indicator results for </w:t>
      </w:r>
      <w:r w:rsidR="007E2085" w:rsidRPr="002153A0">
        <w:rPr>
          <w:color w:val="000000"/>
        </w:rPr>
        <w:t>20</w:t>
      </w:r>
      <w:r w:rsidR="007E2085">
        <w:rPr>
          <w:color w:val="000000"/>
        </w:rPr>
        <w:t>12</w:t>
      </w:r>
      <w:r w:rsidRPr="002153A0">
        <w:rPr>
          <w:color w:val="000000"/>
        </w:rPr>
        <w:noBreakHyphen/>
      </w:r>
      <w:r w:rsidR="007E2085" w:rsidRPr="002153A0">
        <w:rPr>
          <w:color w:val="000000"/>
        </w:rPr>
        <w:t>1</w:t>
      </w:r>
      <w:r w:rsidR="007E2085">
        <w:rPr>
          <w:color w:val="000000"/>
        </w:rPr>
        <w:t>3</w:t>
      </w:r>
      <w:r w:rsidR="007E2085" w:rsidRPr="002153A0">
        <w:rPr>
          <w:color w:val="000000"/>
        </w:rPr>
        <w:t xml:space="preserve"> </w:t>
      </w:r>
      <w:r w:rsidRPr="002153A0">
        <w:rPr>
          <w:color w:val="000000"/>
        </w:rPr>
        <w:t xml:space="preserve">are presented in table </w:t>
      </w:r>
      <w:r w:rsidR="00B80C16">
        <w:rPr>
          <w:color w:val="000000"/>
        </w:rPr>
        <w:t>F.</w:t>
      </w:r>
      <w:r w:rsidR="00CD7978">
        <w:rPr>
          <w:color w:val="000000"/>
        </w:rPr>
        <w:t>5</w:t>
      </w:r>
      <w:r w:rsidR="002153A0">
        <w:rPr>
          <w:color w:val="000000"/>
        </w:rPr>
        <w:t>.</w:t>
      </w:r>
      <w:r w:rsidR="009F11A1">
        <w:rPr>
          <w:color w:val="000000"/>
        </w:rPr>
        <w:t xml:space="preserve"> </w:t>
      </w:r>
      <w:r w:rsidR="009F11A1">
        <w:t>Information to assist the interpretation of these data can be found in the indicator interpretation boxes in chapter 15 and the footnotes in attachment 15A.</w:t>
      </w:r>
    </w:p>
    <w:p w:rsidR="00B54D7F" w:rsidRPr="000C182C" w:rsidRDefault="00B54D7F" w:rsidP="00B54D7F">
      <w:pPr>
        <w:pStyle w:val="TableTitle"/>
        <w:rPr>
          <w:rStyle w:val="NoteLabel"/>
        </w:rPr>
      </w:pPr>
      <w:r w:rsidRPr="002153A0">
        <w:rPr>
          <w:b w:val="0"/>
          <w:color w:val="000000"/>
        </w:rPr>
        <w:t xml:space="preserve">Table </w:t>
      </w:r>
      <w:bookmarkStart w:id="16" w:name="OLE_LINK6"/>
      <w:r w:rsidR="00197646">
        <w:rPr>
          <w:b w:val="0"/>
        </w:rPr>
        <w:t>F.</w:t>
      </w:r>
      <w:r w:rsidR="00914946">
        <w:rPr>
          <w:b w:val="0"/>
          <w:noProof/>
        </w:rPr>
        <w:t>5</w:t>
      </w:r>
      <w:bookmarkEnd w:id="16"/>
      <w:r w:rsidRPr="002153A0">
        <w:rPr>
          <w:color w:val="000000"/>
        </w:rPr>
        <w:tab/>
        <w:t xml:space="preserve">Performance indicators for child protection </w:t>
      </w:r>
      <w:r>
        <w:t>services, 20</w:t>
      </w:r>
      <w:r w:rsidR="00E37D7D">
        <w:t>1</w:t>
      </w:r>
      <w:r w:rsidR="006E15B7">
        <w:t>2</w:t>
      </w:r>
      <w:r>
        <w:t>-1</w:t>
      </w:r>
      <w:r w:rsidR="006E15B7">
        <w:t>3</w:t>
      </w:r>
      <w:r w:rsidRPr="008926CD">
        <w:rPr>
          <w:rStyle w:val="NoteLabel"/>
          <w:b/>
        </w:rPr>
        <w:t>a, b</w:t>
      </w:r>
    </w:p>
    <w:tbl>
      <w:tblPr>
        <w:tblW w:w="5008" w:type="pct"/>
        <w:tblLayout w:type="fixed"/>
        <w:tblCellMar>
          <w:left w:w="0" w:type="dxa"/>
          <w:right w:w="0" w:type="dxa"/>
        </w:tblCellMar>
        <w:tblLook w:val="0000" w:firstRow="0" w:lastRow="0" w:firstColumn="0" w:lastColumn="0" w:noHBand="0" w:noVBand="0"/>
      </w:tblPr>
      <w:tblGrid>
        <w:gridCol w:w="672"/>
        <w:gridCol w:w="775"/>
        <w:gridCol w:w="51"/>
        <w:gridCol w:w="725"/>
        <w:gridCol w:w="53"/>
        <w:gridCol w:w="725"/>
        <w:gridCol w:w="49"/>
        <w:gridCol w:w="65"/>
        <w:gridCol w:w="664"/>
        <w:gridCol w:w="21"/>
        <w:gridCol w:w="778"/>
        <w:gridCol w:w="28"/>
        <w:gridCol w:w="750"/>
        <w:gridCol w:w="25"/>
        <w:gridCol w:w="694"/>
        <w:gridCol w:w="60"/>
        <w:gridCol w:w="25"/>
        <w:gridCol w:w="757"/>
        <w:gridCol w:w="28"/>
        <w:gridCol w:w="710"/>
        <w:gridCol w:w="1148"/>
      </w:tblGrid>
      <w:tr w:rsidR="00E401C0" w:rsidTr="00E401C0">
        <w:tc>
          <w:tcPr>
            <w:tcW w:w="382" w:type="pct"/>
            <w:tcBorders>
              <w:top w:val="single" w:sz="6" w:space="0" w:color="auto"/>
              <w:bottom w:val="single" w:sz="6" w:space="0" w:color="auto"/>
            </w:tcBorders>
            <w:shd w:val="clear" w:color="auto" w:fill="auto"/>
          </w:tcPr>
          <w:p w:rsidR="007A514E" w:rsidRDefault="007A514E" w:rsidP="007A514E">
            <w:pPr>
              <w:pStyle w:val="TableColumnHeading"/>
              <w:jc w:val="left"/>
            </w:pPr>
          </w:p>
        </w:tc>
        <w:tc>
          <w:tcPr>
            <w:tcW w:w="440" w:type="pct"/>
            <w:tcBorders>
              <w:top w:val="single" w:sz="6" w:space="0" w:color="auto"/>
              <w:bottom w:val="single" w:sz="6" w:space="0" w:color="auto"/>
            </w:tcBorders>
            <w:shd w:val="clear" w:color="auto" w:fill="auto"/>
          </w:tcPr>
          <w:p w:rsidR="007A514E" w:rsidRDefault="007A514E" w:rsidP="007A514E">
            <w:pPr>
              <w:pStyle w:val="TableColumnHeading"/>
            </w:pPr>
            <w:r>
              <w:t>NSW</w:t>
            </w:r>
          </w:p>
        </w:tc>
        <w:tc>
          <w:tcPr>
            <w:tcW w:w="441" w:type="pct"/>
            <w:gridSpan w:val="2"/>
            <w:tcBorders>
              <w:top w:val="single" w:sz="6" w:space="0" w:color="auto"/>
              <w:bottom w:val="single" w:sz="6" w:space="0" w:color="auto"/>
            </w:tcBorders>
            <w:shd w:val="clear" w:color="auto" w:fill="auto"/>
          </w:tcPr>
          <w:p w:rsidR="007A514E" w:rsidRDefault="007A514E" w:rsidP="007A514E">
            <w:pPr>
              <w:pStyle w:val="TableColumnHeading"/>
            </w:pPr>
            <w:r>
              <w:t>Vic</w:t>
            </w:r>
          </w:p>
        </w:tc>
        <w:tc>
          <w:tcPr>
            <w:tcW w:w="442" w:type="pct"/>
            <w:gridSpan w:val="2"/>
            <w:tcBorders>
              <w:top w:val="single" w:sz="6" w:space="0" w:color="auto"/>
              <w:bottom w:val="single" w:sz="6" w:space="0" w:color="auto"/>
            </w:tcBorders>
            <w:shd w:val="clear" w:color="auto" w:fill="auto"/>
          </w:tcPr>
          <w:p w:rsidR="007A514E" w:rsidRDefault="007A514E" w:rsidP="007A514E">
            <w:pPr>
              <w:pStyle w:val="TableColumnHeading"/>
            </w:pPr>
            <w:r>
              <w:t>Qld</w:t>
            </w:r>
          </w:p>
        </w:tc>
        <w:tc>
          <w:tcPr>
            <w:tcW w:w="454" w:type="pct"/>
            <w:gridSpan w:val="4"/>
            <w:tcBorders>
              <w:top w:val="single" w:sz="6" w:space="0" w:color="auto"/>
              <w:bottom w:val="single" w:sz="6" w:space="0" w:color="auto"/>
            </w:tcBorders>
            <w:shd w:val="clear" w:color="auto" w:fill="auto"/>
          </w:tcPr>
          <w:p w:rsidR="007A514E" w:rsidRDefault="007A514E" w:rsidP="007A514E">
            <w:pPr>
              <w:pStyle w:val="TableColumnHeading"/>
            </w:pPr>
            <w:r>
              <w:t>WA</w:t>
            </w:r>
          </w:p>
        </w:tc>
        <w:tc>
          <w:tcPr>
            <w:tcW w:w="442" w:type="pct"/>
            <w:tcBorders>
              <w:top w:val="single" w:sz="6" w:space="0" w:color="auto"/>
              <w:bottom w:val="single" w:sz="6" w:space="0" w:color="auto"/>
            </w:tcBorders>
            <w:shd w:val="clear" w:color="auto" w:fill="auto"/>
          </w:tcPr>
          <w:p w:rsidR="007A514E" w:rsidRDefault="007A514E" w:rsidP="007A514E">
            <w:pPr>
              <w:pStyle w:val="TableColumnHeading"/>
            </w:pPr>
            <w:r>
              <w:t>SA</w:t>
            </w:r>
          </w:p>
        </w:tc>
        <w:tc>
          <w:tcPr>
            <w:tcW w:w="442" w:type="pct"/>
            <w:gridSpan w:val="2"/>
            <w:tcBorders>
              <w:top w:val="single" w:sz="6" w:space="0" w:color="auto"/>
              <w:bottom w:val="single" w:sz="6" w:space="0" w:color="auto"/>
            </w:tcBorders>
            <w:shd w:val="clear" w:color="auto" w:fill="auto"/>
          </w:tcPr>
          <w:p w:rsidR="007A514E" w:rsidRDefault="007A514E" w:rsidP="007A514E">
            <w:pPr>
              <w:pStyle w:val="TableColumnHeading"/>
            </w:pPr>
            <w:r>
              <w:t>Tas</w:t>
            </w:r>
          </w:p>
        </w:tc>
        <w:tc>
          <w:tcPr>
            <w:tcW w:w="442" w:type="pct"/>
            <w:gridSpan w:val="3"/>
            <w:tcBorders>
              <w:top w:val="single" w:sz="6" w:space="0" w:color="auto"/>
              <w:bottom w:val="single" w:sz="6" w:space="0" w:color="auto"/>
            </w:tcBorders>
            <w:shd w:val="clear" w:color="auto" w:fill="auto"/>
          </w:tcPr>
          <w:p w:rsidR="007A514E" w:rsidRDefault="007A514E" w:rsidP="007A514E">
            <w:pPr>
              <w:pStyle w:val="TableColumnHeading"/>
            </w:pPr>
            <w:r>
              <w:t>ACT</w:t>
            </w:r>
          </w:p>
        </w:tc>
        <w:tc>
          <w:tcPr>
            <w:tcW w:w="444" w:type="pct"/>
            <w:gridSpan w:val="2"/>
            <w:tcBorders>
              <w:top w:val="single" w:sz="6" w:space="0" w:color="auto"/>
              <w:bottom w:val="single" w:sz="6" w:space="0" w:color="auto"/>
            </w:tcBorders>
            <w:shd w:val="clear" w:color="auto" w:fill="auto"/>
          </w:tcPr>
          <w:p w:rsidR="007A514E" w:rsidRDefault="007A514E" w:rsidP="007A514E">
            <w:pPr>
              <w:pStyle w:val="TableColumnHeading"/>
            </w:pPr>
            <w:r>
              <w:t>NT</w:t>
            </w:r>
          </w:p>
        </w:tc>
        <w:tc>
          <w:tcPr>
            <w:tcW w:w="419" w:type="pct"/>
            <w:gridSpan w:val="2"/>
            <w:tcBorders>
              <w:top w:val="single" w:sz="6" w:space="0" w:color="auto"/>
              <w:bottom w:val="single" w:sz="6" w:space="0" w:color="auto"/>
            </w:tcBorders>
          </w:tcPr>
          <w:p w:rsidR="007A514E" w:rsidRDefault="007A514E" w:rsidP="007A514E">
            <w:pPr>
              <w:pStyle w:val="TableColumnHeading"/>
            </w:pPr>
            <w:r>
              <w:t>Aust</w:t>
            </w:r>
          </w:p>
        </w:tc>
        <w:tc>
          <w:tcPr>
            <w:tcW w:w="652" w:type="pct"/>
            <w:tcBorders>
              <w:top w:val="single" w:sz="6" w:space="0" w:color="auto"/>
              <w:bottom w:val="single" w:sz="6" w:space="0" w:color="auto"/>
            </w:tcBorders>
          </w:tcPr>
          <w:p w:rsidR="007A514E" w:rsidRDefault="007A514E" w:rsidP="007A514E">
            <w:pPr>
              <w:pStyle w:val="TableColumnHeading"/>
            </w:pPr>
            <w:r>
              <w:t>Source</w:t>
            </w:r>
          </w:p>
        </w:tc>
      </w:tr>
      <w:tr w:rsidR="007A514E" w:rsidRPr="00DC618B" w:rsidTr="006B1005">
        <w:trPr>
          <w:trHeight w:val="329"/>
        </w:trPr>
        <w:tc>
          <w:tcPr>
            <w:tcW w:w="5000" w:type="pct"/>
            <w:gridSpan w:val="21"/>
            <w:tcBorders>
              <w:top w:val="single" w:sz="6" w:space="0" w:color="auto"/>
            </w:tcBorders>
          </w:tcPr>
          <w:p w:rsidR="007A514E" w:rsidRPr="0051549A" w:rsidRDefault="007A514E" w:rsidP="007A514E">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child protection </w:t>
            </w:r>
            <w:r w:rsidRPr="00B667F6">
              <w:rPr>
                <w:b/>
                <w:i w:val="0"/>
              </w:rPr>
              <w:t>indicators</w:t>
            </w:r>
          </w:p>
        </w:tc>
      </w:tr>
      <w:tr w:rsidR="007A514E" w:rsidRPr="00DC618B" w:rsidTr="006B1005">
        <w:trPr>
          <w:trHeight w:val="329"/>
        </w:trPr>
        <w:tc>
          <w:tcPr>
            <w:tcW w:w="5000" w:type="pct"/>
            <w:gridSpan w:val="21"/>
          </w:tcPr>
          <w:p w:rsidR="007A514E" w:rsidRPr="0051549A" w:rsidRDefault="007A514E" w:rsidP="007A514E">
            <w:pPr>
              <w:pStyle w:val="TableColumnHeading"/>
              <w:jc w:val="left"/>
              <w:rPr>
                <w:i w:val="0"/>
              </w:rPr>
            </w:pPr>
            <w:r>
              <w:rPr>
                <w:i w:val="0"/>
              </w:rPr>
              <w:t>Response times</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7A514E" w:rsidRPr="00DC618B" w:rsidTr="006B1005">
        <w:trPr>
          <w:trHeight w:val="447"/>
        </w:trPr>
        <w:tc>
          <w:tcPr>
            <w:tcW w:w="5000" w:type="pct"/>
            <w:gridSpan w:val="21"/>
          </w:tcPr>
          <w:p w:rsidR="007A514E" w:rsidRDefault="007A514E" w:rsidP="007A514E">
            <w:pPr>
              <w:pStyle w:val="TableColumnHeading"/>
              <w:jc w:val="left"/>
            </w:pPr>
            <w:r>
              <w:t>Proportion of investigations completed within 28 days of notification</w:t>
            </w:r>
          </w:p>
        </w:tc>
      </w:tr>
      <w:tr w:rsidR="00E401C0" w:rsidRPr="00D650F0" w:rsidTr="00E401C0">
        <w:tc>
          <w:tcPr>
            <w:tcW w:w="382" w:type="pct"/>
          </w:tcPr>
          <w:p w:rsidR="00E401C0" w:rsidRDefault="00E401C0" w:rsidP="007A514E">
            <w:pPr>
              <w:pStyle w:val="TableBodyText"/>
            </w:pPr>
            <w:r>
              <w:t>%</w:t>
            </w:r>
          </w:p>
        </w:tc>
        <w:tc>
          <w:tcPr>
            <w:tcW w:w="440" w:type="pct"/>
            <w:vAlign w:val="center"/>
          </w:tcPr>
          <w:p w:rsidR="00E401C0" w:rsidRDefault="00E401C0" w:rsidP="00825E5F">
            <w:pPr>
              <w:pStyle w:val="TableBodyText"/>
            </w:pPr>
            <w:r>
              <w:t>43.7</w:t>
            </w:r>
          </w:p>
        </w:tc>
        <w:tc>
          <w:tcPr>
            <w:tcW w:w="441" w:type="pct"/>
            <w:gridSpan w:val="2"/>
            <w:vAlign w:val="center"/>
          </w:tcPr>
          <w:p w:rsidR="00E401C0" w:rsidRDefault="00E401C0" w:rsidP="00825E5F">
            <w:pPr>
              <w:pStyle w:val="TableBodyText"/>
            </w:pPr>
            <w:r>
              <w:t>31.3</w:t>
            </w:r>
          </w:p>
        </w:tc>
        <w:tc>
          <w:tcPr>
            <w:tcW w:w="442" w:type="pct"/>
            <w:gridSpan w:val="2"/>
            <w:vAlign w:val="center"/>
          </w:tcPr>
          <w:p w:rsidR="00E401C0" w:rsidRDefault="00E401C0" w:rsidP="00825E5F">
            <w:pPr>
              <w:pStyle w:val="TableBodyText"/>
            </w:pPr>
            <w:r>
              <w:t>27.0</w:t>
            </w:r>
          </w:p>
        </w:tc>
        <w:tc>
          <w:tcPr>
            <w:tcW w:w="442" w:type="pct"/>
            <w:gridSpan w:val="3"/>
            <w:vAlign w:val="center"/>
          </w:tcPr>
          <w:p w:rsidR="00E401C0" w:rsidRDefault="00E401C0" w:rsidP="00825E5F">
            <w:pPr>
              <w:pStyle w:val="TableBodyText"/>
            </w:pPr>
            <w:r>
              <w:t>27.3</w:t>
            </w:r>
          </w:p>
        </w:tc>
        <w:tc>
          <w:tcPr>
            <w:tcW w:w="454" w:type="pct"/>
            <w:gridSpan w:val="2"/>
            <w:vAlign w:val="center"/>
          </w:tcPr>
          <w:p w:rsidR="00E401C0" w:rsidRDefault="00E401C0" w:rsidP="00825E5F">
            <w:pPr>
              <w:pStyle w:val="TableBodyText"/>
            </w:pPr>
            <w:r>
              <w:t>31.5</w:t>
            </w:r>
          </w:p>
        </w:tc>
        <w:tc>
          <w:tcPr>
            <w:tcW w:w="442" w:type="pct"/>
            <w:gridSpan w:val="2"/>
            <w:vAlign w:val="center"/>
          </w:tcPr>
          <w:p w:rsidR="00E401C0" w:rsidRDefault="00E401C0" w:rsidP="00825E5F">
            <w:pPr>
              <w:pStyle w:val="TableBodyText"/>
            </w:pPr>
            <w:r>
              <w:t>48.5</w:t>
            </w:r>
          </w:p>
        </w:tc>
        <w:tc>
          <w:tcPr>
            <w:tcW w:w="442" w:type="pct"/>
            <w:gridSpan w:val="3"/>
            <w:vAlign w:val="center"/>
          </w:tcPr>
          <w:p w:rsidR="00E401C0" w:rsidRDefault="00E401C0" w:rsidP="00825E5F">
            <w:pPr>
              <w:pStyle w:val="TableBodyText"/>
            </w:pPr>
            <w:r>
              <w:t>28.2</w:t>
            </w:r>
          </w:p>
        </w:tc>
        <w:tc>
          <w:tcPr>
            <w:tcW w:w="444" w:type="pct"/>
            <w:gridSpan w:val="2"/>
            <w:vAlign w:val="center"/>
          </w:tcPr>
          <w:p w:rsidR="00E401C0" w:rsidRDefault="00E401C0" w:rsidP="00825E5F">
            <w:pPr>
              <w:pStyle w:val="TableBodyText"/>
            </w:pPr>
            <w:r>
              <w:t>57.5</w:t>
            </w:r>
          </w:p>
        </w:tc>
        <w:tc>
          <w:tcPr>
            <w:tcW w:w="419" w:type="pct"/>
            <w:gridSpan w:val="2"/>
            <w:vAlign w:val="center"/>
          </w:tcPr>
          <w:p w:rsidR="00E401C0" w:rsidRDefault="004A2736" w:rsidP="00825E5F">
            <w:pPr>
              <w:pStyle w:val="TableBodyText"/>
            </w:pPr>
            <w:r>
              <w:t>36.4</w:t>
            </w:r>
          </w:p>
        </w:tc>
        <w:tc>
          <w:tcPr>
            <w:tcW w:w="652" w:type="pct"/>
          </w:tcPr>
          <w:p w:rsidR="00E401C0" w:rsidRPr="00D650F0" w:rsidRDefault="00E401C0" w:rsidP="00E401C0">
            <w:pPr>
              <w:pStyle w:val="TableBodyText"/>
            </w:pPr>
            <w:r>
              <w:t>15A.16</w:t>
            </w:r>
          </w:p>
        </w:tc>
      </w:tr>
      <w:tr w:rsidR="00F45DEC" w:rsidRPr="00DC618B" w:rsidTr="006B1005">
        <w:trPr>
          <w:trHeight w:val="273"/>
        </w:trPr>
        <w:tc>
          <w:tcPr>
            <w:tcW w:w="5000" w:type="pct"/>
            <w:gridSpan w:val="21"/>
            <w:shd w:val="clear" w:color="auto" w:fill="auto"/>
          </w:tcPr>
          <w:p w:rsidR="00F45DEC" w:rsidRPr="00551B18" w:rsidRDefault="00F45DEC" w:rsidP="007A514E">
            <w:pPr>
              <w:pStyle w:val="TableColumnHeading"/>
              <w:jc w:val="left"/>
              <w:rPr>
                <w:i w:val="0"/>
              </w:rPr>
            </w:pPr>
            <w:r w:rsidRPr="00551B18">
              <w:t xml:space="preserve">Proportion of investigations completed </w:t>
            </w:r>
            <w:r w:rsidR="00FD5B52">
              <w:t>in more than 90 days from</w:t>
            </w:r>
            <w:r w:rsidRPr="00551B18">
              <w:t xml:space="preserve"> notification</w:t>
            </w:r>
          </w:p>
        </w:tc>
      </w:tr>
      <w:tr w:rsidR="00E401C0" w:rsidRPr="00DC618B" w:rsidTr="00E401C0">
        <w:trPr>
          <w:trHeight w:val="273"/>
        </w:trPr>
        <w:tc>
          <w:tcPr>
            <w:tcW w:w="382" w:type="pct"/>
            <w:shd w:val="clear" w:color="auto" w:fill="auto"/>
          </w:tcPr>
          <w:p w:rsidR="00E401C0" w:rsidRPr="00551B18" w:rsidRDefault="00E401C0" w:rsidP="00F45DEC">
            <w:pPr>
              <w:pStyle w:val="TableBodyText"/>
            </w:pPr>
            <w:r w:rsidRPr="00551B18">
              <w:t>%</w:t>
            </w:r>
          </w:p>
        </w:tc>
        <w:tc>
          <w:tcPr>
            <w:tcW w:w="440" w:type="pct"/>
            <w:shd w:val="clear" w:color="auto" w:fill="auto"/>
            <w:vAlign w:val="center"/>
          </w:tcPr>
          <w:p w:rsidR="00E401C0" w:rsidRPr="00C84CDB" w:rsidRDefault="00E401C0" w:rsidP="00825E5F">
            <w:pPr>
              <w:pStyle w:val="TableBodyText"/>
            </w:pPr>
            <w:r>
              <w:t>29.4</w:t>
            </w:r>
          </w:p>
        </w:tc>
        <w:tc>
          <w:tcPr>
            <w:tcW w:w="441" w:type="pct"/>
            <w:gridSpan w:val="2"/>
            <w:shd w:val="clear" w:color="auto" w:fill="auto"/>
            <w:vAlign w:val="center"/>
          </w:tcPr>
          <w:p w:rsidR="00E401C0" w:rsidRPr="00C84CDB" w:rsidRDefault="00E401C0" w:rsidP="00825E5F">
            <w:pPr>
              <w:pStyle w:val="TableBodyText"/>
            </w:pPr>
            <w:r>
              <w:t>23.9</w:t>
            </w:r>
          </w:p>
        </w:tc>
        <w:tc>
          <w:tcPr>
            <w:tcW w:w="442" w:type="pct"/>
            <w:gridSpan w:val="2"/>
            <w:shd w:val="clear" w:color="auto" w:fill="auto"/>
            <w:vAlign w:val="center"/>
          </w:tcPr>
          <w:p w:rsidR="00E401C0" w:rsidRPr="00C84CDB" w:rsidRDefault="00E401C0" w:rsidP="00825E5F">
            <w:pPr>
              <w:pStyle w:val="TableBodyText"/>
            </w:pPr>
            <w:r>
              <w:t>21.8</w:t>
            </w:r>
          </w:p>
        </w:tc>
        <w:tc>
          <w:tcPr>
            <w:tcW w:w="454" w:type="pct"/>
            <w:gridSpan w:val="4"/>
            <w:shd w:val="clear" w:color="auto" w:fill="auto"/>
            <w:vAlign w:val="center"/>
          </w:tcPr>
          <w:p w:rsidR="00E401C0" w:rsidRPr="00C84CDB" w:rsidRDefault="00E401C0" w:rsidP="00825E5F">
            <w:pPr>
              <w:pStyle w:val="TableBodyText"/>
            </w:pPr>
            <w:r>
              <w:t>32.8</w:t>
            </w:r>
          </w:p>
        </w:tc>
        <w:tc>
          <w:tcPr>
            <w:tcW w:w="442" w:type="pct"/>
            <w:shd w:val="clear" w:color="auto" w:fill="auto"/>
            <w:vAlign w:val="center"/>
          </w:tcPr>
          <w:p w:rsidR="00E401C0" w:rsidRPr="00C84CDB" w:rsidRDefault="00E401C0" w:rsidP="00825E5F">
            <w:pPr>
              <w:pStyle w:val="TableBodyText"/>
            </w:pPr>
            <w:r>
              <w:t>30.5</w:t>
            </w:r>
          </w:p>
        </w:tc>
        <w:tc>
          <w:tcPr>
            <w:tcW w:w="442" w:type="pct"/>
            <w:gridSpan w:val="2"/>
            <w:shd w:val="clear" w:color="auto" w:fill="auto"/>
            <w:vAlign w:val="center"/>
          </w:tcPr>
          <w:p w:rsidR="00E401C0" w:rsidRPr="00C84CDB" w:rsidRDefault="00E401C0" w:rsidP="00825E5F">
            <w:pPr>
              <w:pStyle w:val="TableBodyText"/>
            </w:pPr>
            <w:r>
              <w:t>11.7</w:t>
            </w:r>
          </w:p>
        </w:tc>
        <w:tc>
          <w:tcPr>
            <w:tcW w:w="442" w:type="pct"/>
            <w:gridSpan w:val="3"/>
            <w:shd w:val="clear" w:color="auto" w:fill="auto"/>
            <w:vAlign w:val="center"/>
          </w:tcPr>
          <w:p w:rsidR="00E401C0" w:rsidRPr="00C84CDB" w:rsidRDefault="00E401C0" w:rsidP="00825E5F">
            <w:pPr>
              <w:pStyle w:val="TableBodyText"/>
            </w:pPr>
            <w:r>
              <w:t>12.8</w:t>
            </w:r>
          </w:p>
        </w:tc>
        <w:tc>
          <w:tcPr>
            <w:tcW w:w="460" w:type="pct"/>
            <w:gridSpan w:val="3"/>
            <w:shd w:val="clear" w:color="auto" w:fill="auto"/>
            <w:vAlign w:val="center"/>
          </w:tcPr>
          <w:p w:rsidR="00E401C0" w:rsidRPr="00C84CDB" w:rsidRDefault="00E401C0" w:rsidP="00825E5F">
            <w:pPr>
              <w:pStyle w:val="TableBodyText"/>
            </w:pPr>
            <w:r>
              <w:t>16.6</w:t>
            </w:r>
          </w:p>
        </w:tc>
        <w:tc>
          <w:tcPr>
            <w:tcW w:w="403" w:type="pct"/>
            <w:shd w:val="clear" w:color="auto" w:fill="auto"/>
            <w:vAlign w:val="center"/>
          </w:tcPr>
          <w:p w:rsidR="00E401C0" w:rsidRPr="00551B18" w:rsidRDefault="003A14D1" w:rsidP="00825E5F">
            <w:pPr>
              <w:pStyle w:val="TableBodyText"/>
            </w:pPr>
            <w:r>
              <w:t>26.4</w:t>
            </w:r>
          </w:p>
        </w:tc>
        <w:tc>
          <w:tcPr>
            <w:tcW w:w="652" w:type="pct"/>
            <w:shd w:val="clear" w:color="auto" w:fill="auto"/>
          </w:tcPr>
          <w:p w:rsidR="00E401C0" w:rsidRPr="00351386" w:rsidRDefault="00E401C0" w:rsidP="00E401C0">
            <w:pPr>
              <w:pStyle w:val="TableBodyText"/>
              <w:rPr>
                <w:highlight w:val="lightGray"/>
              </w:rPr>
            </w:pPr>
            <w:r w:rsidRPr="00552B2F">
              <w:t>15A.1</w:t>
            </w:r>
            <w:r>
              <w:t>6</w:t>
            </w:r>
          </w:p>
        </w:tc>
      </w:tr>
      <w:tr w:rsidR="007A514E" w:rsidRPr="00DC618B" w:rsidTr="006B1005">
        <w:trPr>
          <w:trHeight w:val="273"/>
        </w:trPr>
        <w:tc>
          <w:tcPr>
            <w:tcW w:w="5000" w:type="pct"/>
            <w:gridSpan w:val="21"/>
            <w:shd w:val="clear" w:color="auto" w:fill="auto"/>
          </w:tcPr>
          <w:p w:rsidR="007A514E" w:rsidRPr="0051549A" w:rsidRDefault="007A514E" w:rsidP="007A514E">
            <w:pPr>
              <w:pStyle w:val="TableColumnHeading"/>
              <w:jc w:val="left"/>
              <w:rPr>
                <w:i w:val="0"/>
              </w:rPr>
            </w:pPr>
            <w:r>
              <w:rPr>
                <w:i w:val="0"/>
              </w:rPr>
              <w:t>Substantiation rate</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7A514E" w:rsidRPr="00DC618B" w:rsidTr="006B1005">
        <w:trPr>
          <w:trHeight w:val="273"/>
        </w:trPr>
        <w:tc>
          <w:tcPr>
            <w:tcW w:w="5000" w:type="pct"/>
            <w:gridSpan w:val="21"/>
            <w:shd w:val="clear" w:color="auto" w:fill="auto"/>
          </w:tcPr>
          <w:p w:rsidR="007A514E" w:rsidRPr="0051549A" w:rsidRDefault="007A514E" w:rsidP="007A514E">
            <w:pPr>
              <w:pStyle w:val="TableColumnHeading"/>
              <w:jc w:val="left"/>
            </w:pPr>
            <w:r>
              <w:t>Proportion of finalised child protection investigations that were substantiated</w:t>
            </w:r>
          </w:p>
        </w:tc>
      </w:tr>
      <w:tr w:rsidR="00E401C0" w:rsidTr="00E401C0">
        <w:tc>
          <w:tcPr>
            <w:tcW w:w="382" w:type="pct"/>
            <w:shd w:val="clear" w:color="auto" w:fill="auto"/>
          </w:tcPr>
          <w:p w:rsidR="00E401C0" w:rsidRDefault="00E401C0" w:rsidP="007A514E">
            <w:pPr>
              <w:pStyle w:val="TableBodyText"/>
            </w:pPr>
            <w:r>
              <w:t>%</w:t>
            </w:r>
          </w:p>
        </w:tc>
        <w:tc>
          <w:tcPr>
            <w:tcW w:w="440" w:type="pct"/>
            <w:shd w:val="clear" w:color="auto" w:fill="auto"/>
            <w:vAlign w:val="center"/>
          </w:tcPr>
          <w:p w:rsidR="00E401C0" w:rsidRPr="00825E5F" w:rsidRDefault="000C182C" w:rsidP="00825E5F">
            <w:pPr>
              <w:pStyle w:val="TableBodyText"/>
            </w:pPr>
            <w:r>
              <w:t>51.2</w:t>
            </w:r>
          </w:p>
        </w:tc>
        <w:tc>
          <w:tcPr>
            <w:tcW w:w="441" w:type="pct"/>
            <w:gridSpan w:val="2"/>
            <w:shd w:val="clear" w:color="auto" w:fill="auto"/>
            <w:vAlign w:val="center"/>
          </w:tcPr>
          <w:p w:rsidR="00E401C0" w:rsidRPr="00825E5F" w:rsidRDefault="000C182C" w:rsidP="00825E5F">
            <w:pPr>
              <w:pStyle w:val="TableBodyText"/>
            </w:pPr>
            <w:r>
              <w:t>58.3</w:t>
            </w:r>
          </w:p>
        </w:tc>
        <w:tc>
          <w:tcPr>
            <w:tcW w:w="442" w:type="pct"/>
            <w:gridSpan w:val="2"/>
            <w:shd w:val="clear" w:color="auto" w:fill="auto"/>
            <w:vAlign w:val="center"/>
          </w:tcPr>
          <w:p w:rsidR="00E401C0" w:rsidRPr="00825E5F" w:rsidRDefault="000C182C" w:rsidP="00825E5F">
            <w:pPr>
              <w:pStyle w:val="TableBodyText"/>
            </w:pPr>
            <w:r>
              <w:t>36.6</w:t>
            </w:r>
          </w:p>
        </w:tc>
        <w:tc>
          <w:tcPr>
            <w:tcW w:w="454" w:type="pct"/>
            <w:gridSpan w:val="4"/>
            <w:shd w:val="clear" w:color="auto" w:fill="auto"/>
            <w:vAlign w:val="center"/>
          </w:tcPr>
          <w:p w:rsidR="00E401C0" w:rsidRPr="00825E5F" w:rsidRDefault="000C182C" w:rsidP="00825E5F">
            <w:pPr>
              <w:pStyle w:val="TableBodyText"/>
            </w:pPr>
            <w:r>
              <w:t>31.1</w:t>
            </w:r>
          </w:p>
        </w:tc>
        <w:tc>
          <w:tcPr>
            <w:tcW w:w="442" w:type="pct"/>
            <w:shd w:val="clear" w:color="auto" w:fill="auto"/>
            <w:vAlign w:val="center"/>
          </w:tcPr>
          <w:p w:rsidR="00E401C0" w:rsidRPr="00825E5F" w:rsidRDefault="000C182C" w:rsidP="003A14D1">
            <w:pPr>
              <w:pStyle w:val="TableBodyText"/>
            </w:pPr>
            <w:r>
              <w:t>47.</w:t>
            </w:r>
            <w:r w:rsidR="003A14D1">
              <w:t>7</w:t>
            </w:r>
          </w:p>
        </w:tc>
        <w:tc>
          <w:tcPr>
            <w:tcW w:w="442" w:type="pct"/>
            <w:gridSpan w:val="2"/>
            <w:shd w:val="clear" w:color="auto" w:fill="auto"/>
            <w:vAlign w:val="center"/>
          </w:tcPr>
          <w:p w:rsidR="00E401C0" w:rsidRPr="00825E5F" w:rsidRDefault="000C182C" w:rsidP="003A14D1">
            <w:pPr>
              <w:pStyle w:val="TableBodyText"/>
            </w:pPr>
            <w:r>
              <w:t>58.</w:t>
            </w:r>
            <w:r w:rsidR="003A14D1">
              <w:t>2</w:t>
            </w:r>
          </w:p>
        </w:tc>
        <w:tc>
          <w:tcPr>
            <w:tcW w:w="442" w:type="pct"/>
            <w:gridSpan w:val="3"/>
            <w:shd w:val="clear" w:color="auto" w:fill="auto"/>
            <w:vAlign w:val="center"/>
          </w:tcPr>
          <w:p w:rsidR="00E401C0" w:rsidRPr="00825E5F" w:rsidRDefault="000C182C" w:rsidP="003A14D1">
            <w:pPr>
              <w:pStyle w:val="TableBodyText"/>
            </w:pPr>
            <w:r>
              <w:t>37.</w:t>
            </w:r>
            <w:r w:rsidR="003A14D1">
              <w:t>2</w:t>
            </w:r>
          </w:p>
        </w:tc>
        <w:tc>
          <w:tcPr>
            <w:tcW w:w="444" w:type="pct"/>
            <w:gridSpan w:val="2"/>
            <w:shd w:val="clear" w:color="auto" w:fill="auto"/>
            <w:vAlign w:val="center"/>
          </w:tcPr>
          <w:p w:rsidR="00E401C0" w:rsidRPr="00825E5F" w:rsidRDefault="000C182C" w:rsidP="00825E5F">
            <w:pPr>
              <w:pStyle w:val="TableBodyText"/>
            </w:pPr>
            <w:r>
              <w:t>44.4</w:t>
            </w:r>
          </w:p>
        </w:tc>
        <w:tc>
          <w:tcPr>
            <w:tcW w:w="419" w:type="pct"/>
            <w:gridSpan w:val="2"/>
            <w:vAlign w:val="center"/>
          </w:tcPr>
          <w:p w:rsidR="00E401C0" w:rsidRPr="00825E5F" w:rsidRDefault="000C182C" w:rsidP="00825E5F">
            <w:pPr>
              <w:pStyle w:val="TableBodyText"/>
            </w:pPr>
            <w:r w:rsidRPr="00F866CE">
              <w:t>47.3</w:t>
            </w:r>
          </w:p>
        </w:tc>
        <w:tc>
          <w:tcPr>
            <w:tcW w:w="652" w:type="pct"/>
          </w:tcPr>
          <w:p w:rsidR="00E401C0" w:rsidRPr="009039F3" w:rsidRDefault="00E401C0" w:rsidP="00A97B58">
            <w:pPr>
              <w:pStyle w:val="TableBodyText"/>
              <w:rPr>
                <w:rFonts w:cs="Arial"/>
              </w:rPr>
            </w:pPr>
            <w:r>
              <w:rPr>
                <w:rFonts w:cs="Arial"/>
              </w:rPr>
              <w:t>15A.9</w:t>
            </w:r>
          </w:p>
        </w:tc>
      </w:tr>
      <w:tr w:rsidR="007A514E" w:rsidRPr="00DC618B" w:rsidTr="006B1005">
        <w:trPr>
          <w:trHeight w:val="329"/>
        </w:trPr>
        <w:tc>
          <w:tcPr>
            <w:tcW w:w="5000" w:type="pct"/>
            <w:gridSpan w:val="21"/>
          </w:tcPr>
          <w:p w:rsidR="007A514E" w:rsidRPr="0051549A" w:rsidRDefault="007A514E" w:rsidP="007A514E">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out-of-home care </w:t>
            </w:r>
            <w:r w:rsidRPr="00B667F6">
              <w:rPr>
                <w:b/>
                <w:i w:val="0"/>
              </w:rPr>
              <w:t>indicators</w:t>
            </w:r>
          </w:p>
        </w:tc>
      </w:tr>
      <w:tr w:rsidR="007A514E" w:rsidRPr="00DC618B" w:rsidTr="006B1005">
        <w:trPr>
          <w:trHeight w:val="329"/>
        </w:trPr>
        <w:tc>
          <w:tcPr>
            <w:tcW w:w="5000" w:type="pct"/>
            <w:gridSpan w:val="21"/>
          </w:tcPr>
          <w:p w:rsidR="007A514E" w:rsidRPr="0051549A" w:rsidRDefault="007A514E" w:rsidP="007A514E">
            <w:pPr>
              <w:pStyle w:val="TableColumnHeading"/>
              <w:jc w:val="left"/>
              <w:rPr>
                <w:i w:val="0"/>
              </w:rPr>
            </w:pPr>
            <w:r>
              <w:rPr>
                <w:i w:val="0"/>
              </w:rPr>
              <w:t>Safety in out-of-home care</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7A514E" w:rsidRPr="00DC618B" w:rsidTr="006B1005">
        <w:trPr>
          <w:trHeight w:val="329"/>
        </w:trPr>
        <w:tc>
          <w:tcPr>
            <w:tcW w:w="5000" w:type="pct"/>
            <w:gridSpan w:val="21"/>
          </w:tcPr>
          <w:p w:rsidR="007A514E" w:rsidRPr="009039F3" w:rsidRDefault="007A514E" w:rsidP="00E401C0">
            <w:pPr>
              <w:pStyle w:val="TableColumnHeading"/>
              <w:jc w:val="left"/>
            </w:pPr>
            <w:r w:rsidRPr="009039F3">
              <w:t xml:space="preserve">Children in care who were the subject of a substantiation </w:t>
            </w:r>
            <w:r w:rsidR="00E401C0">
              <w:t xml:space="preserve">and the person responsible was living in the household providing out-of-home care, </w:t>
            </w:r>
            <w:r w:rsidRPr="009039F3">
              <w:t>as a proportion of all children in care</w:t>
            </w:r>
          </w:p>
        </w:tc>
      </w:tr>
      <w:tr w:rsidR="00E401C0" w:rsidTr="006B1005">
        <w:tc>
          <w:tcPr>
            <w:tcW w:w="382" w:type="pct"/>
          </w:tcPr>
          <w:p w:rsidR="00E401C0" w:rsidRDefault="00E401C0" w:rsidP="007A514E">
            <w:pPr>
              <w:pStyle w:val="TableBodyText"/>
            </w:pPr>
            <w:r>
              <w:t>%</w:t>
            </w:r>
          </w:p>
        </w:tc>
        <w:tc>
          <w:tcPr>
            <w:tcW w:w="440" w:type="pct"/>
            <w:vAlign w:val="center"/>
          </w:tcPr>
          <w:p w:rsidR="00E401C0" w:rsidRDefault="00F8227C">
            <w:pPr>
              <w:jc w:val="right"/>
              <w:rPr>
                <w:rFonts w:ascii="Arial" w:hAnsi="Arial" w:cs="Arial"/>
                <w:sz w:val="20"/>
                <w:szCs w:val="20"/>
              </w:rPr>
            </w:pPr>
            <w:r w:rsidRPr="00DC2187">
              <w:rPr>
                <w:rFonts w:ascii="Arial" w:hAnsi="Arial" w:cs="Arial"/>
                <w:sz w:val="20"/>
                <w:szCs w:val="20"/>
              </w:rPr>
              <w:t>0.1</w:t>
            </w:r>
          </w:p>
        </w:tc>
        <w:tc>
          <w:tcPr>
            <w:tcW w:w="441" w:type="pct"/>
            <w:gridSpan w:val="2"/>
            <w:vAlign w:val="center"/>
          </w:tcPr>
          <w:p w:rsidR="00E401C0" w:rsidRPr="00825E5F" w:rsidRDefault="00E401C0" w:rsidP="00825E5F">
            <w:pPr>
              <w:pStyle w:val="TableBodyText"/>
            </w:pPr>
            <w:r w:rsidRPr="00825E5F">
              <w:t>0.6</w:t>
            </w:r>
          </w:p>
        </w:tc>
        <w:tc>
          <w:tcPr>
            <w:tcW w:w="442" w:type="pct"/>
            <w:gridSpan w:val="2"/>
            <w:vAlign w:val="center"/>
          </w:tcPr>
          <w:p w:rsidR="00E401C0" w:rsidRPr="00825E5F" w:rsidRDefault="00E401C0" w:rsidP="00825E5F">
            <w:pPr>
              <w:pStyle w:val="TableBodyText"/>
            </w:pPr>
            <w:r w:rsidRPr="00825E5F">
              <w:t>2.7</w:t>
            </w:r>
          </w:p>
        </w:tc>
        <w:tc>
          <w:tcPr>
            <w:tcW w:w="442" w:type="pct"/>
            <w:gridSpan w:val="3"/>
            <w:vAlign w:val="center"/>
          </w:tcPr>
          <w:p w:rsidR="00E401C0" w:rsidRPr="00825E5F" w:rsidRDefault="00E401C0" w:rsidP="00825E5F">
            <w:pPr>
              <w:pStyle w:val="TableBodyText"/>
            </w:pPr>
            <w:r w:rsidRPr="00825E5F">
              <w:t>0.2</w:t>
            </w:r>
          </w:p>
        </w:tc>
        <w:tc>
          <w:tcPr>
            <w:tcW w:w="454" w:type="pct"/>
            <w:gridSpan w:val="2"/>
            <w:vAlign w:val="center"/>
          </w:tcPr>
          <w:p w:rsidR="00E401C0" w:rsidRPr="00825E5F" w:rsidRDefault="00E401C0" w:rsidP="00825E5F">
            <w:pPr>
              <w:pStyle w:val="TableBodyText"/>
            </w:pPr>
            <w:r w:rsidRPr="00825E5F">
              <w:t>0.2</w:t>
            </w:r>
          </w:p>
        </w:tc>
        <w:tc>
          <w:tcPr>
            <w:tcW w:w="442" w:type="pct"/>
            <w:gridSpan w:val="2"/>
            <w:vAlign w:val="center"/>
          </w:tcPr>
          <w:p w:rsidR="00E401C0" w:rsidRPr="00825E5F" w:rsidRDefault="00E401C0" w:rsidP="00825E5F">
            <w:pPr>
              <w:pStyle w:val="TableBodyText"/>
            </w:pPr>
            <w:r w:rsidRPr="00825E5F">
              <w:t>0.2</w:t>
            </w:r>
          </w:p>
        </w:tc>
        <w:tc>
          <w:tcPr>
            <w:tcW w:w="442" w:type="pct"/>
            <w:gridSpan w:val="3"/>
            <w:vAlign w:val="center"/>
          </w:tcPr>
          <w:p w:rsidR="00E401C0" w:rsidRPr="00825E5F" w:rsidRDefault="00E401C0" w:rsidP="00825E5F">
            <w:pPr>
              <w:pStyle w:val="TableBodyText"/>
            </w:pPr>
            <w:r w:rsidRPr="00825E5F">
              <w:t>0.5</w:t>
            </w:r>
          </w:p>
        </w:tc>
        <w:tc>
          <w:tcPr>
            <w:tcW w:w="444" w:type="pct"/>
            <w:gridSpan w:val="2"/>
            <w:vAlign w:val="center"/>
          </w:tcPr>
          <w:p w:rsidR="00E401C0" w:rsidRPr="00825E5F" w:rsidRDefault="00E401C0" w:rsidP="00825E5F">
            <w:pPr>
              <w:pStyle w:val="TableBodyText"/>
            </w:pPr>
            <w:r w:rsidRPr="00825E5F">
              <w:t>na</w:t>
            </w:r>
          </w:p>
        </w:tc>
        <w:tc>
          <w:tcPr>
            <w:tcW w:w="419" w:type="pct"/>
            <w:gridSpan w:val="2"/>
            <w:vAlign w:val="center"/>
          </w:tcPr>
          <w:p w:rsidR="00E401C0" w:rsidRPr="00825E5F" w:rsidRDefault="00E401C0" w:rsidP="00825E5F">
            <w:pPr>
              <w:pStyle w:val="TableBodyText"/>
            </w:pPr>
            <w:r w:rsidRPr="00825E5F">
              <w:t>..</w:t>
            </w:r>
          </w:p>
        </w:tc>
        <w:tc>
          <w:tcPr>
            <w:tcW w:w="652" w:type="pct"/>
          </w:tcPr>
          <w:p w:rsidR="00E401C0" w:rsidRPr="00551B18" w:rsidRDefault="00E401C0" w:rsidP="003A14D1">
            <w:pPr>
              <w:pStyle w:val="TableBodyText"/>
            </w:pPr>
            <w:r>
              <w:t>15A.</w:t>
            </w:r>
            <w:r w:rsidR="003A14D1">
              <w:t>27</w:t>
            </w:r>
          </w:p>
        </w:tc>
      </w:tr>
      <w:tr w:rsidR="007A514E" w:rsidRPr="00DC618B" w:rsidTr="006B1005">
        <w:trPr>
          <w:trHeight w:val="447"/>
        </w:trPr>
        <w:tc>
          <w:tcPr>
            <w:tcW w:w="5000" w:type="pct"/>
            <w:gridSpan w:val="21"/>
          </w:tcPr>
          <w:p w:rsidR="007A514E" w:rsidRPr="00551B18" w:rsidRDefault="007A514E" w:rsidP="007A514E">
            <w:pPr>
              <w:pStyle w:val="TableColumnHeading"/>
              <w:jc w:val="left"/>
              <w:rPr>
                <w:i w:val="0"/>
              </w:rPr>
            </w:pPr>
            <w:r w:rsidRPr="00551B18">
              <w:rPr>
                <w:i w:val="0"/>
              </w:rPr>
              <w:t>Stability of placement</w:t>
            </w:r>
            <w:r w:rsidRPr="00551B18">
              <w:rPr>
                <w:i w:val="0"/>
              </w:rPr>
              <w:br/>
            </w:r>
            <w:r w:rsidRPr="00551B18">
              <w:rPr>
                <w:i w:val="0"/>
                <w:sz w:val="16"/>
                <w:szCs w:val="16"/>
              </w:rPr>
              <w:t>Data for this indicator are comparable, subject to caveats (chapter 15)</w:t>
            </w:r>
          </w:p>
        </w:tc>
      </w:tr>
      <w:tr w:rsidR="007A514E" w:rsidRPr="00DC618B" w:rsidTr="006B1005">
        <w:trPr>
          <w:trHeight w:val="447"/>
        </w:trPr>
        <w:tc>
          <w:tcPr>
            <w:tcW w:w="5000" w:type="pct"/>
            <w:gridSpan w:val="21"/>
          </w:tcPr>
          <w:p w:rsidR="007A514E" w:rsidRPr="00551B18" w:rsidRDefault="00351386" w:rsidP="007A514E">
            <w:pPr>
              <w:pStyle w:val="TableColumnHeading"/>
              <w:jc w:val="left"/>
            </w:pPr>
            <w:r w:rsidRPr="00551B18">
              <w:t xml:space="preserve">Proportion of children on a care and protection order exiting care after less than 12 months in 1 or 2 placements </w:t>
            </w:r>
          </w:p>
        </w:tc>
      </w:tr>
      <w:tr w:rsidR="00E401C0" w:rsidRPr="00D650F0" w:rsidTr="006B1005">
        <w:tc>
          <w:tcPr>
            <w:tcW w:w="382" w:type="pct"/>
          </w:tcPr>
          <w:p w:rsidR="00E401C0" w:rsidRDefault="00E401C0" w:rsidP="007A514E">
            <w:pPr>
              <w:pStyle w:val="TableBodyText"/>
            </w:pPr>
            <w:r>
              <w:t>%</w:t>
            </w:r>
          </w:p>
        </w:tc>
        <w:tc>
          <w:tcPr>
            <w:tcW w:w="440" w:type="pct"/>
            <w:vAlign w:val="bottom"/>
          </w:tcPr>
          <w:p w:rsidR="00E401C0" w:rsidRPr="000C182C" w:rsidRDefault="00E401C0" w:rsidP="000C182C">
            <w:pPr>
              <w:pStyle w:val="TableBodyText"/>
            </w:pPr>
            <w:r w:rsidRPr="000C182C">
              <w:t>90.1</w:t>
            </w:r>
          </w:p>
        </w:tc>
        <w:tc>
          <w:tcPr>
            <w:tcW w:w="441" w:type="pct"/>
            <w:gridSpan w:val="2"/>
            <w:vAlign w:val="bottom"/>
          </w:tcPr>
          <w:p w:rsidR="00E401C0" w:rsidRPr="000C182C" w:rsidRDefault="00E401C0" w:rsidP="000C182C">
            <w:pPr>
              <w:pStyle w:val="TableBodyText"/>
            </w:pPr>
            <w:r w:rsidRPr="000C182C">
              <w:t>85.4</w:t>
            </w:r>
          </w:p>
        </w:tc>
        <w:tc>
          <w:tcPr>
            <w:tcW w:w="442" w:type="pct"/>
            <w:gridSpan w:val="2"/>
            <w:vAlign w:val="bottom"/>
          </w:tcPr>
          <w:p w:rsidR="00E401C0" w:rsidRPr="000C182C" w:rsidRDefault="00E401C0" w:rsidP="000C182C">
            <w:pPr>
              <w:pStyle w:val="TableBodyText"/>
            </w:pPr>
            <w:r w:rsidRPr="000C182C">
              <w:t>87.3</w:t>
            </w:r>
          </w:p>
        </w:tc>
        <w:tc>
          <w:tcPr>
            <w:tcW w:w="442" w:type="pct"/>
            <w:gridSpan w:val="3"/>
            <w:vAlign w:val="bottom"/>
          </w:tcPr>
          <w:p w:rsidR="00E401C0" w:rsidRPr="000C182C" w:rsidRDefault="00E401C0" w:rsidP="000C182C">
            <w:pPr>
              <w:pStyle w:val="TableBodyText"/>
            </w:pPr>
            <w:r w:rsidRPr="000C182C">
              <w:t>na</w:t>
            </w:r>
          </w:p>
        </w:tc>
        <w:tc>
          <w:tcPr>
            <w:tcW w:w="454" w:type="pct"/>
            <w:gridSpan w:val="2"/>
            <w:vAlign w:val="bottom"/>
          </w:tcPr>
          <w:p w:rsidR="00E401C0" w:rsidRPr="000C182C" w:rsidRDefault="003A14D1" w:rsidP="000C182C">
            <w:pPr>
              <w:pStyle w:val="TableBodyText"/>
            </w:pPr>
            <w:r>
              <w:t>83.2</w:t>
            </w:r>
          </w:p>
        </w:tc>
        <w:tc>
          <w:tcPr>
            <w:tcW w:w="442" w:type="pct"/>
            <w:gridSpan w:val="2"/>
            <w:vAlign w:val="bottom"/>
          </w:tcPr>
          <w:p w:rsidR="00E401C0" w:rsidRPr="000C182C" w:rsidRDefault="00E401C0" w:rsidP="000C182C">
            <w:pPr>
              <w:pStyle w:val="TableBodyText"/>
            </w:pPr>
            <w:r w:rsidRPr="000C182C">
              <w:t>80.3</w:t>
            </w:r>
          </w:p>
        </w:tc>
        <w:tc>
          <w:tcPr>
            <w:tcW w:w="442" w:type="pct"/>
            <w:gridSpan w:val="3"/>
            <w:vAlign w:val="bottom"/>
          </w:tcPr>
          <w:p w:rsidR="00E401C0" w:rsidRPr="000C182C" w:rsidRDefault="00E401C0" w:rsidP="000C182C">
            <w:pPr>
              <w:pStyle w:val="TableBodyText"/>
            </w:pPr>
            <w:r w:rsidRPr="000C182C">
              <w:t>85.4</w:t>
            </w:r>
          </w:p>
        </w:tc>
        <w:tc>
          <w:tcPr>
            <w:tcW w:w="444" w:type="pct"/>
            <w:gridSpan w:val="2"/>
            <w:vAlign w:val="bottom"/>
          </w:tcPr>
          <w:p w:rsidR="00E401C0" w:rsidRPr="000C182C" w:rsidRDefault="00E401C0" w:rsidP="000C182C">
            <w:pPr>
              <w:pStyle w:val="TableBodyText"/>
            </w:pPr>
            <w:r w:rsidRPr="000C182C">
              <w:t>88.9</w:t>
            </w:r>
          </w:p>
        </w:tc>
        <w:tc>
          <w:tcPr>
            <w:tcW w:w="419" w:type="pct"/>
            <w:gridSpan w:val="2"/>
            <w:vAlign w:val="bottom"/>
          </w:tcPr>
          <w:p w:rsidR="00E401C0" w:rsidRPr="000C182C" w:rsidRDefault="00E401C0" w:rsidP="003A14D1">
            <w:pPr>
              <w:pStyle w:val="TableBodyText"/>
            </w:pPr>
            <w:r w:rsidRPr="000C182C">
              <w:t>86.</w:t>
            </w:r>
            <w:r w:rsidR="003A14D1">
              <w:t>6</w:t>
            </w:r>
          </w:p>
        </w:tc>
        <w:tc>
          <w:tcPr>
            <w:tcW w:w="652" w:type="pct"/>
          </w:tcPr>
          <w:p w:rsidR="00E401C0" w:rsidRPr="00551B18" w:rsidRDefault="00E401C0" w:rsidP="00E401C0">
            <w:pPr>
              <w:pStyle w:val="TableBodyText"/>
            </w:pPr>
            <w:r>
              <w:t>15A.26</w:t>
            </w:r>
          </w:p>
        </w:tc>
      </w:tr>
      <w:tr w:rsidR="00351386" w:rsidRPr="00DC618B" w:rsidTr="006B1005">
        <w:trPr>
          <w:trHeight w:val="273"/>
        </w:trPr>
        <w:tc>
          <w:tcPr>
            <w:tcW w:w="5000" w:type="pct"/>
            <w:gridSpan w:val="21"/>
            <w:shd w:val="clear" w:color="auto" w:fill="auto"/>
          </w:tcPr>
          <w:p w:rsidR="00351386" w:rsidRDefault="00351386" w:rsidP="007A514E">
            <w:pPr>
              <w:pStyle w:val="TableColumnHeading"/>
              <w:jc w:val="left"/>
              <w:rPr>
                <w:i w:val="0"/>
              </w:rPr>
            </w:pPr>
            <w:r>
              <w:t>Proportion of children on a care and protection order exiting care after 12 months or more in 1 or 2 placements</w:t>
            </w:r>
          </w:p>
        </w:tc>
      </w:tr>
      <w:tr w:rsidR="00E401C0" w:rsidRPr="00DC618B" w:rsidTr="00E401C0">
        <w:trPr>
          <w:trHeight w:val="273"/>
        </w:trPr>
        <w:tc>
          <w:tcPr>
            <w:tcW w:w="382" w:type="pct"/>
            <w:shd w:val="clear" w:color="auto" w:fill="auto"/>
          </w:tcPr>
          <w:p w:rsidR="00E401C0" w:rsidRDefault="00E401C0" w:rsidP="00351386">
            <w:pPr>
              <w:pStyle w:val="TableBodyText"/>
            </w:pPr>
            <w:r>
              <w:t>%</w:t>
            </w:r>
          </w:p>
        </w:tc>
        <w:tc>
          <w:tcPr>
            <w:tcW w:w="440" w:type="pct"/>
            <w:shd w:val="clear" w:color="auto" w:fill="auto"/>
            <w:vAlign w:val="center"/>
          </w:tcPr>
          <w:p w:rsidR="00E401C0" w:rsidRPr="000C182C" w:rsidRDefault="00E401C0" w:rsidP="000C182C">
            <w:pPr>
              <w:pStyle w:val="TableBodyText"/>
            </w:pPr>
            <w:r w:rsidRPr="000C182C">
              <w:t>53.3</w:t>
            </w:r>
          </w:p>
        </w:tc>
        <w:tc>
          <w:tcPr>
            <w:tcW w:w="441" w:type="pct"/>
            <w:gridSpan w:val="2"/>
            <w:shd w:val="clear" w:color="auto" w:fill="auto"/>
            <w:vAlign w:val="center"/>
          </w:tcPr>
          <w:p w:rsidR="00E401C0" w:rsidRPr="000C182C" w:rsidRDefault="00E401C0" w:rsidP="000C182C">
            <w:pPr>
              <w:pStyle w:val="TableBodyText"/>
            </w:pPr>
            <w:r w:rsidRPr="000C182C">
              <w:t>54.6</w:t>
            </w:r>
          </w:p>
        </w:tc>
        <w:tc>
          <w:tcPr>
            <w:tcW w:w="507" w:type="pct"/>
            <w:gridSpan w:val="4"/>
            <w:shd w:val="clear" w:color="auto" w:fill="auto"/>
            <w:vAlign w:val="center"/>
          </w:tcPr>
          <w:p w:rsidR="00E401C0" w:rsidRPr="000C182C" w:rsidRDefault="00E401C0" w:rsidP="000C182C">
            <w:pPr>
              <w:pStyle w:val="TableBodyText"/>
            </w:pPr>
            <w:r w:rsidRPr="000C182C">
              <w:t>37.7</w:t>
            </w:r>
          </w:p>
        </w:tc>
        <w:tc>
          <w:tcPr>
            <w:tcW w:w="389" w:type="pct"/>
            <w:gridSpan w:val="2"/>
            <w:shd w:val="clear" w:color="auto" w:fill="auto"/>
            <w:vAlign w:val="center"/>
          </w:tcPr>
          <w:p w:rsidR="00E401C0" w:rsidRPr="000C182C" w:rsidRDefault="00E401C0" w:rsidP="000C182C">
            <w:pPr>
              <w:pStyle w:val="TableBodyText"/>
            </w:pPr>
            <w:r w:rsidRPr="000C182C">
              <w:t>na</w:t>
            </w:r>
          </w:p>
        </w:tc>
        <w:tc>
          <w:tcPr>
            <w:tcW w:w="442" w:type="pct"/>
            <w:shd w:val="clear" w:color="auto" w:fill="auto"/>
            <w:vAlign w:val="center"/>
          </w:tcPr>
          <w:p w:rsidR="00E401C0" w:rsidRPr="000C182C" w:rsidRDefault="003A14D1" w:rsidP="000C182C">
            <w:pPr>
              <w:pStyle w:val="TableBodyText"/>
            </w:pPr>
            <w:r>
              <w:t>44.4</w:t>
            </w:r>
          </w:p>
        </w:tc>
        <w:tc>
          <w:tcPr>
            <w:tcW w:w="442" w:type="pct"/>
            <w:gridSpan w:val="2"/>
            <w:shd w:val="clear" w:color="auto" w:fill="auto"/>
            <w:vAlign w:val="center"/>
          </w:tcPr>
          <w:p w:rsidR="00E401C0" w:rsidRPr="000C182C" w:rsidRDefault="00E401C0" w:rsidP="003A14D1">
            <w:pPr>
              <w:pStyle w:val="TableBodyText"/>
            </w:pPr>
            <w:r w:rsidRPr="000C182C">
              <w:t>50.</w:t>
            </w:r>
            <w:r w:rsidR="003A14D1">
              <w:t>8</w:t>
            </w:r>
          </w:p>
        </w:tc>
        <w:tc>
          <w:tcPr>
            <w:tcW w:w="408" w:type="pct"/>
            <w:gridSpan w:val="2"/>
            <w:shd w:val="clear" w:color="auto" w:fill="auto"/>
            <w:vAlign w:val="center"/>
          </w:tcPr>
          <w:p w:rsidR="00E401C0" w:rsidRPr="000C182C" w:rsidRDefault="00E401C0" w:rsidP="000C182C">
            <w:pPr>
              <w:pStyle w:val="TableBodyText"/>
            </w:pPr>
            <w:r w:rsidRPr="000C182C">
              <w:t>59.7</w:t>
            </w:r>
          </w:p>
        </w:tc>
        <w:tc>
          <w:tcPr>
            <w:tcW w:w="494" w:type="pct"/>
            <w:gridSpan w:val="4"/>
            <w:shd w:val="clear" w:color="auto" w:fill="auto"/>
            <w:vAlign w:val="center"/>
          </w:tcPr>
          <w:p w:rsidR="00E401C0" w:rsidRPr="000C182C" w:rsidRDefault="00E401C0" w:rsidP="000C182C">
            <w:pPr>
              <w:pStyle w:val="TableBodyText"/>
            </w:pPr>
            <w:r w:rsidRPr="000C182C">
              <w:t>43.7</w:t>
            </w:r>
          </w:p>
        </w:tc>
        <w:tc>
          <w:tcPr>
            <w:tcW w:w="403" w:type="pct"/>
            <w:shd w:val="clear" w:color="auto" w:fill="auto"/>
            <w:vAlign w:val="center"/>
          </w:tcPr>
          <w:p w:rsidR="00E401C0" w:rsidRPr="000C182C" w:rsidRDefault="00E401C0" w:rsidP="003A14D1">
            <w:pPr>
              <w:pStyle w:val="TableBodyText"/>
            </w:pPr>
            <w:r w:rsidRPr="000C182C">
              <w:t>4</w:t>
            </w:r>
            <w:r w:rsidR="003A14D1">
              <w:t>8.6</w:t>
            </w:r>
          </w:p>
        </w:tc>
        <w:tc>
          <w:tcPr>
            <w:tcW w:w="652" w:type="pct"/>
            <w:shd w:val="clear" w:color="auto" w:fill="auto"/>
          </w:tcPr>
          <w:p w:rsidR="00E401C0" w:rsidRDefault="00E401C0" w:rsidP="00E401C0">
            <w:pPr>
              <w:pStyle w:val="TableBodyText"/>
            </w:pPr>
            <w:r>
              <w:t>15A.26</w:t>
            </w:r>
          </w:p>
        </w:tc>
      </w:tr>
      <w:tr w:rsidR="00351386" w:rsidRPr="00DC618B" w:rsidTr="006B1005">
        <w:trPr>
          <w:trHeight w:val="273"/>
        </w:trPr>
        <w:tc>
          <w:tcPr>
            <w:tcW w:w="5000" w:type="pct"/>
            <w:gridSpan w:val="21"/>
            <w:shd w:val="clear" w:color="auto" w:fill="auto"/>
          </w:tcPr>
          <w:p w:rsidR="00351386" w:rsidRPr="0051549A" w:rsidRDefault="00351386" w:rsidP="007A514E">
            <w:pPr>
              <w:pStyle w:val="TableColumnHeading"/>
              <w:jc w:val="left"/>
              <w:rPr>
                <w:i w:val="0"/>
              </w:rPr>
            </w:pPr>
            <w:r>
              <w:rPr>
                <w:i w:val="0"/>
              </w:rPr>
              <w:t>Children aged under 12 years in home-based care</w:t>
            </w:r>
            <w:r>
              <w:rPr>
                <w:i w:val="0"/>
              </w:rPr>
              <w:br/>
            </w:r>
            <w:r w:rsidRPr="0033586C">
              <w:rPr>
                <w:i w:val="0"/>
                <w:sz w:val="16"/>
                <w:szCs w:val="16"/>
              </w:rPr>
              <w:t xml:space="preserve">Data for this indicator are </w:t>
            </w:r>
            <w:r>
              <w:rPr>
                <w:i w:val="0"/>
                <w:sz w:val="16"/>
                <w:szCs w:val="16"/>
              </w:rPr>
              <w:t xml:space="preserve">comparable, subject to caveats </w:t>
            </w:r>
            <w:r w:rsidRPr="0033586C">
              <w:rPr>
                <w:i w:val="0"/>
                <w:sz w:val="16"/>
                <w:szCs w:val="16"/>
              </w:rPr>
              <w:t>(chapter 1</w:t>
            </w:r>
            <w:r>
              <w:rPr>
                <w:i w:val="0"/>
                <w:sz w:val="16"/>
                <w:szCs w:val="16"/>
              </w:rPr>
              <w:t>5</w:t>
            </w:r>
            <w:r w:rsidRPr="0033586C">
              <w:rPr>
                <w:i w:val="0"/>
                <w:sz w:val="16"/>
                <w:szCs w:val="16"/>
              </w:rPr>
              <w:t>)</w:t>
            </w:r>
          </w:p>
        </w:tc>
      </w:tr>
      <w:tr w:rsidR="00351386" w:rsidRPr="00DC618B" w:rsidTr="006B1005">
        <w:trPr>
          <w:trHeight w:val="273"/>
        </w:trPr>
        <w:tc>
          <w:tcPr>
            <w:tcW w:w="5000" w:type="pct"/>
            <w:gridSpan w:val="21"/>
            <w:shd w:val="clear" w:color="auto" w:fill="auto"/>
          </w:tcPr>
          <w:p w:rsidR="00351386" w:rsidRPr="0051549A" w:rsidRDefault="00351386" w:rsidP="007A514E">
            <w:pPr>
              <w:pStyle w:val="TableColumnHeading"/>
              <w:jc w:val="left"/>
            </w:pPr>
            <w:r>
              <w:t>Proportion of children aged under 12 years in out-of-home care who were in a home-based placement at 30 June</w:t>
            </w:r>
          </w:p>
        </w:tc>
      </w:tr>
      <w:tr w:rsidR="00E401C0" w:rsidTr="00E401C0">
        <w:tc>
          <w:tcPr>
            <w:tcW w:w="382" w:type="pct"/>
            <w:shd w:val="clear" w:color="auto" w:fill="auto"/>
          </w:tcPr>
          <w:p w:rsidR="00E401C0" w:rsidRDefault="00E401C0" w:rsidP="007A514E">
            <w:pPr>
              <w:pStyle w:val="TableBodyText"/>
            </w:pPr>
            <w:r>
              <w:t>%</w:t>
            </w:r>
          </w:p>
        </w:tc>
        <w:tc>
          <w:tcPr>
            <w:tcW w:w="440" w:type="pct"/>
            <w:shd w:val="clear" w:color="auto" w:fill="auto"/>
            <w:vAlign w:val="center"/>
          </w:tcPr>
          <w:p w:rsidR="00E401C0" w:rsidRPr="000C182C" w:rsidRDefault="00E401C0" w:rsidP="000C182C">
            <w:pPr>
              <w:pStyle w:val="TableBodyText"/>
            </w:pPr>
            <w:r w:rsidRPr="000C182C">
              <w:t>99.5</w:t>
            </w:r>
          </w:p>
        </w:tc>
        <w:tc>
          <w:tcPr>
            <w:tcW w:w="441" w:type="pct"/>
            <w:gridSpan w:val="2"/>
            <w:shd w:val="clear" w:color="auto" w:fill="auto"/>
            <w:vAlign w:val="center"/>
          </w:tcPr>
          <w:p w:rsidR="00E401C0" w:rsidRPr="000C182C" w:rsidRDefault="00E401C0" w:rsidP="000C182C">
            <w:pPr>
              <w:pStyle w:val="TableBodyText"/>
            </w:pPr>
            <w:r w:rsidRPr="000C182C">
              <w:t xml:space="preserve">  98.5</w:t>
            </w:r>
          </w:p>
        </w:tc>
        <w:tc>
          <w:tcPr>
            <w:tcW w:w="442" w:type="pct"/>
            <w:gridSpan w:val="2"/>
            <w:shd w:val="clear" w:color="auto" w:fill="auto"/>
            <w:vAlign w:val="center"/>
          </w:tcPr>
          <w:p w:rsidR="00E401C0" w:rsidRPr="000C182C" w:rsidRDefault="00E401C0" w:rsidP="000C182C">
            <w:pPr>
              <w:pStyle w:val="TableBodyText"/>
            </w:pPr>
            <w:r w:rsidRPr="000C182C">
              <w:t xml:space="preserve">  98.1</w:t>
            </w:r>
          </w:p>
        </w:tc>
        <w:tc>
          <w:tcPr>
            <w:tcW w:w="454" w:type="pct"/>
            <w:gridSpan w:val="4"/>
            <w:shd w:val="clear" w:color="auto" w:fill="auto"/>
            <w:vAlign w:val="center"/>
          </w:tcPr>
          <w:p w:rsidR="00E401C0" w:rsidRPr="000C182C" w:rsidRDefault="00E401C0" w:rsidP="000C182C">
            <w:pPr>
              <w:pStyle w:val="TableBodyText"/>
            </w:pPr>
            <w:r w:rsidRPr="000C182C">
              <w:t xml:space="preserve">  84.8</w:t>
            </w:r>
          </w:p>
        </w:tc>
        <w:tc>
          <w:tcPr>
            <w:tcW w:w="442" w:type="pct"/>
            <w:shd w:val="clear" w:color="auto" w:fill="auto"/>
            <w:vAlign w:val="center"/>
          </w:tcPr>
          <w:p w:rsidR="00E401C0" w:rsidRPr="000C182C" w:rsidRDefault="00E401C0" w:rsidP="003A14D1">
            <w:pPr>
              <w:pStyle w:val="TableBodyText"/>
            </w:pPr>
            <w:r w:rsidRPr="000C182C">
              <w:t xml:space="preserve">  </w:t>
            </w:r>
            <w:r w:rsidR="003A14D1">
              <w:t>92.0</w:t>
            </w:r>
          </w:p>
        </w:tc>
        <w:tc>
          <w:tcPr>
            <w:tcW w:w="442" w:type="pct"/>
            <w:gridSpan w:val="2"/>
            <w:shd w:val="clear" w:color="auto" w:fill="auto"/>
            <w:vAlign w:val="center"/>
          </w:tcPr>
          <w:p w:rsidR="00E401C0" w:rsidRPr="000C182C" w:rsidRDefault="00E401C0" w:rsidP="003A14D1">
            <w:pPr>
              <w:pStyle w:val="TableBodyText"/>
            </w:pPr>
            <w:r w:rsidRPr="000C182C">
              <w:t xml:space="preserve">  </w:t>
            </w:r>
            <w:r w:rsidR="003A14D1">
              <w:t>96.0</w:t>
            </w:r>
          </w:p>
        </w:tc>
        <w:tc>
          <w:tcPr>
            <w:tcW w:w="442" w:type="pct"/>
            <w:gridSpan w:val="3"/>
            <w:shd w:val="clear" w:color="auto" w:fill="auto"/>
            <w:vAlign w:val="center"/>
          </w:tcPr>
          <w:p w:rsidR="00E401C0" w:rsidRPr="000C182C" w:rsidRDefault="00E401C0" w:rsidP="000C182C">
            <w:pPr>
              <w:pStyle w:val="TableBodyText"/>
            </w:pPr>
            <w:r w:rsidRPr="000C182C">
              <w:t xml:space="preserve">  98.2</w:t>
            </w:r>
          </w:p>
        </w:tc>
        <w:tc>
          <w:tcPr>
            <w:tcW w:w="444" w:type="pct"/>
            <w:gridSpan w:val="2"/>
            <w:shd w:val="clear" w:color="auto" w:fill="auto"/>
            <w:vAlign w:val="center"/>
          </w:tcPr>
          <w:p w:rsidR="00E401C0" w:rsidRPr="000C182C" w:rsidRDefault="00E401C0" w:rsidP="000C182C">
            <w:pPr>
              <w:pStyle w:val="TableBodyText"/>
            </w:pPr>
            <w:r w:rsidRPr="000C182C">
              <w:t xml:space="preserve">  93.5</w:t>
            </w:r>
          </w:p>
        </w:tc>
        <w:tc>
          <w:tcPr>
            <w:tcW w:w="419" w:type="pct"/>
            <w:gridSpan w:val="2"/>
            <w:vAlign w:val="center"/>
          </w:tcPr>
          <w:p w:rsidR="00E401C0" w:rsidRPr="000C182C" w:rsidRDefault="00E401C0" w:rsidP="000C182C">
            <w:pPr>
              <w:pStyle w:val="TableBodyText"/>
            </w:pPr>
            <w:r w:rsidRPr="000C182C">
              <w:t>96.5</w:t>
            </w:r>
          </w:p>
        </w:tc>
        <w:tc>
          <w:tcPr>
            <w:tcW w:w="652" w:type="pct"/>
          </w:tcPr>
          <w:p w:rsidR="00E401C0" w:rsidRDefault="00E401C0" w:rsidP="00E401C0">
            <w:pPr>
              <w:pStyle w:val="TableBodyText"/>
            </w:pPr>
            <w:r>
              <w:t>15A.25</w:t>
            </w:r>
          </w:p>
        </w:tc>
      </w:tr>
      <w:tr w:rsidR="002027A9" w:rsidRPr="00DC618B" w:rsidTr="006B1005">
        <w:trPr>
          <w:trHeight w:val="329"/>
        </w:trPr>
        <w:tc>
          <w:tcPr>
            <w:tcW w:w="5000" w:type="pct"/>
            <w:gridSpan w:val="21"/>
          </w:tcPr>
          <w:p w:rsidR="002027A9" w:rsidRDefault="002027A9" w:rsidP="009070AD">
            <w:pPr>
              <w:pStyle w:val="TableColumnHeading"/>
              <w:keepNext w:val="0"/>
              <w:keepLines w:val="0"/>
              <w:widowControl w:val="0"/>
              <w:jc w:val="left"/>
            </w:pPr>
            <w:r w:rsidRPr="0051549A">
              <w:rPr>
                <w:i w:val="0"/>
              </w:rPr>
              <w:t>Placement with extended family</w:t>
            </w:r>
            <w:r>
              <w:rPr>
                <w:i w:val="0"/>
              </w:rPr>
              <w:br/>
            </w:r>
            <w:r w:rsidRPr="0033586C">
              <w:rPr>
                <w:i w:val="0"/>
                <w:sz w:val="16"/>
                <w:szCs w:val="16"/>
              </w:rPr>
              <w:t xml:space="preserve">Data for this indicator are </w:t>
            </w:r>
            <w:r>
              <w:rPr>
                <w:i w:val="0"/>
                <w:sz w:val="16"/>
                <w:szCs w:val="16"/>
              </w:rPr>
              <w:t xml:space="preserve">comparable, subject to caveats </w:t>
            </w:r>
            <w:r w:rsidRPr="0033586C">
              <w:rPr>
                <w:i w:val="0"/>
                <w:sz w:val="16"/>
                <w:szCs w:val="16"/>
              </w:rPr>
              <w:t>(chapter 1</w:t>
            </w:r>
            <w:r>
              <w:rPr>
                <w:i w:val="0"/>
                <w:sz w:val="16"/>
                <w:szCs w:val="16"/>
              </w:rPr>
              <w:t>5</w:t>
            </w:r>
            <w:r w:rsidRPr="0033586C">
              <w:rPr>
                <w:i w:val="0"/>
                <w:sz w:val="16"/>
                <w:szCs w:val="16"/>
              </w:rPr>
              <w:t>)</w:t>
            </w:r>
          </w:p>
        </w:tc>
      </w:tr>
      <w:tr w:rsidR="002027A9" w:rsidRPr="00DC618B" w:rsidTr="006B1005">
        <w:trPr>
          <w:trHeight w:val="329"/>
        </w:trPr>
        <w:tc>
          <w:tcPr>
            <w:tcW w:w="5000" w:type="pct"/>
            <w:gridSpan w:val="21"/>
          </w:tcPr>
          <w:p w:rsidR="002027A9" w:rsidRPr="0051549A" w:rsidRDefault="002027A9" w:rsidP="009070AD">
            <w:pPr>
              <w:pStyle w:val="TableColumnHeading"/>
              <w:keepNext w:val="0"/>
              <w:keepLines w:val="0"/>
              <w:widowControl w:val="0"/>
              <w:jc w:val="left"/>
            </w:pPr>
            <w:r>
              <w:t>Proportion of c</w:t>
            </w:r>
            <w:r w:rsidRPr="0051549A">
              <w:t>hildren in out-of-home care placed with relatives/kin</w:t>
            </w:r>
            <w:r>
              <w:t xml:space="preserve"> at 30 June</w:t>
            </w:r>
          </w:p>
        </w:tc>
      </w:tr>
      <w:tr w:rsidR="00E401C0" w:rsidTr="00E401C0">
        <w:tc>
          <w:tcPr>
            <w:tcW w:w="382" w:type="pct"/>
          </w:tcPr>
          <w:p w:rsidR="00E401C0" w:rsidRDefault="00E401C0" w:rsidP="009070AD">
            <w:pPr>
              <w:pStyle w:val="TableBodyText"/>
              <w:keepNext w:val="0"/>
              <w:keepLines w:val="0"/>
              <w:widowControl w:val="0"/>
            </w:pPr>
            <w:r>
              <w:t>%</w:t>
            </w:r>
          </w:p>
        </w:tc>
        <w:tc>
          <w:tcPr>
            <w:tcW w:w="469" w:type="pct"/>
            <w:gridSpan w:val="2"/>
            <w:vAlign w:val="center"/>
          </w:tcPr>
          <w:p w:rsidR="00E401C0" w:rsidRPr="000C182C" w:rsidRDefault="00E401C0" w:rsidP="000C182C">
            <w:pPr>
              <w:pStyle w:val="TableBodyText"/>
            </w:pPr>
            <w:r w:rsidRPr="000C182C">
              <w:t xml:space="preserve">  55.8</w:t>
            </w:r>
          </w:p>
        </w:tc>
        <w:tc>
          <w:tcPr>
            <w:tcW w:w="442" w:type="pct"/>
            <w:gridSpan w:val="2"/>
            <w:vAlign w:val="center"/>
          </w:tcPr>
          <w:p w:rsidR="00E401C0" w:rsidRPr="000C182C" w:rsidRDefault="00E401C0" w:rsidP="000C182C">
            <w:pPr>
              <w:pStyle w:val="TableBodyText"/>
            </w:pPr>
            <w:r w:rsidRPr="000C182C">
              <w:t xml:space="preserve">  49.9</w:t>
            </w:r>
          </w:p>
        </w:tc>
        <w:tc>
          <w:tcPr>
            <w:tcW w:w="440" w:type="pct"/>
            <w:gridSpan w:val="2"/>
            <w:vAlign w:val="center"/>
          </w:tcPr>
          <w:p w:rsidR="00E401C0" w:rsidRPr="000C182C" w:rsidRDefault="00E401C0" w:rsidP="000C182C">
            <w:pPr>
              <w:pStyle w:val="TableBodyText"/>
            </w:pPr>
            <w:r w:rsidRPr="000C182C">
              <w:t xml:space="preserve">  37.2</w:t>
            </w:r>
          </w:p>
        </w:tc>
        <w:tc>
          <w:tcPr>
            <w:tcW w:w="426" w:type="pct"/>
            <w:gridSpan w:val="3"/>
            <w:vAlign w:val="center"/>
          </w:tcPr>
          <w:p w:rsidR="00E401C0" w:rsidRPr="000C182C" w:rsidRDefault="00E401C0" w:rsidP="000C182C">
            <w:pPr>
              <w:pStyle w:val="TableBodyText"/>
            </w:pPr>
            <w:r w:rsidRPr="000C182C">
              <w:t xml:space="preserve">  44.5</w:t>
            </w:r>
          </w:p>
        </w:tc>
        <w:tc>
          <w:tcPr>
            <w:tcW w:w="458" w:type="pct"/>
            <w:gridSpan w:val="2"/>
            <w:vAlign w:val="center"/>
          </w:tcPr>
          <w:p w:rsidR="00E401C0" w:rsidRPr="000C182C" w:rsidRDefault="00E401C0" w:rsidP="003A14D1">
            <w:pPr>
              <w:pStyle w:val="TableBodyText"/>
            </w:pPr>
            <w:r w:rsidRPr="000C182C">
              <w:t xml:space="preserve">  44.</w:t>
            </w:r>
            <w:r w:rsidR="003A14D1">
              <w:t>8</w:t>
            </w:r>
          </w:p>
        </w:tc>
        <w:tc>
          <w:tcPr>
            <w:tcW w:w="440" w:type="pct"/>
            <w:gridSpan w:val="2"/>
            <w:vAlign w:val="center"/>
          </w:tcPr>
          <w:p w:rsidR="00E401C0" w:rsidRPr="000C182C" w:rsidRDefault="00E401C0" w:rsidP="003A14D1">
            <w:pPr>
              <w:pStyle w:val="TableBodyText"/>
            </w:pPr>
            <w:r w:rsidRPr="000C182C">
              <w:t xml:space="preserve">  28.</w:t>
            </w:r>
            <w:r w:rsidR="003A14D1">
              <w:t>4</w:t>
            </w:r>
          </w:p>
        </w:tc>
        <w:tc>
          <w:tcPr>
            <w:tcW w:w="442" w:type="pct"/>
            <w:gridSpan w:val="3"/>
            <w:vAlign w:val="center"/>
          </w:tcPr>
          <w:p w:rsidR="00E401C0" w:rsidRPr="000C182C" w:rsidRDefault="00E401C0" w:rsidP="000C182C">
            <w:pPr>
              <w:pStyle w:val="TableBodyText"/>
            </w:pPr>
            <w:r w:rsidRPr="000C182C">
              <w:t xml:space="preserve">  52.1</w:t>
            </w:r>
          </w:p>
        </w:tc>
        <w:tc>
          <w:tcPr>
            <w:tcW w:w="430" w:type="pct"/>
            <w:vAlign w:val="center"/>
          </w:tcPr>
          <w:p w:rsidR="00E401C0" w:rsidRPr="000C182C" w:rsidRDefault="00E401C0" w:rsidP="000C182C">
            <w:pPr>
              <w:pStyle w:val="TableBodyText"/>
            </w:pPr>
            <w:r w:rsidRPr="000C182C">
              <w:t xml:space="preserve">  5.3</w:t>
            </w:r>
          </w:p>
        </w:tc>
        <w:tc>
          <w:tcPr>
            <w:tcW w:w="419" w:type="pct"/>
            <w:gridSpan w:val="2"/>
            <w:vAlign w:val="center"/>
          </w:tcPr>
          <w:p w:rsidR="00E401C0" w:rsidRPr="000C182C" w:rsidRDefault="00E401C0" w:rsidP="000C182C">
            <w:pPr>
              <w:pStyle w:val="TableBodyText"/>
            </w:pPr>
            <w:r w:rsidRPr="000C182C">
              <w:t xml:space="preserve">  47.7</w:t>
            </w:r>
          </w:p>
        </w:tc>
        <w:tc>
          <w:tcPr>
            <w:tcW w:w="652" w:type="pct"/>
          </w:tcPr>
          <w:p w:rsidR="00E401C0" w:rsidRDefault="00E401C0" w:rsidP="00E401C0">
            <w:pPr>
              <w:pStyle w:val="TableBodyText"/>
              <w:keepNext w:val="0"/>
              <w:keepLines w:val="0"/>
              <w:widowControl w:val="0"/>
            </w:pPr>
            <w:r>
              <w:t>15A.23</w:t>
            </w:r>
          </w:p>
        </w:tc>
      </w:tr>
      <w:tr w:rsidR="002027A9" w:rsidRPr="003E08D7" w:rsidTr="006B1005">
        <w:tc>
          <w:tcPr>
            <w:tcW w:w="5000" w:type="pct"/>
            <w:gridSpan w:val="21"/>
            <w:shd w:val="clear" w:color="auto" w:fill="auto"/>
          </w:tcPr>
          <w:p w:rsidR="002027A9" w:rsidRPr="004B6CA2" w:rsidRDefault="002027A9" w:rsidP="009070AD">
            <w:pPr>
              <w:pStyle w:val="Continued"/>
            </w:pPr>
            <w:r w:rsidRPr="004B6CA2">
              <w:lastRenderedPageBreak/>
              <w:t>(continued on next page)</w:t>
            </w:r>
          </w:p>
        </w:tc>
      </w:tr>
    </w:tbl>
    <w:p w:rsidR="00351386" w:rsidRDefault="00351386" w:rsidP="00351386">
      <w:pPr>
        <w:widowControl w:val="0"/>
      </w:pPr>
      <w:r w:rsidRPr="007612E5">
        <w:rPr>
          <w:rFonts w:ascii="Arial" w:hAnsi="Arial"/>
        </w:rPr>
        <w:t xml:space="preserve">Table </w:t>
      </w:r>
      <w:r w:rsidR="00197646" w:rsidRPr="00197646">
        <w:rPr>
          <w:rFonts w:ascii="Arial" w:hAnsi="Arial"/>
          <w:noProof/>
        </w:rPr>
        <w:t>F.5</w:t>
      </w:r>
      <w:r w:rsidRPr="007612E5">
        <w:rPr>
          <w:rFonts w:ascii="Arial" w:hAnsi="Arial"/>
        </w:rPr>
        <w:tab/>
      </w:r>
      <w:r w:rsidRPr="00697B14">
        <w:rPr>
          <w:rFonts w:ascii="Arial" w:hAnsi="Arial"/>
          <w:b/>
        </w:rPr>
        <w:t>(continued)</w:t>
      </w:r>
    </w:p>
    <w:tbl>
      <w:tblPr>
        <w:tblW w:w="5000" w:type="pct"/>
        <w:tblCellMar>
          <w:left w:w="0" w:type="dxa"/>
          <w:right w:w="0" w:type="dxa"/>
        </w:tblCellMar>
        <w:tblLook w:val="0000" w:firstRow="0" w:lastRow="0" w:firstColumn="0" w:lastColumn="0" w:noHBand="0" w:noVBand="0"/>
      </w:tblPr>
      <w:tblGrid>
        <w:gridCol w:w="250"/>
        <w:gridCol w:w="47"/>
        <w:gridCol w:w="780"/>
        <w:gridCol w:w="77"/>
        <w:gridCol w:w="782"/>
        <w:gridCol w:w="76"/>
        <w:gridCol w:w="783"/>
        <w:gridCol w:w="76"/>
        <w:gridCol w:w="804"/>
        <w:gridCol w:w="55"/>
        <w:gridCol w:w="13"/>
        <w:gridCol w:w="804"/>
        <w:gridCol w:w="34"/>
        <w:gridCol w:w="9"/>
        <w:gridCol w:w="820"/>
        <w:gridCol w:w="22"/>
        <w:gridCol w:w="12"/>
        <w:gridCol w:w="840"/>
        <w:gridCol w:w="6"/>
        <w:gridCol w:w="14"/>
        <w:gridCol w:w="874"/>
        <w:gridCol w:w="38"/>
        <w:gridCol w:w="87"/>
        <w:gridCol w:w="681"/>
        <w:gridCol w:w="9"/>
        <w:gridCol w:w="43"/>
        <w:gridCol w:w="753"/>
      </w:tblGrid>
      <w:tr w:rsidR="00DD473D" w:rsidRPr="00DC618B" w:rsidTr="00DD473D">
        <w:trPr>
          <w:trHeight w:val="329"/>
        </w:trPr>
        <w:tc>
          <w:tcPr>
            <w:tcW w:w="101" w:type="pct"/>
            <w:tcBorders>
              <w:top w:val="single" w:sz="4" w:space="0" w:color="auto"/>
              <w:bottom w:val="single" w:sz="4" w:space="0" w:color="auto"/>
            </w:tcBorders>
          </w:tcPr>
          <w:p w:rsidR="00351386" w:rsidRPr="00351386" w:rsidRDefault="00351386" w:rsidP="00351386">
            <w:pPr>
              <w:pStyle w:val="TableColumnHeading"/>
              <w:keepNext w:val="0"/>
              <w:keepLines w:val="0"/>
              <w:widowControl w:val="0"/>
              <w:jc w:val="left"/>
            </w:pPr>
          </w:p>
        </w:tc>
        <w:tc>
          <w:tcPr>
            <w:tcW w:w="468" w:type="pct"/>
            <w:gridSpan w:val="2"/>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NSW</w:t>
            </w:r>
          </w:p>
        </w:tc>
        <w:tc>
          <w:tcPr>
            <w:tcW w:w="499" w:type="pct"/>
            <w:gridSpan w:val="2"/>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Vic</w:t>
            </w:r>
          </w:p>
        </w:tc>
        <w:tc>
          <w:tcPr>
            <w:tcW w:w="498" w:type="pct"/>
            <w:gridSpan w:val="2"/>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Qld</w:t>
            </w:r>
          </w:p>
        </w:tc>
        <w:tc>
          <w:tcPr>
            <w:tcW w:w="510" w:type="pct"/>
            <w:gridSpan w:val="2"/>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WA</w:t>
            </w:r>
          </w:p>
        </w:tc>
        <w:tc>
          <w:tcPr>
            <w:tcW w:w="510" w:type="pct"/>
            <w:gridSpan w:val="3"/>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SA</w:t>
            </w:r>
          </w:p>
        </w:tc>
        <w:tc>
          <w:tcPr>
            <w:tcW w:w="505" w:type="pct"/>
            <w:gridSpan w:val="3"/>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Tas</w:t>
            </w:r>
          </w:p>
        </w:tc>
        <w:tc>
          <w:tcPr>
            <w:tcW w:w="511" w:type="pct"/>
            <w:gridSpan w:val="3"/>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ACT</w:t>
            </w:r>
          </w:p>
        </w:tc>
        <w:tc>
          <w:tcPr>
            <w:tcW w:w="602" w:type="pct"/>
            <w:gridSpan w:val="5"/>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NT</w:t>
            </w:r>
          </w:p>
        </w:tc>
        <w:tc>
          <w:tcPr>
            <w:tcW w:w="431" w:type="pct"/>
            <w:gridSpan w:val="3"/>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Aust</w:t>
            </w:r>
          </w:p>
        </w:tc>
        <w:tc>
          <w:tcPr>
            <w:tcW w:w="364" w:type="pct"/>
            <w:tcBorders>
              <w:top w:val="single" w:sz="4" w:space="0" w:color="auto"/>
              <w:bottom w:val="single" w:sz="4" w:space="0" w:color="auto"/>
            </w:tcBorders>
          </w:tcPr>
          <w:p w:rsidR="00351386" w:rsidRPr="00351386" w:rsidRDefault="00351386" w:rsidP="00351386">
            <w:pPr>
              <w:pStyle w:val="TableColumnHeading"/>
              <w:keepNext w:val="0"/>
              <w:keepLines w:val="0"/>
              <w:widowControl w:val="0"/>
            </w:pPr>
            <w:r>
              <w:t>Source</w:t>
            </w:r>
          </w:p>
        </w:tc>
      </w:tr>
      <w:tr w:rsidR="00351386" w:rsidRPr="00DC618B" w:rsidTr="006B1005">
        <w:trPr>
          <w:trHeight w:val="447"/>
        </w:trPr>
        <w:tc>
          <w:tcPr>
            <w:tcW w:w="5000" w:type="pct"/>
            <w:gridSpan w:val="27"/>
            <w:tcBorders>
              <w:top w:val="single" w:sz="4" w:space="0" w:color="auto"/>
            </w:tcBorders>
          </w:tcPr>
          <w:p w:rsidR="00351386" w:rsidRPr="0051549A" w:rsidRDefault="00351386" w:rsidP="00351386">
            <w:pPr>
              <w:pStyle w:val="TableColumnHeading"/>
              <w:keepNext w:val="0"/>
              <w:keepLines w:val="0"/>
              <w:widowControl w:val="0"/>
              <w:jc w:val="left"/>
              <w:rPr>
                <w:i w:val="0"/>
              </w:rPr>
            </w:pPr>
            <w:r w:rsidRPr="0051549A">
              <w:rPr>
                <w:i w:val="0"/>
              </w:rPr>
              <w:t>Placement in accordance with Aboriginal Child Placement Principle</w:t>
            </w:r>
            <w:r>
              <w:t xml:space="preserve"> </w:t>
            </w:r>
            <w:r>
              <w:br/>
            </w:r>
            <w:r w:rsidRPr="0033586C">
              <w:rPr>
                <w:i w:val="0"/>
                <w:sz w:val="16"/>
                <w:szCs w:val="16"/>
              </w:rPr>
              <w:t>Data for this indicator are comparable, subject to caveats (chapter 1</w:t>
            </w:r>
            <w:r>
              <w:rPr>
                <w:i w:val="0"/>
                <w:sz w:val="16"/>
                <w:szCs w:val="16"/>
              </w:rPr>
              <w:t>5</w:t>
            </w:r>
            <w:r w:rsidRPr="0033586C">
              <w:rPr>
                <w:i w:val="0"/>
                <w:sz w:val="16"/>
                <w:szCs w:val="16"/>
              </w:rPr>
              <w:t>)</w:t>
            </w:r>
          </w:p>
        </w:tc>
      </w:tr>
      <w:tr w:rsidR="008928A2" w:rsidRPr="00222E3B" w:rsidTr="006B1005">
        <w:trPr>
          <w:trHeight w:val="447"/>
        </w:trPr>
        <w:tc>
          <w:tcPr>
            <w:tcW w:w="5000" w:type="pct"/>
            <w:gridSpan w:val="27"/>
          </w:tcPr>
          <w:p w:rsidR="008928A2" w:rsidRPr="00222E3B" w:rsidRDefault="008928A2" w:rsidP="00351386">
            <w:pPr>
              <w:pStyle w:val="TableColumnHeading"/>
              <w:keepNext w:val="0"/>
              <w:keepLines w:val="0"/>
              <w:widowControl w:val="0"/>
              <w:jc w:val="left"/>
            </w:pPr>
            <w:r>
              <w:t>Proportion of Indigenous children placed in accordance with the Aboriginal Child Placement Principle</w:t>
            </w:r>
          </w:p>
        </w:tc>
      </w:tr>
      <w:tr w:rsidR="003A14D1" w:rsidTr="00DD473D">
        <w:tc>
          <w:tcPr>
            <w:tcW w:w="120" w:type="pct"/>
            <w:gridSpan w:val="2"/>
            <w:shd w:val="clear" w:color="auto" w:fill="auto"/>
          </w:tcPr>
          <w:p w:rsidR="00E401C0" w:rsidRDefault="00E401C0" w:rsidP="00351386">
            <w:pPr>
              <w:pStyle w:val="TableBodyText"/>
              <w:keepNext w:val="0"/>
              <w:keepLines w:val="0"/>
              <w:widowControl w:val="0"/>
            </w:pPr>
            <w:r>
              <w:t>%</w:t>
            </w:r>
          </w:p>
        </w:tc>
        <w:tc>
          <w:tcPr>
            <w:tcW w:w="498" w:type="pct"/>
            <w:gridSpan w:val="2"/>
            <w:shd w:val="clear" w:color="auto" w:fill="auto"/>
            <w:vAlign w:val="center"/>
          </w:tcPr>
          <w:p w:rsidR="00E401C0" w:rsidRPr="00A65539" w:rsidRDefault="00E401C0" w:rsidP="00A65539">
            <w:pPr>
              <w:pStyle w:val="TableBodyText"/>
            </w:pPr>
            <w:r w:rsidRPr="00A65539">
              <w:t>81.7</w:t>
            </w:r>
          </w:p>
        </w:tc>
        <w:tc>
          <w:tcPr>
            <w:tcW w:w="498" w:type="pct"/>
            <w:gridSpan w:val="2"/>
            <w:shd w:val="clear" w:color="auto" w:fill="auto"/>
            <w:vAlign w:val="center"/>
          </w:tcPr>
          <w:p w:rsidR="00E401C0" w:rsidRPr="00A65539" w:rsidRDefault="00E401C0" w:rsidP="00A65539">
            <w:pPr>
              <w:pStyle w:val="TableBodyText"/>
            </w:pPr>
            <w:r w:rsidRPr="00A65539">
              <w:t>60.9</w:t>
            </w:r>
          </w:p>
        </w:tc>
        <w:tc>
          <w:tcPr>
            <w:tcW w:w="498" w:type="pct"/>
            <w:gridSpan w:val="2"/>
            <w:shd w:val="clear" w:color="auto" w:fill="auto"/>
            <w:vAlign w:val="center"/>
          </w:tcPr>
          <w:p w:rsidR="00E401C0" w:rsidRPr="00A65539" w:rsidRDefault="00E401C0" w:rsidP="00A65539">
            <w:pPr>
              <w:pStyle w:val="TableBodyText"/>
            </w:pPr>
            <w:r w:rsidRPr="00A65539">
              <w:t>55.5</w:t>
            </w:r>
          </w:p>
        </w:tc>
        <w:tc>
          <w:tcPr>
            <w:tcW w:w="510" w:type="pct"/>
            <w:gridSpan w:val="3"/>
            <w:shd w:val="clear" w:color="auto" w:fill="auto"/>
            <w:vAlign w:val="center"/>
          </w:tcPr>
          <w:p w:rsidR="00E401C0" w:rsidRPr="00A65539" w:rsidRDefault="00E401C0" w:rsidP="00A65539">
            <w:pPr>
              <w:pStyle w:val="TableBodyText"/>
            </w:pPr>
            <w:r w:rsidRPr="00A65539">
              <w:t>65.9</w:t>
            </w:r>
          </w:p>
        </w:tc>
        <w:tc>
          <w:tcPr>
            <w:tcW w:w="494" w:type="pct"/>
            <w:gridSpan w:val="3"/>
            <w:shd w:val="clear" w:color="auto" w:fill="auto"/>
            <w:vAlign w:val="center"/>
          </w:tcPr>
          <w:p w:rsidR="00E401C0" w:rsidRPr="00A65539" w:rsidRDefault="003737D5" w:rsidP="00A65539">
            <w:pPr>
              <w:pStyle w:val="TableBodyText"/>
            </w:pPr>
            <w:r>
              <w:t>67.1</w:t>
            </w:r>
          </w:p>
        </w:tc>
        <w:tc>
          <w:tcPr>
            <w:tcW w:w="501" w:type="pct"/>
            <w:gridSpan w:val="3"/>
            <w:shd w:val="clear" w:color="auto" w:fill="auto"/>
            <w:vAlign w:val="center"/>
          </w:tcPr>
          <w:p w:rsidR="00E401C0" w:rsidRPr="00A65539" w:rsidRDefault="00E401C0" w:rsidP="003A14D1">
            <w:pPr>
              <w:pStyle w:val="TableBodyText"/>
            </w:pPr>
            <w:r w:rsidRPr="00A65539">
              <w:t>40.</w:t>
            </w:r>
            <w:r w:rsidR="003A14D1">
              <w:t>0</w:t>
            </w:r>
          </w:p>
        </w:tc>
        <w:tc>
          <w:tcPr>
            <w:tcW w:w="502" w:type="pct"/>
            <w:gridSpan w:val="3"/>
            <w:shd w:val="clear" w:color="auto" w:fill="auto"/>
            <w:vAlign w:val="center"/>
          </w:tcPr>
          <w:p w:rsidR="00E401C0" w:rsidRPr="00A65539" w:rsidRDefault="00E401C0" w:rsidP="00A65539">
            <w:pPr>
              <w:pStyle w:val="TableBodyText"/>
            </w:pPr>
            <w:r w:rsidRPr="00A65539">
              <w:t>60.0</w:t>
            </w:r>
          </w:p>
        </w:tc>
        <w:tc>
          <w:tcPr>
            <w:tcW w:w="503" w:type="pct"/>
            <w:shd w:val="clear" w:color="auto" w:fill="auto"/>
            <w:vAlign w:val="center"/>
          </w:tcPr>
          <w:p w:rsidR="00E401C0" w:rsidRPr="00A65539" w:rsidRDefault="00E401C0" w:rsidP="00A65539">
            <w:pPr>
              <w:pStyle w:val="TableBodyText"/>
            </w:pPr>
            <w:r w:rsidRPr="00A65539">
              <w:t>43.9</w:t>
            </w:r>
          </w:p>
        </w:tc>
        <w:tc>
          <w:tcPr>
            <w:tcW w:w="472" w:type="pct"/>
            <w:gridSpan w:val="3"/>
            <w:vAlign w:val="center"/>
          </w:tcPr>
          <w:p w:rsidR="00E401C0" w:rsidRPr="00A65539" w:rsidRDefault="00E401C0" w:rsidP="003737D5">
            <w:pPr>
              <w:pStyle w:val="TableBodyText"/>
            </w:pPr>
            <w:r w:rsidRPr="00A65539">
              <w:t>68.</w:t>
            </w:r>
            <w:r w:rsidR="003737D5">
              <w:t>8</w:t>
            </w:r>
          </w:p>
        </w:tc>
        <w:tc>
          <w:tcPr>
            <w:tcW w:w="402" w:type="pct"/>
            <w:gridSpan w:val="3"/>
          </w:tcPr>
          <w:p w:rsidR="00E401C0" w:rsidRDefault="00E401C0" w:rsidP="003A14D1">
            <w:pPr>
              <w:pStyle w:val="TableBodyText"/>
              <w:keepNext w:val="0"/>
              <w:keepLines w:val="0"/>
              <w:widowControl w:val="0"/>
            </w:pPr>
            <w:r>
              <w:t>15A.</w:t>
            </w:r>
            <w:r w:rsidR="003A14D1">
              <w:t>24</w:t>
            </w:r>
          </w:p>
        </w:tc>
      </w:tr>
      <w:tr w:rsidR="007A514E" w:rsidRPr="00DC618B" w:rsidTr="006B1005">
        <w:trPr>
          <w:trHeight w:val="329"/>
        </w:trPr>
        <w:tc>
          <w:tcPr>
            <w:tcW w:w="5000" w:type="pct"/>
            <w:gridSpan w:val="27"/>
          </w:tcPr>
          <w:p w:rsidR="007A514E" w:rsidRPr="009F07D8" w:rsidRDefault="007A514E" w:rsidP="00351386">
            <w:pPr>
              <w:pStyle w:val="TableColumnHeading"/>
              <w:keepNext w:val="0"/>
              <w:keepLines w:val="0"/>
              <w:widowControl w:val="0"/>
              <w:jc w:val="left"/>
              <w:rPr>
                <w:b/>
                <w:i w:val="0"/>
              </w:rPr>
            </w:pPr>
            <w:r w:rsidRPr="009F07D8">
              <w:rPr>
                <w:b/>
                <w:i w:val="0"/>
              </w:rPr>
              <w:t>Efficiency – child protection services</w:t>
            </w:r>
          </w:p>
        </w:tc>
      </w:tr>
      <w:tr w:rsidR="007A514E" w:rsidRPr="00DC618B" w:rsidTr="006B1005">
        <w:trPr>
          <w:trHeight w:val="329"/>
        </w:trPr>
        <w:tc>
          <w:tcPr>
            <w:tcW w:w="5000" w:type="pct"/>
            <w:gridSpan w:val="27"/>
          </w:tcPr>
          <w:p w:rsidR="007A514E" w:rsidRPr="0051549A" w:rsidRDefault="007A514E" w:rsidP="00351386">
            <w:pPr>
              <w:pStyle w:val="TableColumnHeading"/>
              <w:keepNext w:val="0"/>
              <w:keepLines w:val="0"/>
              <w:widowControl w:val="0"/>
              <w:jc w:val="left"/>
              <w:rPr>
                <w:i w:val="0"/>
              </w:rPr>
            </w:pPr>
            <w:r>
              <w:rPr>
                <w:i w:val="0"/>
              </w:rPr>
              <w:t>Total expenditure on all child protection activities, per notification, investigation and substantiation</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7A514E" w:rsidRPr="00DC618B" w:rsidTr="006B1005">
        <w:trPr>
          <w:trHeight w:val="329"/>
        </w:trPr>
        <w:tc>
          <w:tcPr>
            <w:tcW w:w="5000" w:type="pct"/>
            <w:gridSpan w:val="27"/>
          </w:tcPr>
          <w:p w:rsidR="007A514E" w:rsidRPr="009F07D8" w:rsidRDefault="007A514E" w:rsidP="00351386">
            <w:pPr>
              <w:pStyle w:val="TableColumnHeading"/>
              <w:keepNext w:val="0"/>
              <w:keepLines w:val="0"/>
              <w:widowControl w:val="0"/>
              <w:jc w:val="left"/>
            </w:pPr>
            <w:r w:rsidRPr="009F07D8">
              <w:t xml:space="preserve">Expenditure </w:t>
            </w:r>
            <w:r>
              <w:t>per notification</w:t>
            </w:r>
          </w:p>
        </w:tc>
      </w:tr>
      <w:tr w:rsidR="00DD473D" w:rsidTr="00DD473D">
        <w:tc>
          <w:tcPr>
            <w:tcW w:w="120" w:type="pct"/>
            <w:gridSpan w:val="2"/>
          </w:tcPr>
          <w:p w:rsidR="007A514E" w:rsidRPr="00020A6A" w:rsidRDefault="007A514E" w:rsidP="00351386">
            <w:pPr>
              <w:pStyle w:val="TableBodyText"/>
              <w:keepNext w:val="0"/>
              <w:keepLines w:val="0"/>
              <w:widowControl w:val="0"/>
            </w:pPr>
            <w:r w:rsidRPr="00020A6A">
              <w:t>$</w:t>
            </w:r>
          </w:p>
        </w:tc>
        <w:tc>
          <w:tcPr>
            <w:tcW w:w="498" w:type="pct"/>
            <w:gridSpan w:val="2"/>
            <w:vAlign w:val="bottom"/>
          </w:tcPr>
          <w:p w:rsidR="007A514E" w:rsidRPr="00A65539" w:rsidRDefault="00E401C0" w:rsidP="00A65539">
            <w:pPr>
              <w:pStyle w:val="TableBodyText"/>
            </w:pPr>
            <w:r w:rsidRPr="00A65539">
              <w:t>3</w:t>
            </w:r>
            <w:r w:rsidR="00A65539">
              <w:t xml:space="preserve"> </w:t>
            </w:r>
            <w:r w:rsidRPr="00A65539">
              <w:t>470</w:t>
            </w:r>
          </w:p>
        </w:tc>
        <w:tc>
          <w:tcPr>
            <w:tcW w:w="498" w:type="pct"/>
            <w:gridSpan w:val="2"/>
            <w:vAlign w:val="bottom"/>
          </w:tcPr>
          <w:p w:rsidR="007A514E" w:rsidRPr="00A65539" w:rsidRDefault="00E401C0" w:rsidP="00A65539">
            <w:pPr>
              <w:pStyle w:val="TableBodyText"/>
            </w:pPr>
            <w:r w:rsidRPr="00A65539">
              <w:t>2</w:t>
            </w:r>
            <w:r w:rsidR="00A65539">
              <w:t xml:space="preserve"> </w:t>
            </w:r>
            <w:r w:rsidRPr="00A65539">
              <w:t>709</w:t>
            </w:r>
          </w:p>
        </w:tc>
        <w:tc>
          <w:tcPr>
            <w:tcW w:w="498" w:type="pct"/>
            <w:gridSpan w:val="2"/>
            <w:vAlign w:val="bottom"/>
          </w:tcPr>
          <w:p w:rsidR="007A514E" w:rsidRPr="00DC2187" w:rsidRDefault="00E401C0" w:rsidP="00F8227C">
            <w:pPr>
              <w:pStyle w:val="TableBodyText"/>
            </w:pPr>
            <w:r w:rsidRPr="00DC2187">
              <w:t>12</w:t>
            </w:r>
            <w:r w:rsidR="00A65539" w:rsidRPr="00DC2187">
              <w:t xml:space="preserve"> </w:t>
            </w:r>
            <w:r w:rsidRPr="00DC2187">
              <w:t>4</w:t>
            </w:r>
            <w:r w:rsidR="00F8227C" w:rsidRPr="00DC2187">
              <w:t>34</w:t>
            </w:r>
          </w:p>
        </w:tc>
        <w:tc>
          <w:tcPr>
            <w:tcW w:w="498" w:type="pct"/>
            <w:gridSpan w:val="2"/>
            <w:vAlign w:val="bottom"/>
          </w:tcPr>
          <w:p w:rsidR="007A514E" w:rsidRPr="00DC2187" w:rsidRDefault="00E401C0" w:rsidP="00A65539">
            <w:pPr>
              <w:pStyle w:val="TableBodyText"/>
            </w:pPr>
            <w:r w:rsidRPr="00DC2187">
              <w:t>8</w:t>
            </w:r>
            <w:r w:rsidR="00A65539" w:rsidRPr="00DC2187">
              <w:t xml:space="preserve"> </w:t>
            </w:r>
            <w:r w:rsidRPr="00DC2187">
              <w:t>434</w:t>
            </w:r>
          </w:p>
        </w:tc>
        <w:tc>
          <w:tcPr>
            <w:tcW w:w="498" w:type="pct"/>
            <w:gridSpan w:val="3"/>
            <w:vAlign w:val="bottom"/>
          </w:tcPr>
          <w:p w:rsidR="007A514E" w:rsidRPr="00DC2187" w:rsidRDefault="003A14D1" w:rsidP="00A65539">
            <w:pPr>
              <w:pStyle w:val="TableBodyText"/>
            </w:pPr>
            <w:r w:rsidRPr="00DC2187">
              <w:t>2 713</w:t>
            </w:r>
          </w:p>
        </w:tc>
        <w:tc>
          <w:tcPr>
            <w:tcW w:w="498" w:type="pct"/>
            <w:gridSpan w:val="3"/>
            <w:vAlign w:val="bottom"/>
          </w:tcPr>
          <w:p w:rsidR="007A514E" w:rsidRPr="00DC2187" w:rsidRDefault="00E401C0" w:rsidP="003A14D1">
            <w:pPr>
              <w:pStyle w:val="TableBodyText"/>
            </w:pPr>
            <w:r w:rsidRPr="00DC2187">
              <w:t>1</w:t>
            </w:r>
            <w:r w:rsidR="00A65539" w:rsidRPr="00DC2187">
              <w:t xml:space="preserve"> </w:t>
            </w:r>
            <w:r w:rsidR="003A14D1" w:rsidRPr="00DC2187">
              <w:t>714</w:t>
            </w:r>
          </w:p>
        </w:tc>
        <w:tc>
          <w:tcPr>
            <w:tcW w:w="499" w:type="pct"/>
            <w:gridSpan w:val="3"/>
            <w:vAlign w:val="bottom"/>
          </w:tcPr>
          <w:p w:rsidR="007A514E" w:rsidRPr="00DC2187" w:rsidRDefault="00E401C0" w:rsidP="00A65539">
            <w:pPr>
              <w:pStyle w:val="TableBodyText"/>
            </w:pPr>
            <w:r w:rsidRPr="00DC2187">
              <w:t>880</w:t>
            </w:r>
          </w:p>
        </w:tc>
        <w:tc>
          <w:tcPr>
            <w:tcW w:w="543" w:type="pct"/>
            <w:gridSpan w:val="3"/>
            <w:vAlign w:val="bottom"/>
          </w:tcPr>
          <w:p w:rsidR="007A514E" w:rsidRPr="00A65539" w:rsidRDefault="00E401C0" w:rsidP="00A65539">
            <w:pPr>
              <w:pStyle w:val="TableBodyText"/>
            </w:pPr>
            <w:r w:rsidRPr="00A65539">
              <w:t>6</w:t>
            </w:r>
            <w:r w:rsidR="00A65539">
              <w:t xml:space="preserve"> </w:t>
            </w:r>
            <w:r w:rsidRPr="00A65539">
              <w:t>451</w:t>
            </w:r>
          </w:p>
        </w:tc>
        <w:tc>
          <w:tcPr>
            <w:tcW w:w="453" w:type="pct"/>
            <w:gridSpan w:val="3"/>
            <w:vAlign w:val="bottom"/>
          </w:tcPr>
          <w:p w:rsidR="007A514E" w:rsidRPr="00551B18" w:rsidRDefault="00A97B58" w:rsidP="00351386">
            <w:pPr>
              <w:pStyle w:val="TableBodyText"/>
              <w:keepNext w:val="0"/>
              <w:keepLines w:val="0"/>
              <w:widowControl w:val="0"/>
            </w:pPr>
            <w:r>
              <w:t>..</w:t>
            </w:r>
          </w:p>
        </w:tc>
        <w:tc>
          <w:tcPr>
            <w:tcW w:w="395" w:type="pct"/>
            <w:gridSpan w:val="2"/>
          </w:tcPr>
          <w:p w:rsidR="007A514E" w:rsidRPr="00020A6A" w:rsidRDefault="00DE202D" w:rsidP="00351386">
            <w:pPr>
              <w:pStyle w:val="TableBodyText"/>
              <w:keepNext w:val="0"/>
              <w:keepLines w:val="0"/>
              <w:widowControl w:val="0"/>
            </w:pPr>
            <w:r>
              <w:t>15A.2</w:t>
            </w:r>
          </w:p>
        </w:tc>
      </w:tr>
      <w:tr w:rsidR="007A514E" w:rsidRPr="00DC618B" w:rsidTr="006B1005">
        <w:trPr>
          <w:trHeight w:val="447"/>
        </w:trPr>
        <w:tc>
          <w:tcPr>
            <w:tcW w:w="5000" w:type="pct"/>
            <w:gridSpan w:val="27"/>
          </w:tcPr>
          <w:p w:rsidR="007A514E" w:rsidRPr="00DC2187" w:rsidRDefault="007A514E" w:rsidP="00351386">
            <w:pPr>
              <w:pStyle w:val="TableColumnHeading"/>
              <w:keepNext w:val="0"/>
              <w:keepLines w:val="0"/>
              <w:widowControl w:val="0"/>
              <w:jc w:val="left"/>
            </w:pPr>
            <w:r w:rsidRPr="00DC2187">
              <w:t>Expenditure per investigation</w:t>
            </w:r>
          </w:p>
        </w:tc>
      </w:tr>
      <w:tr w:rsidR="00DD473D" w:rsidRPr="00D650F0" w:rsidTr="00DD473D">
        <w:tc>
          <w:tcPr>
            <w:tcW w:w="120" w:type="pct"/>
            <w:gridSpan w:val="2"/>
          </w:tcPr>
          <w:p w:rsidR="007A514E" w:rsidRPr="00020A6A" w:rsidRDefault="007A514E" w:rsidP="00351386">
            <w:pPr>
              <w:pStyle w:val="TableBodyText"/>
              <w:keepNext w:val="0"/>
              <w:keepLines w:val="0"/>
              <w:widowControl w:val="0"/>
            </w:pPr>
            <w:r w:rsidRPr="00020A6A">
              <w:t>$</w:t>
            </w:r>
          </w:p>
        </w:tc>
        <w:tc>
          <w:tcPr>
            <w:tcW w:w="498" w:type="pct"/>
            <w:gridSpan w:val="2"/>
            <w:vAlign w:val="bottom"/>
          </w:tcPr>
          <w:p w:rsidR="007A514E" w:rsidRPr="00E401C0" w:rsidRDefault="00E401C0" w:rsidP="00351386">
            <w:pPr>
              <w:pStyle w:val="TableBodyText"/>
              <w:keepNext w:val="0"/>
              <w:keepLines w:val="0"/>
              <w:widowControl w:val="0"/>
              <w:rPr>
                <w:rFonts w:cs="Arial"/>
              </w:rPr>
            </w:pPr>
            <w:r w:rsidRPr="006B1005">
              <w:rPr>
                <w:rFonts w:cs="Arial"/>
              </w:rPr>
              <w:t>6</w:t>
            </w:r>
            <w:r w:rsidR="00A65539">
              <w:rPr>
                <w:rFonts w:cs="Arial"/>
              </w:rPr>
              <w:t xml:space="preserve"> </w:t>
            </w:r>
            <w:r w:rsidRPr="006B1005">
              <w:rPr>
                <w:rFonts w:cs="Arial"/>
              </w:rPr>
              <w:t>706</w:t>
            </w:r>
          </w:p>
        </w:tc>
        <w:tc>
          <w:tcPr>
            <w:tcW w:w="498" w:type="pct"/>
            <w:gridSpan w:val="2"/>
            <w:vAlign w:val="bottom"/>
          </w:tcPr>
          <w:p w:rsidR="007A514E" w:rsidRPr="00E401C0" w:rsidRDefault="00E401C0" w:rsidP="00056483">
            <w:pPr>
              <w:pStyle w:val="TableBodyText"/>
              <w:keepNext w:val="0"/>
              <w:keepLines w:val="0"/>
              <w:widowControl w:val="0"/>
              <w:rPr>
                <w:rFonts w:cs="Arial"/>
              </w:rPr>
            </w:pPr>
            <w:r w:rsidRPr="00E401C0">
              <w:rPr>
                <w:rFonts w:cs="Arial"/>
              </w:rPr>
              <w:t>10</w:t>
            </w:r>
            <w:r w:rsidR="00A65539">
              <w:rPr>
                <w:rFonts w:cs="Arial"/>
              </w:rPr>
              <w:t xml:space="preserve"> </w:t>
            </w:r>
            <w:r w:rsidRPr="00E401C0">
              <w:rPr>
                <w:rFonts w:cs="Arial"/>
              </w:rPr>
              <w:t>462</w:t>
            </w:r>
          </w:p>
        </w:tc>
        <w:tc>
          <w:tcPr>
            <w:tcW w:w="498" w:type="pct"/>
            <w:gridSpan w:val="2"/>
            <w:vAlign w:val="bottom"/>
          </w:tcPr>
          <w:p w:rsidR="007A514E" w:rsidRPr="00DC2187" w:rsidRDefault="00E401C0" w:rsidP="00F8227C">
            <w:pPr>
              <w:pStyle w:val="TableBodyText"/>
              <w:keepNext w:val="0"/>
              <w:keepLines w:val="0"/>
              <w:widowControl w:val="0"/>
              <w:rPr>
                <w:rFonts w:cs="Arial"/>
              </w:rPr>
            </w:pPr>
            <w:r w:rsidRPr="00DC2187">
              <w:rPr>
                <w:rFonts w:cs="Arial"/>
              </w:rPr>
              <w:t>12</w:t>
            </w:r>
            <w:r w:rsidR="00A65539" w:rsidRPr="00DC2187">
              <w:rPr>
                <w:rFonts w:cs="Arial"/>
              </w:rPr>
              <w:t xml:space="preserve"> </w:t>
            </w:r>
            <w:r w:rsidRPr="00DC2187">
              <w:rPr>
                <w:rFonts w:cs="Arial"/>
              </w:rPr>
              <w:t>4</w:t>
            </w:r>
            <w:r w:rsidR="00F8227C" w:rsidRPr="00DC2187">
              <w:rPr>
                <w:rFonts w:cs="Arial"/>
              </w:rPr>
              <w:t>34</w:t>
            </w:r>
          </w:p>
        </w:tc>
        <w:tc>
          <w:tcPr>
            <w:tcW w:w="498" w:type="pct"/>
            <w:gridSpan w:val="2"/>
            <w:vAlign w:val="bottom"/>
          </w:tcPr>
          <w:p w:rsidR="007A514E" w:rsidRPr="00DC2187" w:rsidRDefault="00E401C0" w:rsidP="00351386">
            <w:pPr>
              <w:pStyle w:val="TableBodyText"/>
              <w:keepNext w:val="0"/>
              <w:keepLines w:val="0"/>
              <w:widowControl w:val="0"/>
              <w:rPr>
                <w:rFonts w:cs="Arial"/>
              </w:rPr>
            </w:pPr>
            <w:r w:rsidRPr="00DC2187">
              <w:rPr>
                <w:rFonts w:cs="Arial"/>
              </w:rPr>
              <w:t>11</w:t>
            </w:r>
            <w:r w:rsidR="00A65539" w:rsidRPr="00DC2187">
              <w:rPr>
                <w:rFonts w:cs="Arial"/>
              </w:rPr>
              <w:t xml:space="preserve"> </w:t>
            </w:r>
            <w:r w:rsidRPr="00DC2187">
              <w:rPr>
                <w:rFonts w:cs="Arial"/>
              </w:rPr>
              <w:t>639</w:t>
            </w:r>
          </w:p>
        </w:tc>
        <w:tc>
          <w:tcPr>
            <w:tcW w:w="498" w:type="pct"/>
            <w:gridSpan w:val="3"/>
            <w:vAlign w:val="bottom"/>
          </w:tcPr>
          <w:p w:rsidR="007A514E" w:rsidRPr="00DC2187" w:rsidRDefault="003A14D1" w:rsidP="00351386">
            <w:pPr>
              <w:pStyle w:val="TableBodyText"/>
              <w:keepNext w:val="0"/>
              <w:keepLines w:val="0"/>
              <w:widowControl w:val="0"/>
              <w:rPr>
                <w:rFonts w:cs="Arial"/>
              </w:rPr>
            </w:pPr>
            <w:r w:rsidRPr="00DC2187">
              <w:rPr>
                <w:rFonts w:cs="Arial"/>
              </w:rPr>
              <w:t>9 726</w:t>
            </w:r>
          </w:p>
        </w:tc>
        <w:tc>
          <w:tcPr>
            <w:tcW w:w="498" w:type="pct"/>
            <w:gridSpan w:val="3"/>
            <w:vAlign w:val="bottom"/>
          </w:tcPr>
          <w:p w:rsidR="007A514E" w:rsidRPr="00DC2187" w:rsidRDefault="00E401C0" w:rsidP="003A14D1">
            <w:pPr>
              <w:pStyle w:val="TableBodyText"/>
              <w:keepNext w:val="0"/>
              <w:keepLines w:val="0"/>
              <w:widowControl w:val="0"/>
              <w:rPr>
                <w:rFonts w:cs="Arial"/>
              </w:rPr>
            </w:pPr>
            <w:r w:rsidRPr="00DC2187">
              <w:rPr>
                <w:rFonts w:cs="Arial"/>
              </w:rPr>
              <w:t>10</w:t>
            </w:r>
            <w:r w:rsidR="00A65539" w:rsidRPr="00DC2187">
              <w:rPr>
                <w:rFonts w:cs="Arial"/>
              </w:rPr>
              <w:t xml:space="preserve"> </w:t>
            </w:r>
            <w:r w:rsidR="003A14D1" w:rsidRPr="00DC2187">
              <w:rPr>
                <w:rFonts w:cs="Arial"/>
              </w:rPr>
              <w:t>452</w:t>
            </w:r>
          </w:p>
        </w:tc>
        <w:tc>
          <w:tcPr>
            <w:tcW w:w="499" w:type="pct"/>
            <w:gridSpan w:val="3"/>
            <w:vAlign w:val="bottom"/>
          </w:tcPr>
          <w:p w:rsidR="007A514E" w:rsidRPr="00DC2187" w:rsidRDefault="00E401C0" w:rsidP="00351386">
            <w:pPr>
              <w:pStyle w:val="TableBodyText"/>
              <w:keepNext w:val="0"/>
              <w:keepLines w:val="0"/>
              <w:widowControl w:val="0"/>
              <w:rPr>
                <w:rFonts w:cs="Arial"/>
              </w:rPr>
            </w:pPr>
            <w:r w:rsidRPr="00DC2187">
              <w:rPr>
                <w:rFonts w:cs="Arial"/>
              </w:rPr>
              <w:t>5</w:t>
            </w:r>
            <w:r w:rsidR="00A65539" w:rsidRPr="00DC2187">
              <w:rPr>
                <w:rFonts w:cs="Arial"/>
              </w:rPr>
              <w:t xml:space="preserve"> </w:t>
            </w:r>
            <w:r w:rsidRPr="00DC2187">
              <w:rPr>
                <w:rFonts w:cs="Arial"/>
              </w:rPr>
              <w:t>135</w:t>
            </w:r>
          </w:p>
        </w:tc>
        <w:tc>
          <w:tcPr>
            <w:tcW w:w="543" w:type="pct"/>
            <w:gridSpan w:val="3"/>
            <w:vAlign w:val="bottom"/>
          </w:tcPr>
          <w:p w:rsidR="007A514E" w:rsidRPr="00551B18" w:rsidRDefault="00E401C0" w:rsidP="00351386">
            <w:pPr>
              <w:pStyle w:val="TableBodyText"/>
              <w:keepNext w:val="0"/>
              <w:keepLines w:val="0"/>
              <w:widowControl w:val="0"/>
              <w:rPr>
                <w:rFonts w:cs="Arial"/>
              </w:rPr>
            </w:pPr>
            <w:r>
              <w:rPr>
                <w:rFonts w:cs="Arial"/>
              </w:rPr>
              <w:t>16</w:t>
            </w:r>
            <w:r w:rsidR="00A65539">
              <w:rPr>
                <w:rFonts w:cs="Arial"/>
              </w:rPr>
              <w:t xml:space="preserve"> </w:t>
            </w:r>
            <w:r>
              <w:rPr>
                <w:rFonts w:cs="Arial"/>
              </w:rPr>
              <w:t>911</w:t>
            </w:r>
          </w:p>
        </w:tc>
        <w:tc>
          <w:tcPr>
            <w:tcW w:w="453" w:type="pct"/>
            <w:gridSpan w:val="3"/>
            <w:vAlign w:val="center"/>
          </w:tcPr>
          <w:p w:rsidR="007A514E" w:rsidRPr="00551B18" w:rsidRDefault="00DE202D" w:rsidP="00351386">
            <w:pPr>
              <w:pStyle w:val="TableBodyText"/>
              <w:keepNext w:val="0"/>
              <w:keepLines w:val="0"/>
              <w:widowControl w:val="0"/>
            </w:pPr>
            <w:r>
              <w:t>..</w:t>
            </w:r>
          </w:p>
        </w:tc>
        <w:tc>
          <w:tcPr>
            <w:tcW w:w="395" w:type="pct"/>
            <w:gridSpan w:val="2"/>
          </w:tcPr>
          <w:p w:rsidR="007A514E" w:rsidRPr="00020A6A" w:rsidRDefault="00DE202D" w:rsidP="00351386">
            <w:pPr>
              <w:pStyle w:val="TableBodyText"/>
              <w:keepNext w:val="0"/>
              <w:keepLines w:val="0"/>
              <w:widowControl w:val="0"/>
            </w:pPr>
            <w:r>
              <w:t>15A.2</w:t>
            </w:r>
          </w:p>
        </w:tc>
      </w:tr>
      <w:tr w:rsidR="007A514E" w:rsidRPr="00DC618B" w:rsidTr="006B1005">
        <w:trPr>
          <w:trHeight w:val="273"/>
        </w:trPr>
        <w:tc>
          <w:tcPr>
            <w:tcW w:w="5000" w:type="pct"/>
            <w:gridSpan w:val="27"/>
            <w:shd w:val="clear" w:color="auto" w:fill="auto"/>
          </w:tcPr>
          <w:p w:rsidR="007A514E" w:rsidRPr="00DC2187" w:rsidRDefault="007A514E" w:rsidP="00351386">
            <w:pPr>
              <w:pStyle w:val="TableColumnHeading"/>
              <w:keepNext w:val="0"/>
              <w:keepLines w:val="0"/>
              <w:widowControl w:val="0"/>
              <w:jc w:val="left"/>
            </w:pPr>
            <w:r w:rsidRPr="00DC2187">
              <w:t>Expenditure per substantiation</w:t>
            </w:r>
          </w:p>
        </w:tc>
      </w:tr>
      <w:tr w:rsidR="00DD473D" w:rsidTr="00DD473D">
        <w:tc>
          <w:tcPr>
            <w:tcW w:w="120" w:type="pct"/>
            <w:gridSpan w:val="2"/>
            <w:shd w:val="clear" w:color="auto" w:fill="auto"/>
          </w:tcPr>
          <w:p w:rsidR="007A514E" w:rsidRPr="00020A6A" w:rsidRDefault="007A514E" w:rsidP="00351386">
            <w:pPr>
              <w:pStyle w:val="TableBodyText"/>
              <w:keepNext w:val="0"/>
              <w:keepLines w:val="0"/>
              <w:widowControl w:val="0"/>
            </w:pPr>
            <w:r w:rsidRPr="00020A6A">
              <w:t>$</w:t>
            </w:r>
          </w:p>
        </w:tc>
        <w:tc>
          <w:tcPr>
            <w:tcW w:w="498" w:type="pct"/>
            <w:gridSpan w:val="2"/>
            <w:shd w:val="clear" w:color="auto" w:fill="auto"/>
            <w:vAlign w:val="bottom"/>
          </w:tcPr>
          <w:p w:rsidR="007A514E" w:rsidRPr="00DD473D" w:rsidRDefault="00E401C0" w:rsidP="004F084A">
            <w:pPr>
              <w:pStyle w:val="TableBodyText"/>
              <w:keepNext w:val="0"/>
              <w:keepLines w:val="0"/>
              <w:widowControl w:val="0"/>
              <w:rPr>
                <w:rFonts w:cs="Arial"/>
              </w:rPr>
            </w:pPr>
            <w:r w:rsidRPr="006B1005">
              <w:rPr>
                <w:rFonts w:cs="Arial"/>
              </w:rPr>
              <w:t>13</w:t>
            </w:r>
            <w:r w:rsidR="00A65539">
              <w:rPr>
                <w:rFonts w:cs="Arial"/>
              </w:rPr>
              <w:t xml:space="preserve"> </w:t>
            </w:r>
            <w:r w:rsidRPr="006B1005">
              <w:rPr>
                <w:rFonts w:cs="Arial"/>
              </w:rPr>
              <w:t>540</w:t>
            </w:r>
          </w:p>
        </w:tc>
        <w:tc>
          <w:tcPr>
            <w:tcW w:w="498" w:type="pct"/>
            <w:gridSpan w:val="2"/>
            <w:shd w:val="clear" w:color="auto" w:fill="auto"/>
            <w:vAlign w:val="bottom"/>
          </w:tcPr>
          <w:p w:rsidR="007A514E" w:rsidRPr="00DD473D" w:rsidRDefault="00E401C0" w:rsidP="00056483">
            <w:pPr>
              <w:pStyle w:val="TableBodyText"/>
              <w:keepNext w:val="0"/>
              <w:keepLines w:val="0"/>
              <w:widowControl w:val="0"/>
              <w:rPr>
                <w:rFonts w:cs="Arial"/>
              </w:rPr>
            </w:pPr>
            <w:r w:rsidRPr="00DD473D">
              <w:rPr>
                <w:rFonts w:cs="Arial"/>
              </w:rPr>
              <w:t>19</w:t>
            </w:r>
            <w:r w:rsidR="00A65539">
              <w:rPr>
                <w:rFonts w:cs="Arial"/>
              </w:rPr>
              <w:t xml:space="preserve"> </w:t>
            </w:r>
            <w:r w:rsidRPr="00DD473D">
              <w:rPr>
                <w:rFonts w:cs="Arial"/>
              </w:rPr>
              <w:t>001</w:t>
            </w:r>
          </w:p>
        </w:tc>
        <w:tc>
          <w:tcPr>
            <w:tcW w:w="498" w:type="pct"/>
            <w:gridSpan w:val="2"/>
            <w:shd w:val="clear" w:color="auto" w:fill="auto"/>
            <w:vAlign w:val="bottom"/>
          </w:tcPr>
          <w:p w:rsidR="007A514E" w:rsidRPr="00DC2187" w:rsidRDefault="00E401C0" w:rsidP="00351386">
            <w:pPr>
              <w:pStyle w:val="TableBodyText"/>
              <w:keepNext w:val="0"/>
              <w:keepLines w:val="0"/>
              <w:widowControl w:val="0"/>
              <w:rPr>
                <w:rFonts w:cs="Arial"/>
              </w:rPr>
            </w:pPr>
            <w:r w:rsidRPr="00DC2187">
              <w:rPr>
                <w:rFonts w:cs="Arial"/>
              </w:rPr>
              <w:t>38</w:t>
            </w:r>
            <w:r w:rsidR="00A65539" w:rsidRPr="00DC2187">
              <w:rPr>
                <w:rFonts w:cs="Arial"/>
              </w:rPr>
              <w:t xml:space="preserve"> </w:t>
            </w:r>
            <w:r w:rsidRPr="00DC2187">
              <w:rPr>
                <w:rFonts w:cs="Arial"/>
              </w:rPr>
              <w:t>158</w:t>
            </w:r>
          </w:p>
        </w:tc>
        <w:tc>
          <w:tcPr>
            <w:tcW w:w="498" w:type="pct"/>
            <w:gridSpan w:val="2"/>
            <w:shd w:val="clear" w:color="auto" w:fill="auto"/>
            <w:vAlign w:val="bottom"/>
          </w:tcPr>
          <w:p w:rsidR="007A514E" w:rsidRPr="00DC2187" w:rsidRDefault="00E401C0" w:rsidP="00351386">
            <w:pPr>
              <w:pStyle w:val="TableBodyText"/>
              <w:keepNext w:val="0"/>
              <w:keepLines w:val="0"/>
              <w:widowControl w:val="0"/>
              <w:rPr>
                <w:rFonts w:cs="Arial"/>
              </w:rPr>
            </w:pPr>
            <w:r w:rsidRPr="00DC2187">
              <w:rPr>
                <w:rFonts w:cs="Arial"/>
              </w:rPr>
              <w:t>43</w:t>
            </w:r>
            <w:r w:rsidR="00A65539" w:rsidRPr="00DC2187">
              <w:rPr>
                <w:rFonts w:cs="Arial"/>
              </w:rPr>
              <w:t xml:space="preserve"> </w:t>
            </w:r>
            <w:r w:rsidRPr="00DC2187">
              <w:rPr>
                <w:rFonts w:cs="Arial"/>
              </w:rPr>
              <w:t>827</w:t>
            </w:r>
          </w:p>
        </w:tc>
        <w:tc>
          <w:tcPr>
            <w:tcW w:w="498" w:type="pct"/>
            <w:gridSpan w:val="3"/>
            <w:shd w:val="clear" w:color="auto" w:fill="auto"/>
            <w:vAlign w:val="bottom"/>
          </w:tcPr>
          <w:p w:rsidR="007A514E" w:rsidRPr="00DC2187" w:rsidRDefault="00E401C0" w:rsidP="00351386">
            <w:pPr>
              <w:pStyle w:val="TableBodyText"/>
              <w:keepNext w:val="0"/>
              <w:keepLines w:val="0"/>
              <w:widowControl w:val="0"/>
              <w:rPr>
                <w:rFonts w:cs="Arial"/>
              </w:rPr>
            </w:pPr>
            <w:r w:rsidRPr="00DC2187">
              <w:rPr>
                <w:rFonts w:cs="Arial"/>
              </w:rPr>
              <w:t>23</w:t>
            </w:r>
            <w:r w:rsidR="00A65539" w:rsidRPr="00DC2187">
              <w:rPr>
                <w:rFonts w:cs="Arial"/>
              </w:rPr>
              <w:t xml:space="preserve"> </w:t>
            </w:r>
            <w:r w:rsidRPr="00DC2187">
              <w:rPr>
                <w:rFonts w:cs="Arial"/>
              </w:rPr>
              <w:t>353</w:t>
            </w:r>
          </w:p>
        </w:tc>
        <w:tc>
          <w:tcPr>
            <w:tcW w:w="498" w:type="pct"/>
            <w:gridSpan w:val="3"/>
            <w:shd w:val="clear" w:color="auto" w:fill="auto"/>
            <w:vAlign w:val="bottom"/>
          </w:tcPr>
          <w:p w:rsidR="007A514E" w:rsidRPr="00DC2187" w:rsidRDefault="00E401C0" w:rsidP="003A14D1">
            <w:pPr>
              <w:pStyle w:val="TableBodyText"/>
              <w:keepNext w:val="0"/>
              <w:keepLines w:val="0"/>
              <w:widowControl w:val="0"/>
              <w:rPr>
                <w:rFonts w:cs="Arial"/>
              </w:rPr>
            </w:pPr>
            <w:r w:rsidRPr="00DC2187">
              <w:rPr>
                <w:rFonts w:cs="Arial"/>
              </w:rPr>
              <w:t>20</w:t>
            </w:r>
            <w:r w:rsidR="00A65539" w:rsidRPr="00DC2187">
              <w:rPr>
                <w:rFonts w:cs="Arial"/>
              </w:rPr>
              <w:t xml:space="preserve"> </w:t>
            </w:r>
            <w:r w:rsidR="003A14D1" w:rsidRPr="00DC2187">
              <w:rPr>
                <w:rFonts w:cs="Arial"/>
              </w:rPr>
              <w:t>389</w:t>
            </w:r>
          </w:p>
        </w:tc>
        <w:tc>
          <w:tcPr>
            <w:tcW w:w="499" w:type="pct"/>
            <w:gridSpan w:val="3"/>
            <w:shd w:val="clear" w:color="auto" w:fill="auto"/>
            <w:vAlign w:val="bottom"/>
          </w:tcPr>
          <w:p w:rsidR="007A514E" w:rsidRPr="00DC2187" w:rsidRDefault="00E401C0" w:rsidP="003A14D1">
            <w:pPr>
              <w:pStyle w:val="TableBodyText"/>
              <w:keepNext w:val="0"/>
              <w:keepLines w:val="0"/>
              <w:widowControl w:val="0"/>
              <w:rPr>
                <w:rFonts w:cs="Arial"/>
              </w:rPr>
            </w:pPr>
            <w:r w:rsidRPr="00DC2187">
              <w:rPr>
                <w:rFonts w:cs="Arial"/>
              </w:rPr>
              <w:t>16</w:t>
            </w:r>
            <w:r w:rsidR="00A65539" w:rsidRPr="00DC2187">
              <w:rPr>
                <w:rFonts w:cs="Arial"/>
              </w:rPr>
              <w:t xml:space="preserve"> </w:t>
            </w:r>
            <w:r w:rsidR="003A14D1" w:rsidRPr="00DC2187">
              <w:rPr>
                <w:rFonts w:cs="Arial"/>
              </w:rPr>
              <w:t>568</w:t>
            </w:r>
          </w:p>
        </w:tc>
        <w:tc>
          <w:tcPr>
            <w:tcW w:w="543" w:type="pct"/>
            <w:gridSpan w:val="3"/>
            <w:shd w:val="clear" w:color="auto" w:fill="auto"/>
            <w:vAlign w:val="bottom"/>
          </w:tcPr>
          <w:p w:rsidR="007A514E" w:rsidRPr="00551B18" w:rsidRDefault="00DD473D" w:rsidP="00351386">
            <w:pPr>
              <w:pStyle w:val="TableBodyText"/>
              <w:keepNext w:val="0"/>
              <w:keepLines w:val="0"/>
              <w:widowControl w:val="0"/>
              <w:rPr>
                <w:rFonts w:cs="Arial"/>
              </w:rPr>
            </w:pPr>
            <w:r>
              <w:rPr>
                <w:rFonts w:cs="Arial"/>
              </w:rPr>
              <w:t>47</w:t>
            </w:r>
            <w:r w:rsidR="00A65539">
              <w:rPr>
                <w:rFonts w:cs="Arial"/>
              </w:rPr>
              <w:t xml:space="preserve"> </w:t>
            </w:r>
            <w:r>
              <w:rPr>
                <w:rFonts w:cs="Arial"/>
              </w:rPr>
              <w:t>414</w:t>
            </w:r>
          </w:p>
        </w:tc>
        <w:tc>
          <w:tcPr>
            <w:tcW w:w="453" w:type="pct"/>
            <w:gridSpan w:val="3"/>
            <w:vAlign w:val="center"/>
          </w:tcPr>
          <w:p w:rsidR="007A514E" w:rsidRPr="00551B18" w:rsidRDefault="00DE202D" w:rsidP="00351386">
            <w:pPr>
              <w:pStyle w:val="TableBodyText"/>
              <w:keepNext w:val="0"/>
              <w:keepLines w:val="0"/>
              <w:widowControl w:val="0"/>
            </w:pPr>
            <w:r>
              <w:t>..</w:t>
            </w:r>
          </w:p>
        </w:tc>
        <w:tc>
          <w:tcPr>
            <w:tcW w:w="395" w:type="pct"/>
            <w:gridSpan w:val="2"/>
          </w:tcPr>
          <w:p w:rsidR="007A514E" w:rsidRPr="00020A6A" w:rsidRDefault="00DE202D" w:rsidP="00351386">
            <w:pPr>
              <w:pStyle w:val="TableBodyText"/>
              <w:keepNext w:val="0"/>
              <w:keepLines w:val="0"/>
              <w:widowControl w:val="0"/>
            </w:pPr>
            <w:r>
              <w:t>15A.2</w:t>
            </w:r>
          </w:p>
        </w:tc>
      </w:tr>
      <w:tr w:rsidR="007A514E" w:rsidRPr="00DC618B" w:rsidTr="006B1005">
        <w:tc>
          <w:tcPr>
            <w:tcW w:w="5000" w:type="pct"/>
            <w:gridSpan w:val="27"/>
            <w:shd w:val="clear" w:color="auto" w:fill="auto"/>
          </w:tcPr>
          <w:p w:rsidR="007A514E" w:rsidRPr="00DC2187" w:rsidRDefault="007A514E" w:rsidP="00351386">
            <w:pPr>
              <w:pStyle w:val="TableColumnHeading"/>
              <w:keepNext w:val="0"/>
              <w:keepLines w:val="0"/>
              <w:widowControl w:val="0"/>
              <w:jc w:val="left"/>
              <w:rPr>
                <w:b/>
                <w:i w:val="0"/>
              </w:rPr>
            </w:pPr>
            <w:r w:rsidRPr="00DC2187">
              <w:rPr>
                <w:b/>
                <w:i w:val="0"/>
              </w:rPr>
              <w:t>Efficiency – out-of-home care services</w:t>
            </w:r>
          </w:p>
        </w:tc>
      </w:tr>
      <w:tr w:rsidR="007A514E" w:rsidRPr="0051549A" w:rsidTr="006B1005">
        <w:tc>
          <w:tcPr>
            <w:tcW w:w="5000" w:type="pct"/>
            <w:gridSpan w:val="27"/>
            <w:shd w:val="clear" w:color="auto" w:fill="auto"/>
          </w:tcPr>
          <w:p w:rsidR="007A514E" w:rsidRPr="00DC2187" w:rsidRDefault="007A514E" w:rsidP="00351386">
            <w:pPr>
              <w:pStyle w:val="TableColumnHeading"/>
              <w:keepNext w:val="0"/>
              <w:keepLines w:val="0"/>
              <w:widowControl w:val="0"/>
              <w:jc w:val="left"/>
              <w:rPr>
                <w:i w:val="0"/>
              </w:rPr>
            </w:pPr>
            <w:r w:rsidRPr="00DC2187">
              <w:rPr>
                <w:i w:val="0"/>
              </w:rPr>
              <w:t>Total expenditure on all out-of-home care divided by the number of children in all out-of-home care at 30 June</w:t>
            </w:r>
            <w:r w:rsidRPr="00DC2187">
              <w:rPr>
                <w:i w:val="0"/>
              </w:rPr>
              <w:br/>
            </w:r>
            <w:r w:rsidRPr="00DC2187">
              <w:rPr>
                <w:i w:val="0"/>
                <w:sz w:val="16"/>
                <w:szCs w:val="16"/>
              </w:rPr>
              <w:t>Data for this indicator are not complete or not directly comparable (chapter 15)</w:t>
            </w:r>
          </w:p>
        </w:tc>
      </w:tr>
      <w:tr w:rsidR="00DD473D" w:rsidTr="00DD473D">
        <w:tc>
          <w:tcPr>
            <w:tcW w:w="120" w:type="pct"/>
            <w:gridSpan w:val="2"/>
          </w:tcPr>
          <w:p w:rsidR="007A514E" w:rsidRPr="00020A6A" w:rsidRDefault="007A514E" w:rsidP="00351386">
            <w:pPr>
              <w:pStyle w:val="TableBodyText"/>
              <w:keepNext w:val="0"/>
              <w:keepLines w:val="0"/>
              <w:widowControl w:val="0"/>
            </w:pPr>
            <w:r w:rsidRPr="00020A6A">
              <w:t>$</w:t>
            </w:r>
          </w:p>
        </w:tc>
        <w:tc>
          <w:tcPr>
            <w:tcW w:w="498" w:type="pct"/>
            <w:gridSpan w:val="2"/>
            <w:vAlign w:val="bottom"/>
          </w:tcPr>
          <w:p w:rsidR="007A514E" w:rsidRPr="00020A6A" w:rsidRDefault="00DD473D" w:rsidP="00351386">
            <w:pPr>
              <w:pStyle w:val="TableBodyText"/>
              <w:keepNext w:val="0"/>
              <w:keepLines w:val="0"/>
              <w:widowControl w:val="0"/>
              <w:rPr>
                <w:rFonts w:cs="Arial"/>
              </w:rPr>
            </w:pPr>
            <w:r>
              <w:rPr>
                <w:rFonts w:cs="Arial"/>
              </w:rPr>
              <w:t>44</w:t>
            </w:r>
            <w:r w:rsidR="00A65539">
              <w:rPr>
                <w:rFonts w:cs="Arial"/>
              </w:rPr>
              <w:t xml:space="preserve"> </w:t>
            </w:r>
            <w:r>
              <w:rPr>
                <w:rFonts w:cs="Arial"/>
              </w:rPr>
              <w:t>016</w:t>
            </w:r>
          </w:p>
        </w:tc>
        <w:tc>
          <w:tcPr>
            <w:tcW w:w="498" w:type="pct"/>
            <w:gridSpan w:val="2"/>
            <w:vAlign w:val="bottom"/>
          </w:tcPr>
          <w:p w:rsidR="007A514E" w:rsidRPr="00DD473D" w:rsidRDefault="00DD473D" w:rsidP="00437840">
            <w:pPr>
              <w:pStyle w:val="TableBodyText"/>
              <w:keepNext w:val="0"/>
              <w:keepLines w:val="0"/>
              <w:widowControl w:val="0"/>
              <w:rPr>
                <w:rFonts w:cs="Arial"/>
              </w:rPr>
            </w:pPr>
            <w:r w:rsidRPr="00DD473D">
              <w:rPr>
                <w:rFonts w:cs="Arial"/>
              </w:rPr>
              <w:t>58</w:t>
            </w:r>
            <w:r w:rsidR="00A65539">
              <w:rPr>
                <w:rFonts w:cs="Arial"/>
              </w:rPr>
              <w:t xml:space="preserve"> </w:t>
            </w:r>
            <w:r w:rsidRPr="00DD473D">
              <w:rPr>
                <w:rFonts w:cs="Arial"/>
              </w:rPr>
              <w:t>2</w:t>
            </w:r>
            <w:r w:rsidR="00437840">
              <w:rPr>
                <w:rFonts w:cs="Arial"/>
              </w:rPr>
              <w:t>14</w:t>
            </w:r>
          </w:p>
        </w:tc>
        <w:tc>
          <w:tcPr>
            <w:tcW w:w="498" w:type="pct"/>
            <w:gridSpan w:val="2"/>
            <w:vAlign w:val="bottom"/>
          </w:tcPr>
          <w:p w:rsidR="007A514E" w:rsidRPr="00DC2187" w:rsidRDefault="00DD473D" w:rsidP="00F866CE">
            <w:pPr>
              <w:pStyle w:val="TableBodyText"/>
              <w:keepNext w:val="0"/>
              <w:keepLines w:val="0"/>
              <w:widowControl w:val="0"/>
              <w:rPr>
                <w:rFonts w:cs="Arial"/>
              </w:rPr>
            </w:pPr>
            <w:r w:rsidRPr="00DC2187">
              <w:rPr>
                <w:rFonts w:cs="Arial"/>
              </w:rPr>
              <w:t>50</w:t>
            </w:r>
            <w:r w:rsidR="00A65539" w:rsidRPr="00DC2187">
              <w:rPr>
                <w:rFonts w:cs="Arial"/>
              </w:rPr>
              <w:t xml:space="preserve"> </w:t>
            </w:r>
            <w:r w:rsidRPr="00DC2187">
              <w:rPr>
                <w:rFonts w:cs="Arial"/>
              </w:rPr>
              <w:t>6</w:t>
            </w:r>
            <w:r w:rsidR="00F866CE" w:rsidRPr="00DC2187">
              <w:rPr>
                <w:rFonts w:cs="Arial"/>
              </w:rPr>
              <w:t>43</w:t>
            </w:r>
          </w:p>
        </w:tc>
        <w:tc>
          <w:tcPr>
            <w:tcW w:w="498" w:type="pct"/>
            <w:gridSpan w:val="2"/>
            <w:vAlign w:val="bottom"/>
          </w:tcPr>
          <w:p w:rsidR="007A514E" w:rsidRPr="00DC2187" w:rsidRDefault="00DD473D" w:rsidP="00351386">
            <w:pPr>
              <w:pStyle w:val="TableBodyText"/>
              <w:keepNext w:val="0"/>
              <w:keepLines w:val="0"/>
              <w:widowControl w:val="0"/>
              <w:rPr>
                <w:rFonts w:cs="Arial"/>
              </w:rPr>
            </w:pPr>
            <w:r w:rsidRPr="00DC2187">
              <w:rPr>
                <w:rFonts w:cs="Arial"/>
              </w:rPr>
              <w:t>58</w:t>
            </w:r>
            <w:r w:rsidR="00A65539" w:rsidRPr="00DC2187">
              <w:rPr>
                <w:rFonts w:cs="Arial"/>
              </w:rPr>
              <w:t xml:space="preserve"> </w:t>
            </w:r>
            <w:r w:rsidRPr="00DC2187">
              <w:rPr>
                <w:rFonts w:cs="Arial"/>
              </w:rPr>
              <w:t>675</w:t>
            </w:r>
          </w:p>
        </w:tc>
        <w:tc>
          <w:tcPr>
            <w:tcW w:w="498" w:type="pct"/>
            <w:gridSpan w:val="3"/>
            <w:vAlign w:val="bottom"/>
          </w:tcPr>
          <w:p w:rsidR="007A514E" w:rsidRPr="00DC2187" w:rsidRDefault="00DD473D" w:rsidP="00351386">
            <w:pPr>
              <w:pStyle w:val="TableBodyText"/>
              <w:keepNext w:val="0"/>
              <w:keepLines w:val="0"/>
              <w:widowControl w:val="0"/>
              <w:rPr>
                <w:rFonts w:cs="Arial"/>
              </w:rPr>
            </w:pPr>
            <w:r w:rsidRPr="00DC2187">
              <w:rPr>
                <w:rFonts w:cs="Arial"/>
              </w:rPr>
              <w:t>58</w:t>
            </w:r>
            <w:r w:rsidR="00A65539" w:rsidRPr="00DC2187">
              <w:rPr>
                <w:rFonts w:cs="Arial"/>
              </w:rPr>
              <w:t xml:space="preserve"> </w:t>
            </w:r>
            <w:r w:rsidRPr="00DC2187">
              <w:rPr>
                <w:rFonts w:cs="Arial"/>
              </w:rPr>
              <w:t>849</w:t>
            </w:r>
          </w:p>
        </w:tc>
        <w:tc>
          <w:tcPr>
            <w:tcW w:w="498" w:type="pct"/>
            <w:gridSpan w:val="3"/>
            <w:vAlign w:val="bottom"/>
          </w:tcPr>
          <w:p w:rsidR="007A514E" w:rsidRPr="00DC2187" w:rsidRDefault="00DD473D" w:rsidP="003A14D1">
            <w:pPr>
              <w:pStyle w:val="TableBodyText"/>
              <w:keepNext w:val="0"/>
              <w:keepLines w:val="0"/>
              <w:widowControl w:val="0"/>
              <w:rPr>
                <w:rFonts w:cs="Arial"/>
              </w:rPr>
            </w:pPr>
            <w:r w:rsidRPr="00DC2187">
              <w:rPr>
                <w:rFonts w:cs="Arial"/>
              </w:rPr>
              <w:t>39</w:t>
            </w:r>
            <w:r w:rsidR="00A65539" w:rsidRPr="00DC2187">
              <w:rPr>
                <w:rFonts w:cs="Arial"/>
              </w:rPr>
              <w:t xml:space="preserve"> </w:t>
            </w:r>
            <w:r w:rsidR="003A14D1" w:rsidRPr="00DC2187">
              <w:rPr>
                <w:rFonts w:cs="Arial"/>
              </w:rPr>
              <w:t>332</w:t>
            </w:r>
          </w:p>
        </w:tc>
        <w:tc>
          <w:tcPr>
            <w:tcW w:w="499" w:type="pct"/>
            <w:gridSpan w:val="3"/>
            <w:vAlign w:val="bottom"/>
          </w:tcPr>
          <w:p w:rsidR="007A514E" w:rsidRPr="00DC2187" w:rsidRDefault="00DD473D" w:rsidP="0077182A">
            <w:pPr>
              <w:pStyle w:val="TableBodyText"/>
              <w:keepNext w:val="0"/>
              <w:keepLines w:val="0"/>
              <w:widowControl w:val="0"/>
              <w:rPr>
                <w:rFonts w:cs="Arial"/>
              </w:rPr>
            </w:pPr>
            <w:r w:rsidRPr="00DC2187">
              <w:rPr>
                <w:rFonts w:cs="Arial"/>
              </w:rPr>
              <w:t>5</w:t>
            </w:r>
            <w:r w:rsidR="0077182A" w:rsidRPr="00DC2187">
              <w:rPr>
                <w:rFonts w:cs="Arial"/>
              </w:rPr>
              <w:t>4</w:t>
            </w:r>
            <w:r w:rsidR="00A65539" w:rsidRPr="00DC2187">
              <w:rPr>
                <w:rFonts w:cs="Arial"/>
              </w:rPr>
              <w:t xml:space="preserve"> </w:t>
            </w:r>
            <w:r w:rsidR="003A14D1" w:rsidRPr="00DC2187">
              <w:rPr>
                <w:rFonts w:cs="Arial"/>
              </w:rPr>
              <w:t>560</w:t>
            </w:r>
          </w:p>
        </w:tc>
        <w:tc>
          <w:tcPr>
            <w:tcW w:w="543" w:type="pct"/>
            <w:gridSpan w:val="3"/>
            <w:vAlign w:val="bottom"/>
          </w:tcPr>
          <w:p w:rsidR="007A514E" w:rsidRPr="00551B18" w:rsidRDefault="00DD473D" w:rsidP="00351386">
            <w:pPr>
              <w:pStyle w:val="TableBodyText"/>
              <w:keepNext w:val="0"/>
              <w:keepLines w:val="0"/>
              <w:widowControl w:val="0"/>
              <w:rPr>
                <w:rFonts w:cs="Arial"/>
              </w:rPr>
            </w:pPr>
            <w:r>
              <w:rPr>
                <w:rFonts w:cs="Arial"/>
              </w:rPr>
              <w:t>102</w:t>
            </w:r>
            <w:r w:rsidR="00A65539">
              <w:rPr>
                <w:rFonts w:cs="Arial"/>
              </w:rPr>
              <w:t xml:space="preserve"> </w:t>
            </w:r>
            <w:r>
              <w:rPr>
                <w:rFonts w:cs="Arial"/>
              </w:rPr>
              <w:t>250</w:t>
            </w:r>
          </w:p>
        </w:tc>
        <w:tc>
          <w:tcPr>
            <w:tcW w:w="453" w:type="pct"/>
            <w:gridSpan w:val="3"/>
            <w:vAlign w:val="bottom"/>
          </w:tcPr>
          <w:p w:rsidR="007A514E" w:rsidRPr="00551B18" w:rsidRDefault="005C0F1F" w:rsidP="00351386">
            <w:pPr>
              <w:pStyle w:val="TableBodyText"/>
              <w:keepNext w:val="0"/>
              <w:keepLines w:val="0"/>
              <w:widowControl w:val="0"/>
            </w:pPr>
            <w:r>
              <w:t>..</w:t>
            </w:r>
          </w:p>
        </w:tc>
        <w:tc>
          <w:tcPr>
            <w:tcW w:w="395" w:type="pct"/>
            <w:gridSpan w:val="2"/>
          </w:tcPr>
          <w:p w:rsidR="007A514E" w:rsidRPr="00020A6A" w:rsidRDefault="005C0F1F" w:rsidP="00351386">
            <w:pPr>
              <w:pStyle w:val="TableBodyText"/>
              <w:keepNext w:val="0"/>
              <w:keepLines w:val="0"/>
              <w:widowControl w:val="0"/>
            </w:pPr>
            <w:r>
              <w:t>15A.3</w:t>
            </w:r>
          </w:p>
        </w:tc>
      </w:tr>
      <w:tr w:rsidR="007A514E" w:rsidRPr="009F07D8" w:rsidTr="006B1005">
        <w:trPr>
          <w:trHeight w:val="447"/>
        </w:trPr>
        <w:tc>
          <w:tcPr>
            <w:tcW w:w="5000" w:type="pct"/>
            <w:gridSpan w:val="27"/>
          </w:tcPr>
          <w:p w:rsidR="007A514E" w:rsidRPr="00867FEB" w:rsidRDefault="007A514E" w:rsidP="00351386">
            <w:pPr>
              <w:pStyle w:val="TableColumnHeading"/>
              <w:keepNext w:val="0"/>
              <w:keepLines w:val="0"/>
              <w:widowControl w:val="0"/>
              <w:jc w:val="left"/>
              <w:rPr>
                <w:i w:val="0"/>
              </w:rPr>
            </w:pPr>
            <w:r w:rsidRPr="00867FEB">
              <w:rPr>
                <w:i w:val="0"/>
              </w:rPr>
              <w:t>Out-of-home care expenditure per placement night</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DD473D" w:rsidRPr="00D650F0" w:rsidTr="00DD473D">
        <w:tc>
          <w:tcPr>
            <w:tcW w:w="120" w:type="pct"/>
            <w:gridSpan w:val="2"/>
          </w:tcPr>
          <w:p w:rsidR="00DD473D" w:rsidRDefault="00DD473D" w:rsidP="00351386">
            <w:pPr>
              <w:pStyle w:val="TableBodyText"/>
              <w:keepNext w:val="0"/>
              <w:keepLines w:val="0"/>
              <w:widowControl w:val="0"/>
            </w:pPr>
            <w:r>
              <w:t>$</w:t>
            </w:r>
          </w:p>
        </w:tc>
        <w:tc>
          <w:tcPr>
            <w:tcW w:w="498" w:type="pct"/>
            <w:gridSpan w:val="2"/>
            <w:vAlign w:val="center"/>
          </w:tcPr>
          <w:p w:rsidR="00DD473D" w:rsidRDefault="00DD473D" w:rsidP="0077182A">
            <w:pPr>
              <w:pStyle w:val="TableBodyText"/>
              <w:keepNext w:val="0"/>
              <w:keepLines w:val="0"/>
              <w:widowControl w:val="0"/>
              <w:rPr>
                <w:rFonts w:cs="Arial"/>
              </w:rPr>
            </w:pPr>
            <w:r>
              <w:rPr>
                <w:rFonts w:cs="Arial"/>
              </w:rPr>
              <w:t>121</w:t>
            </w:r>
          </w:p>
        </w:tc>
        <w:tc>
          <w:tcPr>
            <w:tcW w:w="498" w:type="pct"/>
            <w:gridSpan w:val="2"/>
            <w:vAlign w:val="center"/>
          </w:tcPr>
          <w:p w:rsidR="00DD473D" w:rsidRDefault="00DD473D" w:rsidP="0077182A">
            <w:pPr>
              <w:pStyle w:val="TableBodyText"/>
              <w:keepNext w:val="0"/>
              <w:keepLines w:val="0"/>
              <w:widowControl w:val="0"/>
              <w:rPr>
                <w:rFonts w:cs="Arial"/>
              </w:rPr>
            </w:pPr>
            <w:r>
              <w:rPr>
                <w:rFonts w:cs="Arial"/>
              </w:rPr>
              <w:t>148</w:t>
            </w:r>
          </w:p>
        </w:tc>
        <w:tc>
          <w:tcPr>
            <w:tcW w:w="498" w:type="pct"/>
            <w:gridSpan w:val="2"/>
            <w:vAlign w:val="center"/>
          </w:tcPr>
          <w:p w:rsidR="00DD473D" w:rsidRPr="00551B18" w:rsidRDefault="00DD473D" w:rsidP="0077182A">
            <w:pPr>
              <w:pStyle w:val="TableBodyText"/>
              <w:keepNext w:val="0"/>
              <w:keepLines w:val="0"/>
              <w:widowControl w:val="0"/>
              <w:rPr>
                <w:rFonts w:cs="Arial"/>
              </w:rPr>
            </w:pPr>
            <w:r>
              <w:rPr>
                <w:rFonts w:cs="Arial"/>
              </w:rPr>
              <w:t>14</w:t>
            </w:r>
            <w:r w:rsidR="0077182A">
              <w:rPr>
                <w:rFonts w:cs="Arial"/>
              </w:rPr>
              <w:t>2</w:t>
            </w:r>
          </w:p>
        </w:tc>
        <w:tc>
          <w:tcPr>
            <w:tcW w:w="498" w:type="pct"/>
            <w:gridSpan w:val="2"/>
            <w:vAlign w:val="center"/>
          </w:tcPr>
          <w:p w:rsidR="00DD473D" w:rsidRPr="00551B18" w:rsidRDefault="00DD473D" w:rsidP="0077182A">
            <w:pPr>
              <w:pStyle w:val="TableBodyText"/>
              <w:keepNext w:val="0"/>
              <w:keepLines w:val="0"/>
              <w:widowControl w:val="0"/>
              <w:rPr>
                <w:rFonts w:cs="Arial"/>
              </w:rPr>
            </w:pPr>
            <w:r>
              <w:rPr>
                <w:rFonts w:cs="Arial"/>
              </w:rPr>
              <w:t>18</w:t>
            </w:r>
            <w:r w:rsidR="0077182A">
              <w:rPr>
                <w:rFonts w:cs="Arial"/>
              </w:rPr>
              <w:t>4</w:t>
            </w:r>
          </w:p>
        </w:tc>
        <w:tc>
          <w:tcPr>
            <w:tcW w:w="498" w:type="pct"/>
            <w:gridSpan w:val="3"/>
            <w:vAlign w:val="center"/>
          </w:tcPr>
          <w:p w:rsidR="00DD473D" w:rsidRPr="00551B18" w:rsidRDefault="003A14D1" w:rsidP="0077182A">
            <w:pPr>
              <w:pStyle w:val="TableBodyText"/>
              <w:keepNext w:val="0"/>
              <w:keepLines w:val="0"/>
              <w:widowControl w:val="0"/>
              <w:rPr>
                <w:rFonts w:cs="Arial"/>
              </w:rPr>
            </w:pPr>
            <w:r>
              <w:rPr>
                <w:rFonts w:cs="Arial"/>
              </w:rPr>
              <w:t>1</w:t>
            </w:r>
            <w:r w:rsidR="0077182A">
              <w:rPr>
                <w:rFonts w:cs="Arial"/>
              </w:rPr>
              <w:t>60</w:t>
            </w:r>
          </w:p>
        </w:tc>
        <w:tc>
          <w:tcPr>
            <w:tcW w:w="498" w:type="pct"/>
            <w:gridSpan w:val="3"/>
            <w:vAlign w:val="center"/>
          </w:tcPr>
          <w:p w:rsidR="00DD473D" w:rsidRPr="00551B18" w:rsidRDefault="00DD473D" w:rsidP="0077182A">
            <w:pPr>
              <w:pStyle w:val="TableBodyText"/>
              <w:keepNext w:val="0"/>
              <w:keepLines w:val="0"/>
              <w:widowControl w:val="0"/>
              <w:rPr>
                <w:rFonts w:cs="Arial"/>
              </w:rPr>
            </w:pPr>
            <w:r>
              <w:rPr>
                <w:rFonts w:cs="Arial"/>
              </w:rPr>
              <w:t>111</w:t>
            </w:r>
          </w:p>
        </w:tc>
        <w:tc>
          <w:tcPr>
            <w:tcW w:w="499" w:type="pct"/>
            <w:gridSpan w:val="3"/>
            <w:vAlign w:val="center"/>
          </w:tcPr>
          <w:p w:rsidR="00DD473D" w:rsidRPr="00551B18" w:rsidRDefault="003A14D1" w:rsidP="0077182A">
            <w:pPr>
              <w:pStyle w:val="TableBodyText"/>
              <w:keepNext w:val="0"/>
              <w:keepLines w:val="0"/>
              <w:widowControl w:val="0"/>
              <w:rPr>
                <w:rFonts w:cs="Arial"/>
              </w:rPr>
            </w:pPr>
            <w:r>
              <w:rPr>
                <w:rFonts w:cs="Arial"/>
              </w:rPr>
              <w:t>14</w:t>
            </w:r>
            <w:r w:rsidR="0077182A">
              <w:rPr>
                <w:rFonts w:cs="Arial"/>
              </w:rPr>
              <w:t>9</w:t>
            </w:r>
          </w:p>
        </w:tc>
        <w:tc>
          <w:tcPr>
            <w:tcW w:w="543" w:type="pct"/>
            <w:gridSpan w:val="3"/>
            <w:vAlign w:val="center"/>
          </w:tcPr>
          <w:p w:rsidR="00DD473D" w:rsidRPr="00551B18" w:rsidRDefault="00DD473D" w:rsidP="0077182A">
            <w:pPr>
              <w:pStyle w:val="TableBodyText"/>
              <w:keepNext w:val="0"/>
              <w:keepLines w:val="0"/>
              <w:widowControl w:val="0"/>
              <w:rPr>
                <w:rFonts w:cs="Arial"/>
              </w:rPr>
            </w:pPr>
            <w:r>
              <w:rPr>
                <w:rFonts w:cs="Arial"/>
              </w:rPr>
              <w:t>28</w:t>
            </w:r>
            <w:r w:rsidR="0077182A">
              <w:rPr>
                <w:rFonts w:cs="Arial"/>
              </w:rPr>
              <w:t>2</w:t>
            </w:r>
          </w:p>
        </w:tc>
        <w:tc>
          <w:tcPr>
            <w:tcW w:w="453" w:type="pct"/>
            <w:gridSpan w:val="3"/>
            <w:vAlign w:val="center"/>
          </w:tcPr>
          <w:p w:rsidR="00DD473D" w:rsidRPr="00551B18" w:rsidRDefault="00DD473D" w:rsidP="0077182A">
            <w:pPr>
              <w:pStyle w:val="TableBodyText"/>
              <w:keepNext w:val="0"/>
              <w:keepLines w:val="0"/>
              <w:widowControl w:val="0"/>
              <w:rPr>
                <w:rFonts w:cs="Arial"/>
              </w:rPr>
            </w:pPr>
            <w:r>
              <w:rPr>
                <w:rFonts w:cs="Arial"/>
              </w:rPr>
              <w:t>140</w:t>
            </w:r>
          </w:p>
        </w:tc>
        <w:tc>
          <w:tcPr>
            <w:tcW w:w="395" w:type="pct"/>
            <w:gridSpan w:val="2"/>
          </w:tcPr>
          <w:p w:rsidR="00DD473D" w:rsidRPr="00D650F0" w:rsidRDefault="00DD473D" w:rsidP="00DD473D">
            <w:pPr>
              <w:pStyle w:val="TableBodyText"/>
              <w:keepNext w:val="0"/>
              <w:keepLines w:val="0"/>
              <w:widowControl w:val="0"/>
            </w:pPr>
            <w:r>
              <w:t>15A.29</w:t>
            </w:r>
          </w:p>
        </w:tc>
      </w:tr>
      <w:tr w:rsidR="007A514E" w:rsidRPr="0051549A" w:rsidTr="006B1005">
        <w:trPr>
          <w:trHeight w:val="273"/>
        </w:trPr>
        <w:tc>
          <w:tcPr>
            <w:tcW w:w="5000" w:type="pct"/>
            <w:gridSpan w:val="27"/>
            <w:shd w:val="clear" w:color="auto" w:fill="auto"/>
          </w:tcPr>
          <w:p w:rsidR="007A514E" w:rsidRPr="00867FEB" w:rsidRDefault="007A514E" w:rsidP="00351386">
            <w:pPr>
              <w:pStyle w:val="TableColumnHeading"/>
              <w:keepNext w:val="0"/>
              <w:keepLines w:val="0"/>
              <w:widowControl w:val="0"/>
              <w:jc w:val="left"/>
              <w:rPr>
                <w:b/>
                <w:i w:val="0"/>
              </w:rPr>
            </w:pPr>
            <w:r w:rsidRPr="00867FEB">
              <w:rPr>
                <w:b/>
                <w:i w:val="0"/>
              </w:rPr>
              <w:t>Outcomes</w:t>
            </w:r>
          </w:p>
        </w:tc>
      </w:tr>
      <w:tr w:rsidR="007A514E" w:rsidRPr="009F07D8" w:rsidTr="006B1005">
        <w:tc>
          <w:tcPr>
            <w:tcW w:w="5000" w:type="pct"/>
            <w:gridSpan w:val="27"/>
            <w:shd w:val="clear" w:color="auto" w:fill="auto"/>
          </w:tcPr>
          <w:p w:rsidR="007A514E" w:rsidRPr="00867FEB" w:rsidRDefault="007A514E" w:rsidP="00351386">
            <w:pPr>
              <w:pStyle w:val="TableColumnHeading"/>
              <w:keepNext w:val="0"/>
              <w:keepLines w:val="0"/>
              <w:widowControl w:val="0"/>
              <w:jc w:val="left"/>
              <w:rPr>
                <w:i w:val="0"/>
              </w:rPr>
            </w:pPr>
            <w:r w:rsidRPr="00867FEB">
              <w:rPr>
                <w:i w:val="0"/>
              </w:rPr>
              <w:t>Improved safety</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7A514E" w:rsidRPr="00867FEB" w:rsidTr="006B1005">
        <w:tc>
          <w:tcPr>
            <w:tcW w:w="5000" w:type="pct"/>
            <w:gridSpan w:val="27"/>
            <w:shd w:val="clear" w:color="auto" w:fill="auto"/>
          </w:tcPr>
          <w:p w:rsidR="007A514E" w:rsidRPr="00867FEB" w:rsidRDefault="007A514E" w:rsidP="00351386">
            <w:pPr>
              <w:pStyle w:val="TableColumnHeading"/>
              <w:keepNext w:val="0"/>
              <w:keepLines w:val="0"/>
              <w:widowControl w:val="0"/>
              <w:jc w:val="left"/>
            </w:pPr>
            <w:r w:rsidRPr="00867FEB">
              <w:t>Substantiation rate after decision not to substantiate, 3 months</w:t>
            </w:r>
          </w:p>
        </w:tc>
      </w:tr>
      <w:tr w:rsidR="00DD473D" w:rsidTr="00DD473D">
        <w:tc>
          <w:tcPr>
            <w:tcW w:w="120" w:type="pct"/>
            <w:gridSpan w:val="2"/>
          </w:tcPr>
          <w:p w:rsidR="00DD473D" w:rsidRDefault="00DD473D" w:rsidP="00351386">
            <w:pPr>
              <w:pStyle w:val="TableBodyText"/>
              <w:keepNext w:val="0"/>
              <w:keepLines w:val="0"/>
              <w:widowControl w:val="0"/>
            </w:pPr>
            <w:r>
              <w:t>%</w:t>
            </w:r>
          </w:p>
        </w:tc>
        <w:tc>
          <w:tcPr>
            <w:tcW w:w="498" w:type="pct"/>
            <w:gridSpan w:val="2"/>
            <w:vAlign w:val="center"/>
          </w:tcPr>
          <w:p w:rsidR="00DD473D" w:rsidRPr="00A65539" w:rsidRDefault="00DD473D" w:rsidP="00A65539">
            <w:pPr>
              <w:pStyle w:val="TableBodyText"/>
            </w:pPr>
            <w:r w:rsidRPr="00A65539">
              <w:t>4.5</w:t>
            </w:r>
          </w:p>
        </w:tc>
        <w:tc>
          <w:tcPr>
            <w:tcW w:w="498" w:type="pct"/>
            <w:gridSpan w:val="2"/>
            <w:vAlign w:val="center"/>
          </w:tcPr>
          <w:p w:rsidR="00DD473D" w:rsidRPr="00A65539" w:rsidRDefault="00DD473D" w:rsidP="00A65539">
            <w:pPr>
              <w:pStyle w:val="TableBodyText"/>
            </w:pPr>
            <w:r w:rsidRPr="00A65539">
              <w:t>2.3</w:t>
            </w:r>
          </w:p>
        </w:tc>
        <w:tc>
          <w:tcPr>
            <w:tcW w:w="498" w:type="pct"/>
            <w:gridSpan w:val="2"/>
            <w:vAlign w:val="center"/>
          </w:tcPr>
          <w:p w:rsidR="00DD473D" w:rsidRPr="00A65539" w:rsidRDefault="00DD473D" w:rsidP="00A65539">
            <w:pPr>
              <w:pStyle w:val="TableBodyText"/>
            </w:pPr>
            <w:r w:rsidRPr="00A65539">
              <w:t>3.4</w:t>
            </w:r>
          </w:p>
        </w:tc>
        <w:tc>
          <w:tcPr>
            <w:tcW w:w="498" w:type="pct"/>
            <w:gridSpan w:val="2"/>
            <w:vAlign w:val="center"/>
          </w:tcPr>
          <w:p w:rsidR="00DD473D" w:rsidRPr="00A65539" w:rsidRDefault="00DD473D" w:rsidP="00A65539">
            <w:pPr>
              <w:pStyle w:val="TableBodyText"/>
            </w:pPr>
            <w:r w:rsidRPr="00A65539">
              <w:t>1.7</w:t>
            </w:r>
          </w:p>
        </w:tc>
        <w:tc>
          <w:tcPr>
            <w:tcW w:w="498" w:type="pct"/>
            <w:gridSpan w:val="3"/>
            <w:vAlign w:val="center"/>
          </w:tcPr>
          <w:p w:rsidR="00DD473D" w:rsidRPr="00A65539" w:rsidRDefault="007E036E" w:rsidP="00A65539">
            <w:pPr>
              <w:pStyle w:val="TableBodyText"/>
            </w:pPr>
            <w:r>
              <w:t>5.2</w:t>
            </w:r>
          </w:p>
        </w:tc>
        <w:tc>
          <w:tcPr>
            <w:tcW w:w="498" w:type="pct"/>
            <w:gridSpan w:val="3"/>
            <w:vAlign w:val="center"/>
          </w:tcPr>
          <w:p w:rsidR="00DD473D" w:rsidRPr="00A65539" w:rsidRDefault="007E036E" w:rsidP="00A65539">
            <w:pPr>
              <w:pStyle w:val="TableBodyText"/>
            </w:pPr>
            <w:r>
              <w:t>4.1</w:t>
            </w:r>
          </w:p>
        </w:tc>
        <w:tc>
          <w:tcPr>
            <w:tcW w:w="499" w:type="pct"/>
            <w:gridSpan w:val="3"/>
            <w:vAlign w:val="center"/>
          </w:tcPr>
          <w:p w:rsidR="00DD473D" w:rsidRPr="00A65539" w:rsidRDefault="00DD473D" w:rsidP="00A65539">
            <w:pPr>
              <w:pStyle w:val="TableBodyText"/>
            </w:pPr>
            <w:r w:rsidRPr="00A65539">
              <w:t>6.5</w:t>
            </w:r>
          </w:p>
        </w:tc>
        <w:tc>
          <w:tcPr>
            <w:tcW w:w="543" w:type="pct"/>
            <w:gridSpan w:val="3"/>
            <w:vAlign w:val="center"/>
          </w:tcPr>
          <w:p w:rsidR="00DD473D" w:rsidRPr="00A65539" w:rsidRDefault="00DD473D" w:rsidP="00A65539">
            <w:pPr>
              <w:pStyle w:val="TableBodyText"/>
            </w:pPr>
            <w:r w:rsidRPr="00A65539">
              <w:t>4.3</w:t>
            </w:r>
          </w:p>
        </w:tc>
        <w:tc>
          <w:tcPr>
            <w:tcW w:w="453" w:type="pct"/>
            <w:gridSpan w:val="3"/>
            <w:vAlign w:val="center"/>
          </w:tcPr>
          <w:p w:rsidR="00DD473D" w:rsidRDefault="00DD473D" w:rsidP="00351386">
            <w:pPr>
              <w:pStyle w:val="TableBodyText"/>
              <w:keepNext w:val="0"/>
              <w:keepLines w:val="0"/>
              <w:widowControl w:val="0"/>
              <w:rPr>
                <w:rFonts w:cs="Arial"/>
              </w:rPr>
            </w:pPr>
            <w:r>
              <w:rPr>
                <w:rFonts w:cs="Arial"/>
              </w:rPr>
              <w:t>..</w:t>
            </w:r>
          </w:p>
        </w:tc>
        <w:tc>
          <w:tcPr>
            <w:tcW w:w="395" w:type="pct"/>
            <w:gridSpan w:val="2"/>
          </w:tcPr>
          <w:p w:rsidR="00DD473D" w:rsidRDefault="00DD473D" w:rsidP="00DD473D">
            <w:pPr>
              <w:pStyle w:val="TableBodyText"/>
              <w:keepNext w:val="0"/>
              <w:keepLines w:val="0"/>
              <w:widowControl w:val="0"/>
            </w:pPr>
            <w:r>
              <w:t>15A.10</w:t>
            </w:r>
          </w:p>
        </w:tc>
      </w:tr>
      <w:tr w:rsidR="007A514E" w:rsidRPr="00867FEB" w:rsidTr="006B1005">
        <w:trPr>
          <w:trHeight w:val="447"/>
        </w:trPr>
        <w:tc>
          <w:tcPr>
            <w:tcW w:w="5000" w:type="pct"/>
            <w:gridSpan w:val="27"/>
          </w:tcPr>
          <w:p w:rsidR="007A514E" w:rsidRPr="00867FEB" w:rsidRDefault="007A514E" w:rsidP="00351386">
            <w:pPr>
              <w:pStyle w:val="TableColumnHeading"/>
              <w:keepNext w:val="0"/>
              <w:keepLines w:val="0"/>
              <w:widowControl w:val="0"/>
              <w:jc w:val="left"/>
            </w:pPr>
            <w:r w:rsidRPr="00867FEB">
              <w:t xml:space="preserve">Substantiation rate after decision not to substantiate, </w:t>
            </w:r>
            <w:r w:rsidR="00697B14">
              <w:t>12</w:t>
            </w:r>
            <w:r w:rsidRPr="00867FEB">
              <w:t xml:space="preserve"> months</w:t>
            </w:r>
          </w:p>
        </w:tc>
      </w:tr>
      <w:tr w:rsidR="00DD473D" w:rsidRPr="00D650F0" w:rsidTr="00DD473D">
        <w:tc>
          <w:tcPr>
            <w:tcW w:w="120" w:type="pct"/>
            <w:gridSpan w:val="2"/>
          </w:tcPr>
          <w:p w:rsidR="00DD473D" w:rsidRDefault="00DD473D" w:rsidP="00351386">
            <w:pPr>
              <w:pStyle w:val="TableBodyText"/>
              <w:keepNext w:val="0"/>
              <w:keepLines w:val="0"/>
              <w:widowControl w:val="0"/>
            </w:pPr>
            <w:r>
              <w:t>%</w:t>
            </w:r>
          </w:p>
        </w:tc>
        <w:tc>
          <w:tcPr>
            <w:tcW w:w="498" w:type="pct"/>
            <w:gridSpan w:val="2"/>
            <w:vAlign w:val="center"/>
          </w:tcPr>
          <w:p w:rsidR="00DD473D" w:rsidRPr="00A65539" w:rsidRDefault="00DD473D" w:rsidP="00A65539">
            <w:pPr>
              <w:pStyle w:val="TableBodyText"/>
            </w:pPr>
            <w:r w:rsidRPr="00A65539">
              <w:t>8.2</w:t>
            </w:r>
          </w:p>
        </w:tc>
        <w:tc>
          <w:tcPr>
            <w:tcW w:w="498" w:type="pct"/>
            <w:gridSpan w:val="2"/>
            <w:vAlign w:val="center"/>
          </w:tcPr>
          <w:p w:rsidR="00DD473D" w:rsidRPr="00A65539" w:rsidRDefault="00DD473D" w:rsidP="00A65539">
            <w:pPr>
              <w:pStyle w:val="TableBodyText"/>
            </w:pPr>
            <w:r w:rsidRPr="00A65539">
              <w:t>12.5</w:t>
            </w:r>
          </w:p>
        </w:tc>
        <w:tc>
          <w:tcPr>
            <w:tcW w:w="498" w:type="pct"/>
            <w:gridSpan w:val="2"/>
            <w:vAlign w:val="center"/>
          </w:tcPr>
          <w:p w:rsidR="00DD473D" w:rsidRPr="00A65539" w:rsidRDefault="00DD473D" w:rsidP="00A65539">
            <w:pPr>
              <w:pStyle w:val="TableBodyText"/>
            </w:pPr>
            <w:r w:rsidRPr="00A65539">
              <w:t>9.8</w:t>
            </w:r>
          </w:p>
        </w:tc>
        <w:tc>
          <w:tcPr>
            <w:tcW w:w="498" w:type="pct"/>
            <w:gridSpan w:val="2"/>
            <w:vAlign w:val="center"/>
          </w:tcPr>
          <w:p w:rsidR="00DD473D" w:rsidRPr="00A65539" w:rsidRDefault="00DD473D" w:rsidP="00A65539">
            <w:pPr>
              <w:pStyle w:val="TableBodyText"/>
            </w:pPr>
            <w:r w:rsidRPr="00A65539">
              <w:t>7.7</w:t>
            </w:r>
          </w:p>
        </w:tc>
        <w:tc>
          <w:tcPr>
            <w:tcW w:w="498" w:type="pct"/>
            <w:gridSpan w:val="3"/>
            <w:vAlign w:val="center"/>
          </w:tcPr>
          <w:p w:rsidR="00DD473D" w:rsidRPr="00A65539" w:rsidRDefault="007E036E" w:rsidP="00A65539">
            <w:pPr>
              <w:pStyle w:val="TableBodyText"/>
            </w:pPr>
            <w:r>
              <w:t>14.1</w:t>
            </w:r>
          </w:p>
        </w:tc>
        <w:tc>
          <w:tcPr>
            <w:tcW w:w="498" w:type="pct"/>
            <w:gridSpan w:val="3"/>
            <w:vAlign w:val="center"/>
          </w:tcPr>
          <w:p w:rsidR="00DD473D" w:rsidRPr="00A65539" w:rsidRDefault="007E036E" w:rsidP="00A65539">
            <w:pPr>
              <w:pStyle w:val="TableBodyText"/>
            </w:pPr>
            <w:r>
              <w:t>10.8</w:t>
            </w:r>
          </w:p>
        </w:tc>
        <w:tc>
          <w:tcPr>
            <w:tcW w:w="499" w:type="pct"/>
            <w:gridSpan w:val="3"/>
            <w:vAlign w:val="center"/>
          </w:tcPr>
          <w:p w:rsidR="00DD473D" w:rsidRPr="00A65539" w:rsidRDefault="00DD473D" w:rsidP="00A65539">
            <w:pPr>
              <w:pStyle w:val="TableBodyText"/>
            </w:pPr>
            <w:r w:rsidRPr="00A65539">
              <w:t>17.6</w:t>
            </w:r>
          </w:p>
        </w:tc>
        <w:tc>
          <w:tcPr>
            <w:tcW w:w="543" w:type="pct"/>
            <w:gridSpan w:val="3"/>
            <w:vAlign w:val="center"/>
          </w:tcPr>
          <w:p w:rsidR="00DD473D" w:rsidRPr="00A65539" w:rsidRDefault="00DD473D" w:rsidP="00A65539">
            <w:pPr>
              <w:pStyle w:val="TableBodyText"/>
            </w:pPr>
            <w:r w:rsidRPr="00A65539">
              <w:t>12.8</w:t>
            </w:r>
          </w:p>
        </w:tc>
        <w:tc>
          <w:tcPr>
            <w:tcW w:w="453" w:type="pct"/>
            <w:gridSpan w:val="3"/>
            <w:vAlign w:val="center"/>
          </w:tcPr>
          <w:p w:rsidR="00DD473D" w:rsidRDefault="00DD473D" w:rsidP="00351386">
            <w:pPr>
              <w:pStyle w:val="TableBodyText"/>
              <w:keepNext w:val="0"/>
              <w:keepLines w:val="0"/>
              <w:widowControl w:val="0"/>
              <w:rPr>
                <w:rFonts w:cs="Arial"/>
              </w:rPr>
            </w:pPr>
            <w:r>
              <w:rPr>
                <w:rFonts w:cs="Arial"/>
              </w:rPr>
              <w:t>..</w:t>
            </w:r>
          </w:p>
        </w:tc>
        <w:tc>
          <w:tcPr>
            <w:tcW w:w="395" w:type="pct"/>
            <w:gridSpan w:val="2"/>
          </w:tcPr>
          <w:p w:rsidR="00DD473D" w:rsidRPr="00D650F0" w:rsidRDefault="00DD473D" w:rsidP="00DD473D">
            <w:pPr>
              <w:pStyle w:val="TableBodyText"/>
              <w:keepNext w:val="0"/>
              <w:keepLines w:val="0"/>
              <w:widowControl w:val="0"/>
            </w:pPr>
            <w:r>
              <w:t>15A.10</w:t>
            </w:r>
          </w:p>
        </w:tc>
      </w:tr>
      <w:tr w:rsidR="007A514E" w:rsidRPr="00867FEB" w:rsidTr="006B1005">
        <w:tc>
          <w:tcPr>
            <w:tcW w:w="5000" w:type="pct"/>
            <w:gridSpan w:val="27"/>
            <w:shd w:val="clear" w:color="auto" w:fill="auto"/>
          </w:tcPr>
          <w:p w:rsidR="007A514E" w:rsidRPr="00867FEB" w:rsidRDefault="007A514E" w:rsidP="00351386">
            <w:pPr>
              <w:pStyle w:val="TableColumnHeading"/>
              <w:keepNext w:val="0"/>
              <w:keepLines w:val="0"/>
              <w:widowControl w:val="0"/>
              <w:jc w:val="left"/>
            </w:pPr>
            <w:r w:rsidRPr="00867FEB">
              <w:t>Substantiation rate after a prior substantiation, 3 months</w:t>
            </w:r>
          </w:p>
        </w:tc>
      </w:tr>
      <w:tr w:rsidR="00DD473D" w:rsidTr="00DD473D">
        <w:tc>
          <w:tcPr>
            <w:tcW w:w="120" w:type="pct"/>
            <w:gridSpan w:val="2"/>
          </w:tcPr>
          <w:p w:rsidR="00DD473D" w:rsidRDefault="00DD473D" w:rsidP="00351386">
            <w:pPr>
              <w:pStyle w:val="TableBodyText"/>
              <w:keepNext w:val="0"/>
              <w:keepLines w:val="0"/>
              <w:widowControl w:val="0"/>
            </w:pPr>
            <w:r>
              <w:t>%</w:t>
            </w:r>
          </w:p>
        </w:tc>
        <w:tc>
          <w:tcPr>
            <w:tcW w:w="498" w:type="pct"/>
            <w:gridSpan w:val="2"/>
            <w:vAlign w:val="center"/>
          </w:tcPr>
          <w:p w:rsidR="00DD473D" w:rsidRPr="00A65539" w:rsidRDefault="00DD473D" w:rsidP="00A65539">
            <w:pPr>
              <w:pStyle w:val="TableBodyText"/>
            </w:pPr>
            <w:r w:rsidRPr="00A65539">
              <w:t>8.5</w:t>
            </w:r>
          </w:p>
        </w:tc>
        <w:tc>
          <w:tcPr>
            <w:tcW w:w="498" w:type="pct"/>
            <w:gridSpan w:val="2"/>
            <w:vAlign w:val="center"/>
          </w:tcPr>
          <w:p w:rsidR="00DD473D" w:rsidRPr="00A65539" w:rsidRDefault="00DD473D" w:rsidP="00A65539">
            <w:pPr>
              <w:pStyle w:val="TableBodyText"/>
            </w:pPr>
            <w:r w:rsidRPr="00A65539">
              <w:t>1.2</w:t>
            </w:r>
          </w:p>
        </w:tc>
        <w:tc>
          <w:tcPr>
            <w:tcW w:w="498" w:type="pct"/>
            <w:gridSpan w:val="2"/>
            <w:vAlign w:val="center"/>
          </w:tcPr>
          <w:p w:rsidR="00DD473D" w:rsidRPr="00A65539" w:rsidRDefault="00DD473D" w:rsidP="00A65539">
            <w:pPr>
              <w:pStyle w:val="TableBodyText"/>
            </w:pPr>
            <w:r w:rsidRPr="00A65539">
              <w:t>8.4</w:t>
            </w:r>
          </w:p>
        </w:tc>
        <w:tc>
          <w:tcPr>
            <w:tcW w:w="498" w:type="pct"/>
            <w:gridSpan w:val="2"/>
            <w:vAlign w:val="center"/>
          </w:tcPr>
          <w:p w:rsidR="00DD473D" w:rsidRPr="00A65539" w:rsidRDefault="00DD473D" w:rsidP="00A65539">
            <w:pPr>
              <w:pStyle w:val="TableBodyText"/>
            </w:pPr>
            <w:r w:rsidRPr="00A65539">
              <w:t>3.1</w:t>
            </w:r>
          </w:p>
        </w:tc>
        <w:tc>
          <w:tcPr>
            <w:tcW w:w="498" w:type="pct"/>
            <w:gridSpan w:val="3"/>
            <w:vAlign w:val="center"/>
          </w:tcPr>
          <w:p w:rsidR="00DD473D" w:rsidRPr="00A65539" w:rsidRDefault="007E036E" w:rsidP="00A65539">
            <w:pPr>
              <w:pStyle w:val="TableBodyText"/>
            </w:pPr>
            <w:r>
              <w:t>8.3</w:t>
            </w:r>
          </w:p>
        </w:tc>
        <w:tc>
          <w:tcPr>
            <w:tcW w:w="498" w:type="pct"/>
            <w:gridSpan w:val="3"/>
            <w:vAlign w:val="center"/>
          </w:tcPr>
          <w:p w:rsidR="00DD473D" w:rsidRPr="00A65539" w:rsidRDefault="007E036E" w:rsidP="00A65539">
            <w:pPr>
              <w:pStyle w:val="TableBodyText"/>
            </w:pPr>
            <w:r>
              <w:t>5.5</w:t>
            </w:r>
          </w:p>
        </w:tc>
        <w:tc>
          <w:tcPr>
            <w:tcW w:w="499" w:type="pct"/>
            <w:gridSpan w:val="3"/>
            <w:vAlign w:val="center"/>
          </w:tcPr>
          <w:p w:rsidR="00DD473D" w:rsidRPr="00A65539" w:rsidRDefault="00DD473D" w:rsidP="00A65539">
            <w:pPr>
              <w:pStyle w:val="TableBodyText"/>
            </w:pPr>
            <w:r w:rsidRPr="00A65539">
              <w:t>16.5</w:t>
            </w:r>
          </w:p>
        </w:tc>
        <w:tc>
          <w:tcPr>
            <w:tcW w:w="543" w:type="pct"/>
            <w:gridSpan w:val="3"/>
            <w:vAlign w:val="center"/>
          </w:tcPr>
          <w:p w:rsidR="00DD473D" w:rsidRPr="00A65539" w:rsidRDefault="00DD473D" w:rsidP="00A65539">
            <w:pPr>
              <w:pStyle w:val="TableBodyText"/>
            </w:pPr>
            <w:r w:rsidRPr="00A65539">
              <w:t>6.4</w:t>
            </w:r>
          </w:p>
        </w:tc>
        <w:tc>
          <w:tcPr>
            <w:tcW w:w="453" w:type="pct"/>
            <w:gridSpan w:val="3"/>
            <w:vAlign w:val="center"/>
          </w:tcPr>
          <w:p w:rsidR="00DD473D" w:rsidRDefault="00DD473D" w:rsidP="00351386">
            <w:pPr>
              <w:pStyle w:val="TableBodyText"/>
              <w:keepNext w:val="0"/>
              <w:keepLines w:val="0"/>
              <w:widowControl w:val="0"/>
              <w:rPr>
                <w:rFonts w:cs="Arial"/>
              </w:rPr>
            </w:pPr>
            <w:r>
              <w:rPr>
                <w:rFonts w:cs="Arial"/>
              </w:rPr>
              <w:t>..</w:t>
            </w:r>
          </w:p>
        </w:tc>
        <w:tc>
          <w:tcPr>
            <w:tcW w:w="395" w:type="pct"/>
            <w:gridSpan w:val="2"/>
          </w:tcPr>
          <w:p w:rsidR="00DD473D" w:rsidRDefault="00DD473D" w:rsidP="00DD473D">
            <w:pPr>
              <w:pStyle w:val="TableBodyText"/>
              <w:keepNext w:val="0"/>
              <w:keepLines w:val="0"/>
              <w:widowControl w:val="0"/>
            </w:pPr>
            <w:r>
              <w:t>15A.11</w:t>
            </w:r>
          </w:p>
        </w:tc>
      </w:tr>
      <w:tr w:rsidR="006C244A" w:rsidRPr="00867FEB" w:rsidTr="006B1005">
        <w:trPr>
          <w:trHeight w:val="447"/>
        </w:trPr>
        <w:tc>
          <w:tcPr>
            <w:tcW w:w="5000" w:type="pct"/>
            <w:gridSpan w:val="27"/>
          </w:tcPr>
          <w:p w:rsidR="006C244A" w:rsidRPr="00867FEB" w:rsidRDefault="006C244A" w:rsidP="00351386">
            <w:pPr>
              <w:pStyle w:val="TableColumnHeading"/>
              <w:keepNext w:val="0"/>
              <w:keepLines w:val="0"/>
              <w:widowControl w:val="0"/>
              <w:jc w:val="left"/>
            </w:pPr>
            <w:r w:rsidRPr="00867FEB">
              <w:t xml:space="preserve">Substantiation rate after a prior substantiation, </w:t>
            </w:r>
            <w:r>
              <w:t>12</w:t>
            </w:r>
            <w:r w:rsidRPr="00867FEB">
              <w:t xml:space="preserve"> months</w:t>
            </w:r>
          </w:p>
        </w:tc>
      </w:tr>
      <w:tr w:rsidR="00DD473D" w:rsidRPr="00D650F0" w:rsidTr="00DD473D">
        <w:tc>
          <w:tcPr>
            <w:tcW w:w="120" w:type="pct"/>
            <w:gridSpan w:val="2"/>
            <w:tcBorders>
              <w:bottom w:val="single" w:sz="4" w:space="0" w:color="auto"/>
            </w:tcBorders>
          </w:tcPr>
          <w:p w:rsidR="00DD473D" w:rsidRDefault="00DD473D" w:rsidP="00351386">
            <w:pPr>
              <w:pStyle w:val="TableBodyText"/>
              <w:keepNext w:val="0"/>
              <w:keepLines w:val="0"/>
              <w:widowControl w:val="0"/>
            </w:pPr>
            <w:r>
              <w:t>%</w:t>
            </w:r>
          </w:p>
        </w:tc>
        <w:tc>
          <w:tcPr>
            <w:tcW w:w="498" w:type="pct"/>
            <w:gridSpan w:val="2"/>
            <w:tcBorders>
              <w:bottom w:val="single" w:sz="4" w:space="0" w:color="auto"/>
            </w:tcBorders>
            <w:vAlign w:val="center"/>
          </w:tcPr>
          <w:p w:rsidR="00DD473D" w:rsidRPr="00A65539" w:rsidRDefault="00DD473D" w:rsidP="00A65539">
            <w:pPr>
              <w:pStyle w:val="TableBodyText"/>
            </w:pPr>
            <w:r w:rsidRPr="00A65539">
              <w:t>16.0</w:t>
            </w:r>
          </w:p>
        </w:tc>
        <w:tc>
          <w:tcPr>
            <w:tcW w:w="498" w:type="pct"/>
            <w:gridSpan w:val="2"/>
            <w:tcBorders>
              <w:bottom w:val="single" w:sz="4" w:space="0" w:color="auto"/>
            </w:tcBorders>
            <w:vAlign w:val="center"/>
          </w:tcPr>
          <w:p w:rsidR="00DD473D" w:rsidRPr="00A65539" w:rsidRDefault="00DD473D" w:rsidP="00A65539">
            <w:pPr>
              <w:pStyle w:val="TableBodyText"/>
            </w:pPr>
            <w:r w:rsidRPr="00A65539">
              <w:t>10.6</w:t>
            </w:r>
          </w:p>
        </w:tc>
        <w:tc>
          <w:tcPr>
            <w:tcW w:w="498" w:type="pct"/>
            <w:gridSpan w:val="2"/>
            <w:tcBorders>
              <w:bottom w:val="single" w:sz="4" w:space="0" w:color="auto"/>
            </w:tcBorders>
            <w:vAlign w:val="center"/>
          </w:tcPr>
          <w:p w:rsidR="00DD473D" w:rsidRPr="00A65539" w:rsidRDefault="00DD473D" w:rsidP="00A65539">
            <w:pPr>
              <w:pStyle w:val="TableBodyText"/>
            </w:pPr>
            <w:r w:rsidRPr="00A65539">
              <w:t>20.4</w:t>
            </w:r>
          </w:p>
        </w:tc>
        <w:tc>
          <w:tcPr>
            <w:tcW w:w="498" w:type="pct"/>
            <w:gridSpan w:val="2"/>
            <w:tcBorders>
              <w:bottom w:val="single" w:sz="4" w:space="0" w:color="auto"/>
            </w:tcBorders>
            <w:vAlign w:val="center"/>
          </w:tcPr>
          <w:p w:rsidR="00DD473D" w:rsidRPr="00A65539" w:rsidRDefault="00DD473D" w:rsidP="00A65539">
            <w:pPr>
              <w:pStyle w:val="TableBodyText"/>
            </w:pPr>
            <w:r w:rsidRPr="00A65539">
              <w:t>12.4</w:t>
            </w:r>
          </w:p>
        </w:tc>
        <w:tc>
          <w:tcPr>
            <w:tcW w:w="498" w:type="pct"/>
            <w:gridSpan w:val="3"/>
            <w:tcBorders>
              <w:bottom w:val="single" w:sz="4" w:space="0" w:color="auto"/>
            </w:tcBorders>
            <w:vAlign w:val="center"/>
          </w:tcPr>
          <w:p w:rsidR="00DD473D" w:rsidRPr="00A65539" w:rsidRDefault="007E036E" w:rsidP="00A65539">
            <w:pPr>
              <w:pStyle w:val="TableBodyText"/>
            </w:pPr>
            <w:r>
              <w:t>18.4</w:t>
            </w:r>
          </w:p>
        </w:tc>
        <w:tc>
          <w:tcPr>
            <w:tcW w:w="498" w:type="pct"/>
            <w:gridSpan w:val="3"/>
            <w:tcBorders>
              <w:bottom w:val="single" w:sz="4" w:space="0" w:color="auto"/>
            </w:tcBorders>
            <w:vAlign w:val="center"/>
          </w:tcPr>
          <w:p w:rsidR="00DD473D" w:rsidRPr="00A65539" w:rsidRDefault="007E036E" w:rsidP="00A65539">
            <w:pPr>
              <w:pStyle w:val="TableBodyText"/>
            </w:pPr>
            <w:r>
              <w:t>17.7</w:t>
            </w:r>
          </w:p>
        </w:tc>
        <w:tc>
          <w:tcPr>
            <w:tcW w:w="499" w:type="pct"/>
            <w:gridSpan w:val="3"/>
            <w:tcBorders>
              <w:bottom w:val="single" w:sz="4" w:space="0" w:color="auto"/>
            </w:tcBorders>
            <w:vAlign w:val="center"/>
          </w:tcPr>
          <w:p w:rsidR="00DD473D" w:rsidRPr="00A65539" w:rsidRDefault="00DD473D" w:rsidP="00A65539">
            <w:pPr>
              <w:pStyle w:val="TableBodyText"/>
            </w:pPr>
            <w:r w:rsidRPr="00A65539">
              <w:t>33.8</w:t>
            </w:r>
          </w:p>
        </w:tc>
        <w:tc>
          <w:tcPr>
            <w:tcW w:w="543" w:type="pct"/>
            <w:gridSpan w:val="3"/>
            <w:tcBorders>
              <w:bottom w:val="single" w:sz="4" w:space="0" w:color="auto"/>
            </w:tcBorders>
            <w:vAlign w:val="center"/>
          </w:tcPr>
          <w:p w:rsidR="00DD473D" w:rsidRPr="00A65539" w:rsidRDefault="00DD473D" w:rsidP="00A65539">
            <w:pPr>
              <w:pStyle w:val="TableBodyText"/>
            </w:pPr>
            <w:r w:rsidRPr="00A65539">
              <w:t>18.4</w:t>
            </w:r>
          </w:p>
        </w:tc>
        <w:tc>
          <w:tcPr>
            <w:tcW w:w="453" w:type="pct"/>
            <w:gridSpan w:val="3"/>
            <w:tcBorders>
              <w:bottom w:val="single" w:sz="4" w:space="0" w:color="auto"/>
            </w:tcBorders>
            <w:vAlign w:val="center"/>
          </w:tcPr>
          <w:p w:rsidR="00DD473D" w:rsidRDefault="00DD473D" w:rsidP="00351386">
            <w:pPr>
              <w:pStyle w:val="TableBodyText"/>
              <w:keepNext w:val="0"/>
              <w:keepLines w:val="0"/>
              <w:widowControl w:val="0"/>
              <w:rPr>
                <w:rFonts w:cs="Arial"/>
              </w:rPr>
            </w:pPr>
            <w:r>
              <w:rPr>
                <w:rFonts w:cs="Arial"/>
              </w:rPr>
              <w:t>..</w:t>
            </w:r>
          </w:p>
        </w:tc>
        <w:tc>
          <w:tcPr>
            <w:tcW w:w="395" w:type="pct"/>
            <w:gridSpan w:val="2"/>
            <w:tcBorders>
              <w:bottom w:val="single" w:sz="4" w:space="0" w:color="auto"/>
            </w:tcBorders>
          </w:tcPr>
          <w:p w:rsidR="00DD473D" w:rsidRPr="00D650F0" w:rsidRDefault="00DD473D" w:rsidP="00DD473D">
            <w:pPr>
              <w:pStyle w:val="TableBodyText"/>
              <w:keepNext w:val="0"/>
              <w:keepLines w:val="0"/>
              <w:widowControl w:val="0"/>
            </w:pPr>
            <w:r>
              <w:t>15A.11</w:t>
            </w:r>
          </w:p>
        </w:tc>
      </w:tr>
    </w:tbl>
    <w:p w:rsidR="007A514E" w:rsidRDefault="007A514E" w:rsidP="00351386">
      <w:pPr>
        <w:pStyle w:val="Note"/>
        <w:keepLines w:val="0"/>
        <w:widowControl w:val="0"/>
      </w:pPr>
      <w:r>
        <w:rPr>
          <w:rStyle w:val="NoteLabel"/>
        </w:rPr>
        <w:t>a</w:t>
      </w:r>
      <w:r>
        <w:rPr>
          <w:rFonts w:cs="Arial"/>
        </w:rPr>
        <w:t> </w:t>
      </w:r>
      <w:r>
        <w:t>C</w:t>
      </w:r>
      <w:r w:rsidRPr="00D76254">
        <w:t xml:space="preserve">aveats for these </w:t>
      </w:r>
      <w:r>
        <w:t>data</w:t>
      </w:r>
      <w:r w:rsidRPr="00D76254">
        <w:t xml:space="preserve"> are available </w:t>
      </w:r>
      <w:r>
        <w:t xml:space="preserve">in Chapter 15 and Attachment 15A. Refer to the indicator interpretation boxes in </w:t>
      </w:r>
      <w:r w:rsidR="007716AF">
        <w:t>C</w:t>
      </w:r>
      <w:r>
        <w:t xml:space="preserve">hapter 15 for information to assist with </w:t>
      </w:r>
      <w:r w:rsidR="009F11A1">
        <w:t xml:space="preserve">the </w:t>
      </w:r>
      <w:r w:rsidR="001F4425">
        <w:t>interpretation</w:t>
      </w:r>
      <w:r w:rsidR="009F11A1">
        <w:t xml:space="preserve"> of</w:t>
      </w:r>
      <w:r>
        <w:t xml:space="preserve"> data presented in this table. </w:t>
      </w:r>
      <w:r>
        <w:rPr>
          <w:rStyle w:val="NoteLabel"/>
        </w:rPr>
        <w:t>b</w:t>
      </w:r>
      <w:r>
        <w:t xml:space="preserve"> Some data are derived from detailed data in Chapter 15 and Attachment 15A. </w:t>
      </w:r>
      <w:r w:rsidR="000970BF" w:rsidRPr="00825E5F">
        <w:t>..</w:t>
      </w:r>
      <w:r w:rsidR="000970BF">
        <w:t xml:space="preserve"> Not applicable. </w:t>
      </w:r>
      <w:r w:rsidRPr="008926CD">
        <w:rPr>
          <w:b/>
        </w:rPr>
        <w:t>na</w:t>
      </w:r>
      <w:r>
        <w:t xml:space="preserve"> Not available.</w:t>
      </w:r>
      <w:r w:rsidR="000970BF">
        <w:br/>
        <w:t xml:space="preserve"> </w:t>
      </w:r>
      <w:r>
        <w:t>–</w:t>
      </w:r>
      <w:r w:rsidR="000970BF">
        <w:t> </w:t>
      </w:r>
      <w:r>
        <w:t>Nil or rounded to zero.</w:t>
      </w:r>
    </w:p>
    <w:p w:rsidR="007A514E" w:rsidRDefault="007A514E" w:rsidP="00351386">
      <w:pPr>
        <w:pStyle w:val="Source"/>
        <w:keepLines w:val="0"/>
        <w:widowControl w:val="0"/>
      </w:pPr>
      <w:r>
        <w:rPr>
          <w:i/>
        </w:rPr>
        <w:t>Source</w:t>
      </w:r>
      <w:r w:rsidRPr="00CF74DE">
        <w:t xml:space="preserve">: </w:t>
      </w:r>
      <w:r>
        <w:t>Chapter 15 and Attachment 15A.</w:t>
      </w:r>
    </w:p>
    <w:p w:rsidR="006E15B7" w:rsidRPr="007F3818" w:rsidRDefault="0097292D" w:rsidP="006E15B7">
      <w:pPr>
        <w:pStyle w:val="Heading4"/>
        <w:rPr>
          <w:color w:val="000000"/>
        </w:rPr>
      </w:pPr>
      <w:r>
        <w:rPr>
          <w:color w:val="000000"/>
        </w:rPr>
        <w:lastRenderedPageBreak/>
        <w:t>Y</w:t>
      </w:r>
      <w:r w:rsidR="006E15B7">
        <w:rPr>
          <w:color w:val="000000"/>
        </w:rPr>
        <w:t>outh justice</w:t>
      </w:r>
      <w:r w:rsidR="006E15B7" w:rsidRPr="007F3818">
        <w:rPr>
          <w:color w:val="000000"/>
        </w:rPr>
        <w:t xml:space="preserve"> services</w:t>
      </w:r>
    </w:p>
    <w:p w:rsidR="00B54D7F" w:rsidRPr="00675517" w:rsidRDefault="00B54D7F" w:rsidP="00351386">
      <w:pPr>
        <w:pStyle w:val="BodyText"/>
        <w:widowControl w:val="0"/>
        <w:rPr>
          <w:color w:val="000000"/>
        </w:rPr>
      </w:pPr>
      <w:r w:rsidRPr="00675517">
        <w:rPr>
          <w:color w:val="000000"/>
        </w:rPr>
        <w:t xml:space="preserve">The performance indicator framework for </w:t>
      </w:r>
      <w:r w:rsidR="004D4DD2">
        <w:rPr>
          <w:color w:val="000000"/>
        </w:rPr>
        <w:t>youth</w:t>
      </w:r>
      <w:r w:rsidRPr="00675517">
        <w:rPr>
          <w:color w:val="000000"/>
        </w:rPr>
        <w:t xml:space="preserve"> justice services is presented in figure </w:t>
      </w:r>
      <w:r w:rsidR="00C043A8" w:rsidRPr="00C043A8">
        <w:t>F.</w:t>
      </w:r>
      <w:r w:rsidR="00C52442">
        <w:t>10</w:t>
      </w:r>
      <w:r w:rsidR="00675517" w:rsidRPr="00675517">
        <w:rPr>
          <w:color w:val="000000"/>
        </w:rPr>
        <w:t>.</w:t>
      </w:r>
      <w:r w:rsidR="008928A2">
        <w:rPr>
          <w:color w:val="000000"/>
        </w:rPr>
        <w:t xml:space="preserve"> </w:t>
      </w:r>
      <w:r w:rsidR="008928A2">
        <w:t>This</w:t>
      </w:r>
      <w:r w:rsidR="008928A2" w:rsidRPr="00E6147C">
        <w:t xml:space="preserve"> framework provides comprehensive information on the equity, effectiveness</w:t>
      </w:r>
      <w:r w:rsidR="008928A2">
        <w:t>,</w:t>
      </w:r>
      <w:r w:rsidR="008928A2" w:rsidRPr="00E6147C">
        <w:t xml:space="preserve"> efficiency </w:t>
      </w:r>
      <w:r w:rsidR="008928A2">
        <w:t xml:space="preserve">and the outcomes </w:t>
      </w:r>
      <w:r w:rsidR="008928A2" w:rsidRPr="00E6147C">
        <w:t>of</w:t>
      </w:r>
      <w:r w:rsidR="008928A2">
        <w:t xml:space="preserve"> </w:t>
      </w:r>
      <w:r w:rsidR="004D4DD2">
        <w:t>youth</w:t>
      </w:r>
      <w:r w:rsidR="00E37B61">
        <w:t xml:space="preserve"> justice</w:t>
      </w:r>
      <w:r w:rsidR="008928A2">
        <w:t xml:space="preserve"> </w:t>
      </w:r>
      <w:r w:rsidR="008928A2" w:rsidRPr="00F21C84">
        <w:t>ser</w:t>
      </w:r>
      <w:r w:rsidR="008928A2">
        <w:t>vices</w:t>
      </w:r>
      <w:r w:rsidR="008928A2">
        <w:rPr>
          <w:color w:val="000000"/>
        </w:rPr>
        <w:t>.</w:t>
      </w:r>
    </w:p>
    <w:p w:rsidR="00B54D7F" w:rsidRPr="00A94B71" w:rsidRDefault="00B54D7F" w:rsidP="00B54D7F">
      <w:pPr>
        <w:pStyle w:val="FigureTitle"/>
      </w:pPr>
      <w:r w:rsidRPr="000D5A53">
        <w:rPr>
          <w:b w:val="0"/>
        </w:rPr>
        <w:t xml:space="preserve">Figure </w:t>
      </w:r>
      <w:r w:rsidR="00E33535">
        <w:rPr>
          <w:b w:val="0"/>
        </w:rPr>
        <w:t>F.</w:t>
      </w:r>
      <w:r w:rsidR="00914946">
        <w:rPr>
          <w:b w:val="0"/>
          <w:noProof/>
        </w:rPr>
        <w:t>9</w:t>
      </w:r>
      <w:r w:rsidRPr="00A94B71">
        <w:tab/>
      </w:r>
      <w:r w:rsidR="004D4DD2">
        <w:t>Youth</w:t>
      </w:r>
      <w:r w:rsidRPr="00A94B71">
        <w:t xml:space="preserve"> justice services</w:t>
      </w:r>
      <w:r w:rsidR="007A2FDF">
        <w:t xml:space="preserve">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B54D7F" w:rsidRPr="00A94B71" w:rsidTr="00B54D7F">
        <w:tc>
          <w:tcPr>
            <w:tcW w:w="8777" w:type="dxa"/>
          </w:tcPr>
          <w:p w:rsidR="00B54D7F" w:rsidRPr="00A94B71" w:rsidRDefault="004401B4" w:rsidP="00B54D7F">
            <w:pPr>
              <w:pStyle w:val="Figure"/>
            </w:pPr>
            <w:r>
              <w:rPr>
                <w:noProof/>
              </w:rPr>
              <w:drawing>
                <wp:inline distT="0" distB="0" distL="0" distR="0">
                  <wp:extent cx="5624195" cy="6210935"/>
                  <wp:effectExtent l="0" t="0" r="0" b="0"/>
                  <wp:docPr id="8" name="Picture 8" descr="Figure F.9 Youth justice services performance indicator framework&#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24195" cy="6210935"/>
                          </a:xfrm>
                          <a:prstGeom prst="rect">
                            <a:avLst/>
                          </a:prstGeom>
                          <a:noFill/>
                          <a:ln>
                            <a:noFill/>
                          </a:ln>
                        </pic:spPr>
                      </pic:pic>
                    </a:graphicData>
                  </a:graphic>
                </wp:inline>
              </w:drawing>
            </w:r>
          </w:p>
        </w:tc>
      </w:tr>
    </w:tbl>
    <w:p w:rsidR="00B54D7F" w:rsidRPr="00675517" w:rsidRDefault="00B54D7F" w:rsidP="00B54D7F">
      <w:pPr>
        <w:pStyle w:val="BodyText"/>
        <w:rPr>
          <w:color w:val="000000"/>
        </w:rPr>
      </w:pPr>
      <w:r w:rsidRPr="00675517">
        <w:rPr>
          <w:color w:val="000000"/>
        </w:rPr>
        <w:t xml:space="preserve">An overview of </w:t>
      </w:r>
      <w:r w:rsidR="004D4DD2">
        <w:rPr>
          <w:color w:val="000000"/>
        </w:rPr>
        <w:t>youth</w:t>
      </w:r>
      <w:r w:rsidRPr="00675517">
        <w:rPr>
          <w:color w:val="000000"/>
        </w:rPr>
        <w:t xml:space="preserve"> justice services performance indicator results for 20</w:t>
      </w:r>
      <w:r w:rsidR="00FD0253">
        <w:rPr>
          <w:color w:val="000000"/>
        </w:rPr>
        <w:t>1</w:t>
      </w:r>
      <w:r w:rsidR="0097292D">
        <w:rPr>
          <w:color w:val="000000"/>
        </w:rPr>
        <w:t>2</w:t>
      </w:r>
      <w:r w:rsidRPr="00675517">
        <w:rPr>
          <w:color w:val="000000"/>
        </w:rPr>
        <w:noBreakHyphen/>
        <w:t>1</w:t>
      </w:r>
      <w:r w:rsidR="0097292D">
        <w:rPr>
          <w:color w:val="000000"/>
        </w:rPr>
        <w:t>3</w:t>
      </w:r>
      <w:r w:rsidRPr="00675517">
        <w:rPr>
          <w:color w:val="000000"/>
        </w:rPr>
        <w:t xml:space="preserve"> are presented in table </w:t>
      </w:r>
      <w:r w:rsidR="00B80C16">
        <w:rPr>
          <w:color w:val="000000"/>
        </w:rPr>
        <w:t>F.</w:t>
      </w:r>
      <w:r w:rsidR="00CD7978">
        <w:rPr>
          <w:color w:val="000000"/>
        </w:rPr>
        <w:t>6</w:t>
      </w:r>
      <w:r w:rsidR="00675517">
        <w:rPr>
          <w:color w:val="000000"/>
        </w:rPr>
        <w:t>.</w:t>
      </w:r>
      <w:r w:rsidR="00EC53F4">
        <w:rPr>
          <w:color w:val="000000"/>
        </w:rPr>
        <w:t xml:space="preserve"> </w:t>
      </w:r>
      <w:r w:rsidR="00EC53F4">
        <w:t xml:space="preserve">Information to assist the interpretation of these data can be </w:t>
      </w:r>
      <w:r w:rsidR="00EC53F4">
        <w:lastRenderedPageBreak/>
        <w:t xml:space="preserve">found in the indicator interpretation boxes in chapter </w:t>
      </w:r>
      <w:r w:rsidR="007E2085">
        <w:t xml:space="preserve">16 </w:t>
      </w:r>
      <w:r w:rsidR="00EC53F4">
        <w:t>and the footnotes in attachment 1</w:t>
      </w:r>
      <w:r w:rsidR="0097292D">
        <w:t>6</w:t>
      </w:r>
      <w:r w:rsidR="00EC53F4">
        <w:t>A.</w:t>
      </w:r>
    </w:p>
    <w:p w:rsidR="00B54D7F" w:rsidRDefault="00B54D7F" w:rsidP="00B54D7F">
      <w:pPr>
        <w:pStyle w:val="TableTitle"/>
      </w:pPr>
      <w:r>
        <w:rPr>
          <w:b w:val="0"/>
        </w:rPr>
        <w:t xml:space="preserve">Table </w:t>
      </w:r>
      <w:bookmarkStart w:id="17" w:name="OLE_LINK7"/>
      <w:r w:rsidR="00197646">
        <w:rPr>
          <w:b w:val="0"/>
        </w:rPr>
        <w:t>F.</w:t>
      </w:r>
      <w:r w:rsidR="00914946">
        <w:rPr>
          <w:b w:val="0"/>
          <w:noProof/>
        </w:rPr>
        <w:t>6</w:t>
      </w:r>
      <w:bookmarkEnd w:id="17"/>
      <w:r>
        <w:tab/>
      </w:r>
      <w:r w:rsidRPr="003214FF">
        <w:t xml:space="preserve">Performance indicators for </w:t>
      </w:r>
      <w:r w:rsidR="004D4DD2">
        <w:t>youth</w:t>
      </w:r>
      <w:r>
        <w:t xml:space="preserve"> justice services, 20</w:t>
      </w:r>
      <w:r w:rsidR="00FD0253">
        <w:t>1</w:t>
      </w:r>
      <w:r w:rsidR="0097292D">
        <w:t>2</w:t>
      </w:r>
      <w:r>
        <w:t>-1</w:t>
      </w:r>
      <w:r w:rsidR="0097292D">
        <w:t>3</w:t>
      </w:r>
      <w:r w:rsidRPr="008926CD">
        <w:rPr>
          <w:rStyle w:val="NoteLabel"/>
          <w:b/>
        </w:rPr>
        <w:t>a, b</w:t>
      </w:r>
    </w:p>
    <w:tbl>
      <w:tblPr>
        <w:tblW w:w="5018" w:type="pct"/>
        <w:tblLayout w:type="fixed"/>
        <w:tblCellMar>
          <w:left w:w="0" w:type="dxa"/>
          <w:right w:w="0" w:type="dxa"/>
        </w:tblCellMar>
        <w:tblLook w:val="0000" w:firstRow="0" w:lastRow="0" w:firstColumn="0" w:lastColumn="0" w:noHBand="0" w:noVBand="0"/>
      </w:tblPr>
      <w:tblGrid>
        <w:gridCol w:w="1158"/>
        <w:gridCol w:w="768"/>
        <w:gridCol w:w="776"/>
        <w:gridCol w:w="769"/>
        <w:gridCol w:w="9"/>
        <w:gridCol w:w="753"/>
        <w:gridCol w:w="23"/>
        <w:gridCol w:w="730"/>
        <w:gridCol w:w="783"/>
        <w:gridCol w:w="723"/>
        <w:gridCol w:w="718"/>
        <w:gridCol w:w="725"/>
        <w:gridCol w:w="868"/>
        <w:gridCol w:w="18"/>
      </w:tblGrid>
      <w:tr w:rsidR="007A514E" w:rsidTr="009070AD">
        <w:tc>
          <w:tcPr>
            <w:tcW w:w="656" w:type="pct"/>
            <w:tcBorders>
              <w:top w:val="single" w:sz="6" w:space="0" w:color="auto"/>
              <w:bottom w:val="single" w:sz="6" w:space="0" w:color="auto"/>
            </w:tcBorders>
            <w:shd w:val="clear" w:color="auto" w:fill="auto"/>
          </w:tcPr>
          <w:p w:rsidR="007A514E" w:rsidRDefault="007A514E" w:rsidP="007A514E">
            <w:pPr>
              <w:pStyle w:val="TableColumnHeading"/>
              <w:jc w:val="left"/>
            </w:pPr>
          </w:p>
        </w:tc>
        <w:tc>
          <w:tcPr>
            <w:tcW w:w="435" w:type="pct"/>
            <w:tcBorders>
              <w:top w:val="single" w:sz="6" w:space="0" w:color="auto"/>
              <w:bottom w:val="single" w:sz="6" w:space="0" w:color="auto"/>
            </w:tcBorders>
            <w:shd w:val="clear" w:color="auto" w:fill="auto"/>
          </w:tcPr>
          <w:p w:rsidR="007A514E" w:rsidRDefault="007A514E" w:rsidP="007A514E">
            <w:pPr>
              <w:pStyle w:val="TableColumnHeading"/>
            </w:pPr>
            <w:r>
              <w:t>NSW</w:t>
            </w:r>
          </w:p>
        </w:tc>
        <w:tc>
          <w:tcPr>
            <w:tcW w:w="440" w:type="pct"/>
            <w:tcBorders>
              <w:top w:val="single" w:sz="6" w:space="0" w:color="auto"/>
              <w:bottom w:val="single" w:sz="6" w:space="0" w:color="auto"/>
            </w:tcBorders>
            <w:shd w:val="clear" w:color="auto" w:fill="auto"/>
          </w:tcPr>
          <w:p w:rsidR="007A514E" w:rsidRDefault="007A514E" w:rsidP="007A514E">
            <w:pPr>
              <w:pStyle w:val="TableColumnHeading"/>
            </w:pPr>
            <w:r>
              <w:t>Vic</w:t>
            </w:r>
          </w:p>
        </w:tc>
        <w:tc>
          <w:tcPr>
            <w:tcW w:w="436" w:type="pct"/>
            <w:tcBorders>
              <w:top w:val="single" w:sz="6" w:space="0" w:color="auto"/>
              <w:bottom w:val="single" w:sz="6" w:space="0" w:color="auto"/>
            </w:tcBorders>
            <w:shd w:val="clear" w:color="auto" w:fill="auto"/>
          </w:tcPr>
          <w:p w:rsidR="007A514E" w:rsidRDefault="007A514E" w:rsidP="007A514E">
            <w:pPr>
              <w:pStyle w:val="TableColumnHeading"/>
            </w:pPr>
            <w:r>
              <w:t>Qld</w:t>
            </w:r>
          </w:p>
        </w:tc>
        <w:tc>
          <w:tcPr>
            <w:tcW w:w="445" w:type="pct"/>
            <w:gridSpan w:val="3"/>
            <w:tcBorders>
              <w:top w:val="single" w:sz="6" w:space="0" w:color="auto"/>
              <w:bottom w:val="single" w:sz="6" w:space="0" w:color="auto"/>
            </w:tcBorders>
            <w:shd w:val="clear" w:color="auto" w:fill="auto"/>
          </w:tcPr>
          <w:p w:rsidR="007A514E" w:rsidRDefault="007A514E" w:rsidP="007A514E">
            <w:pPr>
              <w:pStyle w:val="TableColumnHeading"/>
            </w:pPr>
            <w:r>
              <w:t>WA</w:t>
            </w:r>
          </w:p>
        </w:tc>
        <w:tc>
          <w:tcPr>
            <w:tcW w:w="414" w:type="pct"/>
            <w:tcBorders>
              <w:top w:val="single" w:sz="6" w:space="0" w:color="auto"/>
              <w:bottom w:val="single" w:sz="6" w:space="0" w:color="auto"/>
            </w:tcBorders>
            <w:shd w:val="clear" w:color="auto" w:fill="auto"/>
          </w:tcPr>
          <w:p w:rsidR="007A514E" w:rsidRDefault="007A514E" w:rsidP="007A514E">
            <w:pPr>
              <w:pStyle w:val="TableColumnHeading"/>
            </w:pPr>
            <w:r>
              <w:t>SA</w:t>
            </w:r>
          </w:p>
        </w:tc>
        <w:tc>
          <w:tcPr>
            <w:tcW w:w="444" w:type="pct"/>
            <w:tcBorders>
              <w:top w:val="single" w:sz="6" w:space="0" w:color="auto"/>
              <w:bottom w:val="single" w:sz="6" w:space="0" w:color="auto"/>
            </w:tcBorders>
            <w:shd w:val="clear" w:color="auto" w:fill="auto"/>
          </w:tcPr>
          <w:p w:rsidR="007A514E" w:rsidRDefault="007A514E" w:rsidP="007A514E">
            <w:pPr>
              <w:pStyle w:val="TableColumnHeading"/>
            </w:pPr>
            <w:r>
              <w:t>Tas</w:t>
            </w:r>
          </w:p>
        </w:tc>
        <w:tc>
          <w:tcPr>
            <w:tcW w:w="410" w:type="pct"/>
            <w:tcBorders>
              <w:top w:val="single" w:sz="6" w:space="0" w:color="auto"/>
              <w:bottom w:val="single" w:sz="6" w:space="0" w:color="auto"/>
            </w:tcBorders>
            <w:shd w:val="clear" w:color="auto" w:fill="auto"/>
          </w:tcPr>
          <w:p w:rsidR="007A514E" w:rsidRDefault="007A514E" w:rsidP="007A514E">
            <w:pPr>
              <w:pStyle w:val="TableColumnHeading"/>
            </w:pPr>
            <w:r>
              <w:t>ACT</w:t>
            </w:r>
          </w:p>
        </w:tc>
        <w:tc>
          <w:tcPr>
            <w:tcW w:w="407" w:type="pct"/>
            <w:tcBorders>
              <w:top w:val="single" w:sz="6" w:space="0" w:color="auto"/>
              <w:bottom w:val="single" w:sz="6" w:space="0" w:color="auto"/>
            </w:tcBorders>
            <w:shd w:val="clear" w:color="auto" w:fill="auto"/>
          </w:tcPr>
          <w:p w:rsidR="007A514E" w:rsidRDefault="007A514E" w:rsidP="007A514E">
            <w:pPr>
              <w:pStyle w:val="TableColumnHeading"/>
            </w:pPr>
            <w:r>
              <w:t>NT</w:t>
            </w:r>
          </w:p>
        </w:tc>
        <w:tc>
          <w:tcPr>
            <w:tcW w:w="411" w:type="pct"/>
            <w:tcBorders>
              <w:top w:val="single" w:sz="6" w:space="0" w:color="auto"/>
              <w:bottom w:val="single" w:sz="6" w:space="0" w:color="auto"/>
            </w:tcBorders>
          </w:tcPr>
          <w:p w:rsidR="007A514E" w:rsidRDefault="007A514E" w:rsidP="007A514E">
            <w:pPr>
              <w:pStyle w:val="TableColumnHeading"/>
            </w:pPr>
            <w:r>
              <w:t>Aust</w:t>
            </w:r>
          </w:p>
        </w:tc>
        <w:tc>
          <w:tcPr>
            <w:tcW w:w="502" w:type="pct"/>
            <w:gridSpan w:val="2"/>
            <w:tcBorders>
              <w:top w:val="single" w:sz="6" w:space="0" w:color="auto"/>
              <w:bottom w:val="single" w:sz="6" w:space="0" w:color="auto"/>
            </w:tcBorders>
          </w:tcPr>
          <w:p w:rsidR="007A514E" w:rsidRDefault="007A514E" w:rsidP="007A514E">
            <w:pPr>
              <w:pStyle w:val="TableColumnHeading"/>
            </w:pPr>
            <w:r>
              <w:t>Source</w:t>
            </w:r>
          </w:p>
        </w:tc>
      </w:tr>
      <w:tr w:rsidR="007A514E" w:rsidRPr="00DC618B" w:rsidTr="009070AD">
        <w:trPr>
          <w:trHeight w:val="329"/>
        </w:trPr>
        <w:tc>
          <w:tcPr>
            <w:tcW w:w="5000" w:type="pct"/>
            <w:gridSpan w:val="14"/>
            <w:tcBorders>
              <w:top w:val="single" w:sz="6" w:space="0" w:color="auto"/>
            </w:tcBorders>
          </w:tcPr>
          <w:p w:rsidR="007A514E" w:rsidRDefault="007A514E" w:rsidP="007A514E">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diversion</w:t>
            </w:r>
          </w:p>
        </w:tc>
      </w:tr>
      <w:tr w:rsidR="007A514E" w:rsidRPr="00DC618B" w:rsidTr="009070AD">
        <w:trPr>
          <w:trHeight w:val="273"/>
        </w:trPr>
        <w:tc>
          <w:tcPr>
            <w:tcW w:w="5000" w:type="pct"/>
            <w:gridSpan w:val="14"/>
            <w:shd w:val="clear" w:color="auto" w:fill="auto"/>
          </w:tcPr>
          <w:p w:rsidR="007A514E" w:rsidRPr="0051549A" w:rsidRDefault="007A514E" w:rsidP="006B1005">
            <w:pPr>
              <w:pStyle w:val="TableColumnHeading"/>
              <w:jc w:val="left"/>
              <w:rPr>
                <w:i w:val="0"/>
              </w:rPr>
            </w:pPr>
            <w:r>
              <w:rPr>
                <w:i w:val="0"/>
              </w:rPr>
              <w:t>Group conferencing outcomes</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97292D">
              <w:rPr>
                <w:i w:val="0"/>
                <w:sz w:val="16"/>
                <w:szCs w:val="16"/>
              </w:rPr>
              <w:t>6</w:t>
            </w:r>
            <w:r w:rsidRPr="0033586C">
              <w:rPr>
                <w:i w:val="0"/>
                <w:sz w:val="16"/>
                <w:szCs w:val="16"/>
              </w:rPr>
              <w:t>)</w:t>
            </w:r>
          </w:p>
        </w:tc>
      </w:tr>
      <w:tr w:rsidR="007A514E" w:rsidRPr="00DC618B" w:rsidTr="009070AD">
        <w:trPr>
          <w:trHeight w:val="273"/>
        </w:trPr>
        <w:tc>
          <w:tcPr>
            <w:tcW w:w="5000" w:type="pct"/>
            <w:gridSpan w:val="14"/>
            <w:shd w:val="clear" w:color="auto" w:fill="auto"/>
          </w:tcPr>
          <w:p w:rsidR="007A514E" w:rsidRPr="0051549A" w:rsidRDefault="007A514E" w:rsidP="007A514E">
            <w:pPr>
              <w:pStyle w:val="TableColumnHeading"/>
              <w:jc w:val="left"/>
            </w:pPr>
            <w:r>
              <w:t>Proportion of group conferences resulting in an agreement</w:t>
            </w:r>
          </w:p>
        </w:tc>
      </w:tr>
      <w:tr w:rsidR="003B1EA7" w:rsidTr="006B1005">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tcPr>
          <w:p w:rsidR="003B1EA7" w:rsidRPr="004E4FDF" w:rsidRDefault="003B1EA7" w:rsidP="007A514E">
            <w:pPr>
              <w:pStyle w:val="TableBodyText"/>
              <w:rPr>
                <w:rFonts w:cs="Arial"/>
              </w:rPr>
            </w:pPr>
            <w:r w:rsidRPr="00387789">
              <w:t xml:space="preserve">  99.4</w:t>
            </w:r>
          </w:p>
        </w:tc>
        <w:tc>
          <w:tcPr>
            <w:tcW w:w="440" w:type="pct"/>
            <w:shd w:val="clear" w:color="auto" w:fill="auto"/>
          </w:tcPr>
          <w:p w:rsidR="003B1EA7" w:rsidRPr="004E4FDF" w:rsidRDefault="003B1EA7" w:rsidP="007A514E">
            <w:pPr>
              <w:pStyle w:val="TableBodyText"/>
              <w:rPr>
                <w:rFonts w:cs="Arial"/>
              </w:rPr>
            </w:pPr>
            <w:r w:rsidRPr="00387789">
              <w:t xml:space="preserve">  100.0</w:t>
            </w:r>
          </w:p>
        </w:tc>
        <w:tc>
          <w:tcPr>
            <w:tcW w:w="436" w:type="pct"/>
            <w:shd w:val="clear" w:color="auto" w:fill="auto"/>
          </w:tcPr>
          <w:p w:rsidR="003B1EA7" w:rsidRPr="004E4FDF" w:rsidRDefault="003B1EA7" w:rsidP="007A514E">
            <w:pPr>
              <w:pStyle w:val="TableBodyText"/>
              <w:rPr>
                <w:rFonts w:cs="Arial"/>
              </w:rPr>
            </w:pPr>
            <w:r w:rsidRPr="00387789">
              <w:t xml:space="preserve">  94.6</w:t>
            </w:r>
          </w:p>
        </w:tc>
        <w:tc>
          <w:tcPr>
            <w:tcW w:w="445" w:type="pct"/>
            <w:gridSpan w:val="3"/>
            <w:shd w:val="clear" w:color="auto" w:fill="auto"/>
          </w:tcPr>
          <w:p w:rsidR="003B1EA7" w:rsidRPr="004E4FDF" w:rsidRDefault="003B1EA7" w:rsidP="007A514E">
            <w:pPr>
              <w:pStyle w:val="TableBodyText"/>
              <w:rPr>
                <w:rFonts w:cs="Arial"/>
              </w:rPr>
            </w:pPr>
            <w:r w:rsidRPr="00387789">
              <w:t>na</w:t>
            </w:r>
          </w:p>
        </w:tc>
        <w:tc>
          <w:tcPr>
            <w:tcW w:w="414" w:type="pct"/>
            <w:shd w:val="clear" w:color="auto" w:fill="auto"/>
          </w:tcPr>
          <w:p w:rsidR="003B1EA7" w:rsidRPr="004E4FDF" w:rsidRDefault="003B1EA7" w:rsidP="007A514E">
            <w:pPr>
              <w:pStyle w:val="TableBodyText"/>
              <w:rPr>
                <w:rFonts w:cs="Arial"/>
              </w:rPr>
            </w:pPr>
            <w:r w:rsidRPr="00387789">
              <w:t xml:space="preserve">  90.2</w:t>
            </w:r>
          </w:p>
        </w:tc>
        <w:tc>
          <w:tcPr>
            <w:tcW w:w="444" w:type="pct"/>
            <w:shd w:val="clear" w:color="auto" w:fill="auto"/>
          </w:tcPr>
          <w:p w:rsidR="003B1EA7" w:rsidRPr="004E4FDF" w:rsidRDefault="003B1EA7" w:rsidP="007A514E">
            <w:pPr>
              <w:pStyle w:val="TableBodyText"/>
              <w:rPr>
                <w:rFonts w:cs="Arial"/>
              </w:rPr>
            </w:pPr>
            <w:r w:rsidRPr="00387789">
              <w:t xml:space="preserve">  93.0</w:t>
            </w:r>
          </w:p>
        </w:tc>
        <w:tc>
          <w:tcPr>
            <w:tcW w:w="410" w:type="pct"/>
            <w:shd w:val="clear" w:color="auto" w:fill="auto"/>
          </w:tcPr>
          <w:p w:rsidR="003B1EA7" w:rsidRPr="004E4FDF" w:rsidRDefault="003B1EA7" w:rsidP="007A514E">
            <w:pPr>
              <w:pStyle w:val="TableBodyText"/>
              <w:rPr>
                <w:rFonts w:cs="Arial"/>
              </w:rPr>
            </w:pPr>
            <w:r w:rsidRPr="00387789">
              <w:t xml:space="preserve">  98.4</w:t>
            </w:r>
          </w:p>
        </w:tc>
        <w:tc>
          <w:tcPr>
            <w:tcW w:w="407" w:type="pct"/>
            <w:shd w:val="clear" w:color="auto" w:fill="auto"/>
          </w:tcPr>
          <w:p w:rsidR="003B1EA7" w:rsidRPr="004E4FDF" w:rsidRDefault="003B1EA7" w:rsidP="007A514E">
            <w:pPr>
              <w:pStyle w:val="TableBodyText"/>
              <w:rPr>
                <w:rFonts w:cs="Arial"/>
              </w:rPr>
            </w:pPr>
            <w:r w:rsidRPr="00387789">
              <w:t>100.0</w:t>
            </w:r>
          </w:p>
        </w:tc>
        <w:tc>
          <w:tcPr>
            <w:tcW w:w="411" w:type="pct"/>
          </w:tcPr>
          <w:p w:rsidR="003B1EA7" w:rsidRPr="004E4FDF" w:rsidRDefault="003B1EA7" w:rsidP="007A514E">
            <w:pPr>
              <w:pStyle w:val="TableBodyText"/>
              <w:rPr>
                <w:rFonts w:cs="Arial"/>
              </w:rPr>
            </w:pPr>
            <w:r w:rsidRPr="00387789">
              <w:t xml:space="preserve">  95.0</w:t>
            </w:r>
          </w:p>
        </w:tc>
        <w:tc>
          <w:tcPr>
            <w:tcW w:w="502" w:type="pct"/>
            <w:gridSpan w:val="2"/>
          </w:tcPr>
          <w:p w:rsidR="003B1EA7" w:rsidRPr="004E4FDF" w:rsidRDefault="003B1EA7" w:rsidP="00F668E2">
            <w:pPr>
              <w:pStyle w:val="TableBodyText"/>
            </w:pPr>
            <w:r>
              <w:t>16A.</w:t>
            </w:r>
            <w:r w:rsidR="00F668E2">
              <w:t>13</w:t>
            </w:r>
          </w:p>
        </w:tc>
      </w:tr>
      <w:tr w:rsidR="007A514E" w:rsidTr="009070AD">
        <w:trPr>
          <w:trHeight w:val="329"/>
        </w:trPr>
        <w:tc>
          <w:tcPr>
            <w:tcW w:w="5000" w:type="pct"/>
            <w:gridSpan w:val="14"/>
          </w:tcPr>
          <w:p w:rsidR="007A514E" w:rsidRDefault="007A514E" w:rsidP="007A514E">
            <w:pPr>
              <w:pStyle w:val="TableColumnHeading"/>
              <w:jc w:val="left"/>
              <w:rPr>
                <w:i w:val="0"/>
              </w:rPr>
            </w:pPr>
            <w:r w:rsidRPr="00B667F6">
              <w:rPr>
                <w:b/>
                <w:i w:val="0"/>
              </w:rPr>
              <w:t>E</w:t>
            </w:r>
            <w:r>
              <w:rPr>
                <w:b/>
                <w:i w:val="0"/>
              </w:rPr>
              <w:t xml:space="preserve">ffectiveness </w:t>
            </w:r>
            <w:r w:rsidRPr="004D0B92">
              <w:rPr>
                <w:b/>
                <w:i w:val="0"/>
              </w:rPr>
              <w:t>—</w:t>
            </w:r>
            <w:r>
              <w:rPr>
                <w:b/>
                <w:i w:val="0"/>
              </w:rPr>
              <w:t xml:space="preserve"> rehabilitation</w:t>
            </w:r>
          </w:p>
        </w:tc>
      </w:tr>
      <w:tr w:rsidR="007A514E" w:rsidRPr="0051549A" w:rsidTr="009070AD">
        <w:trPr>
          <w:trHeight w:val="329"/>
        </w:trPr>
        <w:tc>
          <w:tcPr>
            <w:tcW w:w="5000" w:type="pct"/>
            <w:gridSpan w:val="14"/>
          </w:tcPr>
          <w:p w:rsidR="007A514E" w:rsidRPr="0051549A" w:rsidRDefault="007A514E" w:rsidP="006B1005">
            <w:pPr>
              <w:pStyle w:val="TableColumnHeading"/>
              <w:jc w:val="left"/>
              <w:rPr>
                <w:i w:val="0"/>
              </w:rPr>
            </w:pPr>
            <w:r>
              <w:rPr>
                <w:i w:val="0"/>
              </w:rPr>
              <w:t>Education and training attendance</w:t>
            </w:r>
            <w:r>
              <w:t xml:space="preserve"> </w:t>
            </w:r>
            <w:r>
              <w:br/>
            </w:r>
            <w:r w:rsidRPr="0033586C">
              <w:rPr>
                <w:i w:val="0"/>
                <w:sz w:val="16"/>
                <w:szCs w:val="16"/>
              </w:rPr>
              <w:t>Data for this indicator are comparable, subject to caveats (chapter 1</w:t>
            </w:r>
            <w:r w:rsidR="0097292D">
              <w:rPr>
                <w:i w:val="0"/>
                <w:sz w:val="16"/>
                <w:szCs w:val="16"/>
              </w:rPr>
              <w:t>6</w:t>
            </w:r>
            <w:r w:rsidRPr="0033586C">
              <w:rPr>
                <w:i w:val="0"/>
                <w:sz w:val="16"/>
                <w:szCs w:val="16"/>
              </w:rPr>
              <w:t>)</w:t>
            </w:r>
          </w:p>
        </w:tc>
      </w:tr>
      <w:tr w:rsidR="007A514E" w:rsidRPr="009737FB" w:rsidTr="009070AD">
        <w:trPr>
          <w:trHeight w:val="329"/>
        </w:trPr>
        <w:tc>
          <w:tcPr>
            <w:tcW w:w="5000" w:type="pct"/>
            <w:gridSpan w:val="14"/>
          </w:tcPr>
          <w:p w:rsidR="007A514E" w:rsidRPr="009737FB" w:rsidRDefault="007A514E" w:rsidP="007A514E">
            <w:pPr>
              <w:pStyle w:val="TableColumnHeading"/>
              <w:jc w:val="left"/>
            </w:pPr>
            <w:r>
              <w:t>P</w:t>
            </w:r>
            <w:r w:rsidRPr="009737FB">
              <w:t>roportion of young people in detention of compulsory school age attending an education course</w:t>
            </w:r>
          </w:p>
        </w:tc>
      </w:tr>
      <w:tr w:rsidR="003B1EA7" w:rsidTr="006B1005">
        <w:tc>
          <w:tcPr>
            <w:tcW w:w="656" w:type="pct"/>
          </w:tcPr>
          <w:p w:rsidR="003B1EA7" w:rsidRPr="004E4FDF" w:rsidRDefault="003B1EA7" w:rsidP="007A514E">
            <w:pPr>
              <w:pStyle w:val="TableBodyText"/>
            </w:pPr>
            <w:r w:rsidRPr="004E4FDF">
              <w:t>%</w:t>
            </w:r>
          </w:p>
        </w:tc>
        <w:tc>
          <w:tcPr>
            <w:tcW w:w="435" w:type="pct"/>
          </w:tcPr>
          <w:p w:rsidR="003B1EA7" w:rsidRPr="004E4FDF" w:rsidRDefault="003B1EA7" w:rsidP="007A514E">
            <w:pPr>
              <w:pStyle w:val="TableBodyText"/>
              <w:rPr>
                <w:rFonts w:cs="Arial"/>
              </w:rPr>
            </w:pPr>
            <w:r w:rsidRPr="00077AC0">
              <w:t xml:space="preserve">  100.0</w:t>
            </w:r>
          </w:p>
        </w:tc>
        <w:tc>
          <w:tcPr>
            <w:tcW w:w="440" w:type="pct"/>
          </w:tcPr>
          <w:p w:rsidR="003B1EA7" w:rsidRPr="004E4FDF" w:rsidRDefault="003B1EA7" w:rsidP="007A514E">
            <w:pPr>
              <w:pStyle w:val="TableBodyText"/>
              <w:rPr>
                <w:rFonts w:cs="Arial"/>
              </w:rPr>
            </w:pPr>
            <w:r w:rsidRPr="00077AC0">
              <w:t xml:space="preserve">  100.0</w:t>
            </w:r>
          </w:p>
        </w:tc>
        <w:tc>
          <w:tcPr>
            <w:tcW w:w="441" w:type="pct"/>
            <w:gridSpan w:val="2"/>
          </w:tcPr>
          <w:p w:rsidR="003B1EA7" w:rsidRPr="004E4FDF" w:rsidRDefault="003B1EA7" w:rsidP="007A514E">
            <w:pPr>
              <w:pStyle w:val="TableBodyText"/>
              <w:rPr>
                <w:rFonts w:cs="Arial"/>
              </w:rPr>
            </w:pPr>
            <w:r w:rsidRPr="00077AC0">
              <w:t xml:space="preserve">  100.0</w:t>
            </w:r>
          </w:p>
        </w:tc>
        <w:tc>
          <w:tcPr>
            <w:tcW w:w="427" w:type="pct"/>
          </w:tcPr>
          <w:p w:rsidR="003B1EA7" w:rsidRPr="004E4FDF" w:rsidRDefault="003B1EA7" w:rsidP="007A514E">
            <w:pPr>
              <w:pStyle w:val="TableBodyText"/>
              <w:rPr>
                <w:rFonts w:cs="Arial"/>
              </w:rPr>
            </w:pPr>
            <w:r w:rsidRPr="00077AC0">
              <w:t xml:space="preserve">  79.7</w:t>
            </w:r>
          </w:p>
        </w:tc>
        <w:tc>
          <w:tcPr>
            <w:tcW w:w="427" w:type="pct"/>
            <w:gridSpan w:val="2"/>
          </w:tcPr>
          <w:p w:rsidR="003B1EA7" w:rsidRPr="004E4FDF" w:rsidRDefault="003B1EA7" w:rsidP="007A514E">
            <w:pPr>
              <w:pStyle w:val="TableBodyText"/>
              <w:rPr>
                <w:rFonts w:cs="Arial"/>
              </w:rPr>
            </w:pPr>
            <w:r w:rsidRPr="00077AC0">
              <w:t xml:space="preserve">  100.0</w:t>
            </w:r>
          </w:p>
        </w:tc>
        <w:tc>
          <w:tcPr>
            <w:tcW w:w="444" w:type="pct"/>
          </w:tcPr>
          <w:p w:rsidR="003B1EA7" w:rsidRPr="004E4FDF" w:rsidRDefault="003B1EA7" w:rsidP="007A514E">
            <w:pPr>
              <w:pStyle w:val="TableBodyText"/>
              <w:rPr>
                <w:rFonts w:cs="Arial"/>
              </w:rPr>
            </w:pPr>
            <w:r w:rsidRPr="00077AC0">
              <w:t xml:space="preserve">  100.0</w:t>
            </w:r>
          </w:p>
        </w:tc>
        <w:tc>
          <w:tcPr>
            <w:tcW w:w="410" w:type="pct"/>
          </w:tcPr>
          <w:p w:rsidR="003B1EA7" w:rsidRPr="004E4FDF" w:rsidRDefault="003B1EA7" w:rsidP="007A514E">
            <w:pPr>
              <w:pStyle w:val="TableBodyText"/>
              <w:rPr>
                <w:rFonts w:cs="Arial"/>
              </w:rPr>
            </w:pPr>
            <w:r w:rsidRPr="00077AC0">
              <w:t>100.0</w:t>
            </w:r>
          </w:p>
        </w:tc>
        <w:tc>
          <w:tcPr>
            <w:tcW w:w="407" w:type="pct"/>
          </w:tcPr>
          <w:p w:rsidR="003B1EA7" w:rsidRPr="004E4FDF" w:rsidRDefault="003B1EA7" w:rsidP="007A514E">
            <w:pPr>
              <w:pStyle w:val="TableBodyText"/>
              <w:rPr>
                <w:rFonts w:cs="Arial"/>
              </w:rPr>
            </w:pPr>
            <w:r w:rsidRPr="00077AC0">
              <w:t>100.0</w:t>
            </w:r>
          </w:p>
        </w:tc>
        <w:tc>
          <w:tcPr>
            <w:tcW w:w="411" w:type="pct"/>
          </w:tcPr>
          <w:p w:rsidR="003B1EA7" w:rsidRPr="004E4FDF" w:rsidRDefault="003B1EA7" w:rsidP="007A514E">
            <w:pPr>
              <w:pStyle w:val="TableBodyText"/>
              <w:rPr>
                <w:rFonts w:cs="Arial"/>
              </w:rPr>
            </w:pPr>
            <w:r w:rsidRPr="00077AC0">
              <w:t xml:space="preserve">  97.2</w:t>
            </w:r>
          </w:p>
        </w:tc>
        <w:tc>
          <w:tcPr>
            <w:tcW w:w="502" w:type="pct"/>
            <w:gridSpan w:val="2"/>
          </w:tcPr>
          <w:p w:rsidR="003B1EA7" w:rsidRPr="004E4FDF" w:rsidRDefault="003B1EA7" w:rsidP="00F668E2">
            <w:pPr>
              <w:pStyle w:val="TableBodyText"/>
            </w:pPr>
            <w:r>
              <w:t>16A.</w:t>
            </w:r>
            <w:r w:rsidR="00F668E2">
              <w:t>15</w:t>
            </w:r>
          </w:p>
        </w:tc>
      </w:tr>
      <w:tr w:rsidR="007A514E" w:rsidRPr="0051549A" w:rsidTr="009070AD">
        <w:trPr>
          <w:trHeight w:val="273"/>
        </w:trPr>
        <w:tc>
          <w:tcPr>
            <w:tcW w:w="5000" w:type="pct"/>
            <w:gridSpan w:val="14"/>
            <w:shd w:val="clear" w:color="auto" w:fill="auto"/>
          </w:tcPr>
          <w:p w:rsidR="007A514E" w:rsidRPr="00AB29D6" w:rsidRDefault="007A514E" w:rsidP="007A514E">
            <w:pPr>
              <w:pStyle w:val="TableColumnHeading"/>
              <w:jc w:val="left"/>
              <w:rPr>
                <w:b/>
                <w:i w:val="0"/>
              </w:rPr>
            </w:pPr>
            <w:r w:rsidRPr="00AB29D6">
              <w:rPr>
                <w:b/>
                <w:i w:val="0"/>
              </w:rPr>
              <w:t>Effectiveness – safe and secure environment</w:t>
            </w:r>
          </w:p>
        </w:tc>
      </w:tr>
      <w:tr w:rsidR="007A514E" w:rsidRPr="0051549A" w:rsidTr="009070AD">
        <w:trPr>
          <w:trHeight w:val="273"/>
        </w:trPr>
        <w:tc>
          <w:tcPr>
            <w:tcW w:w="5000" w:type="pct"/>
            <w:gridSpan w:val="14"/>
            <w:shd w:val="clear" w:color="auto" w:fill="auto"/>
          </w:tcPr>
          <w:p w:rsidR="007A514E" w:rsidRPr="0051549A" w:rsidRDefault="007A514E" w:rsidP="006B1005">
            <w:pPr>
              <w:pStyle w:val="TableColumnHeading"/>
              <w:jc w:val="left"/>
              <w:rPr>
                <w:i w:val="0"/>
              </w:rPr>
            </w:pPr>
            <w:r>
              <w:rPr>
                <w:i w:val="0"/>
              </w:rPr>
              <w:t>Deaths in custody</w:t>
            </w:r>
            <w:r>
              <w:rPr>
                <w:i w:val="0"/>
              </w:rPr>
              <w:br/>
            </w:r>
            <w:r w:rsidRPr="0033586C">
              <w:rPr>
                <w:i w:val="0"/>
                <w:sz w:val="16"/>
                <w:szCs w:val="16"/>
              </w:rPr>
              <w:t>Data for this indicator are comparable, subject to caveats (chapter 1</w:t>
            </w:r>
            <w:r w:rsidR="0097292D">
              <w:rPr>
                <w:i w:val="0"/>
                <w:sz w:val="16"/>
                <w:szCs w:val="16"/>
              </w:rPr>
              <w:t>6</w:t>
            </w:r>
            <w:r w:rsidRPr="0033586C">
              <w:rPr>
                <w:i w:val="0"/>
                <w:sz w:val="16"/>
                <w:szCs w:val="16"/>
              </w:rPr>
              <w:t>)</w:t>
            </w:r>
          </w:p>
        </w:tc>
      </w:tr>
      <w:tr w:rsidR="007A514E" w:rsidTr="009070AD">
        <w:tc>
          <w:tcPr>
            <w:tcW w:w="656" w:type="pct"/>
            <w:shd w:val="clear" w:color="auto" w:fill="auto"/>
          </w:tcPr>
          <w:p w:rsidR="007A514E" w:rsidRPr="004E4FDF" w:rsidRDefault="007A514E" w:rsidP="007A514E">
            <w:pPr>
              <w:pStyle w:val="TableBodyText"/>
            </w:pPr>
            <w:r w:rsidRPr="004E4FDF">
              <w:t>no.</w:t>
            </w:r>
          </w:p>
        </w:tc>
        <w:tc>
          <w:tcPr>
            <w:tcW w:w="435" w:type="pct"/>
            <w:shd w:val="clear" w:color="auto" w:fill="auto"/>
            <w:vAlign w:val="center"/>
          </w:tcPr>
          <w:p w:rsidR="007A514E" w:rsidRPr="004E4FDF" w:rsidRDefault="00056544" w:rsidP="007A514E">
            <w:pPr>
              <w:pStyle w:val="TableBodyText"/>
              <w:rPr>
                <w:rFonts w:cs="Arial"/>
              </w:rPr>
            </w:pPr>
            <w:r>
              <w:rPr>
                <w:rFonts w:cs="Arial"/>
              </w:rPr>
              <w:t>-</w:t>
            </w:r>
          </w:p>
        </w:tc>
        <w:tc>
          <w:tcPr>
            <w:tcW w:w="440" w:type="pct"/>
            <w:shd w:val="clear" w:color="auto" w:fill="auto"/>
            <w:vAlign w:val="center"/>
          </w:tcPr>
          <w:p w:rsidR="007A514E" w:rsidRPr="004E4FDF" w:rsidRDefault="00056544" w:rsidP="007A514E">
            <w:pPr>
              <w:pStyle w:val="TableBodyText"/>
              <w:rPr>
                <w:rFonts w:cs="Arial"/>
              </w:rPr>
            </w:pPr>
            <w:r>
              <w:rPr>
                <w:rFonts w:cs="Arial"/>
              </w:rPr>
              <w:t>-</w:t>
            </w:r>
          </w:p>
        </w:tc>
        <w:tc>
          <w:tcPr>
            <w:tcW w:w="436" w:type="pct"/>
            <w:shd w:val="clear" w:color="auto" w:fill="auto"/>
            <w:vAlign w:val="center"/>
          </w:tcPr>
          <w:p w:rsidR="007A514E" w:rsidRPr="004E4FDF" w:rsidRDefault="00056544" w:rsidP="007A514E">
            <w:pPr>
              <w:pStyle w:val="TableBodyText"/>
              <w:rPr>
                <w:rFonts w:cs="Arial"/>
              </w:rPr>
            </w:pPr>
            <w:r>
              <w:rPr>
                <w:rFonts w:cs="Arial"/>
              </w:rPr>
              <w:t>-</w:t>
            </w:r>
          </w:p>
        </w:tc>
        <w:tc>
          <w:tcPr>
            <w:tcW w:w="445" w:type="pct"/>
            <w:gridSpan w:val="3"/>
            <w:shd w:val="clear" w:color="auto" w:fill="auto"/>
            <w:vAlign w:val="center"/>
          </w:tcPr>
          <w:p w:rsidR="007A514E" w:rsidRPr="004E4FDF" w:rsidRDefault="00056544" w:rsidP="007A514E">
            <w:pPr>
              <w:pStyle w:val="TableBodyText"/>
              <w:rPr>
                <w:rFonts w:cs="Arial"/>
              </w:rPr>
            </w:pPr>
            <w:r>
              <w:rPr>
                <w:rFonts w:cs="Arial"/>
              </w:rPr>
              <w:t>-</w:t>
            </w:r>
          </w:p>
        </w:tc>
        <w:tc>
          <w:tcPr>
            <w:tcW w:w="414" w:type="pct"/>
            <w:shd w:val="clear" w:color="auto" w:fill="auto"/>
            <w:vAlign w:val="center"/>
          </w:tcPr>
          <w:p w:rsidR="007A514E" w:rsidRPr="004E4FDF" w:rsidRDefault="00056544" w:rsidP="007A514E">
            <w:pPr>
              <w:pStyle w:val="TableBodyText"/>
              <w:rPr>
                <w:rFonts w:cs="Arial"/>
              </w:rPr>
            </w:pPr>
            <w:r>
              <w:rPr>
                <w:rFonts w:cs="Arial"/>
              </w:rPr>
              <w:t>-</w:t>
            </w:r>
          </w:p>
        </w:tc>
        <w:tc>
          <w:tcPr>
            <w:tcW w:w="444" w:type="pct"/>
            <w:shd w:val="clear" w:color="auto" w:fill="auto"/>
            <w:vAlign w:val="center"/>
          </w:tcPr>
          <w:p w:rsidR="007A514E" w:rsidRPr="004E4FDF" w:rsidRDefault="00056544" w:rsidP="007A514E">
            <w:pPr>
              <w:pStyle w:val="TableBodyText"/>
              <w:rPr>
                <w:rFonts w:cs="Arial"/>
              </w:rPr>
            </w:pPr>
            <w:r>
              <w:rPr>
                <w:rFonts w:cs="Arial"/>
              </w:rPr>
              <w:t>-</w:t>
            </w:r>
          </w:p>
        </w:tc>
        <w:tc>
          <w:tcPr>
            <w:tcW w:w="410" w:type="pct"/>
            <w:shd w:val="clear" w:color="auto" w:fill="auto"/>
            <w:vAlign w:val="center"/>
          </w:tcPr>
          <w:p w:rsidR="007A514E" w:rsidRPr="004E4FDF" w:rsidRDefault="00056544" w:rsidP="007A514E">
            <w:pPr>
              <w:pStyle w:val="TableBodyText"/>
              <w:rPr>
                <w:rFonts w:cs="Arial"/>
              </w:rPr>
            </w:pPr>
            <w:r>
              <w:rPr>
                <w:rFonts w:cs="Arial"/>
              </w:rPr>
              <w:t>-</w:t>
            </w:r>
          </w:p>
        </w:tc>
        <w:tc>
          <w:tcPr>
            <w:tcW w:w="407" w:type="pct"/>
            <w:shd w:val="clear" w:color="auto" w:fill="auto"/>
            <w:vAlign w:val="center"/>
          </w:tcPr>
          <w:p w:rsidR="007A514E" w:rsidRPr="004E4FDF" w:rsidRDefault="00056544" w:rsidP="007A514E">
            <w:pPr>
              <w:pStyle w:val="TableBodyText"/>
              <w:rPr>
                <w:rFonts w:cs="Arial"/>
              </w:rPr>
            </w:pPr>
            <w:r>
              <w:rPr>
                <w:rFonts w:cs="Arial"/>
              </w:rPr>
              <w:t>-</w:t>
            </w:r>
          </w:p>
        </w:tc>
        <w:tc>
          <w:tcPr>
            <w:tcW w:w="411" w:type="pct"/>
            <w:vAlign w:val="center"/>
          </w:tcPr>
          <w:p w:rsidR="007A514E" w:rsidRPr="004E4FDF" w:rsidRDefault="00056544" w:rsidP="007A514E">
            <w:pPr>
              <w:pStyle w:val="TableBodyText"/>
              <w:rPr>
                <w:rFonts w:cs="Arial"/>
              </w:rPr>
            </w:pPr>
            <w:r>
              <w:rPr>
                <w:rFonts w:cs="Arial"/>
              </w:rPr>
              <w:t>-</w:t>
            </w:r>
          </w:p>
        </w:tc>
        <w:tc>
          <w:tcPr>
            <w:tcW w:w="502" w:type="pct"/>
            <w:gridSpan w:val="2"/>
          </w:tcPr>
          <w:p w:rsidR="007A514E" w:rsidRPr="004E4FDF" w:rsidRDefault="003B1EA7" w:rsidP="00F668E2">
            <w:pPr>
              <w:pStyle w:val="TableBodyText"/>
            </w:pPr>
            <w:r>
              <w:t>16A.</w:t>
            </w:r>
            <w:r w:rsidR="00F668E2">
              <w:t>14</w:t>
            </w:r>
          </w:p>
        </w:tc>
      </w:tr>
      <w:tr w:rsidR="007A514E" w:rsidTr="009070AD">
        <w:tc>
          <w:tcPr>
            <w:tcW w:w="5000" w:type="pct"/>
            <w:gridSpan w:val="14"/>
            <w:shd w:val="clear" w:color="auto" w:fill="auto"/>
          </w:tcPr>
          <w:p w:rsidR="007A514E" w:rsidRDefault="007A514E" w:rsidP="006B1005">
            <w:pPr>
              <w:pStyle w:val="TableColumnHeading"/>
              <w:jc w:val="left"/>
              <w:rPr>
                <w:i w:val="0"/>
              </w:rPr>
            </w:pPr>
            <w:r>
              <w:rPr>
                <w:i w:val="0"/>
              </w:rPr>
              <w:t>Escapes</w:t>
            </w:r>
            <w:r>
              <w:rPr>
                <w:i w:val="0"/>
              </w:rPr>
              <w:br/>
            </w:r>
            <w:r w:rsidRPr="0033586C">
              <w:rPr>
                <w:i w:val="0"/>
                <w:sz w:val="16"/>
                <w:szCs w:val="16"/>
              </w:rPr>
              <w:t>Data for this indicator are comparable, subject to caveats (chapter 1</w:t>
            </w:r>
            <w:r w:rsidR="0097292D">
              <w:rPr>
                <w:i w:val="0"/>
                <w:sz w:val="16"/>
                <w:szCs w:val="16"/>
              </w:rPr>
              <w:t>6</w:t>
            </w:r>
            <w:r w:rsidRPr="0033586C">
              <w:rPr>
                <w:i w:val="0"/>
                <w:sz w:val="16"/>
                <w:szCs w:val="16"/>
              </w:rPr>
              <w:t>)</w:t>
            </w:r>
          </w:p>
        </w:tc>
      </w:tr>
      <w:tr w:rsidR="007A514E" w:rsidRPr="0051549A" w:rsidTr="009070AD">
        <w:tc>
          <w:tcPr>
            <w:tcW w:w="5000" w:type="pct"/>
            <w:gridSpan w:val="14"/>
            <w:shd w:val="clear" w:color="auto" w:fill="auto"/>
          </w:tcPr>
          <w:p w:rsidR="007A514E" w:rsidRPr="000908DE" w:rsidRDefault="007A514E" w:rsidP="007A514E">
            <w:pPr>
              <w:pStyle w:val="TableColumnHeading"/>
              <w:jc w:val="left"/>
            </w:pPr>
            <w:r w:rsidRPr="000908DE">
              <w:t>Rate of escapes from detention per 10 000 custody nights</w:t>
            </w:r>
          </w:p>
        </w:tc>
      </w:tr>
      <w:tr w:rsidR="003B1EA7" w:rsidTr="009070AD">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vAlign w:val="center"/>
          </w:tcPr>
          <w:p w:rsidR="003B1EA7" w:rsidRPr="004E4FDF" w:rsidRDefault="003B1EA7" w:rsidP="007A514E">
            <w:pPr>
              <w:pStyle w:val="TableBodyText"/>
              <w:rPr>
                <w:rFonts w:cs="Arial"/>
              </w:rPr>
            </w:pPr>
            <w:r>
              <w:rPr>
                <w:rFonts w:cs="Arial"/>
              </w:rPr>
              <w:t>–</w:t>
            </w:r>
          </w:p>
        </w:tc>
        <w:tc>
          <w:tcPr>
            <w:tcW w:w="440" w:type="pct"/>
            <w:shd w:val="clear" w:color="auto" w:fill="auto"/>
            <w:vAlign w:val="center"/>
          </w:tcPr>
          <w:p w:rsidR="003B1EA7" w:rsidRPr="004E4FDF" w:rsidRDefault="003B1EA7" w:rsidP="007A514E">
            <w:pPr>
              <w:pStyle w:val="TableBodyText"/>
              <w:rPr>
                <w:rFonts w:cs="Arial"/>
              </w:rPr>
            </w:pPr>
            <w:r>
              <w:rPr>
                <w:rFonts w:cs="Arial"/>
              </w:rPr>
              <w:t>–</w:t>
            </w:r>
          </w:p>
        </w:tc>
        <w:tc>
          <w:tcPr>
            <w:tcW w:w="441" w:type="pct"/>
            <w:gridSpan w:val="2"/>
            <w:shd w:val="clear" w:color="auto" w:fill="auto"/>
            <w:vAlign w:val="center"/>
          </w:tcPr>
          <w:p w:rsidR="003B1EA7" w:rsidRPr="004E4FDF" w:rsidRDefault="003B1EA7" w:rsidP="007A514E">
            <w:pPr>
              <w:pStyle w:val="TableBodyText"/>
              <w:rPr>
                <w:rFonts w:cs="Arial"/>
              </w:rPr>
            </w:pPr>
            <w:r>
              <w:rPr>
                <w:rFonts w:cs="Arial"/>
              </w:rPr>
              <w:t>–</w:t>
            </w:r>
          </w:p>
        </w:tc>
        <w:tc>
          <w:tcPr>
            <w:tcW w:w="427" w:type="pct"/>
            <w:shd w:val="clear" w:color="auto" w:fill="auto"/>
            <w:vAlign w:val="center"/>
          </w:tcPr>
          <w:p w:rsidR="003B1EA7" w:rsidRPr="004E4FDF" w:rsidRDefault="003B1EA7" w:rsidP="007A514E">
            <w:pPr>
              <w:pStyle w:val="TableBodyText"/>
              <w:rPr>
                <w:rFonts w:cs="Arial"/>
              </w:rPr>
            </w:pPr>
            <w:r>
              <w:rPr>
                <w:rFonts w:cs="Arial"/>
              </w:rPr>
              <w:t xml:space="preserve">  0.3</w:t>
            </w:r>
          </w:p>
        </w:tc>
        <w:tc>
          <w:tcPr>
            <w:tcW w:w="427" w:type="pct"/>
            <w:gridSpan w:val="2"/>
            <w:shd w:val="clear" w:color="auto" w:fill="auto"/>
            <w:vAlign w:val="center"/>
          </w:tcPr>
          <w:p w:rsidR="003B1EA7" w:rsidRPr="004E4FDF" w:rsidRDefault="003B1EA7" w:rsidP="007A514E">
            <w:pPr>
              <w:pStyle w:val="TableBodyText"/>
              <w:rPr>
                <w:rFonts w:cs="Arial"/>
              </w:rPr>
            </w:pPr>
            <w:r>
              <w:rPr>
                <w:rFonts w:cs="Arial"/>
              </w:rPr>
              <w:t>–</w:t>
            </w:r>
          </w:p>
        </w:tc>
        <w:tc>
          <w:tcPr>
            <w:tcW w:w="444" w:type="pct"/>
            <w:shd w:val="clear" w:color="auto" w:fill="auto"/>
            <w:vAlign w:val="center"/>
          </w:tcPr>
          <w:p w:rsidR="003B1EA7" w:rsidRPr="004E4FDF" w:rsidRDefault="003B1EA7" w:rsidP="007A514E">
            <w:pPr>
              <w:pStyle w:val="TableBodyText"/>
              <w:rPr>
                <w:rFonts w:cs="Arial"/>
              </w:rPr>
            </w:pPr>
            <w:r>
              <w:rPr>
                <w:rFonts w:cs="Arial"/>
              </w:rPr>
              <w:t>–</w:t>
            </w:r>
          </w:p>
        </w:tc>
        <w:tc>
          <w:tcPr>
            <w:tcW w:w="410" w:type="pct"/>
            <w:shd w:val="clear" w:color="auto" w:fill="auto"/>
            <w:vAlign w:val="center"/>
          </w:tcPr>
          <w:p w:rsidR="003B1EA7" w:rsidRPr="004E4FDF" w:rsidRDefault="003B1EA7" w:rsidP="007A514E">
            <w:pPr>
              <w:pStyle w:val="TableBodyText"/>
              <w:rPr>
                <w:rFonts w:cs="Arial"/>
              </w:rPr>
            </w:pPr>
            <w:r>
              <w:rPr>
                <w:rFonts w:cs="Arial"/>
              </w:rPr>
              <w:t>–</w:t>
            </w:r>
          </w:p>
        </w:tc>
        <w:tc>
          <w:tcPr>
            <w:tcW w:w="407" w:type="pct"/>
            <w:shd w:val="clear" w:color="auto" w:fill="auto"/>
            <w:vAlign w:val="center"/>
          </w:tcPr>
          <w:p w:rsidR="003B1EA7" w:rsidRPr="004E4FDF" w:rsidRDefault="003B1EA7" w:rsidP="007A514E">
            <w:pPr>
              <w:pStyle w:val="TableBodyText"/>
              <w:rPr>
                <w:rFonts w:cs="Arial"/>
              </w:rPr>
            </w:pPr>
            <w:r>
              <w:rPr>
                <w:rFonts w:cs="Arial"/>
              </w:rPr>
              <w:t xml:space="preserve">  1.1</w:t>
            </w:r>
          </w:p>
        </w:tc>
        <w:tc>
          <w:tcPr>
            <w:tcW w:w="411" w:type="pct"/>
            <w:vAlign w:val="center"/>
          </w:tcPr>
          <w:p w:rsidR="003B1EA7" w:rsidRPr="004E4FDF" w:rsidRDefault="003B1EA7" w:rsidP="007A514E">
            <w:pPr>
              <w:pStyle w:val="TableBodyText"/>
              <w:rPr>
                <w:rFonts w:cs="Arial"/>
              </w:rPr>
            </w:pPr>
            <w:r>
              <w:rPr>
                <w:rFonts w:cs="Arial"/>
              </w:rPr>
              <w:t xml:space="preserve">  0.1</w:t>
            </w:r>
          </w:p>
        </w:tc>
        <w:tc>
          <w:tcPr>
            <w:tcW w:w="502" w:type="pct"/>
            <w:gridSpan w:val="2"/>
          </w:tcPr>
          <w:p w:rsidR="003B1EA7" w:rsidRPr="004E4FDF" w:rsidRDefault="003B1EA7" w:rsidP="00F668E2">
            <w:pPr>
              <w:pStyle w:val="TableBodyText"/>
            </w:pPr>
            <w:r>
              <w:t>16A.</w:t>
            </w:r>
            <w:r w:rsidR="00F668E2">
              <w:t>16</w:t>
            </w:r>
          </w:p>
        </w:tc>
      </w:tr>
      <w:tr w:rsidR="007A514E" w:rsidRPr="0051549A" w:rsidTr="009070AD">
        <w:trPr>
          <w:trHeight w:val="273"/>
        </w:trPr>
        <w:tc>
          <w:tcPr>
            <w:tcW w:w="5000" w:type="pct"/>
            <w:gridSpan w:val="14"/>
            <w:shd w:val="clear" w:color="auto" w:fill="auto"/>
          </w:tcPr>
          <w:p w:rsidR="007A514E" w:rsidRPr="00AB29D6" w:rsidRDefault="007A514E" w:rsidP="0034238C">
            <w:pPr>
              <w:pStyle w:val="TableColumnHeading"/>
              <w:jc w:val="left"/>
            </w:pPr>
            <w:r>
              <w:t>Rate of e</w:t>
            </w:r>
            <w:r w:rsidRPr="00AB29D6">
              <w:t>scapes from escorted movement</w:t>
            </w:r>
            <w:r>
              <w:t xml:space="preserve"> per 10 000 </w:t>
            </w:r>
            <w:r w:rsidR="0034238C">
              <w:t>escorted movements</w:t>
            </w:r>
          </w:p>
        </w:tc>
      </w:tr>
      <w:tr w:rsidR="003B1EA7" w:rsidTr="009070AD">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vAlign w:val="center"/>
          </w:tcPr>
          <w:p w:rsidR="003B1EA7" w:rsidRPr="004E4FDF" w:rsidRDefault="003B1EA7" w:rsidP="007A514E">
            <w:pPr>
              <w:pStyle w:val="TableBodyText"/>
              <w:rPr>
                <w:rFonts w:cs="Arial"/>
              </w:rPr>
            </w:pPr>
            <w:r>
              <w:rPr>
                <w:rFonts w:cs="Arial"/>
              </w:rPr>
              <w:t>–</w:t>
            </w:r>
          </w:p>
        </w:tc>
        <w:tc>
          <w:tcPr>
            <w:tcW w:w="440" w:type="pct"/>
            <w:shd w:val="clear" w:color="auto" w:fill="auto"/>
            <w:vAlign w:val="center"/>
          </w:tcPr>
          <w:p w:rsidR="003B1EA7" w:rsidRPr="004E4FDF" w:rsidRDefault="003B1EA7" w:rsidP="007A514E">
            <w:pPr>
              <w:pStyle w:val="TableBodyText"/>
              <w:rPr>
                <w:rFonts w:cs="Arial"/>
              </w:rPr>
            </w:pPr>
            <w:r>
              <w:rPr>
                <w:rFonts w:cs="Arial"/>
              </w:rPr>
              <w:t>–</w:t>
            </w:r>
          </w:p>
        </w:tc>
        <w:tc>
          <w:tcPr>
            <w:tcW w:w="436" w:type="pct"/>
            <w:shd w:val="clear" w:color="auto" w:fill="auto"/>
            <w:vAlign w:val="center"/>
          </w:tcPr>
          <w:p w:rsidR="003B1EA7" w:rsidRPr="004E4FDF" w:rsidRDefault="003B1EA7" w:rsidP="007A514E">
            <w:pPr>
              <w:pStyle w:val="TableBodyText"/>
              <w:rPr>
                <w:rFonts w:cs="Arial"/>
              </w:rPr>
            </w:pPr>
            <w:r>
              <w:rPr>
                <w:rFonts w:cs="Arial"/>
              </w:rPr>
              <w:t>–</w:t>
            </w:r>
          </w:p>
        </w:tc>
        <w:tc>
          <w:tcPr>
            <w:tcW w:w="445" w:type="pct"/>
            <w:gridSpan w:val="3"/>
            <w:shd w:val="clear" w:color="auto" w:fill="auto"/>
            <w:vAlign w:val="center"/>
          </w:tcPr>
          <w:p w:rsidR="003B1EA7" w:rsidRPr="004E4FDF" w:rsidRDefault="003B1EA7" w:rsidP="007A514E">
            <w:pPr>
              <w:pStyle w:val="TableBodyText"/>
              <w:rPr>
                <w:rFonts w:cs="Arial"/>
              </w:rPr>
            </w:pPr>
            <w:r>
              <w:rPr>
                <w:rFonts w:cs="Arial"/>
              </w:rPr>
              <w:t>na</w:t>
            </w:r>
          </w:p>
        </w:tc>
        <w:tc>
          <w:tcPr>
            <w:tcW w:w="414" w:type="pct"/>
            <w:shd w:val="clear" w:color="auto" w:fill="auto"/>
            <w:vAlign w:val="center"/>
          </w:tcPr>
          <w:p w:rsidR="003B1EA7" w:rsidRPr="004E4FDF" w:rsidRDefault="003B1EA7" w:rsidP="007A514E">
            <w:pPr>
              <w:pStyle w:val="TableBodyText"/>
              <w:rPr>
                <w:rFonts w:cs="Arial"/>
              </w:rPr>
            </w:pPr>
            <w:r>
              <w:rPr>
                <w:rFonts w:cs="Arial"/>
              </w:rPr>
              <w:t>–</w:t>
            </w:r>
          </w:p>
        </w:tc>
        <w:tc>
          <w:tcPr>
            <w:tcW w:w="444" w:type="pct"/>
            <w:shd w:val="clear" w:color="auto" w:fill="auto"/>
            <w:vAlign w:val="center"/>
          </w:tcPr>
          <w:p w:rsidR="003B1EA7" w:rsidRPr="004E4FDF" w:rsidRDefault="003B1EA7" w:rsidP="007A514E">
            <w:pPr>
              <w:pStyle w:val="TableBodyText"/>
              <w:rPr>
                <w:rFonts w:cs="Arial"/>
              </w:rPr>
            </w:pPr>
            <w:r>
              <w:rPr>
                <w:rFonts w:cs="Arial"/>
              </w:rPr>
              <w:t>–</w:t>
            </w:r>
          </w:p>
        </w:tc>
        <w:tc>
          <w:tcPr>
            <w:tcW w:w="410" w:type="pct"/>
            <w:shd w:val="clear" w:color="auto" w:fill="auto"/>
            <w:vAlign w:val="center"/>
          </w:tcPr>
          <w:p w:rsidR="003B1EA7" w:rsidRPr="004E4FDF" w:rsidRDefault="003B1EA7" w:rsidP="007A514E">
            <w:pPr>
              <w:pStyle w:val="TableBodyText"/>
              <w:rPr>
                <w:rFonts w:cs="Arial"/>
              </w:rPr>
            </w:pPr>
            <w:r>
              <w:rPr>
                <w:rFonts w:cs="Arial"/>
              </w:rPr>
              <w:t>–</w:t>
            </w:r>
          </w:p>
        </w:tc>
        <w:tc>
          <w:tcPr>
            <w:tcW w:w="407" w:type="pct"/>
            <w:shd w:val="clear" w:color="auto" w:fill="auto"/>
            <w:vAlign w:val="center"/>
          </w:tcPr>
          <w:p w:rsidR="003B1EA7" w:rsidRPr="004E4FDF" w:rsidRDefault="003B1EA7" w:rsidP="007A514E">
            <w:pPr>
              <w:pStyle w:val="TableBodyText"/>
              <w:rPr>
                <w:rFonts w:cs="Arial"/>
              </w:rPr>
            </w:pPr>
            <w:r>
              <w:rPr>
                <w:rFonts w:cs="Arial"/>
              </w:rPr>
              <w:t>–</w:t>
            </w:r>
          </w:p>
        </w:tc>
        <w:tc>
          <w:tcPr>
            <w:tcW w:w="411" w:type="pct"/>
            <w:vAlign w:val="center"/>
          </w:tcPr>
          <w:p w:rsidR="003B1EA7" w:rsidRPr="004E4FDF" w:rsidRDefault="003B1EA7" w:rsidP="007A514E">
            <w:pPr>
              <w:pStyle w:val="TableBodyText"/>
              <w:rPr>
                <w:rFonts w:cs="Arial"/>
              </w:rPr>
            </w:pPr>
            <w:r>
              <w:rPr>
                <w:rFonts w:cs="Arial"/>
              </w:rPr>
              <w:t>–</w:t>
            </w:r>
          </w:p>
        </w:tc>
        <w:tc>
          <w:tcPr>
            <w:tcW w:w="502" w:type="pct"/>
            <w:gridSpan w:val="2"/>
          </w:tcPr>
          <w:p w:rsidR="003B1EA7" w:rsidRPr="004E4FDF" w:rsidRDefault="003B1EA7" w:rsidP="00F668E2">
            <w:pPr>
              <w:pStyle w:val="TableBodyText"/>
            </w:pPr>
            <w:r>
              <w:t>16A.</w:t>
            </w:r>
            <w:r w:rsidR="00F668E2">
              <w:t>16</w:t>
            </w:r>
          </w:p>
        </w:tc>
      </w:tr>
      <w:tr w:rsidR="007A514E" w:rsidTr="009070AD">
        <w:tc>
          <w:tcPr>
            <w:tcW w:w="5000" w:type="pct"/>
            <w:gridSpan w:val="14"/>
            <w:shd w:val="clear" w:color="auto" w:fill="auto"/>
          </w:tcPr>
          <w:p w:rsidR="007A514E" w:rsidRDefault="007A514E" w:rsidP="006B1005">
            <w:pPr>
              <w:pStyle w:val="TableColumnHeading"/>
              <w:jc w:val="left"/>
              <w:rPr>
                <w:i w:val="0"/>
              </w:rPr>
            </w:pPr>
            <w:r>
              <w:rPr>
                <w:i w:val="0"/>
              </w:rPr>
              <w:t>Absconds from unescorted leave</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97292D">
              <w:rPr>
                <w:i w:val="0"/>
                <w:sz w:val="16"/>
                <w:szCs w:val="16"/>
              </w:rPr>
              <w:t>6</w:t>
            </w:r>
            <w:r w:rsidRPr="0033586C">
              <w:rPr>
                <w:i w:val="0"/>
                <w:sz w:val="16"/>
                <w:szCs w:val="16"/>
              </w:rPr>
              <w:t>)</w:t>
            </w:r>
          </w:p>
        </w:tc>
      </w:tr>
      <w:tr w:rsidR="007A514E" w:rsidRPr="0051549A" w:rsidTr="009070AD">
        <w:tc>
          <w:tcPr>
            <w:tcW w:w="5000" w:type="pct"/>
            <w:gridSpan w:val="14"/>
            <w:shd w:val="clear" w:color="auto" w:fill="auto"/>
          </w:tcPr>
          <w:p w:rsidR="007A514E" w:rsidRPr="000908DE" w:rsidRDefault="007A514E" w:rsidP="007A514E">
            <w:pPr>
              <w:pStyle w:val="TableColumnHeading"/>
              <w:jc w:val="left"/>
            </w:pPr>
            <w:r w:rsidRPr="000908DE">
              <w:t>Rate of absconds per 1000 periods of unescorted leave</w:t>
            </w:r>
          </w:p>
        </w:tc>
      </w:tr>
      <w:tr w:rsidR="003B1EA7" w:rsidTr="009070AD">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vAlign w:val="center"/>
          </w:tcPr>
          <w:p w:rsidR="003B1EA7" w:rsidRPr="004E4FDF" w:rsidRDefault="003B1EA7" w:rsidP="007A514E">
            <w:pPr>
              <w:pStyle w:val="TableBodyText"/>
              <w:rPr>
                <w:rFonts w:cs="Arial"/>
              </w:rPr>
            </w:pPr>
            <w:r>
              <w:rPr>
                <w:rFonts w:cs="Arial"/>
              </w:rPr>
              <w:t>–</w:t>
            </w:r>
          </w:p>
        </w:tc>
        <w:tc>
          <w:tcPr>
            <w:tcW w:w="440" w:type="pct"/>
            <w:shd w:val="clear" w:color="auto" w:fill="auto"/>
            <w:vAlign w:val="center"/>
          </w:tcPr>
          <w:p w:rsidR="003B1EA7" w:rsidRPr="004E4FDF" w:rsidRDefault="003B1EA7" w:rsidP="007A514E">
            <w:pPr>
              <w:pStyle w:val="TableBodyText"/>
              <w:rPr>
                <w:rFonts w:cs="Arial"/>
              </w:rPr>
            </w:pPr>
            <w:r>
              <w:rPr>
                <w:rFonts w:cs="Arial"/>
              </w:rPr>
              <w:t>–</w:t>
            </w:r>
          </w:p>
        </w:tc>
        <w:tc>
          <w:tcPr>
            <w:tcW w:w="441" w:type="pct"/>
            <w:gridSpan w:val="2"/>
            <w:shd w:val="clear" w:color="auto" w:fill="auto"/>
            <w:vAlign w:val="center"/>
          </w:tcPr>
          <w:p w:rsidR="003B1EA7" w:rsidRPr="004E4FDF" w:rsidRDefault="003B1EA7" w:rsidP="007A514E">
            <w:pPr>
              <w:pStyle w:val="TableBodyText"/>
              <w:rPr>
                <w:rFonts w:cs="Arial"/>
              </w:rPr>
            </w:pPr>
            <w:r>
              <w:rPr>
                <w:rFonts w:cs="Arial"/>
              </w:rPr>
              <w:t>..</w:t>
            </w:r>
          </w:p>
        </w:tc>
        <w:tc>
          <w:tcPr>
            <w:tcW w:w="427" w:type="pct"/>
            <w:shd w:val="clear" w:color="auto" w:fill="auto"/>
            <w:vAlign w:val="center"/>
          </w:tcPr>
          <w:p w:rsidR="003B1EA7" w:rsidRPr="004E4FDF" w:rsidRDefault="004C633F" w:rsidP="007A514E">
            <w:pPr>
              <w:pStyle w:val="TableBodyText"/>
              <w:rPr>
                <w:rFonts w:cs="Arial"/>
              </w:rPr>
            </w:pPr>
            <w:r>
              <w:rPr>
                <w:rFonts w:cs="Arial"/>
              </w:rPr>
              <w:t>..</w:t>
            </w:r>
          </w:p>
        </w:tc>
        <w:tc>
          <w:tcPr>
            <w:tcW w:w="427" w:type="pct"/>
            <w:gridSpan w:val="2"/>
            <w:shd w:val="clear" w:color="auto" w:fill="auto"/>
            <w:vAlign w:val="center"/>
          </w:tcPr>
          <w:p w:rsidR="003B1EA7" w:rsidRPr="004E4FDF" w:rsidRDefault="003B1EA7" w:rsidP="007A514E">
            <w:pPr>
              <w:pStyle w:val="TableBodyText"/>
              <w:rPr>
                <w:rFonts w:cs="Arial"/>
              </w:rPr>
            </w:pPr>
            <w:r>
              <w:rPr>
                <w:rFonts w:cs="Arial"/>
              </w:rPr>
              <w:t>–</w:t>
            </w:r>
          </w:p>
        </w:tc>
        <w:tc>
          <w:tcPr>
            <w:tcW w:w="444" w:type="pct"/>
            <w:shd w:val="clear" w:color="auto" w:fill="auto"/>
            <w:vAlign w:val="center"/>
          </w:tcPr>
          <w:p w:rsidR="003B1EA7" w:rsidRPr="004E4FDF" w:rsidRDefault="003B1EA7" w:rsidP="007A514E">
            <w:pPr>
              <w:pStyle w:val="TableBodyText"/>
              <w:rPr>
                <w:rFonts w:cs="Arial"/>
              </w:rPr>
            </w:pPr>
            <w:r>
              <w:rPr>
                <w:rFonts w:cs="Arial"/>
              </w:rPr>
              <w:t>–</w:t>
            </w:r>
          </w:p>
        </w:tc>
        <w:tc>
          <w:tcPr>
            <w:tcW w:w="410" w:type="pct"/>
            <w:shd w:val="clear" w:color="auto" w:fill="auto"/>
            <w:vAlign w:val="center"/>
          </w:tcPr>
          <w:p w:rsidR="003B1EA7" w:rsidRPr="004E4FDF" w:rsidRDefault="003B1EA7" w:rsidP="007A514E">
            <w:pPr>
              <w:pStyle w:val="TableBodyText"/>
              <w:rPr>
                <w:rFonts w:cs="Arial"/>
              </w:rPr>
            </w:pPr>
            <w:r>
              <w:rPr>
                <w:rFonts w:cs="Arial"/>
              </w:rPr>
              <w:t>–</w:t>
            </w:r>
          </w:p>
        </w:tc>
        <w:tc>
          <w:tcPr>
            <w:tcW w:w="407" w:type="pct"/>
            <w:shd w:val="clear" w:color="auto" w:fill="auto"/>
            <w:vAlign w:val="center"/>
          </w:tcPr>
          <w:p w:rsidR="003B1EA7" w:rsidRPr="004E4FDF" w:rsidRDefault="003B1EA7" w:rsidP="007A514E">
            <w:pPr>
              <w:pStyle w:val="TableBodyText"/>
              <w:rPr>
                <w:rFonts w:cs="Arial"/>
              </w:rPr>
            </w:pPr>
            <w:r>
              <w:rPr>
                <w:rFonts w:cs="Arial"/>
              </w:rPr>
              <w:t>–</w:t>
            </w:r>
          </w:p>
        </w:tc>
        <w:tc>
          <w:tcPr>
            <w:tcW w:w="411" w:type="pct"/>
            <w:vAlign w:val="center"/>
          </w:tcPr>
          <w:p w:rsidR="003B1EA7" w:rsidRPr="004E4FDF" w:rsidRDefault="003B1EA7" w:rsidP="007A514E">
            <w:pPr>
              <w:pStyle w:val="TableBodyText"/>
              <w:rPr>
                <w:rFonts w:cs="Arial"/>
              </w:rPr>
            </w:pPr>
            <w:r>
              <w:rPr>
                <w:rFonts w:cs="Arial"/>
              </w:rPr>
              <w:t>–</w:t>
            </w:r>
          </w:p>
        </w:tc>
        <w:tc>
          <w:tcPr>
            <w:tcW w:w="502" w:type="pct"/>
            <w:gridSpan w:val="2"/>
          </w:tcPr>
          <w:p w:rsidR="003B1EA7" w:rsidRPr="004E4FDF" w:rsidRDefault="003B1EA7" w:rsidP="00F668E2">
            <w:pPr>
              <w:pStyle w:val="TableBodyText"/>
            </w:pPr>
            <w:r>
              <w:t>16A.</w:t>
            </w:r>
            <w:r w:rsidR="00F668E2">
              <w:t>17</w:t>
            </w:r>
          </w:p>
        </w:tc>
      </w:tr>
      <w:tr w:rsidR="007A514E" w:rsidRPr="0051549A" w:rsidTr="009070AD">
        <w:trPr>
          <w:trHeight w:val="273"/>
        </w:trPr>
        <w:tc>
          <w:tcPr>
            <w:tcW w:w="5000" w:type="pct"/>
            <w:gridSpan w:val="14"/>
            <w:shd w:val="clear" w:color="auto" w:fill="auto"/>
          </w:tcPr>
          <w:p w:rsidR="007A514E" w:rsidRPr="0051549A" w:rsidRDefault="007A514E" w:rsidP="006B1005">
            <w:pPr>
              <w:pStyle w:val="TableColumnHeading"/>
              <w:jc w:val="left"/>
              <w:rPr>
                <w:i w:val="0"/>
              </w:rPr>
            </w:pPr>
            <w:r>
              <w:rPr>
                <w:i w:val="0"/>
              </w:rPr>
              <w:t>Assaults in custody</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97292D">
              <w:rPr>
                <w:i w:val="0"/>
                <w:sz w:val="16"/>
                <w:szCs w:val="16"/>
              </w:rPr>
              <w:t>6</w:t>
            </w:r>
            <w:r w:rsidRPr="0033586C">
              <w:rPr>
                <w:i w:val="0"/>
                <w:sz w:val="16"/>
                <w:szCs w:val="16"/>
              </w:rPr>
              <w:t>)</w:t>
            </w:r>
          </w:p>
        </w:tc>
      </w:tr>
      <w:tr w:rsidR="007A514E" w:rsidRPr="0051549A" w:rsidTr="009070AD">
        <w:trPr>
          <w:trHeight w:val="273"/>
        </w:trPr>
        <w:tc>
          <w:tcPr>
            <w:tcW w:w="5000" w:type="pct"/>
            <w:gridSpan w:val="14"/>
            <w:shd w:val="clear" w:color="auto" w:fill="auto"/>
          </w:tcPr>
          <w:p w:rsidR="007A514E" w:rsidRPr="0051549A" w:rsidRDefault="007A514E" w:rsidP="007A514E">
            <w:pPr>
              <w:pStyle w:val="TableColumnHeading"/>
              <w:jc w:val="left"/>
            </w:pPr>
            <w:r>
              <w:t>Rate of young people and staff injured as a result of a serious assault per 10 000 custody nights</w:t>
            </w:r>
          </w:p>
        </w:tc>
      </w:tr>
      <w:tr w:rsidR="003B1EA7" w:rsidTr="009070AD">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vAlign w:val="center"/>
          </w:tcPr>
          <w:p w:rsidR="003B1EA7" w:rsidRPr="004E4FDF" w:rsidRDefault="003B1EA7" w:rsidP="007A514E">
            <w:pPr>
              <w:pStyle w:val="TableBodyText"/>
              <w:rPr>
                <w:rFonts w:cs="Arial"/>
              </w:rPr>
            </w:pPr>
            <w:r>
              <w:rPr>
                <w:rFonts w:cs="Arial"/>
              </w:rPr>
              <w:t>–</w:t>
            </w:r>
          </w:p>
        </w:tc>
        <w:tc>
          <w:tcPr>
            <w:tcW w:w="440" w:type="pct"/>
            <w:shd w:val="clear" w:color="auto" w:fill="auto"/>
            <w:vAlign w:val="center"/>
          </w:tcPr>
          <w:p w:rsidR="003B1EA7" w:rsidRPr="004E4FDF" w:rsidRDefault="003B1EA7" w:rsidP="007A514E">
            <w:pPr>
              <w:pStyle w:val="TableBodyText"/>
              <w:rPr>
                <w:rFonts w:cs="Arial"/>
              </w:rPr>
            </w:pPr>
            <w:r>
              <w:rPr>
                <w:rFonts w:cs="Arial"/>
              </w:rPr>
              <w:t xml:space="preserve">  1.1</w:t>
            </w:r>
          </w:p>
        </w:tc>
        <w:tc>
          <w:tcPr>
            <w:tcW w:w="436" w:type="pct"/>
            <w:shd w:val="clear" w:color="auto" w:fill="auto"/>
            <w:vAlign w:val="center"/>
          </w:tcPr>
          <w:p w:rsidR="003B1EA7" w:rsidRPr="004E4FDF" w:rsidRDefault="003B1EA7" w:rsidP="0034238C">
            <w:pPr>
              <w:pStyle w:val="TableBodyText"/>
              <w:rPr>
                <w:rFonts w:cs="Arial"/>
              </w:rPr>
            </w:pPr>
            <w:r>
              <w:rPr>
                <w:rFonts w:cs="Arial"/>
              </w:rPr>
              <w:t xml:space="preserve">  0.3</w:t>
            </w:r>
          </w:p>
        </w:tc>
        <w:tc>
          <w:tcPr>
            <w:tcW w:w="445" w:type="pct"/>
            <w:gridSpan w:val="3"/>
            <w:shd w:val="clear" w:color="auto" w:fill="auto"/>
            <w:vAlign w:val="center"/>
          </w:tcPr>
          <w:p w:rsidR="003B1EA7" w:rsidRPr="004E4FDF" w:rsidRDefault="003B1EA7" w:rsidP="007A514E">
            <w:pPr>
              <w:pStyle w:val="TableBodyText"/>
              <w:rPr>
                <w:rFonts w:cs="Arial"/>
              </w:rPr>
            </w:pPr>
            <w:r>
              <w:rPr>
                <w:rFonts w:cs="Arial"/>
              </w:rPr>
              <w:t>na</w:t>
            </w:r>
          </w:p>
        </w:tc>
        <w:tc>
          <w:tcPr>
            <w:tcW w:w="414" w:type="pct"/>
            <w:shd w:val="clear" w:color="auto" w:fill="auto"/>
            <w:vAlign w:val="center"/>
          </w:tcPr>
          <w:p w:rsidR="003B1EA7" w:rsidRPr="004E4FDF" w:rsidRDefault="003B1EA7" w:rsidP="007A514E">
            <w:pPr>
              <w:pStyle w:val="TableBodyText"/>
              <w:rPr>
                <w:rFonts w:cs="Arial"/>
              </w:rPr>
            </w:pPr>
            <w:r>
              <w:rPr>
                <w:rFonts w:cs="Arial"/>
              </w:rPr>
              <w:t>–</w:t>
            </w:r>
          </w:p>
        </w:tc>
        <w:tc>
          <w:tcPr>
            <w:tcW w:w="444" w:type="pct"/>
            <w:shd w:val="clear" w:color="auto" w:fill="auto"/>
            <w:vAlign w:val="center"/>
          </w:tcPr>
          <w:p w:rsidR="003B1EA7" w:rsidRPr="004E4FDF" w:rsidRDefault="003B1EA7" w:rsidP="007A514E">
            <w:pPr>
              <w:pStyle w:val="TableBodyText"/>
              <w:rPr>
                <w:rFonts w:cs="Arial"/>
              </w:rPr>
            </w:pPr>
            <w:r>
              <w:rPr>
                <w:rFonts w:cs="Arial"/>
              </w:rPr>
              <w:t>–</w:t>
            </w:r>
          </w:p>
        </w:tc>
        <w:tc>
          <w:tcPr>
            <w:tcW w:w="410" w:type="pct"/>
            <w:shd w:val="clear" w:color="auto" w:fill="auto"/>
            <w:vAlign w:val="center"/>
          </w:tcPr>
          <w:p w:rsidR="003B1EA7" w:rsidRPr="004E4FDF" w:rsidRDefault="003B1EA7" w:rsidP="007A514E">
            <w:pPr>
              <w:pStyle w:val="TableBodyText"/>
              <w:rPr>
                <w:rFonts w:cs="Arial"/>
              </w:rPr>
            </w:pPr>
            <w:r>
              <w:rPr>
                <w:rFonts w:cs="Arial"/>
              </w:rPr>
              <w:t>–</w:t>
            </w:r>
          </w:p>
        </w:tc>
        <w:tc>
          <w:tcPr>
            <w:tcW w:w="407" w:type="pct"/>
            <w:shd w:val="clear" w:color="auto" w:fill="auto"/>
            <w:vAlign w:val="center"/>
          </w:tcPr>
          <w:p w:rsidR="003B1EA7" w:rsidRPr="004E4FDF" w:rsidRDefault="003B1EA7" w:rsidP="007A514E">
            <w:pPr>
              <w:pStyle w:val="TableBodyText"/>
              <w:rPr>
                <w:rFonts w:cs="Arial"/>
              </w:rPr>
            </w:pPr>
            <w:r>
              <w:rPr>
                <w:rFonts w:cs="Arial"/>
              </w:rPr>
              <w:t>–</w:t>
            </w:r>
          </w:p>
        </w:tc>
        <w:tc>
          <w:tcPr>
            <w:tcW w:w="411" w:type="pct"/>
            <w:vAlign w:val="center"/>
          </w:tcPr>
          <w:p w:rsidR="003B1EA7" w:rsidRPr="004E4FDF" w:rsidRDefault="003B1EA7" w:rsidP="007A514E">
            <w:pPr>
              <w:pStyle w:val="TableBodyText"/>
              <w:rPr>
                <w:rFonts w:cs="Arial"/>
              </w:rPr>
            </w:pPr>
            <w:r>
              <w:rPr>
                <w:rFonts w:cs="Arial"/>
              </w:rPr>
              <w:t>..</w:t>
            </w:r>
          </w:p>
        </w:tc>
        <w:tc>
          <w:tcPr>
            <w:tcW w:w="502" w:type="pct"/>
            <w:gridSpan w:val="2"/>
          </w:tcPr>
          <w:p w:rsidR="003B1EA7" w:rsidRPr="004E4FDF" w:rsidRDefault="003B1EA7" w:rsidP="00F668E2">
            <w:pPr>
              <w:pStyle w:val="TableBodyText"/>
            </w:pPr>
            <w:r>
              <w:t>16A.</w:t>
            </w:r>
            <w:r w:rsidR="00F668E2">
              <w:t>18</w:t>
            </w:r>
          </w:p>
        </w:tc>
      </w:tr>
      <w:tr w:rsidR="007A514E" w:rsidTr="009070AD">
        <w:tc>
          <w:tcPr>
            <w:tcW w:w="5000" w:type="pct"/>
            <w:gridSpan w:val="14"/>
            <w:shd w:val="clear" w:color="auto" w:fill="auto"/>
          </w:tcPr>
          <w:p w:rsidR="007A514E" w:rsidRPr="00551B18" w:rsidRDefault="007A514E" w:rsidP="007A514E">
            <w:pPr>
              <w:pStyle w:val="TableColumnHeading"/>
              <w:jc w:val="left"/>
            </w:pPr>
            <w:r w:rsidRPr="00551B18">
              <w:t>Rate of young people and staff injured as a result of an assault per 10 000 custody nights</w:t>
            </w:r>
          </w:p>
        </w:tc>
      </w:tr>
      <w:tr w:rsidR="003B1EA7" w:rsidTr="009070AD">
        <w:tc>
          <w:tcPr>
            <w:tcW w:w="656" w:type="pct"/>
            <w:shd w:val="clear" w:color="auto" w:fill="auto"/>
          </w:tcPr>
          <w:p w:rsidR="003B1EA7" w:rsidRPr="004E4FDF" w:rsidRDefault="003B1EA7" w:rsidP="007A514E">
            <w:pPr>
              <w:pStyle w:val="TableBodyText"/>
            </w:pPr>
            <w:r w:rsidRPr="004E4FDF">
              <w:t>%</w:t>
            </w:r>
          </w:p>
        </w:tc>
        <w:tc>
          <w:tcPr>
            <w:tcW w:w="435" w:type="pct"/>
            <w:shd w:val="clear" w:color="auto" w:fill="auto"/>
            <w:vAlign w:val="center"/>
          </w:tcPr>
          <w:p w:rsidR="003B1EA7" w:rsidRPr="004E4FDF" w:rsidRDefault="003B1EA7" w:rsidP="007A514E">
            <w:pPr>
              <w:pStyle w:val="TableBodyText"/>
              <w:rPr>
                <w:rFonts w:cs="Arial"/>
              </w:rPr>
            </w:pPr>
            <w:r>
              <w:rPr>
                <w:rFonts w:cs="Arial"/>
              </w:rPr>
              <w:t xml:space="preserve">  2.8</w:t>
            </w:r>
          </w:p>
        </w:tc>
        <w:tc>
          <w:tcPr>
            <w:tcW w:w="440" w:type="pct"/>
            <w:shd w:val="clear" w:color="auto" w:fill="auto"/>
            <w:vAlign w:val="center"/>
          </w:tcPr>
          <w:p w:rsidR="003B1EA7" w:rsidRPr="004E4FDF" w:rsidRDefault="003B1EA7" w:rsidP="007A514E">
            <w:pPr>
              <w:pStyle w:val="TableBodyText"/>
              <w:rPr>
                <w:rFonts w:cs="Arial"/>
              </w:rPr>
            </w:pPr>
            <w:r>
              <w:rPr>
                <w:rFonts w:cs="Arial"/>
              </w:rPr>
              <w:t>na</w:t>
            </w:r>
          </w:p>
        </w:tc>
        <w:tc>
          <w:tcPr>
            <w:tcW w:w="441" w:type="pct"/>
            <w:gridSpan w:val="2"/>
            <w:shd w:val="clear" w:color="auto" w:fill="auto"/>
            <w:vAlign w:val="center"/>
          </w:tcPr>
          <w:p w:rsidR="003B1EA7" w:rsidRPr="004E4FDF" w:rsidRDefault="003B1EA7" w:rsidP="007A514E">
            <w:pPr>
              <w:pStyle w:val="TableBodyText"/>
              <w:rPr>
                <w:rFonts w:cs="Arial"/>
              </w:rPr>
            </w:pPr>
            <w:r>
              <w:rPr>
                <w:rFonts w:cs="Arial"/>
              </w:rPr>
              <w:t xml:space="preserve">  6.8</w:t>
            </w:r>
          </w:p>
        </w:tc>
        <w:tc>
          <w:tcPr>
            <w:tcW w:w="427" w:type="pct"/>
            <w:shd w:val="clear" w:color="auto" w:fill="auto"/>
            <w:vAlign w:val="center"/>
          </w:tcPr>
          <w:p w:rsidR="003B1EA7" w:rsidRPr="004E4FDF" w:rsidRDefault="003B1EA7" w:rsidP="007A514E">
            <w:pPr>
              <w:pStyle w:val="TableBodyText"/>
              <w:rPr>
                <w:rFonts w:cs="Arial"/>
              </w:rPr>
            </w:pPr>
            <w:r>
              <w:rPr>
                <w:rFonts w:cs="Arial"/>
              </w:rPr>
              <w:t>na</w:t>
            </w:r>
          </w:p>
        </w:tc>
        <w:tc>
          <w:tcPr>
            <w:tcW w:w="427" w:type="pct"/>
            <w:gridSpan w:val="2"/>
            <w:shd w:val="clear" w:color="auto" w:fill="auto"/>
            <w:vAlign w:val="center"/>
          </w:tcPr>
          <w:p w:rsidR="003B1EA7" w:rsidRPr="004E4FDF" w:rsidRDefault="003B1EA7" w:rsidP="007A514E">
            <w:pPr>
              <w:pStyle w:val="TableBodyText"/>
              <w:rPr>
                <w:rFonts w:cs="Arial"/>
              </w:rPr>
            </w:pPr>
            <w:r>
              <w:rPr>
                <w:rFonts w:cs="Arial"/>
              </w:rPr>
              <w:t xml:space="preserve">  24.2</w:t>
            </w:r>
          </w:p>
        </w:tc>
        <w:tc>
          <w:tcPr>
            <w:tcW w:w="444" w:type="pct"/>
            <w:shd w:val="clear" w:color="auto" w:fill="auto"/>
            <w:vAlign w:val="center"/>
          </w:tcPr>
          <w:p w:rsidR="003B1EA7" w:rsidRPr="004E4FDF" w:rsidRDefault="003B1EA7" w:rsidP="007A514E">
            <w:pPr>
              <w:pStyle w:val="TableBodyText"/>
              <w:rPr>
                <w:rFonts w:cs="Arial"/>
              </w:rPr>
            </w:pPr>
            <w:r>
              <w:rPr>
                <w:rFonts w:cs="Arial"/>
              </w:rPr>
              <w:t xml:space="preserve">  32.6</w:t>
            </w:r>
          </w:p>
        </w:tc>
        <w:tc>
          <w:tcPr>
            <w:tcW w:w="410" w:type="pct"/>
            <w:shd w:val="clear" w:color="auto" w:fill="auto"/>
            <w:vAlign w:val="center"/>
          </w:tcPr>
          <w:p w:rsidR="003B1EA7" w:rsidRPr="00551B18" w:rsidRDefault="003B1EA7" w:rsidP="007A514E">
            <w:pPr>
              <w:pStyle w:val="TableBodyText"/>
              <w:rPr>
                <w:rFonts w:cs="Arial"/>
              </w:rPr>
            </w:pPr>
            <w:r>
              <w:rPr>
                <w:rFonts w:cs="Arial"/>
              </w:rPr>
              <w:t xml:space="preserve">  3.1</w:t>
            </w:r>
          </w:p>
        </w:tc>
        <w:tc>
          <w:tcPr>
            <w:tcW w:w="407" w:type="pct"/>
            <w:shd w:val="clear" w:color="auto" w:fill="auto"/>
            <w:vAlign w:val="center"/>
          </w:tcPr>
          <w:p w:rsidR="003B1EA7" w:rsidRPr="00551B18" w:rsidRDefault="003B1EA7" w:rsidP="007A514E">
            <w:pPr>
              <w:pStyle w:val="TableBodyText"/>
              <w:rPr>
                <w:rFonts w:cs="Arial"/>
              </w:rPr>
            </w:pPr>
            <w:r>
              <w:rPr>
                <w:rFonts w:cs="Arial"/>
              </w:rPr>
              <w:t xml:space="preserve">  5.0</w:t>
            </w:r>
          </w:p>
        </w:tc>
        <w:tc>
          <w:tcPr>
            <w:tcW w:w="411" w:type="pct"/>
            <w:vAlign w:val="center"/>
          </w:tcPr>
          <w:p w:rsidR="003B1EA7" w:rsidRPr="004E4FDF" w:rsidRDefault="003B1EA7" w:rsidP="007A514E">
            <w:pPr>
              <w:pStyle w:val="TableBodyText"/>
              <w:rPr>
                <w:rFonts w:cs="Arial"/>
              </w:rPr>
            </w:pPr>
            <w:r>
              <w:rPr>
                <w:rFonts w:cs="Arial"/>
              </w:rPr>
              <w:t>..</w:t>
            </w:r>
          </w:p>
        </w:tc>
        <w:tc>
          <w:tcPr>
            <w:tcW w:w="502" w:type="pct"/>
            <w:gridSpan w:val="2"/>
          </w:tcPr>
          <w:p w:rsidR="003B1EA7" w:rsidRPr="004E4FDF" w:rsidRDefault="003B1EA7" w:rsidP="00F668E2">
            <w:pPr>
              <w:pStyle w:val="TableBodyText"/>
            </w:pPr>
            <w:r>
              <w:t>16A.</w:t>
            </w:r>
            <w:r w:rsidR="00F668E2">
              <w:t>19</w:t>
            </w:r>
          </w:p>
        </w:tc>
      </w:tr>
      <w:tr w:rsidR="009070AD" w:rsidRPr="003E08D7" w:rsidTr="009070AD">
        <w:trPr>
          <w:gridAfter w:val="1"/>
          <w:wAfter w:w="10" w:type="pct"/>
        </w:trPr>
        <w:tc>
          <w:tcPr>
            <w:tcW w:w="4990" w:type="pct"/>
            <w:gridSpan w:val="13"/>
            <w:shd w:val="clear" w:color="auto" w:fill="auto"/>
          </w:tcPr>
          <w:p w:rsidR="009070AD" w:rsidRPr="004B6CA2" w:rsidRDefault="009070AD" w:rsidP="009070AD">
            <w:pPr>
              <w:pStyle w:val="Continued"/>
            </w:pPr>
            <w:r w:rsidRPr="004B6CA2">
              <w:t>(continued on next page)</w:t>
            </w:r>
          </w:p>
        </w:tc>
      </w:tr>
    </w:tbl>
    <w:p w:rsidR="006B42C9" w:rsidRDefault="006B42C9" w:rsidP="006B42C9">
      <w:pPr>
        <w:pStyle w:val="TableTitle"/>
      </w:pPr>
      <w:r w:rsidRPr="006B42C9">
        <w:rPr>
          <w:b w:val="0"/>
        </w:rPr>
        <w:lastRenderedPageBreak/>
        <w:t xml:space="preserve">Table </w:t>
      </w:r>
      <w:r w:rsidR="00197646" w:rsidRPr="00197646">
        <w:rPr>
          <w:b w:val="0"/>
        </w:rPr>
        <w:t>F.6</w:t>
      </w:r>
      <w:r w:rsidRPr="006B42C9">
        <w:rPr>
          <w:b w:val="0"/>
        </w:rPr>
        <w:tab/>
      </w:r>
      <w:r w:rsidR="008928A2">
        <w:t>(continued)</w:t>
      </w:r>
    </w:p>
    <w:tbl>
      <w:tblPr>
        <w:tblW w:w="5000" w:type="pct"/>
        <w:tblCellMar>
          <w:left w:w="0" w:type="dxa"/>
          <w:right w:w="0" w:type="dxa"/>
        </w:tblCellMar>
        <w:tblLook w:val="0000" w:firstRow="0" w:lastRow="0" w:firstColumn="0" w:lastColumn="0" w:noHBand="0" w:noVBand="0"/>
      </w:tblPr>
      <w:tblGrid>
        <w:gridCol w:w="297"/>
        <w:gridCol w:w="744"/>
        <w:gridCol w:w="744"/>
        <w:gridCol w:w="7"/>
        <w:gridCol w:w="737"/>
        <w:gridCol w:w="6"/>
        <w:gridCol w:w="8"/>
        <w:gridCol w:w="842"/>
        <w:gridCol w:w="75"/>
        <w:gridCol w:w="7"/>
        <w:gridCol w:w="12"/>
        <w:gridCol w:w="19"/>
        <w:gridCol w:w="606"/>
        <w:gridCol w:w="102"/>
        <w:gridCol w:w="23"/>
        <w:gridCol w:w="727"/>
        <w:gridCol w:w="47"/>
        <w:gridCol w:w="796"/>
        <w:gridCol w:w="23"/>
        <w:gridCol w:w="905"/>
        <w:gridCol w:w="70"/>
        <w:gridCol w:w="677"/>
        <w:gridCol w:w="37"/>
        <w:gridCol w:w="1211"/>
        <w:gridCol w:w="30"/>
        <w:gridCol w:w="7"/>
        <w:gridCol w:w="30"/>
      </w:tblGrid>
      <w:tr w:rsidR="006B1005" w:rsidTr="006B1005">
        <w:trPr>
          <w:gridAfter w:val="1"/>
          <w:wAfter w:w="24" w:type="pct"/>
        </w:trPr>
        <w:tc>
          <w:tcPr>
            <w:tcW w:w="140" w:type="pct"/>
            <w:tcBorders>
              <w:top w:val="single" w:sz="6" w:space="0" w:color="auto"/>
              <w:bottom w:val="single" w:sz="6" w:space="0" w:color="auto"/>
            </w:tcBorders>
            <w:shd w:val="clear" w:color="auto" w:fill="auto"/>
          </w:tcPr>
          <w:p w:rsidR="008928A2" w:rsidRDefault="008928A2" w:rsidP="00E37B61">
            <w:pPr>
              <w:pStyle w:val="TableColumnHeading"/>
              <w:jc w:val="left"/>
            </w:pPr>
          </w:p>
        </w:tc>
        <w:tc>
          <w:tcPr>
            <w:tcW w:w="425" w:type="pct"/>
            <w:tcBorders>
              <w:top w:val="single" w:sz="6" w:space="0" w:color="auto"/>
              <w:bottom w:val="single" w:sz="6" w:space="0" w:color="auto"/>
            </w:tcBorders>
            <w:shd w:val="clear" w:color="auto" w:fill="auto"/>
          </w:tcPr>
          <w:p w:rsidR="008928A2" w:rsidRDefault="008928A2" w:rsidP="00E37B61">
            <w:pPr>
              <w:pStyle w:val="TableColumnHeading"/>
            </w:pPr>
            <w:r>
              <w:t>NSW</w:t>
            </w:r>
          </w:p>
        </w:tc>
        <w:tc>
          <w:tcPr>
            <w:tcW w:w="425" w:type="pct"/>
            <w:tcBorders>
              <w:top w:val="single" w:sz="6" w:space="0" w:color="auto"/>
              <w:bottom w:val="single" w:sz="6" w:space="0" w:color="auto"/>
            </w:tcBorders>
            <w:shd w:val="clear" w:color="auto" w:fill="auto"/>
          </w:tcPr>
          <w:p w:rsidR="008928A2" w:rsidRDefault="008928A2" w:rsidP="00E37B61">
            <w:pPr>
              <w:pStyle w:val="TableColumnHeading"/>
            </w:pPr>
            <w:r>
              <w:t>Vic</w:t>
            </w:r>
          </w:p>
        </w:tc>
        <w:tc>
          <w:tcPr>
            <w:tcW w:w="429" w:type="pct"/>
            <w:gridSpan w:val="3"/>
            <w:tcBorders>
              <w:top w:val="single" w:sz="6" w:space="0" w:color="auto"/>
              <w:bottom w:val="single" w:sz="6" w:space="0" w:color="auto"/>
            </w:tcBorders>
            <w:shd w:val="clear" w:color="auto" w:fill="auto"/>
          </w:tcPr>
          <w:p w:rsidR="008928A2" w:rsidRDefault="008928A2" w:rsidP="00E37B61">
            <w:pPr>
              <w:pStyle w:val="TableColumnHeading"/>
            </w:pPr>
            <w:r>
              <w:t>Qld</w:t>
            </w:r>
          </w:p>
        </w:tc>
        <w:tc>
          <w:tcPr>
            <w:tcW w:w="543" w:type="pct"/>
            <w:gridSpan w:val="5"/>
            <w:tcBorders>
              <w:top w:val="single" w:sz="6" w:space="0" w:color="auto"/>
              <w:bottom w:val="single" w:sz="6" w:space="0" w:color="auto"/>
            </w:tcBorders>
            <w:shd w:val="clear" w:color="auto" w:fill="auto"/>
          </w:tcPr>
          <w:p w:rsidR="008928A2" w:rsidRDefault="008928A2" w:rsidP="00E37B61">
            <w:pPr>
              <w:pStyle w:val="TableColumnHeading"/>
            </w:pPr>
            <w:r>
              <w:t>WA</w:t>
            </w:r>
          </w:p>
        </w:tc>
        <w:tc>
          <w:tcPr>
            <w:tcW w:w="417" w:type="pct"/>
            <w:gridSpan w:val="3"/>
            <w:tcBorders>
              <w:top w:val="single" w:sz="6" w:space="0" w:color="auto"/>
              <w:bottom w:val="single" w:sz="6" w:space="0" w:color="auto"/>
            </w:tcBorders>
            <w:shd w:val="clear" w:color="auto" w:fill="auto"/>
          </w:tcPr>
          <w:p w:rsidR="008928A2" w:rsidRDefault="008928A2" w:rsidP="00E37B61">
            <w:pPr>
              <w:pStyle w:val="TableColumnHeading"/>
            </w:pPr>
            <w:r>
              <w:t>SA</w:t>
            </w:r>
          </w:p>
        </w:tc>
        <w:tc>
          <w:tcPr>
            <w:tcW w:w="429" w:type="pct"/>
            <w:gridSpan w:val="2"/>
            <w:tcBorders>
              <w:top w:val="single" w:sz="6" w:space="0" w:color="auto"/>
              <w:bottom w:val="single" w:sz="6" w:space="0" w:color="auto"/>
            </w:tcBorders>
            <w:shd w:val="clear" w:color="auto" w:fill="auto"/>
          </w:tcPr>
          <w:p w:rsidR="008928A2" w:rsidRDefault="008928A2" w:rsidP="00E37B61">
            <w:pPr>
              <w:pStyle w:val="TableColumnHeading"/>
            </w:pPr>
            <w:r>
              <w:t>Tas</w:t>
            </w:r>
          </w:p>
        </w:tc>
        <w:tc>
          <w:tcPr>
            <w:tcW w:w="478" w:type="pct"/>
            <w:gridSpan w:val="2"/>
            <w:tcBorders>
              <w:top w:val="single" w:sz="6" w:space="0" w:color="auto"/>
              <w:bottom w:val="single" w:sz="6" w:space="0" w:color="auto"/>
            </w:tcBorders>
            <w:shd w:val="clear" w:color="auto" w:fill="auto"/>
          </w:tcPr>
          <w:p w:rsidR="008928A2" w:rsidRDefault="008928A2" w:rsidP="00E37B61">
            <w:pPr>
              <w:pStyle w:val="TableColumnHeading"/>
            </w:pPr>
            <w:r>
              <w:t>ACT</w:t>
            </w:r>
          </w:p>
        </w:tc>
        <w:tc>
          <w:tcPr>
            <w:tcW w:w="530" w:type="pct"/>
            <w:gridSpan w:val="2"/>
            <w:tcBorders>
              <w:top w:val="single" w:sz="6" w:space="0" w:color="auto"/>
              <w:bottom w:val="single" w:sz="6" w:space="0" w:color="auto"/>
            </w:tcBorders>
            <w:shd w:val="clear" w:color="auto" w:fill="auto"/>
          </w:tcPr>
          <w:p w:rsidR="008928A2" w:rsidRDefault="008928A2" w:rsidP="00E37B61">
            <w:pPr>
              <w:pStyle w:val="TableColumnHeading"/>
            </w:pPr>
            <w:r>
              <w:t>NT</w:t>
            </w:r>
          </w:p>
        </w:tc>
        <w:tc>
          <w:tcPr>
            <w:tcW w:w="427" w:type="pct"/>
            <w:gridSpan w:val="2"/>
            <w:tcBorders>
              <w:top w:val="single" w:sz="6" w:space="0" w:color="auto"/>
              <w:bottom w:val="single" w:sz="6" w:space="0" w:color="auto"/>
            </w:tcBorders>
          </w:tcPr>
          <w:p w:rsidR="008928A2" w:rsidRDefault="008928A2" w:rsidP="00E37B61">
            <w:pPr>
              <w:pStyle w:val="TableColumnHeading"/>
            </w:pPr>
            <w:r>
              <w:t>Aust</w:t>
            </w:r>
          </w:p>
        </w:tc>
        <w:tc>
          <w:tcPr>
            <w:tcW w:w="735" w:type="pct"/>
            <w:gridSpan w:val="4"/>
            <w:tcBorders>
              <w:top w:val="single" w:sz="6" w:space="0" w:color="auto"/>
              <w:bottom w:val="single" w:sz="6" w:space="0" w:color="auto"/>
            </w:tcBorders>
          </w:tcPr>
          <w:p w:rsidR="008928A2" w:rsidRDefault="008928A2" w:rsidP="00E37B61">
            <w:pPr>
              <w:pStyle w:val="TableColumnHeading"/>
            </w:pPr>
            <w:r>
              <w:t>Source</w:t>
            </w:r>
          </w:p>
        </w:tc>
      </w:tr>
      <w:tr w:rsidR="009070AD" w:rsidRPr="0051549A" w:rsidTr="006B1005">
        <w:trPr>
          <w:trHeight w:val="273"/>
        </w:trPr>
        <w:tc>
          <w:tcPr>
            <w:tcW w:w="5000" w:type="pct"/>
            <w:gridSpan w:val="27"/>
            <w:shd w:val="clear" w:color="auto" w:fill="auto"/>
          </w:tcPr>
          <w:p w:rsidR="009070AD" w:rsidRPr="0051549A" w:rsidRDefault="009070AD">
            <w:pPr>
              <w:pStyle w:val="TableColumnHeading"/>
              <w:jc w:val="left"/>
              <w:rPr>
                <w:i w:val="0"/>
              </w:rPr>
            </w:pPr>
            <w:r w:rsidRPr="009070AD">
              <w:t>Self-harm and attempted suicide in custody</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97292D">
              <w:rPr>
                <w:i w:val="0"/>
                <w:sz w:val="16"/>
                <w:szCs w:val="16"/>
              </w:rPr>
              <w:t>6</w:t>
            </w:r>
            <w:r w:rsidRPr="0033586C">
              <w:rPr>
                <w:i w:val="0"/>
                <w:sz w:val="16"/>
                <w:szCs w:val="16"/>
              </w:rPr>
              <w:t>)</w:t>
            </w:r>
          </w:p>
        </w:tc>
      </w:tr>
      <w:tr w:rsidR="009070AD" w:rsidRPr="0051549A" w:rsidTr="006B1005">
        <w:trPr>
          <w:trHeight w:val="273"/>
        </w:trPr>
        <w:tc>
          <w:tcPr>
            <w:tcW w:w="5000" w:type="pct"/>
            <w:gridSpan w:val="27"/>
            <w:shd w:val="clear" w:color="auto" w:fill="auto"/>
          </w:tcPr>
          <w:p w:rsidR="009070AD" w:rsidRPr="0051549A" w:rsidRDefault="009070AD" w:rsidP="009070AD">
            <w:pPr>
              <w:pStyle w:val="TableColumnHeading"/>
              <w:jc w:val="left"/>
            </w:pPr>
            <w:r>
              <w:t xml:space="preserve">Rate of incidents of self-harm in custody requiring hospitalisation per 10 000 custody nights </w:t>
            </w:r>
          </w:p>
        </w:tc>
      </w:tr>
      <w:tr w:rsidR="003B1EA7" w:rsidTr="006B1005">
        <w:tc>
          <w:tcPr>
            <w:tcW w:w="140" w:type="pct"/>
            <w:shd w:val="clear" w:color="auto" w:fill="auto"/>
          </w:tcPr>
          <w:p w:rsidR="003B1EA7" w:rsidRPr="004E4FDF" w:rsidRDefault="003B1EA7" w:rsidP="009070AD">
            <w:pPr>
              <w:pStyle w:val="TableBodyText"/>
            </w:pPr>
            <w:r w:rsidRPr="004E4FDF">
              <w:t>%</w:t>
            </w:r>
          </w:p>
        </w:tc>
        <w:tc>
          <w:tcPr>
            <w:tcW w:w="425" w:type="pct"/>
            <w:shd w:val="clear" w:color="auto" w:fill="auto"/>
            <w:vAlign w:val="center"/>
          </w:tcPr>
          <w:p w:rsidR="003B1EA7" w:rsidRPr="004E4FDF" w:rsidRDefault="003B1EA7" w:rsidP="009070AD">
            <w:pPr>
              <w:pStyle w:val="TableBodyText"/>
              <w:rPr>
                <w:rFonts w:cs="Arial"/>
              </w:rPr>
            </w:pPr>
            <w:r>
              <w:rPr>
                <w:rFonts w:cs="Arial"/>
              </w:rPr>
              <w:t xml:space="preserve">  0.6</w:t>
            </w:r>
          </w:p>
        </w:tc>
        <w:tc>
          <w:tcPr>
            <w:tcW w:w="429" w:type="pct"/>
            <w:gridSpan w:val="2"/>
            <w:shd w:val="clear" w:color="auto" w:fill="auto"/>
            <w:vAlign w:val="center"/>
          </w:tcPr>
          <w:p w:rsidR="003B1EA7" w:rsidRPr="004E4FDF" w:rsidRDefault="003B1EA7" w:rsidP="009070AD">
            <w:pPr>
              <w:pStyle w:val="TableBodyText"/>
              <w:rPr>
                <w:rFonts w:cs="Arial"/>
              </w:rPr>
            </w:pPr>
            <w:r>
              <w:rPr>
                <w:rFonts w:cs="Arial"/>
              </w:rPr>
              <w:t>–</w:t>
            </w:r>
          </w:p>
        </w:tc>
        <w:tc>
          <w:tcPr>
            <w:tcW w:w="431" w:type="pct"/>
            <w:gridSpan w:val="3"/>
            <w:shd w:val="clear" w:color="auto" w:fill="auto"/>
            <w:vAlign w:val="center"/>
          </w:tcPr>
          <w:p w:rsidR="003B1EA7" w:rsidRPr="004E4FDF" w:rsidRDefault="003B1EA7" w:rsidP="009070AD">
            <w:pPr>
              <w:pStyle w:val="TableBodyText"/>
              <w:rPr>
                <w:rFonts w:cs="Arial"/>
              </w:rPr>
            </w:pPr>
            <w:r>
              <w:rPr>
                <w:rFonts w:cs="Arial"/>
              </w:rPr>
              <w:t>–</w:t>
            </w:r>
          </w:p>
        </w:tc>
        <w:tc>
          <w:tcPr>
            <w:tcW w:w="549" w:type="pct"/>
            <w:gridSpan w:val="5"/>
            <w:shd w:val="clear" w:color="auto" w:fill="auto"/>
            <w:vAlign w:val="center"/>
          </w:tcPr>
          <w:p w:rsidR="003B1EA7" w:rsidRPr="004E4FDF" w:rsidRDefault="003B1EA7" w:rsidP="009070AD">
            <w:pPr>
              <w:pStyle w:val="TableBodyText"/>
              <w:rPr>
                <w:rFonts w:cs="Arial"/>
              </w:rPr>
            </w:pPr>
            <w:r>
              <w:rPr>
                <w:rFonts w:cs="Arial"/>
              </w:rPr>
              <w:t>na</w:t>
            </w:r>
          </w:p>
        </w:tc>
        <w:tc>
          <w:tcPr>
            <w:tcW w:w="419" w:type="pct"/>
            <w:gridSpan w:val="3"/>
            <w:shd w:val="clear" w:color="auto" w:fill="auto"/>
            <w:vAlign w:val="center"/>
          </w:tcPr>
          <w:p w:rsidR="003B1EA7" w:rsidRPr="004E4FDF" w:rsidRDefault="003B1EA7" w:rsidP="009070AD">
            <w:pPr>
              <w:pStyle w:val="TableBodyText"/>
              <w:rPr>
                <w:rFonts w:cs="Arial"/>
              </w:rPr>
            </w:pPr>
            <w:r>
              <w:rPr>
                <w:rFonts w:cs="Arial"/>
              </w:rPr>
              <w:t>–</w:t>
            </w:r>
          </w:p>
        </w:tc>
        <w:tc>
          <w:tcPr>
            <w:tcW w:w="443" w:type="pct"/>
            <w:gridSpan w:val="2"/>
            <w:shd w:val="clear" w:color="auto" w:fill="auto"/>
            <w:vAlign w:val="center"/>
          </w:tcPr>
          <w:p w:rsidR="003B1EA7" w:rsidRPr="004E4FDF" w:rsidRDefault="003B1EA7" w:rsidP="009070AD">
            <w:pPr>
              <w:pStyle w:val="TableBodyText"/>
              <w:rPr>
                <w:rFonts w:cs="Arial"/>
              </w:rPr>
            </w:pPr>
            <w:r>
              <w:rPr>
                <w:rFonts w:cs="Arial"/>
              </w:rPr>
              <w:t>–</w:t>
            </w:r>
          </w:p>
        </w:tc>
        <w:tc>
          <w:tcPr>
            <w:tcW w:w="468" w:type="pct"/>
            <w:gridSpan w:val="2"/>
            <w:shd w:val="clear" w:color="auto" w:fill="auto"/>
            <w:vAlign w:val="center"/>
          </w:tcPr>
          <w:p w:rsidR="003B1EA7" w:rsidRPr="004E4FDF" w:rsidRDefault="003B1EA7" w:rsidP="009070AD">
            <w:pPr>
              <w:pStyle w:val="TableBodyText"/>
              <w:rPr>
                <w:rFonts w:cs="Arial"/>
              </w:rPr>
            </w:pPr>
            <w:r>
              <w:rPr>
                <w:rFonts w:cs="Arial"/>
              </w:rPr>
              <w:t>–</w:t>
            </w:r>
          </w:p>
        </w:tc>
        <w:tc>
          <w:tcPr>
            <w:tcW w:w="557" w:type="pct"/>
            <w:gridSpan w:val="2"/>
            <w:shd w:val="clear" w:color="auto" w:fill="auto"/>
            <w:vAlign w:val="center"/>
          </w:tcPr>
          <w:p w:rsidR="003B1EA7" w:rsidRPr="004E4FDF" w:rsidRDefault="003B1EA7" w:rsidP="009070AD">
            <w:pPr>
              <w:pStyle w:val="TableBodyText"/>
              <w:rPr>
                <w:rFonts w:cs="Arial"/>
              </w:rPr>
            </w:pPr>
            <w:r>
              <w:rPr>
                <w:rFonts w:cs="Arial"/>
              </w:rPr>
              <w:t xml:space="preserve">  0.6</w:t>
            </w:r>
          </w:p>
        </w:tc>
        <w:tc>
          <w:tcPr>
            <w:tcW w:w="407" w:type="pct"/>
            <w:gridSpan w:val="2"/>
            <w:vAlign w:val="center"/>
          </w:tcPr>
          <w:p w:rsidR="003B1EA7" w:rsidRPr="004E4FDF" w:rsidRDefault="003B1EA7" w:rsidP="009070AD">
            <w:pPr>
              <w:pStyle w:val="TableBodyText"/>
              <w:rPr>
                <w:rFonts w:cs="Arial"/>
              </w:rPr>
            </w:pPr>
            <w:r>
              <w:rPr>
                <w:rFonts w:cs="Arial"/>
              </w:rPr>
              <w:t>..</w:t>
            </w:r>
          </w:p>
        </w:tc>
        <w:tc>
          <w:tcPr>
            <w:tcW w:w="732" w:type="pct"/>
            <w:gridSpan w:val="4"/>
          </w:tcPr>
          <w:p w:rsidR="003B1EA7" w:rsidRPr="004E4FDF" w:rsidRDefault="003B1EA7" w:rsidP="00F7107C">
            <w:pPr>
              <w:pStyle w:val="TableBodyText"/>
            </w:pPr>
            <w:r>
              <w:t>16A.</w:t>
            </w:r>
            <w:r w:rsidR="00F7107C">
              <w:t>20</w:t>
            </w:r>
          </w:p>
        </w:tc>
      </w:tr>
      <w:tr w:rsidR="007A514E" w:rsidRPr="00AB29D6" w:rsidTr="006B1005">
        <w:trPr>
          <w:gridAfter w:val="2"/>
          <w:wAfter w:w="29" w:type="pct"/>
        </w:trPr>
        <w:tc>
          <w:tcPr>
            <w:tcW w:w="4971" w:type="pct"/>
            <w:gridSpan w:val="25"/>
            <w:shd w:val="clear" w:color="auto" w:fill="auto"/>
          </w:tcPr>
          <w:p w:rsidR="007A514E" w:rsidRPr="0051549A" w:rsidRDefault="007A514E" w:rsidP="007A514E">
            <w:pPr>
              <w:pStyle w:val="TableColumnHeading"/>
              <w:jc w:val="left"/>
            </w:pPr>
            <w:r>
              <w:t xml:space="preserve">Rate of incidents of self-harm in custody that did </w:t>
            </w:r>
            <w:r w:rsidRPr="004E4FDF">
              <w:rPr>
                <w:u w:val="single"/>
              </w:rPr>
              <w:t>not</w:t>
            </w:r>
            <w:r>
              <w:t xml:space="preserve"> require hospitalisation per 10 000 custody nights </w:t>
            </w:r>
          </w:p>
        </w:tc>
      </w:tr>
      <w:tr w:rsidR="003B1EA7" w:rsidTr="006B1005">
        <w:trPr>
          <w:gridAfter w:val="2"/>
          <w:wAfter w:w="29" w:type="pct"/>
        </w:trPr>
        <w:tc>
          <w:tcPr>
            <w:tcW w:w="140" w:type="pct"/>
            <w:shd w:val="clear" w:color="auto" w:fill="auto"/>
          </w:tcPr>
          <w:p w:rsidR="003B1EA7" w:rsidRPr="004E4FDF" w:rsidRDefault="003B1EA7" w:rsidP="007A514E">
            <w:pPr>
              <w:pStyle w:val="TableBodyText"/>
            </w:pPr>
            <w:r w:rsidRPr="004E4FDF">
              <w:t>%</w:t>
            </w:r>
          </w:p>
        </w:tc>
        <w:tc>
          <w:tcPr>
            <w:tcW w:w="425" w:type="pct"/>
            <w:shd w:val="clear" w:color="auto" w:fill="auto"/>
            <w:vAlign w:val="center"/>
          </w:tcPr>
          <w:p w:rsidR="003B1EA7" w:rsidRPr="004E4FDF" w:rsidRDefault="003B1EA7" w:rsidP="007A514E">
            <w:pPr>
              <w:pStyle w:val="TableBodyText"/>
              <w:rPr>
                <w:rFonts w:cs="Arial"/>
              </w:rPr>
            </w:pPr>
            <w:r>
              <w:rPr>
                <w:rFonts w:cs="Arial"/>
              </w:rPr>
              <w:t xml:space="preserve">  3.0</w:t>
            </w:r>
          </w:p>
        </w:tc>
        <w:tc>
          <w:tcPr>
            <w:tcW w:w="425" w:type="pct"/>
            <w:shd w:val="clear" w:color="auto" w:fill="auto"/>
            <w:vAlign w:val="center"/>
          </w:tcPr>
          <w:p w:rsidR="003B1EA7" w:rsidRPr="004E4FDF" w:rsidRDefault="003B1EA7" w:rsidP="007A514E">
            <w:pPr>
              <w:pStyle w:val="TableBodyText"/>
              <w:rPr>
                <w:rFonts w:cs="Arial"/>
              </w:rPr>
            </w:pPr>
            <w:r>
              <w:rPr>
                <w:rFonts w:cs="Arial"/>
              </w:rPr>
              <w:t xml:space="preserve">  0.8</w:t>
            </w:r>
          </w:p>
        </w:tc>
        <w:tc>
          <w:tcPr>
            <w:tcW w:w="429" w:type="pct"/>
            <w:gridSpan w:val="3"/>
            <w:shd w:val="clear" w:color="auto" w:fill="auto"/>
            <w:vAlign w:val="center"/>
          </w:tcPr>
          <w:p w:rsidR="003B1EA7" w:rsidRPr="004E4FDF" w:rsidRDefault="003B1EA7" w:rsidP="007A514E">
            <w:pPr>
              <w:pStyle w:val="TableBodyText"/>
              <w:rPr>
                <w:rFonts w:cs="Arial"/>
              </w:rPr>
            </w:pPr>
            <w:r>
              <w:rPr>
                <w:rFonts w:cs="Arial"/>
              </w:rPr>
              <w:t xml:space="preserve">  3.1</w:t>
            </w:r>
          </w:p>
        </w:tc>
        <w:tc>
          <w:tcPr>
            <w:tcW w:w="530" w:type="pct"/>
            <w:gridSpan w:val="3"/>
            <w:shd w:val="clear" w:color="auto" w:fill="auto"/>
            <w:vAlign w:val="center"/>
          </w:tcPr>
          <w:p w:rsidR="003B1EA7" w:rsidRPr="004E4FDF" w:rsidRDefault="003B1EA7" w:rsidP="007A514E">
            <w:pPr>
              <w:pStyle w:val="TableBodyText"/>
              <w:rPr>
                <w:rFonts w:cs="Arial"/>
              </w:rPr>
            </w:pPr>
            <w:r>
              <w:rPr>
                <w:rFonts w:cs="Arial"/>
              </w:rPr>
              <w:t>na</w:t>
            </w:r>
          </w:p>
        </w:tc>
        <w:tc>
          <w:tcPr>
            <w:tcW w:w="430" w:type="pct"/>
            <w:gridSpan w:val="5"/>
            <w:shd w:val="clear" w:color="auto" w:fill="auto"/>
            <w:vAlign w:val="center"/>
          </w:tcPr>
          <w:p w:rsidR="003B1EA7" w:rsidRPr="004E4FDF" w:rsidRDefault="003B1EA7" w:rsidP="007A514E">
            <w:pPr>
              <w:pStyle w:val="TableBodyText"/>
              <w:rPr>
                <w:rFonts w:cs="Arial"/>
              </w:rPr>
            </w:pPr>
            <w:r>
              <w:rPr>
                <w:rFonts w:cs="Arial"/>
              </w:rPr>
              <w:t xml:space="preserve">  11.9</w:t>
            </w:r>
          </w:p>
        </w:tc>
        <w:tc>
          <w:tcPr>
            <w:tcW w:w="425" w:type="pct"/>
            <w:gridSpan w:val="2"/>
            <w:shd w:val="clear" w:color="auto" w:fill="auto"/>
            <w:vAlign w:val="center"/>
          </w:tcPr>
          <w:p w:rsidR="003B1EA7" w:rsidRPr="004E4FDF" w:rsidRDefault="003B1EA7" w:rsidP="007A514E">
            <w:pPr>
              <w:pStyle w:val="TableBodyText"/>
              <w:rPr>
                <w:rFonts w:cs="Arial"/>
              </w:rPr>
            </w:pPr>
            <w:r>
              <w:rPr>
                <w:rFonts w:cs="Arial"/>
              </w:rPr>
              <w:t xml:space="preserve">  11.9</w:t>
            </w:r>
          </w:p>
        </w:tc>
        <w:tc>
          <w:tcPr>
            <w:tcW w:w="482" w:type="pct"/>
            <w:gridSpan w:val="2"/>
            <w:shd w:val="clear" w:color="auto" w:fill="auto"/>
            <w:vAlign w:val="center"/>
          </w:tcPr>
          <w:p w:rsidR="003B1EA7" w:rsidRPr="004E4FDF" w:rsidRDefault="003B1EA7" w:rsidP="007A514E">
            <w:pPr>
              <w:pStyle w:val="TableBodyText"/>
              <w:rPr>
                <w:rFonts w:cs="Arial"/>
              </w:rPr>
            </w:pPr>
            <w:r>
              <w:rPr>
                <w:rFonts w:cs="Arial"/>
              </w:rPr>
              <w:t xml:space="preserve">  4.6</w:t>
            </w:r>
          </w:p>
        </w:tc>
        <w:tc>
          <w:tcPr>
            <w:tcW w:w="530" w:type="pct"/>
            <w:gridSpan w:val="2"/>
            <w:shd w:val="clear" w:color="auto" w:fill="auto"/>
            <w:vAlign w:val="center"/>
          </w:tcPr>
          <w:p w:rsidR="003B1EA7" w:rsidRPr="004E4FDF" w:rsidRDefault="003B1EA7" w:rsidP="007A514E">
            <w:pPr>
              <w:pStyle w:val="TableBodyText"/>
              <w:rPr>
                <w:rFonts w:cs="Arial"/>
              </w:rPr>
            </w:pPr>
            <w:r>
              <w:rPr>
                <w:rFonts w:cs="Arial"/>
              </w:rPr>
              <w:t xml:space="preserve">  17.9</w:t>
            </w:r>
          </w:p>
        </w:tc>
        <w:tc>
          <w:tcPr>
            <w:tcW w:w="427" w:type="pct"/>
            <w:gridSpan w:val="2"/>
            <w:vAlign w:val="center"/>
          </w:tcPr>
          <w:p w:rsidR="003B1EA7" w:rsidRPr="004E4FDF" w:rsidRDefault="003B1EA7" w:rsidP="007A514E">
            <w:pPr>
              <w:pStyle w:val="TableBodyText"/>
              <w:rPr>
                <w:rFonts w:cs="Arial"/>
              </w:rPr>
            </w:pPr>
            <w:r>
              <w:rPr>
                <w:rFonts w:cs="Arial"/>
              </w:rPr>
              <w:t>..</w:t>
            </w:r>
          </w:p>
        </w:tc>
        <w:tc>
          <w:tcPr>
            <w:tcW w:w="730" w:type="pct"/>
            <w:gridSpan w:val="3"/>
          </w:tcPr>
          <w:p w:rsidR="003B1EA7" w:rsidRPr="004E4FDF" w:rsidRDefault="003B1EA7" w:rsidP="00F7107C">
            <w:pPr>
              <w:pStyle w:val="TableBodyText"/>
            </w:pPr>
            <w:r>
              <w:t>16A.</w:t>
            </w:r>
            <w:r w:rsidR="00F7107C">
              <w:t>20</w:t>
            </w:r>
          </w:p>
        </w:tc>
      </w:tr>
      <w:tr w:rsidR="00FF21D1" w:rsidRPr="0051549A" w:rsidTr="006B1005">
        <w:trPr>
          <w:gridAfter w:val="2"/>
          <w:wAfter w:w="29" w:type="pct"/>
          <w:trHeight w:val="273"/>
        </w:trPr>
        <w:tc>
          <w:tcPr>
            <w:tcW w:w="4971" w:type="pct"/>
            <w:gridSpan w:val="25"/>
            <w:shd w:val="clear" w:color="auto" w:fill="auto"/>
          </w:tcPr>
          <w:p w:rsidR="00FF21D1" w:rsidRPr="00AB29D6" w:rsidRDefault="00FF21D1" w:rsidP="00FF21D1">
            <w:pPr>
              <w:pStyle w:val="TableColumnHeading"/>
              <w:jc w:val="left"/>
              <w:rPr>
                <w:b/>
                <w:i w:val="0"/>
              </w:rPr>
            </w:pPr>
            <w:r w:rsidRPr="00AB29D6">
              <w:rPr>
                <w:b/>
                <w:i w:val="0"/>
              </w:rPr>
              <w:t xml:space="preserve">Effectiveness – </w:t>
            </w:r>
            <w:r>
              <w:rPr>
                <w:b/>
                <w:i w:val="0"/>
              </w:rPr>
              <w:t xml:space="preserve">statutory responsibilities </w:t>
            </w:r>
          </w:p>
        </w:tc>
      </w:tr>
      <w:tr w:rsidR="00FF21D1" w:rsidRPr="0051549A" w:rsidTr="006B1005">
        <w:trPr>
          <w:gridAfter w:val="2"/>
          <w:wAfter w:w="29" w:type="pct"/>
          <w:trHeight w:val="273"/>
        </w:trPr>
        <w:tc>
          <w:tcPr>
            <w:tcW w:w="4971" w:type="pct"/>
            <w:gridSpan w:val="25"/>
            <w:shd w:val="clear" w:color="auto" w:fill="auto"/>
          </w:tcPr>
          <w:p w:rsidR="00FF21D1" w:rsidRPr="0051549A" w:rsidRDefault="00FF21D1" w:rsidP="007A514E">
            <w:pPr>
              <w:pStyle w:val="TableColumnHeading"/>
              <w:jc w:val="left"/>
              <w:rPr>
                <w:i w:val="0"/>
              </w:rPr>
            </w:pPr>
            <w:r>
              <w:rPr>
                <w:i w:val="0"/>
              </w:rPr>
              <w:t>Completion of orders</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Pr>
                <w:i w:val="0"/>
                <w:sz w:val="16"/>
                <w:szCs w:val="16"/>
              </w:rPr>
              <w:t>5</w:t>
            </w:r>
            <w:r w:rsidRPr="0033586C">
              <w:rPr>
                <w:i w:val="0"/>
                <w:sz w:val="16"/>
                <w:szCs w:val="16"/>
              </w:rPr>
              <w:t>)</w:t>
            </w:r>
          </w:p>
        </w:tc>
      </w:tr>
      <w:tr w:rsidR="00FF21D1" w:rsidRPr="0051549A" w:rsidTr="006B1005">
        <w:trPr>
          <w:gridAfter w:val="2"/>
          <w:wAfter w:w="29" w:type="pct"/>
          <w:trHeight w:val="273"/>
        </w:trPr>
        <w:tc>
          <w:tcPr>
            <w:tcW w:w="4971" w:type="pct"/>
            <w:gridSpan w:val="25"/>
            <w:shd w:val="clear" w:color="auto" w:fill="auto"/>
          </w:tcPr>
          <w:p w:rsidR="00FF21D1" w:rsidRPr="0051549A" w:rsidRDefault="00FF21D1" w:rsidP="007A514E">
            <w:pPr>
              <w:pStyle w:val="TableColumnHeading"/>
              <w:jc w:val="left"/>
            </w:pPr>
            <w:r>
              <w:t>Proportion of community-based orders successfully completed</w:t>
            </w:r>
          </w:p>
        </w:tc>
      </w:tr>
      <w:tr w:rsidR="003B1EA7" w:rsidTr="006B1005">
        <w:trPr>
          <w:gridAfter w:val="2"/>
          <w:wAfter w:w="29" w:type="pct"/>
        </w:trPr>
        <w:tc>
          <w:tcPr>
            <w:tcW w:w="140" w:type="pct"/>
            <w:shd w:val="clear" w:color="auto" w:fill="auto"/>
          </w:tcPr>
          <w:p w:rsidR="003B1EA7" w:rsidRPr="004E4FDF" w:rsidRDefault="003B1EA7" w:rsidP="007A514E">
            <w:pPr>
              <w:pStyle w:val="TableBodyText"/>
            </w:pPr>
            <w:r w:rsidRPr="004E4FDF">
              <w:t>%</w:t>
            </w:r>
          </w:p>
        </w:tc>
        <w:tc>
          <w:tcPr>
            <w:tcW w:w="425" w:type="pct"/>
            <w:shd w:val="clear" w:color="auto" w:fill="auto"/>
            <w:vAlign w:val="center"/>
          </w:tcPr>
          <w:p w:rsidR="003B1EA7" w:rsidRPr="004E4FDF" w:rsidRDefault="003B1EA7" w:rsidP="007A514E">
            <w:pPr>
              <w:pStyle w:val="TableBodyText"/>
              <w:rPr>
                <w:rFonts w:cs="Arial"/>
              </w:rPr>
            </w:pPr>
            <w:r>
              <w:rPr>
                <w:rFonts w:cs="Arial"/>
              </w:rPr>
              <w:t xml:space="preserve">  84.7</w:t>
            </w:r>
          </w:p>
        </w:tc>
        <w:tc>
          <w:tcPr>
            <w:tcW w:w="425" w:type="pct"/>
            <w:shd w:val="clear" w:color="auto" w:fill="auto"/>
            <w:vAlign w:val="center"/>
          </w:tcPr>
          <w:p w:rsidR="003B1EA7" w:rsidRPr="004E4FDF" w:rsidRDefault="003B1EA7" w:rsidP="007A514E">
            <w:pPr>
              <w:pStyle w:val="TableBodyText"/>
              <w:rPr>
                <w:rFonts w:cs="Arial"/>
              </w:rPr>
            </w:pPr>
            <w:r>
              <w:rPr>
                <w:rFonts w:cs="Arial"/>
              </w:rPr>
              <w:t xml:space="preserve">  90.6</w:t>
            </w:r>
          </w:p>
        </w:tc>
        <w:tc>
          <w:tcPr>
            <w:tcW w:w="425" w:type="pct"/>
            <w:gridSpan w:val="2"/>
            <w:shd w:val="clear" w:color="auto" w:fill="auto"/>
            <w:vAlign w:val="center"/>
          </w:tcPr>
          <w:p w:rsidR="003B1EA7" w:rsidRPr="004E4FDF" w:rsidRDefault="003B1EA7" w:rsidP="007A514E">
            <w:pPr>
              <w:pStyle w:val="TableBodyText"/>
              <w:rPr>
                <w:rFonts w:cs="Arial"/>
              </w:rPr>
            </w:pPr>
            <w:r>
              <w:rPr>
                <w:rFonts w:cs="Arial"/>
              </w:rPr>
              <w:t xml:space="preserve">  77.3</w:t>
            </w:r>
          </w:p>
        </w:tc>
        <w:tc>
          <w:tcPr>
            <w:tcW w:w="539" w:type="pct"/>
            <w:gridSpan w:val="5"/>
            <w:shd w:val="clear" w:color="auto" w:fill="auto"/>
            <w:vAlign w:val="center"/>
          </w:tcPr>
          <w:p w:rsidR="003B1EA7" w:rsidRPr="004E4FDF" w:rsidRDefault="003B1EA7" w:rsidP="007A514E">
            <w:pPr>
              <w:pStyle w:val="TableBodyText"/>
              <w:rPr>
                <w:rFonts w:cs="Arial"/>
              </w:rPr>
            </w:pPr>
            <w:r>
              <w:rPr>
                <w:rFonts w:cs="Arial"/>
              </w:rPr>
              <w:t xml:space="preserve">  63.4</w:t>
            </w:r>
          </w:p>
        </w:tc>
        <w:tc>
          <w:tcPr>
            <w:tcW w:w="425" w:type="pct"/>
            <w:gridSpan w:val="4"/>
            <w:shd w:val="clear" w:color="auto" w:fill="auto"/>
            <w:vAlign w:val="center"/>
          </w:tcPr>
          <w:p w:rsidR="003B1EA7" w:rsidRPr="004E4FDF" w:rsidRDefault="003B1EA7" w:rsidP="007A514E">
            <w:pPr>
              <w:pStyle w:val="TableBodyText"/>
              <w:rPr>
                <w:rFonts w:cs="Arial"/>
              </w:rPr>
            </w:pPr>
            <w:r>
              <w:rPr>
                <w:rFonts w:cs="Arial"/>
              </w:rPr>
              <w:t xml:space="preserve">  85.6</w:t>
            </w:r>
          </w:p>
        </w:tc>
        <w:tc>
          <w:tcPr>
            <w:tcW w:w="425" w:type="pct"/>
            <w:gridSpan w:val="2"/>
            <w:shd w:val="clear" w:color="auto" w:fill="auto"/>
            <w:vAlign w:val="center"/>
          </w:tcPr>
          <w:p w:rsidR="003B1EA7" w:rsidRPr="004E4FDF" w:rsidRDefault="003B1EA7" w:rsidP="007A514E">
            <w:pPr>
              <w:pStyle w:val="TableBodyText"/>
              <w:rPr>
                <w:rFonts w:cs="Arial"/>
              </w:rPr>
            </w:pPr>
            <w:r>
              <w:rPr>
                <w:rFonts w:cs="Arial"/>
              </w:rPr>
              <w:t xml:space="preserve">  92.8</w:t>
            </w:r>
          </w:p>
        </w:tc>
        <w:tc>
          <w:tcPr>
            <w:tcW w:w="482" w:type="pct"/>
            <w:gridSpan w:val="2"/>
            <w:shd w:val="clear" w:color="auto" w:fill="auto"/>
            <w:vAlign w:val="center"/>
          </w:tcPr>
          <w:p w:rsidR="003B1EA7" w:rsidRPr="004E4FDF" w:rsidRDefault="003B1EA7" w:rsidP="007A514E">
            <w:pPr>
              <w:pStyle w:val="TableBodyText"/>
              <w:rPr>
                <w:rFonts w:cs="Arial"/>
              </w:rPr>
            </w:pPr>
            <w:r>
              <w:rPr>
                <w:rFonts w:cs="Arial"/>
              </w:rPr>
              <w:t>na</w:t>
            </w:r>
          </w:p>
        </w:tc>
        <w:tc>
          <w:tcPr>
            <w:tcW w:w="530" w:type="pct"/>
            <w:gridSpan w:val="2"/>
            <w:shd w:val="clear" w:color="auto" w:fill="auto"/>
            <w:vAlign w:val="center"/>
          </w:tcPr>
          <w:p w:rsidR="003B1EA7" w:rsidRPr="004E4FDF" w:rsidRDefault="003B1EA7" w:rsidP="007A514E">
            <w:pPr>
              <w:pStyle w:val="TableBodyText"/>
              <w:rPr>
                <w:rFonts w:cs="Arial"/>
              </w:rPr>
            </w:pPr>
            <w:r>
              <w:rPr>
                <w:rFonts w:cs="Arial"/>
              </w:rPr>
              <w:t xml:space="preserve">  54.0</w:t>
            </w:r>
          </w:p>
        </w:tc>
        <w:tc>
          <w:tcPr>
            <w:tcW w:w="427" w:type="pct"/>
            <w:gridSpan w:val="2"/>
            <w:vAlign w:val="center"/>
          </w:tcPr>
          <w:p w:rsidR="003B1EA7" w:rsidRPr="004E4FDF" w:rsidRDefault="003B1EA7" w:rsidP="007A514E">
            <w:pPr>
              <w:pStyle w:val="TableBodyText"/>
              <w:rPr>
                <w:rFonts w:cs="Arial"/>
              </w:rPr>
            </w:pPr>
            <w:r>
              <w:rPr>
                <w:rFonts w:cs="Arial"/>
              </w:rPr>
              <w:t xml:space="preserve">  80.0</w:t>
            </w:r>
          </w:p>
        </w:tc>
        <w:tc>
          <w:tcPr>
            <w:tcW w:w="730" w:type="pct"/>
            <w:gridSpan w:val="3"/>
          </w:tcPr>
          <w:p w:rsidR="003B1EA7" w:rsidRPr="004E4FDF" w:rsidRDefault="003B1EA7" w:rsidP="00F7107C">
            <w:pPr>
              <w:pStyle w:val="TableBodyText"/>
            </w:pPr>
            <w:r>
              <w:t>16A.</w:t>
            </w:r>
            <w:r w:rsidR="00F7107C">
              <w:t>21</w:t>
            </w:r>
          </w:p>
        </w:tc>
      </w:tr>
      <w:tr w:rsidR="00FF21D1" w:rsidTr="006B1005">
        <w:trPr>
          <w:gridAfter w:val="2"/>
          <w:wAfter w:w="29" w:type="pct"/>
        </w:trPr>
        <w:tc>
          <w:tcPr>
            <w:tcW w:w="4971" w:type="pct"/>
            <w:gridSpan w:val="25"/>
            <w:shd w:val="clear" w:color="auto" w:fill="auto"/>
          </w:tcPr>
          <w:p w:rsidR="00FF21D1" w:rsidRDefault="00FF21D1" w:rsidP="006B1005">
            <w:pPr>
              <w:pStyle w:val="TableColumnHeading"/>
              <w:jc w:val="left"/>
              <w:rPr>
                <w:i w:val="0"/>
              </w:rPr>
            </w:pPr>
            <w:r>
              <w:rPr>
                <w:i w:val="0"/>
              </w:rPr>
              <w:t>Case plans prepared</w:t>
            </w:r>
            <w:r>
              <w:rPr>
                <w:i w:val="0"/>
              </w:rPr>
              <w:br/>
            </w:r>
            <w:r w:rsidRPr="0033586C">
              <w:rPr>
                <w:i w:val="0"/>
                <w:sz w:val="16"/>
                <w:szCs w:val="16"/>
              </w:rPr>
              <w:t xml:space="preserve">Data for this indicator are </w:t>
            </w:r>
            <w:r>
              <w:rPr>
                <w:i w:val="0"/>
                <w:sz w:val="16"/>
                <w:szCs w:val="16"/>
              </w:rPr>
              <w:t>not complete or not directly comparable</w:t>
            </w:r>
            <w:r w:rsidRPr="0033586C">
              <w:rPr>
                <w:i w:val="0"/>
                <w:sz w:val="16"/>
                <w:szCs w:val="16"/>
              </w:rPr>
              <w:t xml:space="preserve"> (chapter 1</w:t>
            </w:r>
            <w:r w:rsidR="0097292D">
              <w:rPr>
                <w:i w:val="0"/>
                <w:sz w:val="16"/>
                <w:szCs w:val="16"/>
              </w:rPr>
              <w:t>6</w:t>
            </w:r>
            <w:r w:rsidRPr="0033586C">
              <w:rPr>
                <w:i w:val="0"/>
                <w:sz w:val="16"/>
                <w:szCs w:val="16"/>
              </w:rPr>
              <w:t>)</w:t>
            </w:r>
          </w:p>
        </w:tc>
      </w:tr>
      <w:tr w:rsidR="00FF21D1" w:rsidRPr="0051549A" w:rsidTr="006B1005">
        <w:trPr>
          <w:gridAfter w:val="2"/>
          <w:wAfter w:w="29" w:type="pct"/>
        </w:trPr>
        <w:tc>
          <w:tcPr>
            <w:tcW w:w="4971" w:type="pct"/>
            <w:gridSpan w:val="25"/>
            <w:shd w:val="clear" w:color="auto" w:fill="auto"/>
          </w:tcPr>
          <w:p w:rsidR="00FF21D1" w:rsidRPr="00AB29D6" w:rsidRDefault="00FF21D1" w:rsidP="007A514E">
            <w:pPr>
              <w:pStyle w:val="TableColumnHeading"/>
              <w:jc w:val="left"/>
            </w:pPr>
            <w:r w:rsidRPr="00AB29D6">
              <w:t>Proportio</w:t>
            </w:r>
            <w:r>
              <w:t>n of case plans prepared or reviewed within 6 weeks of commencing a sentenced detention order</w:t>
            </w:r>
          </w:p>
        </w:tc>
      </w:tr>
      <w:tr w:rsidR="003B1EA7" w:rsidTr="006B1005">
        <w:trPr>
          <w:gridAfter w:val="2"/>
          <w:wAfter w:w="29" w:type="pct"/>
        </w:trPr>
        <w:tc>
          <w:tcPr>
            <w:tcW w:w="140" w:type="pct"/>
            <w:shd w:val="clear" w:color="auto" w:fill="auto"/>
          </w:tcPr>
          <w:p w:rsidR="003B1EA7" w:rsidRPr="004E4FDF" w:rsidRDefault="003B1EA7" w:rsidP="007A514E">
            <w:pPr>
              <w:pStyle w:val="TableBodyText"/>
            </w:pPr>
            <w:r w:rsidRPr="004E4FDF">
              <w:t>%</w:t>
            </w:r>
          </w:p>
        </w:tc>
        <w:tc>
          <w:tcPr>
            <w:tcW w:w="425" w:type="pct"/>
            <w:shd w:val="clear" w:color="auto" w:fill="auto"/>
            <w:vAlign w:val="center"/>
          </w:tcPr>
          <w:p w:rsidR="003B1EA7" w:rsidRPr="004E4FDF" w:rsidRDefault="00F7107C" w:rsidP="007A514E">
            <w:pPr>
              <w:pStyle w:val="TableBodyText"/>
              <w:rPr>
                <w:rFonts w:cs="Arial"/>
              </w:rPr>
            </w:pPr>
            <w:r>
              <w:rPr>
                <w:rFonts w:cs="Arial"/>
              </w:rPr>
              <w:t>100.0</w:t>
            </w:r>
          </w:p>
        </w:tc>
        <w:tc>
          <w:tcPr>
            <w:tcW w:w="425" w:type="pct"/>
            <w:shd w:val="clear" w:color="auto" w:fill="auto"/>
            <w:vAlign w:val="center"/>
          </w:tcPr>
          <w:p w:rsidR="003B1EA7" w:rsidRPr="004E4FDF" w:rsidRDefault="003B1EA7" w:rsidP="007A514E">
            <w:pPr>
              <w:pStyle w:val="TableBodyText"/>
              <w:rPr>
                <w:rFonts w:cs="Arial"/>
              </w:rPr>
            </w:pPr>
            <w:r>
              <w:rPr>
                <w:rFonts w:cs="Arial"/>
              </w:rPr>
              <w:t xml:space="preserve">  99.0</w:t>
            </w:r>
          </w:p>
        </w:tc>
        <w:tc>
          <w:tcPr>
            <w:tcW w:w="429" w:type="pct"/>
            <w:gridSpan w:val="3"/>
            <w:shd w:val="clear" w:color="auto" w:fill="auto"/>
            <w:vAlign w:val="center"/>
          </w:tcPr>
          <w:p w:rsidR="003B1EA7" w:rsidRPr="004E4FDF" w:rsidRDefault="003B1EA7" w:rsidP="007A514E">
            <w:pPr>
              <w:pStyle w:val="TableBodyText"/>
              <w:rPr>
                <w:rFonts w:cs="Arial"/>
              </w:rPr>
            </w:pPr>
            <w:r>
              <w:rPr>
                <w:rFonts w:cs="Arial"/>
              </w:rPr>
              <w:t xml:space="preserve">  81.6</w:t>
            </w:r>
          </w:p>
        </w:tc>
        <w:tc>
          <w:tcPr>
            <w:tcW w:w="530" w:type="pct"/>
            <w:gridSpan w:val="3"/>
            <w:shd w:val="clear" w:color="auto" w:fill="auto"/>
            <w:vAlign w:val="center"/>
          </w:tcPr>
          <w:p w:rsidR="003B1EA7" w:rsidRPr="004E4FDF" w:rsidRDefault="003B1EA7" w:rsidP="007A514E">
            <w:pPr>
              <w:pStyle w:val="TableBodyText"/>
              <w:rPr>
                <w:rFonts w:cs="Arial"/>
              </w:rPr>
            </w:pPr>
            <w:r>
              <w:rPr>
                <w:rFonts w:cs="Arial"/>
              </w:rPr>
              <w:t xml:space="preserve">  100.0</w:t>
            </w:r>
          </w:p>
        </w:tc>
        <w:tc>
          <w:tcPr>
            <w:tcW w:w="430" w:type="pct"/>
            <w:gridSpan w:val="5"/>
            <w:shd w:val="clear" w:color="auto" w:fill="auto"/>
            <w:vAlign w:val="center"/>
          </w:tcPr>
          <w:p w:rsidR="003B1EA7" w:rsidRPr="004E4FDF" w:rsidRDefault="003B1EA7" w:rsidP="007A514E">
            <w:pPr>
              <w:pStyle w:val="TableBodyText"/>
              <w:rPr>
                <w:rFonts w:cs="Arial"/>
              </w:rPr>
            </w:pPr>
            <w:r>
              <w:rPr>
                <w:rFonts w:cs="Arial"/>
              </w:rPr>
              <w:t>na</w:t>
            </w:r>
          </w:p>
        </w:tc>
        <w:tc>
          <w:tcPr>
            <w:tcW w:w="425" w:type="pct"/>
            <w:gridSpan w:val="2"/>
            <w:shd w:val="clear" w:color="auto" w:fill="auto"/>
            <w:vAlign w:val="center"/>
          </w:tcPr>
          <w:p w:rsidR="003B1EA7" w:rsidRPr="004E4FDF" w:rsidRDefault="003B1EA7" w:rsidP="007A514E">
            <w:pPr>
              <w:pStyle w:val="TableBodyText"/>
              <w:rPr>
                <w:rFonts w:cs="Arial"/>
              </w:rPr>
            </w:pPr>
            <w:r>
              <w:rPr>
                <w:rFonts w:cs="Arial"/>
              </w:rPr>
              <w:t>na</w:t>
            </w:r>
          </w:p>
        </w:tc>
        <w:tc>
          <w:tcPr>
            <w:tcW w:w="482" w:type="pct"/>
            <w:gridSpan w:val="2"/>
            <w:shd w:val="clear" w:color="auto" w:fill="auto"/>
            <w:vAlign w:val="center"/>
          </w:tcPr>
          <w:p w:rsidR="003B1EA7" w:rsidRPr="004E4FDF" w:rsidRDefault="003B1EA7" w:rsidP="007A514E">
            <w:pPr>
              <w:pStyle w:val="TableBodyText"/>
              <w:rPr>
                <w:rFonts w:cs="Arial"/>
              </w:rPr>
            </w:pPr>
            <w:r>
              <w:rPr>
                <w:rFonts w:cs="Arial"/>
              </w:rPr>
              <w:t xml:space="preserve">  83.3</w:t>
            </w:r>
          </w:p>
        </w:tc>
        <w:tc>
          <w:tcPr>
            <w:tcW w:w="530" w:type="pct"/>
            <w:gridSpan w:val="2"/>
            <w:shd w:val="clear" w:color="auto" w:fill="auto"/>
            <w:vAlign w:val="center"/>
          </w:tcPr>
          <w:p w:rsidR="003B1EA7" w:rsidRPr="004E4FDF" w:rsidRDefault="003B1EA7" w:rsidP="007A514E">
            <w:pPr>
              <w:pStyle w:val="TableBodyText"/>
              <w:rPr>
                <w:rFonts w:cs="Arial"/>
              </w:rPr>
            </w:pPr>
            <w:r>
              <w:rPr>
                <w:rFonts w:cs="Arial"/>
              </w:rPr>
              <w:t xml:space="preserve">  100.0</w:t>
            </w:r>
          </w:p>
        </w:tc>
        <w:tc>
          <w:tcPr>
            <w:tcW w:w="427" w:type="pct"/>
            <w:gridSpan w:val="2"/>
            <w:vAlign w:val="center"/>
          </w:tcPr>
          <w:p w:rsidR="003B1EA7" w:rsidRPr="004E4FDF" w:rsidRDefault="003B1EA7" w:rsidP="00F7107C">
            <w:pPr>
              <w:pStyle w:val="TableBodyText"/>
              <w:rPr>
                <w:rFonts w:cs="Arial"/>
              </w:rPr>
            </w:pPr>
            <w:r>
              <w:rPr>
                <w:rFonts w:cs="Arial"/>
              </w:rPr>
              <w:t xml:space="preserve">  </w:t>
            </w:r>
            <w:r w:rsidR="00F7107C">
              <w:rPr>
                <w:rFonts w:cs="Arial"/>
              </w:rPr>
              <w:t>97.8</w:t>
            </w:r>
          </w:p>
        </w:tc>
        <w:tc>
          <w:tcPr>
            <w:tcW w:w="730" w:type="pct"/>
            <w:gridSpan w:val="3"/>
          </w:tcPr>
          <w:p w:rsidR="003B1EA7" w:rsidRPr="004E4FDF" w:rsidRDefault="003B1EA7" w:rsidP="00F7107C">
            <w:pPr>
              <w:pStyle w:val="TableBodyText"/>
            </w:pPr>
            <w:r>
              <w:t>16A.</w:t>
            </w:r>
            <w:r w:rsidR="00F7107C">
              <w:t>22</w:t>
            </w:r>
          </w:p>
        </w:tc>
      </w:tr>
      <w:tr w:rsidR="00FF21D1" w:rsidTr="006B1005">
        <w:trPr>
          <w:gridAfter w:val="2"/>
          <w:wAfter w:w="29" w:type="pct"/>
        </w:trPr>
        <w:tc>
          <w:tcPr>
            <w:tcW w:w="4971" w:type="pct"/>
            <w:gridSpan w:val="25"/>
            <w:shd w:val="clear" w:color="auto" w:fill="auto"/>
          </w:tcPr>
          <w:p w:rsidR="00FF21D1" w:rsidRPr="00AB29D6" w:rsidRDefault="00FF21D1" w:rsidP="007A514E">
            <w:pPr>
              <w:pStyle w:val="TableColumnHeading"/>
              <w:jc w:val="left"/>
            </w:pPr>
            <w:r w:rsidRPr="00AB29D6">
              <w:t>Proportio</w:t>
            </w:r>
            <w:r>
              <w:t>n of case plans prepared or reviewed within 6 weeks of commencing a sentenced community-based order</w:t>
            </w:r>
          </w:p>
        </w:tc>
      </w:tr>
      <w:tr w:rsidR="003B1EA7" w:rsidTr="006B1005">
        <w:trPr>
          <w:gridAfter w:val="1"/>
          <w:wAfter w:w="24" w:type="pct"/>
        </w:trPr>
        <w:tc>
          <w:tcPr>
            <w:tcW w:w="140" w:type="pct"/>
            <w:shd w:val="clear" w:color="auto" w:fill="auto"/>
          </w:tcPr>
          <w:p w:rsidR="003B1EA7" w:rsidRPr="004E4FDF" w:rsidRDefault="003B1EA7" w:rsidP="007A514E">
            <w:pPr>
              <w:pStyle w:val="TableBodyText"/>
            </w:pPr>
            <w:r w:rsidRPr="004E4FDF">
              <w:t>%</w:t>
            </w:r>
          </w:p>
        </w:tc>
        <w:tc>
          <w:tcPr>
            <w:tcW w:w="425" w:type="pct"/>
            <w:vAlign w:val="center"/>
          </w:tcPr>
          <w:p w:rsidR="003B1EA7" w:rsidRPr="004E4FDF" w:rsidRDefault="00F7107C" w:rsidP="007A514E">
            <w:pPr>
              <w:pStyle w:val="TableBodyText"/>
              <w:rPr>
                <w:rFonts w:cs="Arial"/>
              </w:rPr>
            </w:pPr>
            <w:r>
              <w:rPr>
                <w:rFonts w:cs="Arial"/>
              </w:rPr>
              <w:t>97.4</w:t>
            </w:r>
          </w:p>
        </w:tc>
        <w:tc>
          <w:tcPr>
            <w:tcW w:w="425" w:type="pct"/>
            <w:vAlign w:val="center"/>
          </w:tcPr>
          <w:p w:rsidR="003B1EA7" w:rsidRPr="004E4FDF" w:rsidRDefault="003B1EA7" w:rsidP="007A514E">
            <w:pPr>
              <w:pStyle w:val="TableBodyText"/>
              <w:rPr>
                <w:rFonts w:cs="Arial"/>
              </w:rPr>
            </w:pPr>
            <w:r>
              <w:rPr>
                <w:rFonts w:cs="Arial"/>
              </w:rPr>
              <w:t xml:space="preserve">  95.8</w:t>
            </w:r>
          </w:p>
        </w:tc>
        <w:tc>
          <w:tcPr>
            <w:tcW w:w="425" w:type="pct"/>
            <w:gridSpan w:val="2"/>
            <w:vAlign w:val="center"/>
          </w:tcPr>
          <w:p w:rsidR="003B1EA7" w:rsidRPr="004E4FDF" w:rsidRDefault="003B1EA7" w:rsidP="007A514E">
            <w:pPr>
              <w:pStyle w:val="TableBodyText"/>
              <w:rPr>
                <w:rFonts w:cs="Arial"/>
              </w:rPr>
            </w:pPr>
            <w:r>
              <w:rPr>
                <w:rFonts w:cs="Arial"/>
              </w:rPr>
              <w:t xml:space="preserve">  85.7</w:t>
            </w:r>
          </w:p>
        </w:tc>
        <w:tc>
          <w:tcPr>
            <w:tcW w:w="490" w:type="pct"/>
            <w:gridSpan w:val="3"/>
            <w:vAlign w:val="center"/>
          </w:tcPr>
          <w:p w:rsidR="003B1EA7" w:rsidRPr="004E4FDF" w:rsidRDefault="003B1EA7" w:rsidP="007A514E">
            <w:pPr>
              <w:pStyle w:val="TableBodyText"/>
              <w:rPr>
                <w:rFonts w:cs="Arial"/>
              </w:rPr>
            </w:pPr>
            <w:r>
              <w:rPr>
                <w:rFonts w:cs="Arial"/>
              </w:rPr>
              <w:t xml:space="preserve">  66.1</w:t>
            </w:r>
          </w:p>
        </w:tc>
        <w:tc>
          <w:tcPr>
            <w:tcW w:w="415" w:type="pct"/>
            <w:gridSpan w:val="5"/>
            <w:vAlign w:val="center"/>
          </w:tcPr>
          <w:p w:rsidR="003B1EA7" w:rsidRPr="004E4FDF" w:rsidRDefault="003B1EA7" w:rsidP="007A514E">
            <w:pPr>
              <w:pStyle w:val="TableBodyText"/>
              <w:rPr>
                <w:rFonts w:cs="Arial"/>
              </w:rPr>
            </w:pPr>
            <w:r>
              <w:rPr>
                <w:rFonts w:cs="Arial"/>
              </w:rPr>
              <w:t>na</w:t>
            </w:r>
          </w:p>
        </w:tc>
        <w:tc>
          <w:tcPr>
            <w:tcW w:w="487" w:type="pct"/>
            <w:gridSpan w:val="3"/>
            <w:vAlign w:val="center"/>
          </w:tcPr>
          <w:p w:rsidR="003B1EA7" w:rsidRPr="004E4FDF" w:rsidRDefault="003B1EA7" w:rsidP="007A514E">
            <w:pPr>
              <w:pStyle w:val="TableBodyText"/>
              <w:rPr>
                <w:rFonts w:cs="Arial"/>
              </w:rPr>
            </w:pPr>
            <w:r>
              <w:rPr>
                <w:rFonts w:cs="Arial"/>
              </w:rPr>
              <w:t>na</w:t>
            </w:r>
          </w:p>
        </w:tc>
        <w:tc>
          <w:tcPr>
            <w:tcW w:w="478" w:type="pct"/>
            <w:gridSpan w:val="2"/>
            <w:vAlign w:val="center"/>
          </w:tcPr>
          <w:p w:rsidR="003B1EA7" w:rsidRPr="004E4FDF" w:rsidRDefault="003B1EA7" w:rsidP="007A514E">
            <w:pPr>
              <w:pStyle w:val="TableBodyText"/>
              <w:rPr>
                <w:rFonts w:cs="Arial"/>
              </w:rPr>
            </w:pPr>
            <w:r>
              <w:rPr>
                <w:rFonts w:cs="Arial"/>
              </w:rPr>
              <w:t xml:space="preserve">  100.0</w:t>
            </w:r>
          </w:p>
        </w:tc>
        <w:tc>
          <w:tcPr>
            <w:tcW w:w="530" w:type="pct"/>
            <w:gridSpan w:val="2"/>
            <w:vAlign w:val="center"/>
          </w:tcPr>
          <w:p w:rsidR="003B1EA7" w:rsidRPr="004E4FDF" w:rsidRDefault="003B1EA7" w:rsidP="007A514E">
            <w:pPr>
              <w:pStyle w:val="TableBodyText"/>
              <w:rPr>
                <w:rFonts w:cs="Arial"/>
              </w:rPr>
            </w:pPr>
            <w:r>
              <w:rPr>
                <w:rFonts w:cs="Arial"/>
              </w:rPr>
              <w:t xml:space="preserve">  25.2</w:t>
            </w:r>
          </w:p>
        </w:tc>
        <w:tc>
          <w:tcPr>
            <w:tcW w:w="449" w:type="pct"/>
            <w:gridSpan w:val="3"/>
            <w:vAlign w:val="center"/>
          </w:tcPr>
          <w:p w:rsidR="003B1EA7" w:rsidRPr="004E4FDF" w:rsidRDefault="00F7107C" w:rsidP="007A514E">
            <w:pPr>
              <w:pStyle w:val="TableBodyText"/>
            </w:pPr>
            <w:r>
              <w:rPr>
                <w:rFonts w:cs="Arial"/>
              </w:rPr>
              <w:t>82.8</w:t>
            </w:r>
          </w:p>
        </w:tc>
        <w:tc>
          <w:tcPr>
            <w:tcW w:w="712" w:type="pct"/>
            <w:gridSpan w:val="3"/>
          </w:tcPr>
          <w:p w:rsidR="003B1EA7" w:rsidRPr="004E4FDF" w:rsidRDefault="003B1EA7" w:rsidP="00F7107C">
            <w:pPr>
              <w:pStyle w:val="TableBodyText"/>
            </w:pPr>
            <w:r>
              <w:t>16A.</w:t>
            </w:r>
            <w:r w:rsidR="00F7107C">
              <w:t>22</w:t>
            </w:r>
          </w:p>
        </w:tc>
      </w:tr>
      <w:tr w:rsidR="00FF21D1" w:rsidTr="006B1005">
        <w:trPr>
          <w:gridAfter w:val="3"/>
          <w:wAfter w:w="47" w:type="pct"/>
        </w:trPr>
        <w:tc>
          <w:tcPr>
            <w:tcW w:w="4953" w:type="pct"/>
            <w:gridSpan w:val="24"/>
            <w:shd w:val="clear" w:color="auto" w:fill="auto"/>
          </w:tcPr>
          <w:p w:rsidR="00FF21D1" w:rsidRDefault="00FF21D1" w:rsidP="007A514E">
            <w:pPr>
              <w:pStyle w:val="TableColumnHeading"/>
              <w:jc w:val="left"/>
              <w:rPr>
                <w:i w:val="0"/>
              </w:rPr>
            </w:pPr>
            <w:r w:rsidRPr="00B667F6">
              <w:rPr>
                <w:b/>
                <w:i w:val="0"/>
              </w:rPr>
              <w:t>E</w:t>
            </w:r>
            <w:r>
              <w:rPr>
                <w:b/>
                <w:i w:val="0"/>
              </w:rPr>
              <w:t xml:space="preserve">fficiency </w:t>
            </w:r>
            <w:r w:rsidRPr="00B667F6">
              <w:rPr>
                <w:b/>
                <w:i w:val="0"/>
              </w:rPr>
              <w:t>indicators</w:t>
            </w:r>
          </w:p>
        </w:tc>
      </w:tr>
      <w:tr w:rsidR="00FF21D1" w:rsidRPr="0051549A" w:rsidTr="006B1005">
        <w:trPr>
          <w:gridAfter w:val="3"/>
          <w:wAfter w:w="47" w:type="pct"/>
        </w:trPr>
        <w:tc>
          <w:tcPr>
            <w:tcW w:w="4953" w:type="pct"/>
            <w:gridSpan w:val="24"/>
            <w:shd w:val="clear" w:color="auto" w:fill="auto"/>
          </w:tcPr>
          <w:p w:rsidR="00FF21D1" w:rsidRPr="0051549A" w:rsidRDefault="00FF21D1" w:rsidP="006B1005">
            <w:pPr>
              <w:pStyle w:val="TableColumnHeading"/>
              <w:jc w:val="left"/>
              <w:rPr>
                <w:i w:val="0"/>
              </w:rPr>
            </w:pPr>
            <w:r>
              <w:rPr>
                <w:i w:val="0"/>
              </w:rPr>
              <w:t>Centre utilisation</w:t>
            </w:r>
            <w:r>
              <w:t xml:space="preserve"> </w:t>
            </w:r>
            <w:r>
              <w:br/>
            </w:r>
            <w:r w:rsidRPr="0033586C">
              <w:rPr>
                <w:i w:val="0"/>
                <w:sz w:val="16"/>
                <w:szCs w:val="16"/>
              </w:rPr>
              <w:t>Data for this indicator are comparable, subject to caveats (chapter 1</w:t>
            </w:r>
            <w:r w:rsidR="0097292D">
              <w:rPr>
                <w:i w:val="0"/>
                <w:sz w:val="16"/>
                <w:szCs w:val="16"/>
              </w:rPr>
              <w:t>6</w:t>
            </w:r>
            <w:r w:rsidRPr="0033586C">
              <w:rPr>
                <w:i w:val="0"/>
                <w:sz w:val="16"/>
                <w:szCs w:val="16"/>
              </w:rPr>
              <w:t>)</w:t>
            </w:r>
          </w:p>
        </w:tc>
      </w:tr>
      <w:tr w:rsidR="003B1EA7" w:rsidTr="006B1005">
        <w:trPr>
          <w:gridAfter w:val="3"/>
          <w:wAfter w:w="47" w:type="pct"/>
        </w:trPr>
        <w:tc>
          <w:tcPr>
            <w:tcW w:w="140" w:type="pct"/>
            <w:tcBorders>
              <w:bottom w:val="single" w:sz="4" w:space="0" w:color="auto"/>
            </w:tcBorders>
            <w:shd w:val="clear" w:color="auto" w:fill="auto"/>
          </w:tcPr>
          <w:p w:rsidR="003B1EA7" w:rsidRPr="004E4FDF" w:rsidRDefault="003B1EA7" w:rsidP="007A514E">
            <w:pPr>
              <w:pStyle w:val="TableBodyText"/>
            </w:pPr>
            <w:r w:rsidRPr="004E4FDF">
              <w:t>%</w:t>
            </w:r>
          </w:p>
        </w:tc>
        <w:tc>
          <w:tcPr>
            <w:tcW w:w="425" w:type="pct"/>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75.0</w:t>
            </w:r>
          </w:p>
        </w:tc>
        <w:tc>
          <w:tcPr>
            <w:tcW w:w="425" w:type="pct"/>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78.5</w:t>
            </w:r>
          </w:p>
        </w:tc>
        <w:tc>
          <w:tcPr>
            <w:tcW w:w="429" w:type="pct"/>
            <w:gridSpan w:val="3"/>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90.2</w:t>
            </w:r>
          </w:p>
        </w:tc>
        <w:tc>
          <w:tcPr>
            <w:tcW w:w="530" w:type="pct"/>
            <w:gridSpan w:val="3"/>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95.4</w:t>
            </w:r>
          </w:p>
        </w:tc>
        <w:tc>
          <w:tcPr>
            <w:tcW w:w="430" w:type="pct"/>
            <w:gridSpan w:val="5"/>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62.4</w:t>
            </w:r>
          </w:p>
        </w:tc>
        <w:tc>
          <w:tcPr>
            <w:tcW w:w="425" w:type="pct"/>
            <w:gridSpan w:val="2"/>
            <w:tcBorders>
              <w:bottom w:val="single" w:sz="4" w:space="0" w:color="auto"/>
            </w:tcBorders>
            <w:shd w:val="clear" w:color="auto" w:fill="auto"/>
            <w:vAlign w:val="center"/>
          </w:tcPr>
          <w:p w:rsidR="003B1EA7" w:rsidRPr="004E4FDF" w:rsidRDefault="003B1EA7" w:rsidP="0034238C">
            <w:pPr>
              <w:pStyle w:val="TableBodyText"/>
              <w:rPr>
                <w:rFonts w:cs="Arial"/>
              </w:rPr>
            </w:pPr>
            <w:r>
              <w:rPr>
                <w:rFonts w:cs="Arial"/>
              </w:rPr>
              <w:t xml:space="preserve">  61.6</w:t>
            </w:r>
          </w:p>
        </w:tc>
        <w:tc>
          <w:tcPr>
            <w:tcW w:w="482" w:type="pct"/>
            <w:gridSpan w:val="2"/>
            <w:tcBorders>
              <w:bottom w:val="single" w:sz="4" w:space="0" w:color="auto"/>
            </w:tcBorders>
            <w:shd w:val="clear" w:color="auto" w:fill="auto"/>
            <w:vAlign w:val="center"/>
          </w:tcPr>
          <w:p w:rsidR="003B1EA7" w:rsidRPr="004E4FDF" w:rsidRDefault="003B1EA7" w:rsidP="0034238C">
            <w:pPr>
              <w:pStyle w:val="TableBodyText"/>
              <w:rPr>
                <w:rFonts w:cs="Arial"/>
              </w:rPr>
            </w:pPr>
            <w:r>
              <w:rPr>
                <w:rFonts w:cs="Arial"/>
              </w:rPr>
              <w:t xml:space="preserve">  44.7</w:t>
            </w:r>
          </w:p>
        </w:tc>
        <w:tc>
          <w:tcPr>
            <w:tcW w:w="530" w:type="pct"/>
            <w:gridSpan w:val="2"/>
            <w:tcBorders>
              <w:bottom w:val="single" w:sz="4" w:space="0" w:color="auto"/>
            </w:tcBorders>
            <w:shd w:val="clear" w:color="auto" w:fill="auto"/>
            <w:vAlign w:val="center"/>
          </w:tcPr>
          <w:p w:rsidR="003B1EA7" w:rsidRPr="004E4FDF" w:rsidRDefault="003B1EA7" w:rsidP="007A514E">
            <w:pPr>
              <w:pStyle w:val="TableBodyText"/>
              <w:rPr>
                <w:rFonts w:cs="Arial"/>
              </w:rPr>
            </w:pPr>
            <w:r>
              <w:rPr>
                <w:rFonts w:cs="Arial"/>
              </w:rPr>
              <w:t xml:space="preserve">  76.7</w:t>
            </w:r>
          </w:p>
        </w:tc>
        <w:tc>
          <w:tcPr>
            <w:tcW w:w="427" w:type="pct"/>
            <w:gridSpan w:val="2"/>
            <w:tcBorders>
              <w:bottom w:val="single" w:sz="4" w:space="0" w:color="auto"/>
            </w:tcBorders>
            <w:vAlign w:val="center"/>
          </w:tcPr>
          <w:p w:rsidR="003B1EA7" w:rsidRPr="004E4FDF" w:rsidRDefault="003B1EA7" w:rsidP="0034238C">
            <w:pPr>
              <w:pStyle w:val="TableBodyText"/>
              <w:rPr>
                <w:rFonts w:cs="Arial"/>
              </w:rPr>
            </w:pPr>
            <w:r>
              <w:rPr>
                <w:rFonts w:cs="Arial"/>
              </w:rPr>
              <w:t xml:space="preserve">  78.7</w:t>
            </w:r>
          </w:p>
        </w:tc>
        <w:tc>
          <w:tcPr>
            <w:tcW w:w="712" w:type="pct"/>
            <w:gridSpan w:val="2"/>
            <w:tcBorders>
              <w:bottom w:val="single" w:sz="4" w:space="0" w:color="auto"/>
            </w:tcBorders>
          </w:tcPr>
          <w:p w:rsidR="003B1EA7" w:rsidRPr="004E4FDF" w:rsidRDefault="003B1EA7" w:rsidP="00F7107C">
            <w:pPr>
              <w:pStyle w:val="TableBodyText"/>
            </w:pPr>
            <w:r>
              <w:t>16A.</w:t>
            </w:r>
            <w:r w:rsidR="00F7107C">
              <w:t>25</w:t>
            </w:r>
          </w:p>
        </w:tc>
      </w:tr>
    </w:tbl>
    <w:p w:rsidR="007A514E" w:rsidRDefault="007A514E" w:rsidP="007A514E">
      <w:pPr>
        <w:pStyle w:val="Note"/>
      </w:pPr>
      <w:r>
        <w:rPr>
          <w:rStyle w:val="NoteLabel"/>
        </w:rPr>
        <w:t>a</w:t>
      </w:r>
      <w:r>
        <w:rPr>
          <w:rFonts w:cs="Arial"/>
        </w:rPr>
        <w:t> </w:t>
      </w:r>
      <w:r>
        <w:t>C</w:t>
      </w:r>
      <w:r w:rsidRPr="00D76254">
        <w:t xml:space="preserve">aveats for these </w:t>
      </w:r>
      <w:r>
        <w:t>data</w:t>
      </w:r>
      <w:r w:rsidRPr="00D76254">
        <w:t xml:space="preserve"> are available </w:t>
      </w:r>
      <w:r>
        <w:t>in Chapter 1</w:t>
      </w:r>
      <w:r w:rsidR="0097292D">
        <w:t>6</w:t>
      </w:r>
      <w:r>
        <w:t xml:space="preserve"> and Attachment 1</w:t>
      </w:r>
      <w:r w:rsidR="0097292D">
        <w:t>6</w:t>
      </w:r>
      <w:r>
        <w:t xml:space="preserve">A. Refer to the indicator interpretation boxes in </w:t>
      </w:r>
      <w:r w:rsidR="007716AF">
        <w:t>C</w:t>
      </w:r>
      <w:r>
        <w:t>hapter 1</w:t>
      </w:r>
      <w:r w:rsidR="0097292D">
        <w:t>6</w:t>
      </w:r>
      <w:r>
        <w:t xml:space="preserve"> for information to assist with </w:t>
      </w:r>
      <w:r w:rsidR="009F11A1">
        <w:t xml:space="preserve">the </w:t>
      </w:r>
      <w:r>
        <w:t>interpret</w:t>
      </w:r>
      <w:r w:rsidR="009F11A1">
        <w:t>ation of</w:t>
      </w:r>
      <w:r>
        <w:t xml:space="preserve"> data presented in this table. </w:t>
      </w:r>
      <w:r>
        <w:rPr>
          <w:rStyle w:val="NoteLabel"/>
        </w:rPr>
        <w:t>b</w:t>
      </w:r>
      <w:r>
        <w:t xml:space="preserve"> Some data are derived </w:t>
      </w:r>
      <w:r w:rsidR="00A65539">
        <w:t>from detailed data in Chapter 16</w:t>
      </w:r>
      <w:r>
        <w:t xml:space="preserve"> and Attachment 1</w:t>
      </w:r>
      <w:r w:rsidR="0097292D">
        <w:t>6</w:t>
      </w:r>
      <w:r>
        <w:t xml:space="preserve">A. </w:t>
      </w:r>
      <w:r w:rsidR="00976C8C" w:rsidRPr="00976C8C">
        <w:rPr>
          <w:b/>
        </w:rPr>
        <w:t>..</w:t>
      </w:r>
      <w:r w:rsidR="00976C8C">
        <w:t xml:space="preserve"> Not applicable. </w:t>
      </w:r>
      <w:r w:rsidRPr="008926CD">
        <w:rPr>
          <w:b/>
        </w:rPr>
        <w:t>na</w:t>
      </w:r>
      <w:r>
        <w:t xml:space="preserve"> Not available. </w:t>
      </w:r>
      <w:r w:rsidR="00976C8C">
        <w:br/>
      </w:r>
      <w:r w:rsidR="00FD0253" w:rsidRPr="00FD0253">
        <w:rPr>
          <w:b/>
        </w:rPr>
        <w:t>np</w:t>
      </w:r>
      <w:r w:rsidR="00FD0253">
        <w:t xml:space="preserve"> Not published. </w:t>
      </w:r>
      <w:r>
        <w:t>– Nil or rounded to zero.</w:t>
      </w:r>
    </w:p>
    <w:p w:rsidR="007A514E" w:rsidRPr="00CF74DE" w:rsidRDefault="007A514E" w:rsidP="007A514E">
      <w:pPr>
        <w:pStyle w:val="Source"/>
      </w:pPr>
      <w:r>
        <w:rPr>
          <w:i/>
        </w:rPr>
        <w:t>Source</w:t>
      </w:r>
      <w:r w:rsidRPr="00CF74DE">
        <w:t xml:space="preserve">: </w:t>
      </w:r>
      <w:r>
        <w:t>Chapter 1</w:t>
      </w:r>
      <w:r w:rsidR="0097292D">
        <w:t>6</w:t>
      </w:r>
      <w:r>
        <w:t xml:space="preserve"> and Attachment 1</w:t>
      </w:r>
      <w:r w:rsidR="0097292D">
        <w:t>6</w:t>
      </w:r>
      <w:r>
        <w:t>A.</w:t>
      </w:r>
    </w:p>
    <w:p w:rsidR="008655A2" w:rsidRPr="00262ED3" w:rsidRDefault="003C2C54" w:rsidP="008655A2">
      <w:pPr>
        <w:pStyle w:val="Heading2"/>
      </w:pPr>
      <w:bookmarkStart w:id="18" w:name="_Toc338234652"/>
      <w:r>
        <w:t>F.</w:t>
      </w:r>
      <w:r w:rsidR="00914946">
        <w:rPr>
          <w:noProof/>
        </w:rPr>
        <w:t>3</w:t>
      </w:r>
      <w:r>
        <w:tab/>
      </w:r>
      <w:r w:rsidR="008655A2" w:rsidRPr="00262ED3">
        <w:t>Cross-cutting and interface issues</w:t>
      </w:r>
      <w:bookmarkEnd w:id="18"/>
    </w:p>
    <w:p w:rsidR="006D71BE" w:rsidRPr="00AC617B" w:rsidRDefault="006D71BE" w:rsidP="006D71BE">
      <w:pPr>
        <w:pStyle w:val="Heading3"/>
      </w:pPr>
      <w:r w:rsidRPr="00AC617B">
        <w:t>Community services pathways</w:t>
      </w:r>
    </w:p>
    <w:p w:rsidR="006D71BE" w:rsidRPr="00AC617B" w:rsidRDefault="006D71BE" w:rsidP="006D71BE">
      <w:pPr>
        <w:pStyle w:val="BodyText"/>
      </w:pPr>
      <w:r w:rsidRPr="00AC617B">
        <w:t>Although this Report discusses three areas of community services in separate chapters, it is recognised that there are many linkages between different community services. Governments are increasingly emphasising the need for integrated, client centred community services.</w:t>
      </w:r>
    </w:p>
    <w:p w:rsidR="006D71BE" w:rsidRPr="00AC617B" w:rsidRDefault="006D71BE" w:rsidP="006D71BE">
      <w:pPr>
        <w:pStyle w:val="BodyText"/>
      </w:pPr>
      <w:r w:rsidRPr="00AC617B">
        <w:lastRenderedPageBreak/>
        <w:t>Many community services are linked by the provision of different services to individuals at different stages of life. Other services are not as strictly</w:t>
      </w:r>
      <w:r w:rsidR="003B2A86">
        <w:t>, or not at all,</w:t>
      </w:r>
      <w:r w:rsidRPr="00AC617B">
        <w:t xml:space="preserve"> age-specific</w:t>
      </w:r>
      <w:r w:rsidR="00A56F57">
        <w:t>,</w:t>
      </w:r>
      <w:r w:rsidRPr="00AC617B">
        <w:t xml:space="preserve"> and some individuals may receive multiple services at the same time — for example, a child who is in receipt of </w:t>
      </w:r>
      <w:r w:rsidR="004D4DD2">
        <w:t>youth</w:t>
      </w:r>
      <w:r w:rsidRPr="00AC617B">
        <w:t xml:space="preserve"> justice services together with homelessness, child protection or disability services. Disability services can continue throughout an individual’s lifetime and overlap with the provision of aged care services.</w:t>
      </w:r>
    </w:p>
    <w:p w:rsidR="006D71BE" w:rsidRPr="00AC617B" w:rsidRDefault="006D71BE" w:rsidP="00235464">
      <w:pPr>
        <w:pStyle w:val="BodyText"/>
      </w:pPr>
      <w:r w:rsidRPr="00AC617B">
        <w:t xml:space="preserve">The sequence of interventions or services can be referred to as ‘pathways’ of community service provision. However, there is </w:t>
      </w:r>
      <w:r w:rsidR="003B2A86">
        <w:t xml:space="preserve">a paucity of </w:t>
      </w:r>
      <w:r w:rsidRPr="00AC617B">
        <w:t xml:space="preserve">information on the patterns of access by individuals to the range of community services, either concurrently or in succession over a lifetime. A greater understanding of the links between the use of various community services, the nature of these links, and whether interventions in one area of service provision result in reduced need for other services, will help to inform government social policy. </w:t>
      </w:r>
    </w:p>
    <w:p w:rsidR="006D71BE" w:rsidRPr="00AC617B" w:rsidRDefault="006D71BE" w:rsidP="00235464">
      <w:pPr>
        <w:pStyle w:val="BodyText"/>
      </w:pPr>
      <w:r w:rsidRPr="00AC617B">
        <w:t>Examples of relevant research include:</w:t>
      </w:r>
    </w:p>
    <w:p w:rsidR="006D71BE" w:rsidRPr="00AC617B" w:rsidRDefault="006D71BE" w:rsidP="00235464">
      <w:pPr>
        <w:pStyle w:val="ListBullet"/>
      </w:pPr>
      <w:r w:rsidRPr="00AC617B">
        <w:t xml:space="preserve">a cohort study carried out in Queensland, which found a correlation between contact with child protection services and the </w:t>
      </w:r>
      <w:r w:rsidR="004D4DD2">
        <w:t>youth</w:t>
      </w:r>
      <w:r w:rsidRPr="00AC617B">
        <w:t xml:space="preserve"> justice system. Of the 24 255 children born in 1983 or 1984 who had a contact with one or more of child protection services, police cautioning or children’s courts, 6.2 per cent had both a child protection services contact and a children’s court appearance. These 1500 children represented 28.7 per cent of those with a children’s court appearance and 15.7 per cent of those with a child protection history </w:t>
      </w:r>
      <w:r w:rsidRPr="00012EEC">
        <w:t>(Stewart,</w:t>
      </w:r>
      <w:r w:rsidRPr="00AC617B">
        <w:t xml:space="preserve"> Dennison and Hurren 2005)</w:t>
      </w:r>
    </w:p>
    <w:p w:rsidR="006D71BE" w:rsidRPr="00AC617B" w:rsidRDefault="00BF6A34" w:rsidP="00BF6A34">
      <w:pPr>
        <w:pStyle w:val="ListBullet"/>
      </w:pPr>
      <w:bookmarkStart w:id="19" w:name="OLE_LINK1"/>
      <w:r>
        <w:t xml:space="preserve">data linkage </w:t>
      </w:r>
      <w:r w:rsidR="009223C4" w:rsidRPr="009223C4">
        <w:t>project</w:t>
      </w:r>
      <w:r>
        <w:t>s</w:t>
      </w:r>
      <w:r w:rsidR="009223C4" w:rsidRPr="009223C4">
        <w:t xml:space="preserve"> being undertaken by the AIHW involving the linkage of available </w:t>
      </w:r>
      <w:r>
        <w:t>homelessness</w:t>
      </w:r>
      <w:r w:rsidR="009223C4">
        <w:t xml:space="preserve"> data</w:t>
      </w:r>
      <w:r w:rsidR="009223C4" w:rsidRPr="009223C4">
        <w:t xml:space="preserve">, </w:t>
      </w:r>
      <w:r w:rsidR="004D4DD2">
        <w:t>youth</w:t>
      </w:r>
      <w:r w:rsidR="009223C4" w:rsidRPr="009223C4">
        <w:t xml:space="preserve"> justice </w:t>
      </w:r>
      <w:r w:rsidR="009223C4">
        <w:t xml:space="preserve">data </w:t>
      </w:r>
      <w:r w:rsidR="009223C4" w:rsidRPr="009223C4">
        <w:t>and child protection data. Th</w:t>
      </w:r>
      <w:r>
        <w:t>ese</w:t>
      </w:r>
      <w:r w:rsidR="009223C4" w:rsidRPr="009223C4">
        <w:t xml:space="preserve"> project</w:t>
      </w:r>
      <w:r>
        <w:t>s involve</w:t>
      </w:r>
      <w:r w:rsidR="009223C4" w:rsidRPr="009223C4">
        <w:t xml:space="preserve"> analysing the characteristics and pathways of children and young people who are involved in these sectors</w:t>
      </w:r>
    </w:p>
    <w:bookmarkEnd w:id="19"/>
    <w:p w:rsidR="006D71BE" w:rsidRPr="00AC617B" w:rsidRDefault="006D71BE" w:rsidP="00235464">
      <w:pPr>
        <w:pStyle w:val="ListBullet"/>
        <w:rPr>
          <w:sz w:val="24"/>
        </w:rPr>
      </w:pPr>
      <w:r w:rsidRPr="00AC617B">
        <w:t>a longitudinal study of Indigenous children (</w:t>
      </w:r>
      <w:r w:rsidRPr="00AC617B">
        <w:rPr>
          <w:i/>
        </w:rPr>
        <w:t>Footprints In Time</w:t>
      </w:r>
      <w:r w:rsidRPr="00AC617B">
        <w:t>) into the links betwe</w:t>
      </w:r>
      <w:r w:rsidRPr="00AC617B">
        <w:rPr>
          <w:rStyle w:val="ListBulletChar"/>
        </w:rPr>
        <w:t>en early childhood experiences and later life outcomes for Aboriginal and Torres</w:t>
      </w:r>
      <w:r w:rsidRPr="00AC617B">
        <w:t xml:space="preserve"> Strait Islander children, covering areas such as health, culture, education, housing and family relationships </w:t>
      </w:r>
      <w:r w:rsidRPr="00012EEC">
        <w:t>(FaHCSIA 2008</w:t>
      </w:r>
      <w:r w:rsidRPr="00AC617B">
        <w:t>)</w:t>
      </w:r>
    </w:p>
    <w:p w:rsidR="00A004E9" w:rsidRPr="00012EEC" w:rsidRDefault="00A56F57" w:rsidP="00235464">
      <w:pPr>
        <w:pStyle w:val="ListBullet"/>
      </w:pPr>
      <w:r>
        <w:t>t</w:t>
      </w:r>
      <w:r w:rsidR="00A004E9">
        <w:t>he Australian Community Sector Survey (ACSS</w:t>
      </w:r>
      <w:r w:rsidR="007716AF">
        <w:t>)</w:t>
      </w:r>
      <w:r w:rsidR="00A004E9">
        <w:t xml:space="preserve"> is an annual national survey which collects data about the non-government, non-profit community services and welfare sector </w:t>
      </w:r>
      <w:r w:rsidR="00A004E9" w:rsidRPr="00012EEC">
        <w:t>(Australian Council of Social Service 2011)</w:t>
      </w:r>
      <w:r w:rsidR="00CC4812" w:rsidRPr="00012EEC">
        <w:t>.</w:t>
      </w:r>
    </w:p>
    <w:p w:rsidR="006D71BE" w:rsidRPr="00AC617B" w:rsidRDefault="006D71BE" w:rsidP="00235464">
      <w:pPr>
        <w:pStyle w:val="BodyText"/>
      </w:pPr>
      <w:r w:rsidRPr="00012EEC">
        <w:t>In September 2009, the Australian Government launched the Australian Institute for Population Ageing Research (AIPAR), based at the University of New South Wales. The AIPAR bring</w:t>
      </w:r>
      <w:r w:rsidR="00A56F57">
        <w:t>s</w:t>
      </w:r>
      <w:r w:rsidRPr="00012EEC">
        <w:t xml:space="preserve"> together cross-disciplinary research on the issue of </w:t>
      </w:r>
      <w:r w:rsidRPr="00012EEC">
        <w:lastRenderedPageBreak/>
        <w:t>population ageing to inform economic and social policy. The AIPAR also maintain</w:t>
      </w:r>
      <w:r w:rsidR="00A56F57">
        <w:t>s</w:t>
      </w:r>
      <w:r w:rsidRPr="00012EEC">
        <w:t xml:space="preserve"> a ‘Longevity Index’ to track the extent to which Australians are able to maintain their living standards over their lifetime (UNSW 2009</w:t>
      </w:r>
      <w:r w:rsidRPr="00AC617B">
        <w:t>).</w:t>
      </w:r>
    </w:p>
    <w:p w:rsidR="006D71BE" w:rsidRPr="00012606" w:rsidRDefault="006D71BE" w:rsidP="003B3B6D">
      <w:pPr>
        <w:pStyle w:val="BodyText"/>
      </w:pPr>
      <w:r w:rsidRPr="00AC617B">
        <w:t xml:space="preserve">On 30 April 2009, COAG endorsed </w:t>
      </w:r>
      <w:r w:rsidRPr="00AC617B">
        <w:rPr>
          <w:i/>
        </w:rPr>
        <w:t>Protecting Children is Everyone’s Business: National Framework for Protecting Australia’s Children 2009</w:t>
      </w:r>
      <w:r w:rsidR="00A56F57">
        <w:rPr>
          <w:i/>
        </w:rPr>
        <w:t>–</w:t>
      </w:r>
      <w:r w:rsidRPr="00AC617B">
        <w:rPr>
          <w:i/>
        </w:rPr>
        <w:t>2020</w:t>
      </w:r>
      <w:r w:rsidRPr="00AC617B">
        <w:t xml:space="preserve"> (the National Framework). The National Framework </w:t>
      </w:r>
      <w:r w:rsidR="003B3B6D">
        <w:t xml:space="preserve">emphasises </w:t>
      </w:r>
      <w:r w:rsidRPr="00AC617B">
        <w:t>that protecting children should be seen as a community and cross</w:t>
      </w:r>
      <w:r w:rsidR="00FD2A09">
        <w:noBreakHyphen/>
      </w:r>
      <w:r w:rsidRPr="00AC617B">
        <w:t xml:space="preserve">sector responsibility. The National Framework is intended to deliver a more integrated response to protecting Australia’s children and emphasises the </w:t>
      </w:r>
      <w:r w:rsidRPr="00012606">
        <w:t xml:space="preserve">role of government, the non-government sector, and the community in achieving these aims. </w:t>
      </w:r>
      <w:r w:rsidR="003B3B6D" w:rsidRPr="00012606">
        <w:t>The Second Action Plan 2012</w:t>
      </w:r>
      <w:r w:rsidR="00353222" w:rsidRPr="00012606">
        <w:t>–</w:t>
      </w:r>
      <w:r w:rsidR="003B3B6D" w:rsidRPr="00012606">
        <w:t xml:space="preserve">15 was released in 2012. It prioritises early intervention, prevention and collaboration with mental health, domestic and family violence, drug and alcohol, education, health and other services. </w:t>
      </w:r>
      <w:r w:rsidRPr="00012606">
        <w:t xml:space="preserve">As reporting for the National Framework progresses, the Steering Committee will </w:t>
      </w:r>
      <w:r w:rsidR="007716AF" w:rsidRPr="00012606">
        <w:t xml:space="preserve">further </w:t>
      </w:r>
      <w:r w:rsidRPr="00012606">
        <w:t>consider the suitability o</w:t>
      </w:r>
      <w:r w:rsidR="003B3B6D" w:rsidRPr="00012606">
        <w:t>f some of the high-level, cross</w:t>
      </w:r>
      <w:r w:rsidR="003B3B6D" w:rsidRPr="00012606">
        <w:noBreakHyphen/>
      </w:r>
      <w:r w:rsidRPr="00012606">
        <w:t xml:space="preserve">sector performance indicators in the National Framework for inclusion in the Community services sector </w:t>
      </w:r>
      <w:r w:rsidR="0004040E" w:rsidRPr="00012606">
        <w:t>overview</w:t>
      </w:r>
      <w:r w:rsidRPr="00012606">
        <w:t xml:space="preserve"> in </w:t>
      </w:r>
      <w:r w:rsidR="002B38EA" w:rsidRPr="00012606">
        <w:t>future</w:t>
      </w:r>
      <w:r w:rsidRPr="00012606">
        <w:t xml:space="preserve"> Report</w:t>
      </w:r>
      <w:r w:rsidR="002B38EA" w:rsidRPr="00012606">
        <w:t>s</w:t>
      </w:r>
      <w:r w:rsidRPr="00012606">
        <w:t>.</w:t>
      </w:r>
    </w:p>
    <w:p w:rsidR="004420D6" w:rsidRPr="00012606" w:rsidRDefault="006D71BE" w:rsidP="004420D6">
      <w:pPr>
        <w:pStyle w:val="BodyText"/>
      </w:pPr>
      <w:r w:rsidRPr="00012606">
        <w:t>There are also links between community services and other government services. Access to effective community services can influence outcomes for clients of education, health, housing and justice sector services. In turn, access to these other service areas can affect community services outcomes.</w:t>
      </w:r>
    </w:p>
    <w:p w:rsidR="004420D6" w:rsidRPr="00012606" w:rsidRDefault="004420D6" w:rsidP="004420D6">
      <w:pPr>
        <w:pStyle w:val="BodyText"/>
      </w:pPr>
      <w:r w:rsidRPr="00012606">
        <w:t xml:space="preserve">A recent report, </w:t>
      </w:r>
      <w:r w:rsidRPr="00012606">
        <w:rPr>
          <w:i/>
        </w:rPr>
        <w:t>Children and young people at risk of social exclusion</w:t>
      </w:r>
      <w:r w:rsidRPr="00012606">
        <w:t xml:space="preserve"> (AIHW</w:t>
      </w:r>
      <w:r w:rsidR="0068117A" w:rsidRPr="00012606">
        <w:t> </w:t>
      </w:r>
      <w:r w:rsidRPr="00012606">
        <w:t>2012), presents findings from analysis of linked client data across three service areas: homelessness, youth justice, and child protection. This analysis revealed that people with involvement in one of these three services are more likely to be involved in another of these services than the general population. For example:</w:t>
      </w:r>
    </w:p>
    <w:p w:rsidR="004420D6" w:rsidRPr="00012606" w:rsidRDefault="00353222" w:rsidP="004420D6">
      <w:pPr>
        <w:pStyle w:val="ListBullet"/>
      </w:pPr>
      <w:r w:rsidRPr="00012606">
        <w:t xml:space="preserve">approximately </w:t>
      </w:r>
      <w:r w:rsidR="004420D6" w:rsidRPr="00012606">
        <w:t>15 per cent of young people under youth justice supervision received specialist homelessness support the year before their most recent period of supervision, and 8 per cent received specialist homelessness support in the year after their most recent period of youth justice supervision. Approximately 6</w:t>
      </w:r>
      <w:r w:rsidR="0068117A" w:rsidRPr="00012606">
        <w:t> </w:t>
      </w:r>
      <w:r w:rsidR="004420D6" w:rsidRPr="00012606">
        <w:t>per cent of children who were the subject of a child protection notification received specialist homelessness support in the year prior to the notification, and 7 per cent received specialist homelessness support in the year after their most recent substantiated notification. These figures are in stark contrast to the general population</w:t>
      </w:r>
      <w:r w:rsidRPr="00012606">
        <w:t>,</w:t>
      </w:r>
      <w:r w:rsidR="004420D6" w:rsidRPr="00012606">
        <w:t xml:space="preserve"> where approximately 1 per cent of people aged 10 and older receive specialist homelessness support in a year, and approximately 2 per cent receive specialist homelessness support as an accompanying child in a year</w:t>
      </w:r>
    </w:p>
    <w:p w:rsidR="004420D6" w:rsidRPr="00012606" w:rsidRDefault="00353222" w:rsidP="004420D6">
      <w:pPr>
        <w:pStyle w:val="ListBullet"/>
      </w:pPr>
      <w:r w:rsidRPr="00012606">
        <w:lastRenderedPageBreak/>
        <w:t xml:space="preserve">approximately </w:t>
      </w:r>
      <w:r w:rsidR="004420D6" w:rsidRPr="00012606">
        <w:t>10 per cent of adult specialist homelessness clients had a history of youth justice supervision, compared to approximately 1</w:t>
      </w:r>
      <w:r w:rsidRPr="00012606">
        <w:t> </w:t>
      </w:r>
      <w:r w:rsidR="004420D6" w:rsidRPr="00012606">
        <w:t>per cent of the general population aged 16 or 17 years (the peak age for youth justice supervision).</w:t>
      </w:r>
    </w:p>
    <w:p w:rsidR="004420D6" w:rsidRPr="00012606" w:rsidRDefault="004420D6" w:rsidP="004420D6">
      <w:pPr>
        <w:pStyle w:val="BodyText"/>
        <w:rPr>
          <w:rStyle w:val="BodyTextCharCharChar"/>
        </w:rPr>
      </w:pPr>
      <w:r w:rsidRPr="00012606">
        <w:rPr>
          <w:rStyle w:val="BodyTextCharCharChar"/>
        </w:rPr>
        <w:t>The results of this analysis highlight the extent of multiple-sector involvement across these service areas. Further analysis of pathways through these services, and common factors giving rise to contact with these services, is likely to assist government</w:t>
      </w:r>
      <w:r w:rsidR="0004033A" w:rsidRPr="00012606">
        <w:rPr>
          <w:rStyle w:val="BodyTextCharCharChar"/>
        </w:rPr>
        <w:t>s</w:t>
      </w:r>
      <w:r w:rsidRPr="00012606">
        <w:rPr>
          <w:rStyle w:val="BodyTextCharCharChar"/>
        </w:rPr>
        <w:t xml:space="preserve"> in targeting prevention and rehabilitation activities. </w:t>
      </w:r>
    </w:p>
    <w:p w:rsidR="006D71BE" w:rsidRPr="00AC617B" w:rsidRDefault="006D71BE" w:rsidP="00235464">
      <w:pPr>
        <w:pStyle w:val="BodyText"/>
      </w:pPr>
      <w:r w:rsidRPr="00012606">
        <w:t xml:space="preserve">The community services and health sectors are closely related and their effective interaction assists the provision of services in both sectors. The disability sector is also </w:t>
      </w:r>
      <w:r w:rsidR="00CB699A" w:rsidRPr="00012606">
        <w:t>closely</w:t>
      </w:r>
      <w:r w:rsidRPr="00012606">
        <w:t xml:space="preserve"> linked to health services by the needs of clients, as people with disability tend to have a larger number of poor health conditions than the general population (AIHW 2006). Other links,</w:t>
      </w:r>
      <w:r w:rsidRPr="00AC617B">
        <w:t xml:space="preserve"> such as the role of medical and other health professional staff as a source of child protection notifications, also reinforce the importance of the relationship between community services and health.</w:t>
      </w:r>
    </w:p>
    <w:p w:rsidR="006D71BE" w:rsidRPr="00AC617B" w:rsidRDefault="00DC2187" w:rsidP="00235464">
      <w:pPr>
        <w:pStyle w:val="Heading3"/>
      </w:pPr>
      <w:r>
        <w:t>Basic Community Care (</w:t>
      </w:r>
      <w:r w:rsidR="006D71BE" w:rsidRPr="00AC617B">
        <w:t>HACC</w:t>
      </w:r>
      <w:r>
        <w:t>)</w:t>
      </w:r>
      <w:r w:rsidR="006D71BE" w:rsidRPr="00AC617B">
        <w:t xml:space="preserve"> across the community services sector</w:t>
      </w:r>
    </w:p>
    <w:p w:rsidR="00162CC6" w:rsidRDefault="00A42EDA" w:rsidP="00235464">
      <w:pPr>
        <w:pStyle w:val="BodyText"/>
      </w:pPr>
      <w:r w:rsidRPr="007D58ED">
        <w:t>Historically w</w:t>
      </w:r>
      <w:r w:rsidR="006D71BE" w:rsidRPr="007D58ED">
        <w:t>ithin</w:t>
      </w:r>
      <w:r w:rsidR="006D71BE" w:rsidRPr="00AC617B">
        <w:t xml:space="preserve"> the Report, HACC services </w:t>
      </w:r>
      <w:r w:rsidR="007D58ED">
        <w:t xml:space="preserve">have been </w:t>
      </w:r>
      <w:r w:rsidR="006D71BE" w:rsidRPr="00AC617B">
        <w:t xml:space="preserve">included in the Aged care services chapter, but the scope of the program is wider than aged care. Provision of HACC services is primarily to older people, but younger people with disability and carers are also recipients of HACC assistance. </w:t>
      </w:r>
    </w:p>
    <w:p w:rsidR="00162CC6" w:rsidRDefault="00B22F09" w:rsidP="00235464">
      <w:pPr>
        <w:pStyle w:val="BodyText"/>
      </w:pPr>
      <w:r w:rsidRPr="00B76EC1">
        <w:t xml:space="preserve">HACC </w:t>
      </w:r>
      <w:r w:rsidR="00922F31" w:rsidRPr="00B76EC1">
        <w:t xml:space="preserve">data </w:t>
      </w:r>
      <w:r w:rsidR="00DC2187">
        <w:t>are</w:t>
      </w:r>
      <w:r w:rsidR="00922F31" w:rsidRPr="00B76EC1">
        <w:t xml:space="preserve"> reported in the Aged care services chapter</w:t>
      </w:r>
      <w:r w:rsidR="00227B1F" w:rsidRPr="00B76EC1">
        <w:t xml:space="preserve"> </w:t>
      </w:r>
      <w:r w:rsidR="00DC2187">
        <w:t>for people aged 65 years and older and Indigenous Australians 50–64 years</w:t>
      </w:r>
      <w:r w:rsidR="00922F31" w:rsidRPr="00B76EC1">
        <w:t>.</w:t>
      </w:r>
      <w:r>
        <w:t xml:space="preserve"> </w:t>
      </w:r>
      <w:r w:rsidR="00DC2187">
        <w:t>Service use i</w:t>
      </w:r>
      <w:r>
        <w:t xml:space="preserve">nformation on HACC clients outside the Aged care </w:t>
      </w:r>
      <w:r w:rsidR="00DF39BB" w:rsidRPr="00B76EC1">
        <w:t xml:space="preserve">services </w:t>
      </w:r>
      <w:r>
        <w:t xml:space="preserve">chapter’s target </w:t>
      </w:r>
      <w:r w:rsidR="00DC2187">
        <w:t>(people aged 64 years and under and Indigenous Australians aged 49 years and under) are</w:t>
      </w:r>
      <w:r w:rsidRPr="00227B1F">
        <w:t xml:space="preserve"> reported</w:t>
      </w:r>
      <w:r>
        <w:t xml:space="preserve"> in the Disability services chapter. </w:t>
      </w:r>
    </w:p>
    <w:p w:rsidR="007D58ED" w:rsidRPr="00342A5A" w:rsidRDefault="007D58ED" w:rsidP="00235464">
      <w:pPr>
        <w:pStyle w:val="BodyText"/>
      </w:pPr>
      <w:r w:rsidRPr="00342A5A">
        <w:t xml:space="preserve">The Australian, State and Territory governments committed to the National Health Reform Agreement </w:t>
      </w:r>
      <w:r w:rsidR="00162CC6">
        <w:t xml:space="preserve">(NHRA) </w:t>
      </w:r>
      <w:r w:rsidRPr="00342A5A">
        <w:t xml:space="preserve">on 2 August 2011. The </w:t>
      </w:r>
      <w:r w:rsidR="003B2A86">
        <w:t>NHRA</w:t>
      </w:r>
      <w:r w:rsidR="003B2A86" w:rsidRPr="00342A5A">
        <w:t xml:space="preserve"> </w:t>
      </w:r>
      <w:r w:rsidRPr="00342A5A">
        <w:t xml:space="preserve">reaffirmed previous commitments on health and aged care (and </w:t>
      </w:r>
      <w:r w:rsidR="00235464">
        <w:t>their</w:t>
      </w:r>
      <w:r w:rsidRPr="00342A5A">
        <w:t xml:space="preserve"> implications for services for people with disability) under the National Health and Hospitals Network Agreement and the Heads of Agreement — National Health Reform. </w:t>
      </w:r>
    </w:p>
    <w:p w:rsidR="00A501F7" w:rsidRDefault="00235464" w:rsidP="00235464">
      <w:pPr>
        <w:pStyle w:val="BodyText"/>
      </w:pPr>
      <w:r>
        <w:t>C</w:t>
      </w:r>
      <w:r w:rsidR="007D58ED" w:rsidRPr="004D3E64">
        <w:t xml:space="preserve">hanges to roles and responsibilities under the National Health Reform Agreement are aimed at creating a national aged care system and </w:t>
      </w:r>
      <w:r>
        <w:t xml:space="preserve">a </w:t>
      </w:r>
      <w:r w:rsidR="007D58ED" w:rsidRPr="004D3E64">
        <w:t xml:space="preserve">national disability services system. </w:t>
      </w:r>
      <w:r w:rsidR="007D58ED" w:rsidRPr="00342A5A">
        <w:t>Under the National Health Reform Agreement:</w:t>
      </w:r>
    </w:p>
    <w:p w:rsidR="00227B1F" w:rsidRPr="00B76EC1" w:rsidRDefault="00922F31" w:rsidP="00B76EC1">
      <w:pPr>
        <w:pStyle w:val="ListBullet"/>
        <w:rPr>
          <w:rFonts w:ascii="Arial" w:hAnsi="Arial"/>
          <w:sz w:val="22"/>
          <w:szCs w:val="26"/>
        </w:rPr>
      </w:pPr>
      <w:r w:rsidRPr="00B76EC1">
        <w:t>t</w:t>
      </w:r>
      <w:r w:rsidR="007D58ED" w:rsidRPr="00B76EC1">
        <w:t xml:space="preserve">he Australian Government </w:t>
      </w:r>
      <w:r w:rsidR="00227B1F" w:rsidRPr="00B76EC1">
        <w:t>is responsible for:</w:t>
      </w:r>
    </w:p>
    <w:p w:rsidR="00227B1F" w:rsidRPr="00B76EC1" w:rsidRDefault="00227B1F" w:rsidP="00B76EC1">
      <w:pPr>
        <w:pStyle w:val="ListBullet2"/>
      </w:pPr>
      <w:r w:rsidRPr="00B76EC1">
        <w:lastRenderedPageBreak/>
        <w:t>regulating packaged community (CACP, EACH and EACH-D) and residential aged care</w:t>
      </w:r>
    </w:p>
    <w:p w:rsidR="00227B1F" w:rsidRPr="00B76EC1" w:rsidRDefault="00227B1F" w:rsidP="00B76EC1">
      <w:pPr>
        <w:pStyle w:val="ListBullet2"/>
      </w:pPr>
      <w:r w:rsidRPr="00B76EC1">
        <w:t>funding packaged community and residential aged care for people aged 65</w:t>
      </w:r>
      <w:r w:rsidR="00353222" w:rsidRPr="00B76EC1">
        <w:t> </w:t>
      </w:r>
      <w:r w:rsidRPr="00B76EC1">
        <w:t>years or over (50 years or over for Indigenous Australians)</w:t>
      </w:r>
    </w:p>
    <w:p w:rsidR="00227B1F" w:rsidRPr="00B76EC1" w:rsidRDefault="00227B1F" w:rsidP="00B76EC1">
      <w:pPr>
        <w:pStyle w:val="ListBullet2"/>
      </w:pPr>
      <w:r w:rsidRPr="00B76EC1">
        <w:t>funding and regulating basic community care services (previously delivered under the HACC program) for people aged 65 years or over (50 years or over for Indigenous Australians)</w:t>
      </w:r>
    </w:p>
    <w:p w:rsidR="007D58ED" w:rsidRPr="00B76EC1" w:rsidRDefault="00227B1F" w:rsidP="00B76EC1">
      <w:pPr>
        <w:pStyle w:val="ListBullet2"/>
      </w:pPr>
      <w:r w:rsidRPr="00B76EC1">
        <w:t>funding specialist disability services delivered by the State and Territory governments under the NDA for people aged 65 years or over (50 years or over for Indigenous Australians).</w:t>
      </w:r>
    </w:p>
    <w:p w:rsidR="00227B1F" w:rsidRPr="00B76EC1" w:rsidRDefault="007D58ED" w:rsidP="00B76EC1">
      <w:pPr>
        <w:pStyle w:val="ListBullet"/>
      </w:pPr>
      <w:r w:rsidRPr="00B76EC1">
        <w:t>the State and Territory governments</w:t>
      </w:r>
      <w:r w:rsidR="00235464" w:rsidRPr="00B76EC1">
        <w:t xml:space="preserve"> </w:t>
      </w:r>
      <w:r w:rsidR="00227B1F" w:rsidRPr="00B76EC1">
        <w:t>are responsible for:</w:t>
      </w:r>
    </w:p>
    <w:p w:rsidR="00227B1F" w:rsidRPr="00B76EC1" w:rsidRDefault="00227B1F" w:rsidP="00B76EC1">
      <w:pPr>
        <w:pStyle w:val="ListBullet2"/>
      </w:pPr>
      <w:r w:rsidRPr="00B76EC1">
        <w:t>regulating specialist disability services delivered under the NDA</w:t>
      </w:r>
    </w:p>
    <w:p w:rsidR="00227B1F" w:rsidRPr="00B76EC1" w:rsidRDefault="00227B1F" w:rsidP="00B76EC1">
      <w:pPr>
        <w:pStyle w:val="ListBullet2"/>
      </w:pPr>
      <w:r w:rsidRPr="00B76EC1">
        <w:t>funding and regulating basic community care services (previously delivered under the HACC program) for people aged under 65 years, except for Indigenous Australians aged 50 years or over</w:t>
      </w:r>
    </w:p>
    <w:p w:rsidR="007D58ED" w:rsidRPr="00B76EC1" w:rsidRDefault="00227B1F" w:rsidP="00B76EC1">
      <w:pPr>
        <w:pStyle w:val="ListBullet2"/>
      </w:pPr>
      <w:r w:rsidRPr="00B76EC1">
        <w:t>funding packaged community (CACP, EACH and EACH-D) and residential aged care for people aged under 65 years, except</w:t>
      </w:r>
      <w:r w:rsidR="00FC6FE3" w:rsidRPr="00B76EC1">
        <w:t xml:space="preserve"> for</w:t>
      </w:r>
      <w:r w:rsidRPr="00B76EC1">
        <w:t xml:space="preserve"> Indigenous Australians aged 50 years or over.</w:t>
      </w:r>
    </w:p>
    <w:p w:rsidR="00DF39BB" w:rsidRDefault="00DF39BB" w:rsidP="00B76EC1">
      <w:pPr>
        <w:pStyle w:val="BodyText"/>
      </w:pPr>
      <w:r w:rsidRPr="00B76EC1">
        <w:t xml:space="preserve">The basic community care reforms </w:t>
      </w:r>
      <w:r w:rsidR="001D2030" w:rsidRPr="00B76EC1">
        <w:t xml:space="preserve">(HACC reforms) </w:t>
      </w:r>
      <w:r w:rsidRPr="00B76EC1">
        <w:t>occurred over two phases (except in Victoria and WA). On 1 July 2011, the Australia</w:t>
      </w:r>
      <w:r w:rsidR="00CC4CE8">
        <w:t>n</w:t>
      </w:r>
      <w:r w:rsidRPr="00B76EC1">
        <w:t xml:space="preserve"> Government assumed funding and policy responsibility for basic community care services for people aged 65 years or over (50 years or over for Indigenous Australians), and on 1 July 2012 they also assumed operational responsibility for these services. </w:t>
      </w:r>
      <w:r w:rsidR="001D2030" w:rsidRPr="00B76EC1">
        <w:t xml:space="preserve">On 1 July 2011, </w:t>
      </w:r>
      <w:r w:rsidRPr="00B76EC1">
        <w:t xml:space="preserve">State and Territory governments </w:t>
      </w:r>
      <w:r w:rsidR="001D2030" w:rsidRPr="00B76EC1">
        <w:t>(except in Victoria and WA) assumed full funding and program responsibility for basic community care services provided to younger people aged under 65 years (or under the age of 50 for Indigenous Australians).</w:t>
      </w:r>
    </w:p>
    <w:p w:rsidR="007D58ED" w:rsidRPr="000B1EEE" w:rsidRDefault="007D58ED" w:rsidP="00235464">
      <w:pPr>
        <w:pStyle w:val="BodyText"/>
      </w:pPr>
      <w:r w:rsidRPr="000B1EEE">
        <w:t xml:space="preserve">The changes to roles and responsibilities for basic community care, aged care and specialist disability services do not apply to Victoria and WA. In these </w:t>
      </w:r>
      <w:r w:rsidR="00922F31">
        <w:t>s</w:t>
      </w:r>
      <w:r w:rsidRPr="000B1EEE">
        <w:t>tates, basic community care continues to be delivered under HACC as a joint Australian and State governments’ funded program. The Australian Government and the Victorian and WA governments have maintained bilateral agreements for that purpose.</w:t>
      </w:r>
    </w:p>
    <w:p w:rsidR="00A42EDA" w:rsidRDefault="00A42EDA" w:rsidP="00235464">
      <w:pPr>
        <w:pStyle w:val="Heading3"/>
      </w:pPr>
      <w:r>
        <w:t xml:space="preserve">Housing </w:t>
      </w:r>
    </w:p>
    <w:p w:rsidR="00A42EDA" w:rsidRPr="00A42EDA" w:rsidRDefault="00A42EDA" w:rsidP="00235464">
      <w:pPr>
        <w:pStyle w:val="BodyText"/>
      </w:pPr>
      <w:r w:rsidRPr="00A42EDA">
        <w:t>Livable Housing Australia (LHA) is a not-for-profit organisation established to encourage Australians constructing new homes to comply with design standards to meet the changing needs of home occupants across their lifetime.</w:t>
      </w:r>
      <w:r w:rsidR="00235464">
        <w:t xml:space="preserve"> </w:t>
      </w:r>
      <w:r w:rsidRPr="00A42EDA">
        <w:t xml:space="preserve">LHA promotes </w:t>
      </w:r>
      <w:r w:rsidRPr="00A42EDA">
        <w:lastRenderedPageBreak/>
        <w:t>greater understanding of the value of universal housing design practices and has developed guidelines to help guide the residential and building industry and all levels of government.</w:t>
      </w:r>
      <w:r w:rsidR="00235464">
        <w:t xml:space="preserve"> </w:t>
      </w:r>
      <w:r w:rsidRPr="00A42EDA">
        <w:t xml:space="preserve">The Livable Housing Design guidelines seek to raise national awareness about the benefits of designing homes for everyone, </w:t>
      </w:r>
      <w:r w:rsidR="00922F31">
        <w:t>irrespective</w:t>
      </w:r>
      <w:r w:rsidR="00922F31" w:rsidRPr="00A42EDA">
        <w:t xml:space="preserve"> </w:t>
      </w:r>
      <w:r w:rsidRPr="00A42EDA">
        <w:t xml:space="preserve">of </w:t>
      </w:r>
      <w:r w:rsidR="00922F31">
        <w:t xml:space="preserve">their </w:t>
      </w:r>
      <w:r w:rsidRPr="00A42EDA">
        <w:t>abilities.</w:t>
      </w:r>
    </w:p>
    <w:p w:rsidR="00A42EDA" w:rsidRPr="00A42EDA" w:rsidRDefault="004D21F6" w:rsidP="00235464">
      <w:pPr>
        <w:pStyle w:val="BodyText"/>
      </w:pPr>
      <w:r>
        <w:t>T</w:t>
      </w:r>
      <w:r w:rsidR="00A42EDA" w:rsidRPr="00A42EDA">
        <w:t>he housing industry</w:t>
      </w:r>
      <w:r>
        <w:t>, the</w:t>
      </w:r>
      <w:r w:rsidR="00A42EDA" w:rsidRPr="00A42EDA">
        <w:t xml:space="preserve"> disability and </w:t>
      </w:r>
      <w:r>
        <w:t xml:space="preserve">the </w:t>
      </w:r>
      <w:r w:rsidR="00A42EDA" w:rsidRPr="00A42EDA">
        <w:t>ageing sectors are working towards having all new homes built to reflect the new standards by 2020.</w:t>
      </w:r>
      <w:r w:rsidR="00B73412">
        <w:t xml:space="preserve"> </w:t>
      </w:r>
      <w:r w:rsidR="00A42EDA" w:rsidRPr="00A42EDA">
        <w:t>They have also committed to a strategic plan that provides a pathway over the next decade to work towards this target.</w:t>
      </w:r>
    </w:p>
    <w:p w:rsidR="00A42EDA" w:rsidRPr="00A42EDA" w:rsidRDefault="00A42EDA" w:rsidP="00235464">
      <w:pPr>
        <w:pStyle w:val="BodyText"/>
      </w:pPr>
      <w:r w:rsidRPr="00A42EDA">
        <w:t>The Australian Government is investing $1 million to drive this innovative partnership with the building and property sectors to promote universal housing design.</w:t>
      </w:r>
    </w:p>
    <w:p w:rsidR="008D6B28" w:rsidRPr="00821EA1" w:rsidRDefault="003C2C54" w:rsidP="008D6B28">
      <w:pPr>
        <w:pStyle w:val="Heading2"/>
      </w:pPr>
      <w:bookmarkStart w:id="20" w:name="_Toc338234653"/>
      <w:r>
        <w:t>F.</w:t>
      </w:r>
      <w:r w:rsidR="00914946">
        <w:rPr>
          <w:noProof/>
        </w:rPr>
        <w:t>4</w:t>
      </w:r>
      <w:r>
        <w:tab/>
      </w:r>
      <w:r w:rsidR="008D6B28" w:rsidRPr="00821EA1">
        <w:t>Future directions in performance reporting</w:t>
      </w:r>
      <w:bookmarkEnd w:id="20"/>
    </w:p>
    <w:p w:rsidR="008D6B28" w:rsidRDefault="008D6B28" w:rsidP="008D6B28">
      <w:pPr>
        <w:pStyle w:val="BodyText"/>
      </w:pPr>
      <w:r w:rsidRPr="00FD6A36">
        <w:t>Th</w:t>
      </w:r>
      <w:r w:rsidR="009F11A1">
        <w:t xml:space="preserve">is </w:t>
      </w:r>
      <w:r>
        <w:t>community services</w:t>
      </w:r>
      <w:r w:rsidRPr="00FD6A36">
        <w:t xml:space="preserve"> sector </w:t>
      </w:r>
      <w:r w:rsidR="0004040E">
        <w:t>overview</w:t>
      </w:r>
      <w:r w:rsidRPr="00FD6A36">
        <w:t xml:space="preserve"> </w:t>
      </w:r>
      <w:r w:rsidR="00656695">
        <w:t xml:space="preserve">will continue to be developed </w:t>
      </w:r>
      <w:r>
        <w:t xml:space="preserve">in </w:t>
      </w:r>
      <w:r w:rsidR="00656695">
        <w:t>future r</w:t>
      </w:r>
      <w:r>
        <w:t>eport</w:t>
      </w:r>
      <w:r w:rsidR="00656695">
        <w:t>s.</w:t>
      </w:r>
      <w:r>
        <w:t xml:space="preserve"> </w:t>
      </w:r>
    </w:p>
    <w:p w:rsidR="009737FB" w:rsidRDefault="00656695" w:rsidP="00490BD9">
      <w:pPr>
        <w:pStyle w:val="BodyText"/>
      </w:pPr>
      <w:r>
        <w:t xml:space="preserve">The </w:t>
      </w:r>
      <w:r w:rsidR="008D6B28">
        <w:t>Aged care</w:t>
      </w:r>
      <w:r w:rsidR="002A49F3">
        <w:t xml:space="preserve"> services</w:t>
      </w:r>
      <w:r w:rsidR="008D6B28">
        <w:t xml:space="preserve">, Service for people with </w:t>
      </w:r>
      <w:r w:rsidR="002A49F3">
        <w:t>d</w:t>
      </w:r>
      <w:r w:rsidR="008D6B28">
        <w:t>isability</w:t>
      </w:r>
      <w:r w:rsidR="002A49F3">
        <w:t>,</w:t>
      </w:r>
      <w:r w:rsidR="008D6B28">
        <w:t xml:space="preserve"> </w:t>
      </w:r>
      <w:r w:rsidR="006349DC">
        <w:t>Child protectio</w:t>
      </w:r>
      <w:r w:rsidR="00A65539">
        <w:t>n services and Y</w:t>
      </w:r>
      <w:r w:rsidR="006349DC">
        <w:t xml:space="preserve">outh justice </w:t>
      </w:r>
      <w:r>
        <w:t>chapters</w:t>
      </w:r>
      <w:r w:rsidR="008D6B28" w:rsidRPr="00881445">
        <w:t xml:space="preserve"> contain </w:t>
      </w:r>
      <w:r w:rsidR="008D6B28">
        <w:t>a</w:t>
      </w:r>
      <w:r w:rsidR="008D6B28" w:rsidRPr="00881445">
        <w:t xml:space="preserve"> service</w:t>
      </w:r>
      <w:r w:rsidR="008D6B28">
        <w:noBreakHyphen/>
      </w:r>
      <w:r w:rsidR="008D6B28" w:rsidRPr="00881445">
        <w:t>specific section on future directions</w:t>
      </w:r>
      <w:r w:rsidR="008D6B28">
        <w:t xml:space="preserve"> in performance reporting</w:t>
      </w:r>
      <w:r w:rsidR="008D6B28" w:rsidRPr="00881445">
        <w:t xml:space="preserve">. </w:t>
      </w:r>
    </w:p>
    <w:p w:rsidR="004D21F6" w:rsidRPr="00F22A5D" w:rsidRDefault="004D21F6" w:rsidP="004D21F6">
      <w:pPr>
        <w:keepNext/>
        <w:spacing w:before="600" w:line="400" w:lineRule="exact"/>
        <w:ind w:left="907" w:hanging="907"/>
        <w:outlineLvl w:val="1"/>
        <w:rPr>
          <w:rFonts w:ascii="Arial" w:hAnsi="Arial"/>
          <w:b/>
          <w:sz w:val="32"/>
          <w:szCs w:val="20"/>
        </w:rPr>
      </w:pPr>
      <w:bookmarkStart w:id="21" w:name="_Toc313526083"/>
      <w:bookmarkStart w:id="22" w:name="_Toc334184717"/>
      <w:bookmarkStart w:id="23" w:name="_Toc338234654"/>
      <w:r w:rsidRPr="00F22A5D">
        <w:rPr>
          <w:rFonts w:ascii="Arial" w:hAnsi="Arial"/>
          <w:b/>
          <w:sz w:val="32"/>
          <w:szCs w:val="20"/>
        </w:rPr>
        <w:t>F.</w:t>
      </w:r>
      <w:r w:rsidR="00914946">
        <w:rPr>
          <w:rFonts w:ascii="Arial" w:hAnsi="Arial"/>
          <w:b/>
          <w:noProof/>
          <w:sz w:val="32"/>
          <w:szCs w:val="20"/>
        </w:rPr>
        <w:t>5</w:t>
      </w:r>
      <w:r w:rsidRPr="00F22A5D">
        <w:rPr>
          <w:rFonts w:ascii="Arial" w:hAnsi="Arial"/>
          <w:b/>
          <w:sz w:val="32"/>
          <w:szCs w:val="20"/>
        </w:rPr>
        <w:tab/>
        <w:t>List of attachment tables</w:t>
      </w:r>
      <w:bookmarkEnd w:id="21"/>
      <w:bookmarkEnd w:id="22"/>
      <w:bookmarkEnd w:id="23"/>
    </w:p>
    <w:p w:rsidR="004D21F6" w:rsidRPr="004D21F6" w:rsidRDefault="004D21F6" w:rsidP="004D21F6">
      <w:pPr>
        <w:spacing w:before="240" w:line="320" w:lineRule="atLeast"/>
        <w:jc w:val="both"/>
        <w:rPr>
          <w:szCs w:val="20"/>
        </w:rPr>
      </w:pPr>
      <w:r w:rsidRPr="004D21F6">
        <w:rPr>
          <w:szCs w:val="20"/>
        </w:rPr>
        <w:t>Attachment tables are identified in references throughout this appendix by an ‘</w:t>
      </w:r>
      <w:r>
        <w:rPr>
          <w:szCs w:val="20"/>
        </w:rPr>
        <w:t>F</w:t>
      </w:r>
      <w:r w:rsidRPr="004D21F6">
        <w:rPr>
          <w:szCs w:val="20"/>
        </w:rPr>
        <w:t xml:space="preserve">A’ prefix (for example, table </w:t>
      </w:r>
      <w:r>
        <w:rPr>
          <w:szCs w:val="20"/>
        </w:rPr>
        <w:t>F</w:t>
      </w:r>
      <w:r w:rsidRPr="004D21F6">
        <w:rPr>
          <w:szCs w:val="20"/>
        </w:rPr>
        <w:t>A.1). Attachment tables are available on the Review website (www.pc.gov.au/gsp).</w:t>
      </w:r>
    </w:p>
    <w:p w:rsidR="004D21F6" w:rsidRPr="004D21F6" w:rsidRDefault="004D21F6" w:rsidP="004D21F6">
      <w:pPr>
        <w:spacing w:before="240" w:line="320" w:lineRule="atLeast"/>
        <w:jc w:val="both"/>
        <w:rPr>
          <w:szCs w:val="20"/>
        </w:rPr>
      </w:pPr>
    </w:p>
    <w:tbl>
      <w:tblPr>
        <w:tblStyle w:val="TableGrid"/>
        <w:tblW w:w="90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783"/>
        <w:gridCol w:w="222"/>
      </w:tblGrid>
      <w:tr w:rsidR="004D21F6" w:rsidRPr="004D21F6" w:rsidTr="00CB699A">
        <w:trPr>
          <w:trHeight w:val="612"/>
        </w:trPr>
        <w:tc>
          <w:tcPr>
            <w:tcW w:w="8783" w:type="dxa"/>
            <w:noWrap/>
          </w:tcPr>
          <w:tbl>
            <w:tblPr>
              <w:tblW w:w="8860" w:type="dxa"/>
              <w:tblCellMar>
                <w:left w:w="0" w:type="dxa"/>
                <w:right w:w="0" w:type="dxa"/>
              </w:tblCellMar>
              <w:tblLook w:val="04A0" w:firstRow="1" w:lastRow="0" w:firstColumn="1" w:lastColumn="0" w:noHBand="0" w:noVBand="1"/>
            </w:tblPr>
            <w:tblGrid>
              <w:gridCol w:w="1440"/>
              <w:gridCol w:w="7420"/>
            </w:tblGrid>
            <w:tr w:rsidR="00CB699A" w:rsidTr="00107A1E">
              <w:trPr>
                <w:trHeight w:val="612"/>
              </w:trPr>
              <w:tc>
                <w:tcPr>
                  <w:tcW w:w="1440" w:type="dxa"/>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FA.1</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52442" w:rsidP="00107A1E">
                  <w:pPr>
                    <w:rPr>
                      <w:rFonts w:ascii="Arial" w:hAnsi="Arial" w:cs="Arial"/>
                      <w:sz w:val="20"/>
                      <w:szCs w:val="20"/>
                    </w:rPr>
                  </w:pPr>
                  <w:r w:rsidRPr="00C52442">
                    <w:rPr>
                      <w:rFonts w:ascii="Arial" w:hAnsi="Arial" w:cs="Arial"/>
                      <w:sz w:val="20"/>
                      <w:szCs w:val="20"/>
                    </w:rPr>
                    <w:t>Estimate of all people living in households aged 65 years and over, type of social or community activities participated in away from home in the last three months (‘000)</w:t>
                  </w:r>
                </w:p>
              </w:tc>
            </w:tr>
            <w:tr w:rsidR="00CB699A" w:rsidTr="00107A1E">
              <w:trPr>
                <w:trHeight w:val="612"/>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FA.2</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Primary carers living in households, whether participated in social activities at home in last 3 months without the recipient of care (‘000)</w:t>
                  </w:r>
                </w:p>
              </w:tc>
            </w:tr>
            <w:tr w:rsidR="00CB699A" w:rsidTr="00107A1E">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FA.3</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Self-assessed health status of disabled people aged 18 years and over (000's)</w:t>
                  </w:r>
                </w:p>
              </w:tc>
            </w:tr>
            <w:tr w:rsidR="00CB699A" w:rsidTr="00107A1E">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FA.4</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Jobless families, at June</w:t>
                  </w:r>
                </w:p>
              </w:tc>
            </w:tr>
            <w:tr w:rsidR="00CB699A" w:rsidTr="00107A1E">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FA.5</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Australian Early Development Index (AEDI) Data</w:t>
                  </w:r>
                </w:p>
              </w:tc>
            </w:tr>
            <w:tr w:rsidR="00CB699A" w:rsidTr="00107A1E">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65539" w:rsidRDefault="00CB699A" w:rsidP="00A65539">
                  <w:pPr>
                    <w:rPr>
                      <w:rFonts w:ascii="Arial" w:hAnsi="Arial" w:cs="Arial"/>
                      <w:sz w:val="20"/>
                      <w:szCs w:val="20"/>
                    </w:rPr>
                  </w:pPr>
                  <w:r w:rsidRPr="00A65539">
                    <w:rPr>
                      <w:rFonts w:ascii="Arial" w:hAnsi="Arial" w:cs="Arial"/>
                      <w:sz w:val="20"/>
                      <w:szCs w:val="20"/>
                    </w:rPr>
                    <w:t>Table FA.6</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Overall life satisfaction, by sex, 2010 (per cent)</w:t>
                  </w:r>
                </w:p>
              </w:tc>
            </w:tr>
            <w:tr w:rsidR="00CB699A" w:rsidTr="00107A1E">
              <w:trPr>
                <w:trHeight w:val="357"/>
              </w:trPr>
              <w:tc>
                <w:tcPr>
                  <w:tcW w:w="0" w:type="auto"/>
                  <w:tcBorders>
                    <w:top w:val="nil"/>
                    <w:left w:val="nil"/>
                    <w:bottom w:val="nil"/>
                    <w:right w:val="nil"/>
                  </w:tcBorders>
                  <w:shd w:val="clear" w:color="auto" w:fill="auto"/>
                  <w:noWrap/>
                  <w:tcMar>
                    <w:top w:w="15" w:type="dxa"/>
                    <w:left w:w="15" w:type="dxa"/>
                    <w:bottom w:w="0" w:type="dxa"/>
                    <w:right w:w="15" w:type="dxa"/>
                  </w:tcMar>
                  <w:hideMark/>
                </w:tcPr>
                <w:p w:rsidR="00CB699A" w:rsidRPr="00A03302" w:rsidRDefault="00CB699A" w:rsidP="00A65539">
                  <w:pPr>
                    <w:rPr>
                      <w:sz w:val="22"/>
                      <w:szCs w:val="22"/>
                    </w:rPr>
                  </w:pPr>
                  <w:r w:rsidRPr="00A65539">
                    <w:rPr>
                      <w:rFonts w:ascii="Arial" w:hAnsi="Arial" w:cs="Arial"/>
                      <w:sz w:val="20"/>
                      <w:szCs w:val="20"/>
                    </w:rPr>
                    <w:t>Table FA.7</w:t>
                  </w:r>
                </w:p>
              </w:tc>
              <w:tc>
                <w:tcPr>
                  <w:tcW w:w="7420" w:type="dxa"/>
                  <w:tcBorders>
                    <w:top w:val="nil"/>
                    <w:left w:val="nil"/>
                    <w:bottom w:val="nil"/>
                    <w:right w:val="nil"/>
                  </w:tcBorders>
                  <w:shd w:val="clear" w:color="auto" w:fill="auto"/>
                  <w:tcMar>
                    <w:top w:w="15" w:type="dxa"/>
                    <w:left w:w="15" w:type="dxa"/>
                    <w:bottom w:w="0" w:type="dxa"/>
                    <w:right w:w="15" w:type="dxa"/>
                  </w:tcMar>
                  <w:vAlign w:val="center"/>
                  <w:hideMark/>
                </w:tcPr>
                <w:p w:rsidR="00CB699A" w:rsidRDefault="00CB699A" w:rsidP="00107A1E">
                  <w:pPr>
                    <w:rPr>
                      <w:rFonts w:ascii="Arial" w:hAnsi="Arial" w:cs="Arial"/>
                      <w:sz w:val="20"/>
                      <w:szCs w:val="20"/>
                    </w:rPr>
                  </w:pPr>
                  <w:r>
                    <w:rPr>
                      <w:rFonts w:ascii="Arial" w:hAnsi="Arial" w:cs="Arial"/>
                      <w:sz w:val="20"/>
                      <w:szCs w:val="20"/>
                    </w:rPr>
                    <w:t>Adults at least satisfied with their lives, by age, 2010 (per cent)</w:t>
                  </w:r>
                </w:p>
              </w:tc>
            </w:tr>
          </w:tbl>
          <w:p w:rsidR="004D21F6" w:rsidRPr="004D21F6" w:rsidRDefault="004D21F6" w:rsidP="004D21F6">
            <w:pPr>
              <w:rPr>
                <w:rFonts w:ascii="Arial" w:hAnsi="Arial" w:cs="Arial"/>
                <w:b/>
                <w:bCs/>
                <w:sz w:val="20"/>
                <w:szCs w:val="20"/>
              </w:rPr>
            </w:pPr>
          </w:p>
        </w:tc>
        <w:tc>
          <w:tcPr>
            <w:tcW w:w="222" w:type="dxa"/>
          </w:tcPr>
          <w:p w:rsidR="004D21F6" w:rsidRPr="004D21F6" w:rsidRDefault="004D21F6" w:rsidP="004D21F6">
            <w:pPr>
              <w:jc w:val="both"/>
              <w:rPr>
                <w:rFonts w:ascii="Arial" w:hAnsi="Arial" w:cs="Arial"/>
                <w:sz w:val="20"/>
                <w:szCs w:val="20"/>
              </w:rPr>
            </w:pPr>
          </w:p>
        </w:tc>
      </w:tr>
    </w:tbl>
    <w:p w:rsidR="00FE7DD7" w:rsidRPr="00AC617B" w:rsidRDefault="004D21F6" w:rsidP="00FE7DD7">
      <w:pPr>
        <w:pStyle w:val="Heading2"/>
      </w:pPr>
      <w:bookmarkStart w:id="24" w:name="_Toc243452627"/>
      <w:bookmarkStart w:id="25" w:name="_Toc338234655"/>
      <w:r>
        <w:lastRenderedPageBreak/>
        <w:t>F.</w:t>
      </w:r>
      <w:r w:rsidR="00914946">
        <w:rPr>
          <w:noProof/>
        </w:rPr>
        <w:t>6</w:t>
      </w:r>
      <w:r w:rsidR="003C2C54">
        <w:tab/>
      </w:r>
      <w:r w:rsidR="00FE7DD7" w:rsidRPr="00AC617B">
        <w:t>References</w:t>
      </w:r>
      <w:bookmarkEnd w:id="24"/>
      <w:bookmarkEnd w:id="25"/>
    </w:p>
    <w:p w:rsidR="00FE7DD7" w:rsidRDefault="00FE7DD7" w:rsidP="00FE7DD7">
      <w:pPr>
        <w:pStyle w:val="Reference"/>
      </w:pPr>
      <w:r w:rsidRPr="00AC617B">
        <w:t>ABS (Australian Bureau of Statistics)</w:t>
      </w:r>
      <w:r w:rsidR="004C5410">
        <w:t>,</w:t>
      </w:r>
      <w:r w:rsidRPr="00AC617B">
        <w:t xml:space="preserve"> </w:t>
      </w:r>
      <w:r w:rsidR="003F0234">
        <w:t xml:space="preserve">2007 </w:t>
      </w:r>
      <w:r w:rsidR="000276E2" w:rsidRPr="00FC11CB">
        <w:t>www.abs.gov.au/Ausstats/abs@.nsf/0/93E468A5C48B343ECA25703C0082B0D6?opendocument</w:t>
      </w:r>
      <w:r w:rsidR="003F0234" w:rsidRPr="00A65539">
        <w:t xml:space="preserve"> accessed on 16 October 2012).</w:t>
      </w:r>
    </w:p>
    <w:p w:rsidR="003F0234" w:rsidRPr="00AC617B" w:rsidRDefault="003F0234" w:rsidP="003F0234">
      <w:pPr>
        <w:pStyle w:val="Reference"/>
      </w:pPr>
      <w:r w:rsidRPr="00AC617B">
        <w:t xml:space="preserve">—— 2010, </w:t>
      </w:r>
      <w:r w:rsidRPr="00AC617B">
        <w:rPr>
          <w:i/>
        </w:rPr>
        <w:t>Community Services Australia, 2008</w:t>
      </w:r>
      <w:r>
        <w:rPr>
          <w:i/>
        </w:rPr>
        <w:noBreakHyphen/>
      </w:r>
      <w:r w:rsidRPr="00AC617B">
        <w:rPr>
          <w:i/>
        </w:rPr>
        <w:t>09</w:t>
      </w:r>
      <w:r w:rsidRPr="00AC617B">
        <w:t>, Cat. no. 8696.0, Canberra.</w:t>
      </w:r>
    </w:p>
    <w:p w:rsidR="00FE7DD7" w:rsidRPr="00AC617B" w:rsidRDefault="00FE7DD7" w:rsidP="00FE7DD7">
      <w:pPr>
        <w:pStyle w:val="Reference"/>
      </w:pPr>
      <w:r w:rsidRPr="00AC617B">
        <w:t xml:space="preserve">—— </w:t>
      </w:r>
      <w:r w:rsidR="0019200C" w:rsidRPr="00AC617B">
        <w:t>201</w:t>
      </w:r>
      <w:r w:rsidR="0019200C">
        <w:t>3</w:t>
      </w:r>
      <w:r w:rsidRPr="00AC617B">
        <w:t xml:space="preserve">, </w:t>
      </w:r>
      <w:r w:rsidRPr="00AC617B">
        <w:rPr>
          <w:i/>
        </w:rPr>
        <w:t>Australian National Accounts: National Income, National Expenditure and Product</w:t>
      </w:r>
      <w:r w:rsidRPr="00AC617B">
        <w:t>, Cat. no. 5206.0, Canberra.</w:t>
      </w:r>
    </w:p>
    <w:p w:rsidR="005642C5" w:rsidRPr="00E16C8F" w:rsidRDefault="005642C5" w:rsidP="00551B18">
      <w:pPr>
        <w:pStyle w:val="Reference"/>
      </w:pPr>
      <w:r w:rsidRPr="00551B18">
        <w:t xml:space="preserve">Allen Consulting Group 2003, </w:t>
      </w:r>
      <w:r w:rsidRPr="00551B18">
        <w:rPr>
          <w:i/>
        </w:rPr>
        <w:t>Protecting children: The child protection outcomes project</w:t>
      </w:r>
      <w:r w:rsidRPr="00551B18">
        <w:t>, Allen Consulting Group, Sydney.</w:t>
      </w:r>
    </w:p>
    <w:p w:rsidR="00FE7DD7" w:rsidRDefault="00FE7DD7" w:rsidP="00FE7DD7">
      <w:pPr>
        <w:pStyle w:val="Reference"/>
      </w:pPr>
      <w:r w:rsidRPr="00AC617B">
        <w:t xml:space="preserve">Australian Council of Social Service 2009, </w:t>
      </w:r>
      <w:r w:rsidRPr="00AC617B">
        <w:rPr>
          <w:i/>
        </w:rPr>
        <w:t>Australian Community Sector Survey Report 2009</w:t>
      </w:r>
      <w:r w:rsidRPr="00AC617B">
        <w:t>, Strawberry Hills.</w:t>
      </w:r>
    </w:p>
    <w:p w:rsidR="00A004E9" w:rsidRPr="00AC617B" w:rsidRDefault="00A004E9" w:rsidP="00FE7DD7">
      <w:pPr>
        <w:pStyle w:val="Reference"/>
      </w:pPr>
      <w:r w:rsidRPr="00AC617B">
        <w:t>—— 20</w:t>
      </w:r>
      <w:r>
        <w:t>11</w:t>
      </w:r>
      <w:r w:rsidRPr="00AC617B">
        <w:t xml:space="preserve">, </w:t>
      </w:r>
      <w:r w:rsidRPr="00AC617B">
        <w:rPr>
          <w:i/>
        </w:rPr>
        <w:t>Australian Community Sector Survey,</w:t>
      </w:r>
      <w:r>
        <w:rPr>
          <w:i/>
        </w:rPr>
        <w:t xml:space="preserve"> </w:t>
      </w:r>
      <w:r w:rsidRPr="00A004E9">
        <w:t xml:space="preserve">ACOSS Paper 173, Volume 1 </w:t>
      </w:r>
      <w:r w:rsidR="004C5410">
        <w:t>—</w:t>
      </w:r>
      <w:r w:rsidRPr="00A004E9">
        <w:t xml:space="preserve"> National.</w:t>
      </w:r>
      <w:r w:rsidRPr="00AC617B">
        <w:t xml:space="preserve"> </w:t>
      </w:r>
    </w:p>
    <w:p w:rsidR="00FE7DD7" w:rsidRPr="00AC617B" w:rsidRDefault="00FE7DD7" w:rsidP="00FE7DD7">
      <w:pPr>
        <w:pStyle w:val="Reference"/>
      </w:pPr>
      <w:r w:rsidRPr="00AC617B">
        <w:t xml:space="preserve">Australian Government 2008, </w:t>
      </w:r>
      <w:r w:rsidRPr="00AC617B">
        <w:rPr>
          <w:i/>
        </w:rPr>
        <w:t>Families in Australia: 2008</w:t>
      </w:r>
      <w:r w:rsidRPr="00AC617B">
        <w:t>, Commonwealth of Australia, Canberra.</w:t>
      </w:r>
    </w:p>
    <w:p w:rsidR="00667D7F" w:rsidRPr="00AC617B" w:rsidRDefault="00FE7DD7" w:rsidP="00FE7DD7">
      <w:pPr>
        <w:pStyle w:val="Reference"/>
      </w:pPr>
      <w:r w:rsidRPr="00AC617B">
        <w:t xml:space="preserve">—— </w:t>
      </w:r>
      <w:r w:rsidR="00667D7F" w:rsidRPr="00B76EC1">
        <w:t xml:space="preserve">2011, </w:t>
      </w:r>
      <w:r w:rsidR="00667D7F" w:rsidRPr="00B76EC1">
        <w:rPr>
          <w:i/>
        </w:rPr>
        <w:t>Addressing barriers for jobless families: Australian Social Inclusion Board,</w:t>
      </w:r>
      <w:r w:rsidR="00667D7F" w:rsidRPr="00B76EC1">
        <w:t xml:space="preserve"> Commonwealth of Australia, Canberra.</w:t>
      </w:r>
    </w:p>
    <w:p w:rsidR="00FE7DD7" w:rsidRPr="00AC617B" w:rsidRDefault="00FE7DD7" w:rsidP="00FE7DD7">
      <w:pPr>
        <w:pStyle w:val="Reference"/>
      </w:pPr>
      <w:r w:rsidRPr="00AC617B">
        <w:t xml:space="preserve">AIHW (Australian Institute of Health and Welfare) 2003 (and previous issues), </w:t>
      </w:r>
      <w:r w:rsidRPr="00AC617B">
        <w:rPr>
          <w:i/>
        </w:rPr>
        <w:t>National Classifications of Community Services, Version 2.0</w:t>
      </w:r>
      <w:r w:rsidRPr="00AC617B">
        <w:t xml:space="preserve">, Cat. no. HWI 40, Canberra. </w:t>
      </w:r>
    </w:p>
    <w:p w:rsidR="00FE7DD7" w:rsidRPr="00AC617B" w:rsidRDefault="00FE7DD7" w:rsidP="00FE7DD7">
      <w:pPr>
        <w:pStyle w:val="Reference"/>
      </w:pPr>
      <w:r w:rsidRPr="00AC617B">
        <w:t xml:space="preserve">—— 2005, </w:t>
      </w:r>
      <w:r w:rsidRPr="00AC617B">
        <w:rPr>
          <w:i/>
        </w:rPr>
        <w:t>National Community Services Information Strategic Plan 2005–2009</w:t>
      </w:r>
      <w:r w:rsidRPr="00AC617B">
        <w:t>, Cat. no. AUS 68, Canberra.</w:t>
      </w:r>
    </w:p>
    <w:p w:rsidR="00FE7DD7" w:rsidRPr="00AC617B" w:rsidRDefault="00FE7DD7" w:rsidP="00FE7DD7">
      <w:pPr>
        <w:pStyle w:val="Reference"/>
      </w:pPr>
      <w:r w:rsidRPr="00AC617B">
        <w:t xml:space="preserve">—— 2006, </w:t>
      </w:r>
      <w:r w:rsidRPr="00AC617B">
        <w:rPr>
          <w:i/>
        </w:rPr>
        <w:t>Disability and disability services in Australia</w:t>
      </w:r>
      <w:r w:rsidRPr="00AC617B">
        <w:t>. Cat. no. DIS 43. Canberra.</w:t>
      </w:r>
    </w:p>
    <w:p w:rsidR="000B4DDC" w:rsidRPr="00551B18" w:rsidRDefault="000B4DDC" w:rsidP="00551B18">
      <w:pPr>
        <w:pStyle w:val="Reference"/>
      </w:pPr>
      <w:r w:rsidRPr="00551B18">
        <w:t xml:space="preserve">—— 2010, </w:t>
      </w:r>
      <w:r w:rsidRPr="00551B18">
        <w:rPr>
          <w:i/>
        </w:rPr>
        <w:t>Australia’s health 2010</w:t>
      </w:r>
      <w:r w:rsidR="00DC146F">
        <w:rPr>
          <w:i/>
        </w:rPr>
        <w:t>,</w:t>
      </w:r>
      <w:r w:rsidRPr="00551B18">
        <w:rPr>
          <w:i/>
        </w:rPr>
        <w:t xml:space="preserve"> </w:t>
      </w:r>
      <w:r w:rsidRPr="00551B18">
        <w:t>Cat. no. AUS 122</w:t>
      </w:r>
      <w:r w:rsidR="00DC146F">
        <w:t>,</w:t>
      </w:r>
      <w:r w:rsidRPr="00551B18">
        <w:t xml:space="preserve"> Canberra.</w:t>
      </w:r>
    </w:p>
    <w:p w:rsidR="0095721B" w:rsidRDefault="0095721B" w:rsidP="00551B18">
      <w:pPr>
        <w:pStyle w:val="Reference"/>
      </w:pPr>
      <w:r w:rsidRPr="00551B18">
        <w:t xml:space="preserve">—— 2011, </w:t>
      </w:r>
      <w:r w:rsidRPr="00551B18">
        <w:rPr>
          <w:i/>
        </w:rPr>
        <w:t>Australia’s welfare 2011</w:t>
      </w:r>
      <w:r w:rsidR="00DC146F">
        <w:rPr>
          <w:i/>
        </w:rPr>
        <w:t>,</w:t>
      </w:r>
      <w:r w:rsidRPr="00551B18">
        <w:t xml:space="preserve"> Australia’s welfare series no. 10. Cat. no. AUS 142, Canberra.</w:t>
      </w:r>
    </w:p>
    <w:p w:rsidR="004420D6" w:rsidRDefault="004420D6" w:rsidP="004420D6">
      <w:pPr>
        <w:pStyle w:val="Reference"/>
      </w:pPr>
      <w:r w:rsidRPr="00B76EC1">
        <w:t xml:space="preserve">—— 2012, </w:t>
      </w:r>
      <w:r w:rsidRPr="00B76EC1">
        <w:rPr>
          <w:i/>
        </w:rPr>
        <w:t>Children and young people at risk of social exclusion: Links between homelessness, child protection and juvenile justice</w:t>
      </w:r>
      <w:r w:rsidRPr="00B76EC1">
        <w:t>, Data linkage series no. 13 Cat. no. CSI 13. Canberra: AIHW.</w:t>
      </w:r>
    </w:p>
    <w:p w:rsidR="00F17222" w:rsidRPr="00AC617B" w:rsidRDefault="00F17222" w:rsidP="004420D6">
      <w:pPr>
        <w:pStyle w:val="Reference"/>
      </w:pPr>
      <w:r w:rsidRPr="00B76EC1">
        <w:t xml:space="preserve">—— </w:t>
      </w:r>
      <w:r w:rsidRPr="00551B18">
        <w:t>201</w:t>
      </w:r>
      <w:r>
        <w:t>3</w:t>
      </w:r>
      <w:r w:rsidRPr="00551B18">
        <w:t xml:space="preserve">, </w:t>
      </w:r>
      <w:r w:rsidRPr="00551B18">
        <w:rPr>
          <w:i/>
        </w:rPr>
        <w:t>Australia’s welfare 201</w:t>
      </w:r>
      <w:r>
        <w:rPr>
          <w:i/>
        </w:rPr>
        <w:t>3,</w:t>
      </w:r>
      <w:r w:rsidRPr="00551B18">
        <w:t xml:space="preserve"> Australia’s welfare series no. 10. Cat. no. AUS 1</w:t>
      </w:r>
      <w:r>
        <w:t>74</w:t>
      </w:r>
      <w:r w:rsidRPr="00551B18">
        <w:t>, Canberra.</w:t>
      </w:r>
    </w:p>
    <w:p w:rsidR="00FB3E36" w:rsidRDefault="00FB3E36" w:rsidP="00551B18">
      <w:pPr>
        <w:pStyle w:val="Reference"/>
      </w:pPr>
      <w:r w:rsidRPr="00551B18">
        <w:t xml:space="preserve">Bromfield, L. M., and Holzer, P. J., 2008, </w:t>
      </w:r>
      <w:r w:rsidRPr="00551B18">
        <w:rPr>
          <w:i/>
        </w:rPr>
        <w:t>NCPASS comparability of child protection data: Project report</w:t>
      </w:r>
      <w:r w:rsidRPr="00551B18">
        <w:t>, Australian Institute of Family Studies, Melbourne.</w:t>
      </w:r>
    </w:p>
    <w:p w:rsidR="00FE7DD7" w:rsidRPr="00AC617B" w:rsidRDefault="00FE7DD7" w:rsidP="00551B18">
      <w:pPr>
        <w:pStyle w:val="Reference"/>
      </w:pPr>
      <w:r w:rsidRPr="00551B18">
        <w:lastRenderedPageBreak/>
        <w:t>Council of Australian Governments (COAG) 20</w:t>
      </w:r>
      <w:r w:rsidR="00CE3A29" w:rsidRPr="00551B18">
        <w:t>09</w:t>
      </w:r>
      <w:r w:rsidRPr="00551B18">
        <w:t xml:space="preserve">, </w:t>
      </w:r>
      <w:r w:rsidR="00CE3A29" w:rsidRPr="00551B18">
        <w:rPr>
          <w:i/>
          <w:iCs/>
        </w:rPr>
        <w:t xml:space="preserve">National Healthcare Agreement, </w:t>
      </w:r>
      <w:r w:rsidR="00CE3A29" w:rsidRPr="00551B18">
        <w:t>www.coag.gov.au/intergov_agreements/federal_financial_relations/docs/IGA_FFR_ScheduleF_National_Healthcare_Agreement.rtf (accessed 15 October 2010).</w:t>
      </w:r>
    </w:p>
    <w:p w:rsidR="00913C89" w:rsidRPr="00667AED" w:rsidRDefault="003341E0" w:rsidP="00667AED">
      <w:pPr>
        <w:pStyle w:val="Reference"/>
      </w:pPr>
      <w:r>
        <w:t xml:space="preserve">Diener, E. </w:t>
      </w:r>
      <w:r w:rsidR="00913C89" w:rsidRPr="00667AED">
        <w:t>1984</w:t>
      </w:r>
      <w:r>
        <w:t>,</w:t>
      </w:r>
      <w:r w:rsidR="00913C89" w:rsidRPr="00667AED">
        <w:t xml:space="preserve"> Subjective well-being. </w:t>
      </w:r>
      <w:r w:rsidR="00913C89" w:rsidRPr="00667AED">
        <w:rPr>
          <w:i/>
        </w:rPr>
        <w:t>Psychological Bulletin</w:t>
      </w:r>
      <w:r w:rsidR="00913C89" w:rsidRPr="00667AED">
        <w:t>, 95, 542-575.</w:t>
      </w:r>
    </w:p>
    <w:p w:rsidR="003B3B6D" w:rsidRPr="00AC617B" w:rsidRDefault="00FE7DD7" w:rsidP="003B3B6D">
      <w:pPr>
        <w:pStyle w:val="Reference"/>
      </w:pPr>
      <w:r w:rsidRPr="00AC617B">
        <w:t xml:space="preserve">FaHCSIA (Department of Families, Housing, Community Services and Indigenous Affairs) 2008, </w:t>
      </w:r>
      <w:r w:rsidRPr="00AC617B">
        <w:rPr>
          <w:i/>
        </w:rPr>
        <w:t>Research News</w:t>
      </w:r>
      <w:r w:rsidRPr="00AC617B">
        <w:t>, Issue 31, Canberra.</w:t>
      </w:r>
      <w:r w:rsidR="003B3B6D" w:rsidRPr="00B76EC1">
        <w:t xml:space="preserve"> </w:t>
      </w:r>
    </w:p>
    <w:p w:rsidR="00012EEC" w:rsidRPr="00551B18" w:rsidRDefault="00A2049B" w:rsidP="00551B18">
      <w:pPr>
        <w:pStyle w:val="Reference"/>
      </w:pPr>
      <w:r w:rsidRPr="00551B18">
        <w:t>NHHRC (National Health and Hospitals Reform Commission) 2009, A Healthier Future for All Australians – Final Report June 2009, Canberra</w:t>
      </w:r>
      <w:r w:rsidR="007612E5">
        <w:t>.</w:t>
      </w:r>
      <w:r w:rsidRPr="00551B18">
        <w:t xml:space="preserve"> </w:t>
      </w:r>
    </w:p>
    <w:p w:rsidR="00012EEC" w:rsidRPr="00551B18" w:rsidRDefault="00012EEC" w:rsidP="00551B18">
      <w:pPr>
        <w:pStyle w:val="Reference"/>
      </w:pPr>
      <w:r w:rsidRPr="00551B18">
        <w:t>Productivity Commission 2011</w:t>
      </w:r>
      <w:r w:rsidR="00CE3A29" w:rsidRPr="00551B18">
        <w:t>a</w:t>
      </w:r>
      <w:r w:rsidRPr="00551B18">
        <w:t xml:space="preserve">, </w:t>
      </w:r>
      <w:r w:rsidRPr="00DC146F">
        <w:rPr>
          <w:i/>
        </w:rPr>
        <w:t>Disability Care and Support,</w:t>
      </w:r>
      <w:r w:rsidRPr="00551B18">
        <w:t xml:space="preserve"> Report no. 54, Canberra.</w:t>
      </w:r>
    </w:p>
    <w:p w:rsidR="00DC146F" w:rsidRDefault="00CE3A29" w:rsidP="00CE3A29">
      <w:pPr>
        <w:pStyle w:val="Reference"/>
        <w:rPr>
          <w:sz w:val="24"/>
          <w:szCs w:val="24"/>
        </w:rPr>
      </w:pPr>
      <w:r w:rsidRPr="00551B18">
        <w:t xml:space="preserve">—— 2011b, </w:t>
      </w:r>
      <w:r w:rsidRPr="00DC146F">
        <w:rPr>
          <w:i/>
          <w:sz w:val="24"/>
          <w:szCs w:val="24"/>
        </w:rPr>
        <w:t>Caring for Older Australians,</w:t>
      </w:r>
      <w:r w:rsidRPr="00551B18">
        <w:rPr>
          <w:sz w:val="24"/>
          <w:szCs w:val="24"/>
        </w:rPr>
        <w:t xml:space="preserve"> Report No. 53, Final</w:t>
      </w:r>
      <w:r w:rsidR="00B16B9B">
        <w:rPr>
          <w:sz w:val="24"/>
          <w:szCs w:val="24"/>
        </w:rPr>
        <w:t xml:space="preserve"> </w:t>
      </w:r>
      <w:r w:rsidRPr="00CE3A29">
        <w:rPr>
          <w:sz w:val="24"/>
          <w:szCs w:val="24"/>
        </w:rPr>
        <w:t xml:space="preserve">Inquiry Report, Canberra. </w:t>
      </w:r>
    </w:p>
    <w:p w:rsidR="003341E0" w:rsidRDefault="003341E0" w:rsidP="003341E0">
      <w:pPr>
        <w:pStyle w:val="Reference"/>
      </w:pPr>
      <w:r w:rsidRPr="00B76EC1">
        <w:t xml:space="preserve">Richards, K. 2011, What makes juvenile offenders different from adult offenders? </w:t>
      </w:r>
      <w:r w:rsidRPr="00B76EC1">
        <w:rPr>
          <w:i/>
        </w:rPr>
        <w:t>Trends &amp; Issues in Crime and Criminal Justice</w:t>
      </w:r>
      <w:r w:rsidRPr="00B76EC1">
        <w:t>, 409, Canberra: Australian Institute of Criminology.</w:t>
      </w:r>
    </w:p>
    <w:p w:rsidR="00FE7DD7" w:rsidRDefault="00FE7DD7" w:rsidP="00CE3A29">
      <w:pPr>
        <w:pStyle w:val="Reference"/>
      </w:pPr>
      <w:r w:rsidRPr="00AC617B">
        <w:t xml:space="preserve">Stewart, A., Dennison, S., and Hurren, E. 2005, </w:t>
      </w:r>
      <w:r w:rsidRPr="00AC617B">
        <w:rPr>
          <w:i/>
        </w:rPr>
        <w:t>Final Report, Juvenile Offending Trajectories: Pathways from Child Maltreatment to Juvenile Offending, and Police Cautioning in Queensland,</w:t>
      </w:r>
      <w:r w:rsidRPr="00AC617B">
        <w:t xml:space="preserve"> Griffith University.</w:t>
      </w:r>
    </w:p>
    <w:p w:rsidR="00AD7FF2" w:rsidRPr="00AC617B" w:rsidRDefault="00AD7FF2" w:rsidP="00CE3A29">
      <w:pPr>
        <w:pStyle w:val="Reference"/>
      </w:pPr>
      <w:r>
        <w:t>Stutzer, A. and Frey, B.S. (2010) “Recent Advances in the Economics of Individual Subjective Wellbeing” Discussion Paper No. 4850. Institute for the Study of Labor (IZA): Zurich</w:t>
      </w:r>
    </w:p>
    <w:p w:rsidR="00FE7DD7" w:rsidRPr="00AC617B" w:rsidRDefault="00FE7DD7" w:rsidP="00FE7DD7">
      <w:pPr>
        <w:pStyle w:val="Reference"/>
        <w:jc w:val="left"/>
      </w:pPr>
      <w:r w:rsidRPr="00AC617B">
        <w:t xml:space="preserve">UNSW (University of New South Wales), Australian Institute for Population Ageing Research website, </w:t>
      </w:r>
      <w:r w:rsidR="0030346F">
        <w:t xml:space="preserve">2009, </w:t>
      </w:r>
      <w:r w:rsidRPr="00AC617B">
        <w:t>www2.business.unsw.edu.au/nps/servlet/portalservice?GI_ID=System.LoggedOutInheritableArea&amp;maxWnd=T_AIPAR_home (accessed 2 October 2009).</w:t>
      </w:r>
    </w:p>
    <w:sectPr w:rsidR="00FE7DD7" w:rsidRPr="00AC617B" w:rsidSect="008B2B88">
      <w:headerReference w:type="even" r:id="rId20"/>
      <w:headerReference w:type="default" r:id="rId21"/>
      <w:footerReference w:type="even" r:id="rId22"/>
      <w:footerReference w:type="default" r:id="rId23"/>
      <w:pgSz w:w="11907" w:h="16840" w:code="9"/>
      <w:pgMar w:top="1985" w:right="1304" w:bottom="1418"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802" w:rsidRDefault="00B97802">
      <w:r>
        <w:separator/>
      </w:r>
    </w:p>
  </w:endnote>
  <w:endnote w:type="continuationSeparator" w:id="0">
    <w:p w:rsidR="00B97802" w:rsidRDefault="00B97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ivaldi">
    <w:panose1 w:val="0302060205050609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97802" w:rsidTr="0019293B">
      <w:trPr>
        <w:trHeight w:hRule="exact" w:val="740"/>
      </w:trPr>
      <w:tc>
        <w:tcPr>
          <w:tcW w:w="510" w:type="dxa"/>
          <w:tcBorders>
            <w:top w:val="single" w:sz="6" w:space="0" w:color="auto"/>
          </w:tcBorders>
        </w:tcPr>
        <w:p w:rsidR="00B97802" w:rsidRDefault="00B97802" w:rsidP="0019293B">
          <w:pPr>
            <w:pStyle w:val="Footer"/>
            <w:tabs>
              <w:tab w:val="left" w:pos="0"/>
            </w:tabs>
            <w:ind w:right="0"/>
            <w:rPr>
              <w:rStyle w:val="PageNumber"/>
            </w:rPr>
          </w:pPr>
          <w:r>
            <w:rPr>
              <w:rStyle w:val="PageNumber"/>
            </w:rPr>
            <w:t>f.</w:t>
          </w:r>
          <w:r>
            <w:rPr>
              <w:rStyle w:val="PageNumber"/>
            </w:rPr>
            <w:fldChar w:fldCharType="begin"/>
          </w:r>
          <w:r>
            <w:rPr>
              <w:rStyle w:val="PageNumber"/>
            </w:rPr>
            <w:instrText xml:space="preserve">PAGE  </w:instrText>
          </w:r>
          <w:r>
            <w:rPr>
              <w:rStyle w:val="PageNumber"/>
            </w:rPr>
            <w:fldChar w:fldCharType="separate"/>
          </w:r>
          <w:r w:rsidR="00087118">
            <w:rPr>
              <w:rStyle w:val="PageNumber"/>
              <w:noProof/>
            </w:rPr>
            <w:t>44</w:t>
          </w:r>
          <w:r>
            <w:rPr>
              <w:rStyle w:val="PageNumber"/>
            </w:rPr>
            <w:fldChar w:fldCharType="end"/>
          </w:r>
        </w:p>
      </w:tc>
      <w:tc>
        <w:tcPr>
          <w:tcW w:w="1644" w:type="dxa"/>
          <w:tcBorders>
            <w:top w:val="single" w:sz="6" w:space="0" w:color="auto"/>
          </w:tcBorders>
        </w:tcPr>
        <w:p w:rsidR="00B97802" w:rsidRPr="007574B1" w:rsidRDefault="00B97802" w:rsidP="00032B6D">
          <w:pPr>
            <w:pStyle w:val="Footer"/>
          </w:pPr>
          <w:r w:rsidRPr="007574B1">
            <w:t>REPORT ON GOVERNMENT SERVICES</w:t>
          </w:r>
          <w:r>
            <w:t xml:space="preserve"> 2014</w:t>
          </w:r>
        </w:p>
      </w:tc>
      <w:tc>
        <w:tcPr>
          <w:tcW w:w="6634" w:type="dxa"/>
        </w:tcPr>
        <w:p w:rsidR="00B97802" w:rsidRDefault="00B97802" w:rsidP="0019293B">
          <w:pPr>
            <w:pStyle w:val="Footer"/>
          </w:pPr>
        </w:p>
      </w:tc>
    </w:tr>
  </w:tbl>
  <w:p w:rsidR="00B97802" w:rsidRDefault="00B9780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97802">
      <w:trPr>
        <w:trHeight w:hRule="exact" w:val="740"/>
      </w:trPr>
      <w:tc>
        <w:tcPr>
          <w:tcW w:w="6634" w:type="dxa"/>
        </w:tcPr>
        <w:p w:rsidR="00B97802" w:rsidRDefault="00B97802">
          <w:pPr>
            <w:pStyle w:val="Footer"/>
            <w:ind w:right="360" w:firstLine="360"/>
          </w:pPr>
        </w:p>
      </w:tc>
      <w:tc>
        <w:tcPr>
          <w:tcW w:w="1644" w:type="dxa"/>
          <w:tcBorders>
            <w:top w:val="single" w:sz="6" w:space="0" w:color="auto"/>
          </w:tcBorders>
        </w:tcPr>
        <w:p w:rsidR="00B97802" w:rsidRPr="007574B1" w:rsidRDefault="00B97802" w:rsidP="00DC146F">
          <w:pPr>
            <w:pStyle w:val="Footer"/>
          </w:pPr>
          <w:r w:rsidRPr="007574B1">
            <w:t xml:space="preserve">COMMUNITY SERVICES SECTOR </w:t>
          </w:r>
          <w:bookmarkStart w:id="26" w:name="begin"/>
          <w:bookmarkEnd w:id="26"/>
          <w:r>
            <w:t>overview</w:t>
          </w:r>
        </w:p>
      </w:tc>
      <w:tc>
        <w:tcPr>
          <w:tcW w:w="510" w:type="dxa"/>
          <w:tcBorders>
            <w:top w:val="single" w:sz="6" w:space="0" w:color="auto"/>
          </w:tcBorders>
        </w:tcPr>
        <w:p w:rsidR="00B97802" w:rsidRDefault="00B97802" w:rsidP="008423D6">
          <w:pPr>
            <w:pStyle w:val="Footer"/>
            <w:tabs>
              <w:tab w:val="left" w:pos="375"/>
              <w:tab w:val="right" w:pos="504"/>
            </w:tabs>
            <w:jc w:val="right"/>
          </w:pPr>
          <w:r>
            <w:rPr>
              <w:rStyle w:val="PageNumber"/>
            </w:rPr>
            <w:t>f.</w:t>
          </w:r>
          <w:r>
            <w:rPr>
              <w:rStyle w:val="PageNumber"/>
            </w:rPr>
            <w:fldChar w:fldCharType="begin"/>
          </w:r>
          <w:r>
            <w:rPr>
              <w:rStyle w:val="PageNumber"/>
            </w:rPr>
            <w:instrText xml:space="preserve">PAGE  </w:instrText>
          </w:r>
          <w:r>
            <w:rPr>
              <w:rStyle w:val="PageNumber"/>
            </w:rPr>
            <w:fldChar w:fldCharType="separate"/>
          </w:r>
          <w:r w:rsidR="00087118">
            <w:rPr>
              <w:rStyle w:val="PageNumber"/>
              <w:noProof/>
            </w:rPr>
            <w:t>1</w:t>
          </w:r>
          <w:r>
            <w:rPr>
              <w:rStyle w:val="PageNumber"/>
            </w:rPr>
            <w:fldChar w:fldCharType="end"/>
          </w:r>
        </w:p>
      </w:tc>
    </w:tr>
  </w:tbl>
  <w:p w:rsidR="00B97802" w:rsidRDefault="00B9780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802" w:rsidRDefault="00B97802">
      <w:r>
        <w:separator/>
      </w:r>
    </w:p>
  </w:footnote>
  <w:footnote w:type="continuationSeparator" w:id="0">
    <w:p w:rsidR="00B97802" w:rsidRDefault="00B97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97802" w:rsidTr="0019293B">
      <w:tc>
        <w:tcPr>
          <w:tcW w:w="2155" w:type="dxa"/>
          <w:tcBorders>
            <w:top w:val="single" w:sz="24" w:space="0" w:color="auto"/>
          </w:tcBorders>
        </w:tcPr>
        <w:p w:rsidR="00B97802" w:rsidRDefault="00B97802" w:rsidP="0019293B">
          <w:pPr>
            <w:pStyle w:val="HeaderEven"/>
          </w:pPr>
        </w:p>
      </w:tc>
      <w:tc>
        <w:tcPr>
          <w:tcW w:w="6634" w:type="dxa"/>
          <w:tcBorders>
            <w:top w:val="single" w:sz="6" w:space="0" w:color="auto"/>
          </w:tcBorders>
        </w:tcPr>
        <w:p w:rsidR="00B97802" w:rsidRDefault="00B97802" w:rsidP="008F407E">
          <w:pPr>
            <w:pStyle w:val="HeaderEven"/>
            <w:jc w:val="right"/>
          </w:pPr>
        </w:p>
      </w:tc>
    </w:tr>
  </w:tbl>
  <w:p w:rsidR="00B97802" w:rsidRDefault="00B97802"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97802" w:rsidTr="00E669E2">
      <w:tc>
        <w:tcPr>
          <w:tcW w:w="6634" w:type="dxa"/>
          <w:tcBorders>
            <w:top w:val="single" w:sz="6" w:space="0" w:color="auto"/>
          </w:tcBorders>
        </w:tcPr>
        <w:p w:rsidR="00B97802" w:rsidRDefault="00B97802" w:rsidP="008F407E">
          <w:pPr>
            <w:pStyle w:val="HeaderOdd"/>
          </w:pPr>
        </w:p>
      </w:tc>
      <w:tc>
        <w:tcPr>
          <w:tcW w:w="2155" w:type="dxa"/>
          <w:tcBorders>
            <w:top w:val="single" w:sz="24" w:space="0" w:color="auto"/>
          </w:tcBorders>
        </w:tcPr>
        <w:p w:rsidR="00B97802" w:rsidRDefault="00B97802" w:rsidP="00E669E2">
          <w:pPr>
            <w:pStyle w:val="HeaderOdd"/>
          </w:pPr>
        </w:p>
      </w:tc>
    </w:tr>
  </w:tbl>
  <w:p w:rsidR="00B97802" w:rsidRDefault="00B97802"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8">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1">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2">
    <w:nsid w:val="3C722E17"/>
    <w:multiLevelType w:val="hybridMultilevel"/>
    <w:tmpl w:val="D03C1D6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0"/>
  </w:num>
  <w:num w:numId="3">
    <w:abstractNumId w:val="43"/>
  </w:num>
  <w:num w:numId="4">
    <w:abstractNumId w:val="7"/>
  </w:num>
  <w:num w:numId="5">
    <w:abstractNumId w:val="26"/>
  </w:num>
  <w:num w:numId="6">
    <w:abstractNumId w:val="9"/>
  </w:num>
  <w:num w:numId="7">
    <w:abstractNumId w:val="38"/>
  </w:num>
  <w:num w:numId="8">
    <w:abstractNumId w:val="29"/>
  </w:num>
  <w:num w:numId="9">
    <w:abstractNumId w:val="44"/>
  </w:num>
  <w:num w:numId="10">
    <w:abstractNumId w:val="17"/>
  </w:num>
  <w:num w:numId="11">
    <w:abstractNumId w:val="16"/>
  </w:num>
  <w:num w:numId="12">
    <w:abstractNumId w:val="27"/>
  </w:num>
  <w:num w:numId="13">
    <w:abstractNumId w:val="15"/>
  </w:num>
  <w:num w:numId="14">
    <w:abstractNumId w:val="14"/>
  </w:num>
  <w:num w:numId="15">
    <w:abstractNumId w:val="22"/>
  </w:num>
  <w:num w:numId="16">
    <w:abstractNumId w:val="19"/>
  </w:num>
  <w:num w:numId="17">
    <w:abstractNumId w:val="23"/>
  </w:num>
  <w:num w:numId="18">
    <w:abstractNumId w:val="31"/>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5"/>
  </w:num>
  <w:num w:numId="27">
    <w:abstractNumId w:val="37"/>
  </w:num>
  <w:num w:numId="28">
    <w:abstractNumId w:val="25"/>
  </w:num>
  <w:num w:numId="29">
    <w:abstractNumId w:val="28"/>
  </w:num>
  <w:num w:numId="30">
    <w:abstractNumId w:val="30"/>
  </w:num>
  <w:num w:numId="31">
    <w:abstractNumId w:val="42"/>
  </w:num>
  <w:num w:numId="32">
    <w:abstractNumId w:val="34"/>
  </w:num>
  <w:num w:numId="33">
    <w:abstractNumId w:val="39"/>
  </w:num>
  <w:num w:numId="34">
    <w:abstractNumId w:val="40"/>
  </w:num>
  <w:num w:numId="35">
    <w:abstractNumId w:val="32"/>
  </w:num>
  <w:num w:numId="36">
    <w:abstractNumId w:val="21"/>
  </w:num>
  <w:num w:numId="37">
    <w:abstractNumId w:val="45"/>
  </w:num>
  <w:num w:numId="38">
    <w:abstractNumId w:val="8"/>
  </w:num>
  <w:num w:numId="39">
    <w:abstractNumId w:val="18"/>
  </w:num>
  <w:num w:numId="40">
    <w:abstractNumId w:val="41"/>
  </w:num>
  <w:num w:numId="41">
    <w:abstractNumId w:val="33"/>
  </w:num>
  <w:num w:numId="42">
    <w:abstractNumId w:val="13"/>
  </w:num>
  <w:num w:numId="43">
    <w:abstractNumId w:val="36"/>
  </w:num>
  <w:num w:numId="44">
    <w:abstractNumId w:val="24"/>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 w:numId="47">
    <w:abstractNumId w:val="26"/>
  </w:num>
  <w:num w:numId="48">
    <w:abstractNumId w:val="26"/>
  </w:num>
  <w:num w:numId="49">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F"/>
    <w:docVar w:name="FindingOptions" w:val="1"/>
    <w:docVar w:name="RecOptions" w:val="111"/>
    <w:docVar w:name="ShortChapterTitle" w:val="Housing and Homelessness sector summary"/>
    <w:docVar w:name="ShortReportTitle" w:val="2012 Report on Government Services"/>
  </w:docVars>
  <w:rsids>
    <w:rsidRoot w:val="008B2B88"/>
    <w:rsid w:val="00001A26"/>
    <w:rsid w:val="00002906"/>
    <w:rsid w:val="00003939"/>
    <w:rsid w:val="000048ED"/>
    <w:rsid w:val="00004F85"/>
    <w:rsid w:val="000054DF"/>
    <w:rsid w:val="00006499"/>
    <w:rsid w:val="000073D6"/>
    <w:rsid w:val="00007F79"/>
    <w:rsid w:val="0001168A"/>
    <w:rsid w:val="0001249D"/>
    <w:rsid w:val="00012606"/>
    <w:rsid w:val="00012EEC"/>
    <w:rsid w:val="0001316B"/>
    <w:rsid w:val="00013629"/>
    <w:rsid w:val="000143FC"/>
    <w:rsid w:val="000154A3"/>
    <w:rsid w:val="00015B20"/>
    <w:rsid w:val="000167C1"/>
    <w:rsid w:val="00017094"/>
    <w:rsid w:val="00017398"/>
    <w:rsid w:val="0002036F"/>
    <w:rsid w:val="000204FD"/>
    <w:rsid w:val="00020E04"/>
    <w:rsid w:val="00023230"/>
    <w:rsid w:val="000237C1"/>
    <w:rsid w:val="000243AB"/>
    <w:rsid w:val="00024A62"/>
    <w:rsid w:val="000276E2"/>
    <w:rsid w:val="00027729"/>
    <w:rsid w:val="00032B6D"/>
    <w:rsid w:val="00033496"/>
    <w:rsid w:val="00033A80"/>
    <w:rsid w:val="0003440F"/>
    <w:rsid w:val="0003664B"/>
    <w:rsid w:val="00036A5F"/>
    <w:rsid w:val="00036DBF"/>
    <w:rsid w:val="0004021D"/>
    <w:rsid w:val="0004033A"/>
    <w:rsid w:val="0004040E"/>
    <w:rsid w:val="0004111F"/>
    <w:rsid w:val="00041828"/>
    <w:rsid w:val="00043621"/>
    <w:rsid w:val="00044121"/>
    <w:rsid w:val="00045008"/>
    <w:rsid w:val="00046094"/>
    <w:rsid w:val="000464E1"/>
    <w:rsid w:val="00051D8F"/>
    <w:rsid w:val="00052DBC"/>
    <w:rsid w:val="00054FBC"/>
    <w:rsid w:val="00055781"/>
    <w:rsid w:val="00055CAB"/>
    <w:rsid w:val="00056483"/>
    <w:rsid w:val="00056544"/>
    <w:rsid w:val="00056717"/>
    <w:rsid w:val="000573FC"/>
    <w:rsid w:val="00057537"/>
    <w:rsid w:val="00057ADE"/>
    <w:rsid w:val="00060666"/>
    <w:rsid w:val="00060EA1"/>
    <w:rsid w:val="0006257A"/>
    <w:rsid w:val="000632E1"/>
    <w:rsid w:val="0006398E"/>
    <w:rsid w:val="00065BE5"/>
    <w:rsid w:val="00066C2C"/>
    <w:rsid w:val="000672AC"/>
    <w:rsid w:val="000674C3"/>
    <w:rsid w:val="00067AF5"/>
    <w:rsid w:val="00070088"/>
    <w:rsid w:val="0007150B"/>
    <w:rsid w:val="00071D2E"/>
    <w:rsid w:val="00072C07"/>
    <w:rsid w:val="000748D0"/>
    <w:rsid w:val="00075441"/>
    <w:rsid w:val="000769AD"/>
    <w:rsid w:val="00077A98"/>
    <w:rsid w:val="00077BB1"/>
    <w:rsid w:val="000831D0"/>
    <w:rsid w:val="00083396"/>
    <w:rsid w:val="00083EEF"/>
    <w:rsid w:val="00085CCF"/>
    <w:rsid w:val="00087118"/>
    <w:rsid w:val="00087876"/>
    <w:rsid w:val="00090281"/>
    <w:rsid w:val="0009065E"/>
    <w:rsid w:val="000921D0"/>
    <w:rsid w:val="0009256B"/>
    <w:rsid w:val="000937A0"/>
    <w:rsid w:val="000938F5"/>
    <w:rsid w:val="0009588B"/>
    <w:rsid w:val="00095E70"/>
    <w:rsid w:val="00096CF3"/>
    <w:rsid w:val="000970BF"/>
    <w:rsid w:val="000A1810"/>
    <w:rsid w:val="000A199B"/>
    <w:rsid w:val="000A1F77"/>
    <w:rsid w:val="000A244C"/>
    <w:rsid w:val="000A2EAE"/>
    <w:rsid w:val="000A3A02"/>
    <w:rsid w:val="000A3DD4"/>
    <w:rsid w:val="000A3E1F"/>
    <w:rsid w:val="000A5954"/>
    <w:rsid w:val="000A73A6"/>
    <w:rsid w:val="000A79BA"/>
    <w:rsid w:val="000B1A5A"/>
    <w:rsid w:val="000B4762"/>
    <w:rsid w:val="000B4A65"/>
    <w:rsid w:val="000B4D98"/>
    <w:rsid w:val="000B4DDC"/>
    <w:rsid w:val="000B601B"/>
    <w:rsid w:val="000B70A7"/>
    <w:rsid w:val="000B72D8"/>
    <w:rsid w:val="000B7745"/>
    <w:rsid w:val="000C182C"/>
    <w:rsid w:val="000C1EEF"/>
    <w:rsid w:val="000C207E"/>
    <w:rsid w:val="000C2290"/>
    <w:rsid w:val="000C2358"/>
    <w:rsid w:val="000C3390"/>
    <w:rsid w:val="000C4F04"/>
    <w:rsid w:val="000C5730"/>
    <w:rsid w:val="000C5AD7"/>
    <w:rsid w:val="000C7CD7"/>
    <w:rsid w:val="000D09EE"/>
    <w:rsid w:val="000D0B05"/>
    <w:rsid w:val="000D1247"/>
    <w:rsid w:val="000D1881"/>
    <w:rsid w:val="000D4D6D"/>
    <w:rsid w:val="000D5632"/>
    <w:rsid w:val="000D5E02"/>
    <w:rsid w:val="000D6710"/>
    <w:rsid w:val="000D7CDD"/>
    <w:rsid w:val="000E120B"/>
    <w:rsid w:val="000E22E0"/>
    <w:rsid w:val="000E4E50"/>
    <w:rsid w:val="000E6649"/>
    <w:rsid w:val="000E6B3A"/>
    <w:rsid w:val="000F0EA0"/>
    <w:rsid w:val="000F26AD"/>
    <w:rsid w:val="000F2940"/>
    <w:rsid w:val="000F6643"/>
    <w:rsid w:val="0010302F"/>
    <w:rsid w:val="00103A38"/>
    <w:rsid w:val="0010506A"/>
    <w:rsid w:val="00107A1E"/>
    <w:rsid w:val="00110116"/>
    <w:rsid w:val="00110F0B"/>
    <w:rsid w:val="001117BC"/>
    <w:rsid w:val="00111FD7"/>
    <w:rsid w:val="00113615"/>
    <w:rsid w:val="00114335"/>
    <w:rsid w:val="0011537D"/>
    <w:rsid w:val="00115A01"/>
    <w:rsid w:val="0011600C"/>
    <w:rsid w:val="0011721E"/>
    <w:rsid w:val="0012171C"/>
    <w:rsid w:val="0012694F"/>
    <w:rsid w:val="00126EB8"/>
    <w:rsid w:val="00126FFB"/>
    <w:rsid w:val="00130B6F"/>
    <w:rsid w:val="001314D7"/>
    <w:rsid w:val="00131EC8"/>
    <w:rsid w:val="00132F74"/>
    <w:rsid w:val="001338EE"/>
    <w:rsid w:val="0013440D"/>
    <w:rsid w:val="00134D51"/>
    <w:rsid w:val="00134F50"/>
    <w:rsid w:val="00135861"/>
    <w:rsid w:val="0013633B"/>
    <w:rsid w:val="001363AA"/>
    <w:rsid w:val="0013746E"/>
    <w:rsid w:val="001403E8"/>
    <w:rsid w:val="00141033"/>
    <w:rsid w:val="0014127F"/>
    <w:rsid w:val="00141740"/>
    <w:rsid w:val="00141F80"/>
    <w:rsid w:val="00142377"/>
    <w:rsid w:val="001423BA"/>
    <w:rsid w:val="00142E40"/>
    <w:rsid w:val="001443C8"/>
    <w:rsid w:val="00144CC2"/>
    <w:rsid w:val="00145401"/>
    <w:rsid w:val="0014572B"/>
    <w:rsid w:val="00145A06"/>
    <w:rsid w:val="0014769D"/>
    <w:rsid w:val="001514CE"/>
    <w:rsid w:val="00152258"/>
    <w:rsid w:val="00153378"/>
    <w:rsid w:val="001541A6"/>
    <w:rsid w:val="00155ACF"/>
    <w:rsid w:val="00156731"/>
    <w:rsid w:val="001571B4"/>
    <w:rsid w:val="00157A9D"/>
    <w:rsid w:val="0016069C"/>
    <w:rsid w:val="001610C1"/>
    <w:rsid w:val="0016118D"/>
    <w:rsid w:val="00162767"/>
    <w:rsid w:val="00162CC6"/>
    <w:rsid w:val="00163A78"/>
    <w:rsid w:val="00165928"/>
    <w:rsid w:val="00166DF5"/>
    <w:rsid w:val="00167E6D"/>
    <w:rsid w:val="00170451"/>
    <w:rsid w:val="0017048F"/>
    <w:rsid w:val="00170B93"/>
    <w:rsid w:val="001710B4"/>
    <w:rsid w:val="00171F25"/>
    <w:rsid w:val="00171FFB"/>
    <w:rsid w:val="0017256B"/>
    <w:rsid w:val="00172E1F"/>
    <w:rsid w:val="001731B5"/>
    <w:rsid w:val="00173979"/>
    <w:rsid w:val="0017417B"/>
    <w:rsid w:val="00177B60"/>
    <w:rsid w:val="00177BA6"/>
    <w:rsid w:val="00181A0D"/>
    <w:rsid w:val="00182642"/>
    <w:rsid w:val="00182C03"/>
    <w:rsid w:val="00183074"/>
    <w:rsid w:val="00184012"/>
    <w:rsid w:val="001860A8"/>
    <w:rsid w:val="001866FC"/>
    <w:rsid w:val="00186E54"/>
    <w:rsid w:val="001876EF"/>
    <w:rsid w:val="00191973"/>
    <w:rsid w:val="00191F61"/>
    <w:rsid w:val="0019200C"/>
    <w:rsid w:val="00192067"/>
    <w:rsid w:val="001926C1"/>
    <w:rsid w:val="0019293B"/>
    <w:rsid w:val="00192BCD"/>
    <w:rsid w:val="00192CA4"/>
    <w:rsid w:val="00193D87"/>
    <w:rsid w:val="001946C1"/>
    <w:rsid w:val="00196DFE"/>
    <w:rsid w:val="00197085"/>
    <w:rsid w:val="00197646"/>
    <w:rsid w:val="00197C1A"/>
    <w:rsid w:val="00197EA7"/>
    <w:rsid w:val="001A00CC"/>
    <w:rsid w:val="001A0559"/>
    <w:rsid w:val="001A081B"/>
    <w:rsid w:val="001A19EC"/>
    <w:rsid w:val="001A3FAD"/>
    <w:rsid w:val="001A423C"/>
    <w:rsid w:val="001A6F28"/>
    <w:rsid w:val="001A6FAD"/>
    <w:rsid w:val="001A77BF"/>
    <w:rsid w:val="001A7AA1"/>
    <w:rsid w:val="001B094F"/>
    <w:rsid w:val="001B1783"/>
    <w:rsid w:val="001B3404"/>
    <w:rsid w:val="001B3E37"/>
    <w:rsid w:val="001B4B60"/>
    <w:rsid w:val="001B5A40"/>
    <w:rsid w:val="001B6E2F"/>
    <w:rsid w:val="001B716A"/>
    <w:rsid w:val="001B75D6"/>
    <w:rsid w:val="001B7F86"/>
    <w:rsid w:val="001C0865"/>
    <w:rsid w:val="001C1835"/>
    <w:rsid w:val="001C3ABA"/>
    <w:rsid w:val="001C5236"/>
    <w:rsid w:val="001C61AC"/>
    <w:rsid w:val="001D192A"/>
    <w:rsid w:val="001D1AE3"/>
    <w:rsid w:val="001D2030"/>
    <w:rsid w:val="001D2266"/>
    <w:rsid w:val="001D2B9E"/>
    <w:rsid w:val="001D35B6"/>
    <w:rsid w:val="001D4BC7"/>
    <w:rsid w:val="001D4C33"/>
    <w:rsid w:val="001D4C67"/>
    <w:rsid w:val="001D6BB7"/>
    <w:rsid w:val="001D7247"/>
    <w:rsid w:val="001E0CE2"/>
    <w:rsid w:val="001E10B3"/>
    <w:rsid w:val="001E2517"/>
    <w:rsid w:val="001E410D"/>
    <w:rsid w:val="001E65FF"/>
    <w:rsid w:val="001E6F0C"/>
    <w:rsid w:val="001E7BE8"/>
    <w:rsid w:val="001E7BF7"/>
    <w:rsid w:val="001F0248"/>
    <w:rsid w:val="001F1AC3"/>
    <w:rsid w:val="001F2DD3"/>
    <w:rsid w:val="001F34A3"/>
    <w:rsid w:val="001F4425"/>
    <w:rsid w:val="001F6464"/>
    <w:rsid w:val="0020094B"/>
    <w:rsid w:val="00201B08"/>
    <w:rsid w:val="0020230F"/>
    <w:rsid w:val="0020262C"/>
    <w:rsid w:val="002027A9"/>
    <w:rsid w:val="00202C2C"/>
    <w:rsid w:val="002034F9"/>
    <w:rsid w:val="00203E5E"/>
    <w:rsid w:val="00204355"/>
    <w:rsid w:val="00205901"/>
    <w:rsid w:val="002079F9"/>
    <w:rsid w:val="00211062"/>
    <w:rsid w:val="00213537"/>
    <w:rsid w:val="00213C29"/>
    <w:rsid w:val="002153A0"/>
    <w:rsid w:val="002163E5"/>
    <w:rsid w:val="00217FBC"/>
    <w:rsid w:val="00222DEF"/>
    <w:rsid w:val="002242D0"/>
    <w:rsid w:val="002251D1"/>
    <w:rsid w:val="00225CE3"/>
    <w:rsid w:val="0022623F"/>
    <w:rsid w:val="00227B1F"/>
    <w:rsid w:val="002315D6"/>
    <w:rsid w:val="00235464"/>
    <w:rsid w:val="0023638B"/>
    <w:rsid w:val="00237A7F"/>
    <w:rsid w:val="00237A88"/>
    <w:rsid w:val="0024099C"/>
    <w:rsid w:val="002410EC"/>
    <w:rsid w:val="00242279"/>
    <w:rsid w:val="0024263F"/>
    <w:rsid w:val="00242C73"/>
    <w:rsid w:val="002445AF"/>
    <w:rsid w:val="00244BB6"/>
    <w:rsid w:val="002450CD"/>
    <w:rsid w:val="002456BF"/>
    <w:rsid w:val="00245958"/>
    <w:rsid w:val="002528BD"/>
    <w:rsid w:val="00253DC7"/>
    <w:rsid w:val="002556E2"/>
    <w:rsid w:val="00255A37"/>
    <w:rsid w:val="00255C2C"/>
    <w:rsid w:val="002578AC"/>
    <w:rsid w:val="002601D2"/>
    <w:rsid w:val="00261535"/>
    <w:rsid w:val="002616A3"/>
    <w:rsid w:val="0026240B"/>
    <w:rsid w:val="00262C3D"/>
    <w:rsid w:val="00263186"/>
    <w:rsid w:val="00263EF8"/>
    <w:rsid w:val="002654F2"/>
    <w:rsid w:val="00270756"/>
    <w:rsid w:val="00270D99"/>
    <w:rsid w:val="00271F7C"/>
    <w:rsid w:val="00272FA3"/>
    <w:rsid w:val="00274A7F"/>
    <w:rsid w:val="00277E32"/>
    <w:rsid w:val="00277FA3"/>
    <w:rsid w:val="00280A4D"/>
    <w:rsid w:val="00285D58"/>
    <w:rsid w:val="00285E19"/>
    <w:rsid w:val="00285F8A"/>
    <w:rsid w:val="00286093"/>
    <w:rsid w:val="00286598"/>
    <w:rsid w:val="0028772E"/>
    <w:rsid w:val="002877D3"/>
    <w:rsid w:val="0029042D"/>
    <w:rsid w:val="00291A2F"/>
    <w:rsid w:val="00291B40"/>
    <w:rsid w:val="00293698"/>
    <w:rsid w:val="00293819"/>
    <w:rsid w:val="002A1BF0"/>
    <w:rsid w:val="002A25BE"/>
    <w:rsid w:val="002A3659"/>
    <w:rsid w:val="002A49F3"/>
    <w:rsid w:val="002A4D3C"/>
    <w:rsid w:val="002A5A84"/>
    <w:rsid w:val="002A5B05"/>
    <w:rsid w:val="002A5E46"/>
    <w:rsid w:val="002A6142"/>
    <w:rsid w:val="002A6DDA"/>
    <w:rsid w:val="002B04AB"/>
    <w:rsid w:val="002B207E"/>
    <w:rsid w:val="002B38EA"/>
    <w:rsid w:val="002B4008"/>
    <w:rsid w:val="002B47C3"/>
    <w:rsid w:val="002B5B30"/>
    <w:rsid w:val="002C1A11"/>
    <w:rsid w:val="002C2B06"/>
    <w:rsid w:val="002C2F98"/>
    <w:rsid w:val="002C34EC"/>
    <w:rsid w:val="002C3E77"/>
    <w:rsid w:val="002C4C5B"/>
    <w:rsid w:val="002C4D32"/>
    <w:rsid w:val="002C4E2B"/>
    <w:rsid w:val="002C5E19"/>
    <w:rsid w:val="002D01DE"/>
    <w:rsid w:val="002D0E8E"/>
    <w:rsid w:val="002D1112"/>
    <w:rsid w:val="002D1148"/>
    <w:rsid w:val="002D2B91"/>
    <w:rsid w:val="002D3459"/>
    <w:rsid w:val="002D63A4"/>
    <w:rsid w:val="002D6F75"/>
    <w:rsid w:val="002D72E8"/>
    <w:rsid w:val="002E0A10"/>
    <w:rsid w:val="002E3077"/>
    <w:rsid w:val="002E6468"/>
    <w:rsid w:val="002E7B5F"/>
    <w:rsid w:val="002F0619"/>
    <w:rsid w:val="002F0D3C"/>
    <w:rsid w:val="002F13FD"/>
    <w:rsid w:val="002F1BD3"/>
    <w:rsid w:val="002F3CD3"/>
    <w:rsid w:val="002F4965"/>
    <w:rsid w:val="002F4FDD"/>
    <w:rsid w:val="00301189"/>
    <w:rsid w:val="00302902"/>
    <w:rsid w:val="0030346F"/>
    <w:rsid w:val="00304FBD"/>
    <w:rsid w:val="00305436"/>
    <w:rsid w:val="003059F7"/>
    <w:rsid w:val="0030763B"/>
    <w:rsid w:val="00307C6F"/>
    <w:rsid w:val="00310485"/>
    <w:rsid w:val="003128CA"/>
    <w:rsid w:val="00315910"/>
    <w:rsid w:val="00316380"/>
    <w:rsid w:val="00317A5A"/>
    <w:rsid w:val="003210D1"/>
    <w:rsid w:val="003215D5"/>
    <w:rsid w:val="003218A4"/>
    <w:rsid w:val="00321919"/>
    <w:rsid w:val="00321F5D"/>
    <w:rsid w:val="0032317C"/>
    <w:rsid w:val="003233C9"/>
    <w:rsid w:val="00323E09"/>
    <w:rsid w:val="003253E0"/>
    <w:rsid w:val="00325E57"/>
    <w:rsid w:val="00326C08"/>
    <w:rsid w:val="0032744B"/>
    <w:rsid w:val="00327C1E"/>
    <w:rsid w:val="00331B2C"/>
    <w:rsid w:val="00332140"/>
    <w:rsid w:val="00333776"/>
    <w:rsid w:val="00333860"/>
    <w:rsid w:val="00333932"/>
    <w:rsid w:val="00333F81"/>
    <w:rsid w:val="003341E0"/>
    <w:rsid w:val="003342D8"/>
    <w:rsid w:val="003353D3"/>
    <w:rsid w:val="00335745"/>
    <w:rsid w:val="0033586C"/>
    <w:rsid w:val="00335B9A"/>
    <w:rsid w:val="0033601E"/>
    <w:rsid w:val="00337C38"/>
    <w:rsid w:val="0034049D"/>
    <w:rsid w:val="003422A7"/>
    <w:rsid w:val="0034238C"/>
    <w:rsid w:val="00342439"/>
    <w:rsid w:val="0034285B"/>
    <w:rsid w:val="003446C1"/>
    <w:rsid w:val="00350E66"/>
    <w:rsid w:val="00351386"/>
    <w:rsid w:val="003518AA"/>
    <w:rsid w:val="00352A93"/>
    <w:rsid w:val="00352F02"/>
    <w:rsid w:val="00353182"/>
    <w:rsid w:val="00353222"/>
    <w:rsid w:val="003534F9"/>
    <w:rsid w:val="003539F4"/>
    <w:rsid w:val="00356C24"/>
    <w:rsid w:val="00357154"/>
    <w:rsid w:val="003572CE"/>
    <w:rsid w:val="00357A35"/>
    <w:rsid w:val="003601A2"/>
    <w:rsid w:val="003602E1"/>
    <w:rsid w:val="003607B0"/>
    <w:rsid w:val="00363D6C"/>
    <w:rsid w:val="00365A60"/>
    <w:rsid w:val="00367A69"/>
    <w:rsid w:val="00367AE8"/>
    <w:rsid w:val="003702C5"/>
    <w:rsid w:val="00370F5C"/>
    <w:rsid w:val="00371240"/>
    <w:rsid w:val="003715B4"/>
    <w:rsid w:val="003720B5"/>
    <w:rsid w:val="003720FF"/>
    <w:rsid w:val="00372995"/>
    <w:rsid w:val="003737D5"/>
    <w:rsid w:val="00374731"/>
    <w:rsid w:val="003753EB"/>
    <w:rsid w:val="00375440"/>
    <w:rsid w:val="00377404"/>
    <w:rsid w:val="003819E7"/>
    <w:rsid w:val="00381DD5"/>
    <w:rsid w:val="003836F1"/>
    <w:rsid w:val="003837F3"/>
    <w:rsid w:val="00383D5C"/>
    <w:rsid w:val="00384132"/>
    <w:rsid w:val="003844A9"/>
    <w:rsid w:val="00385E09"/>
    <w:rsid w:val="0039051E"/>
    <w:rsid w:val="003929BE"/>
    <w:rsid w:val="003931D5"/>
    <w:rsid w:val="00394733"/>
    <w:rsid w:val="00394A31"/>
    <w:rsid w:val="00394A92"/>
    <w:rsid w:val="00395F0B"/>
    <w:rsid w:val="0039606C"/>
    <w:rsid w:val="003967EE"/>
    <w:rsid w:val="003975B8"/>
    <w:rsid w:val="00397770"/>
    <w:rsid w:val="003A14D1"/>
    <w:rsid w:val="003A3C76"/>
    <w:rsid w:val="003A4492"/>
    <w:rsid w:val="003A4BBD"/>
    <w:rsid w:val="003A6AF2"/>
    <w:rsid w:val="003A7DAA"/>
    <w:rsid w:val="003B121A"/>
    <w:rsid w:val="003B153E"/>
    <w:rsid w:val="003B1DFC"/>
    <w:rsid w:val="003B1EA7"/>
    <w:rsid w:val="003B2A86"/>
    <w:rsid w:val="003B38FA"/>
    <w:rsid w:val="003B3B6D"/>
    <w:rsid w:val="003B47B3"/>
    <w:rsid w:val="003B4B2A"/>
    <w:rsid w:val="003B4D1D"/>
    <w:rsid w:val="003B74CB"/>
    <w:rsid w:val="003B7FDE"/>
    <w:rsid w:val="003C076B"/>
    <w:rsid w:val="003C1745"/>
    <w:rsid w:val="003C2814"/>
    <w:rsid w:val="003C2C54"/>
    <w:rsid w:val="003C3453"/>
    <w:rsid w:val="003C35EC"/>
    <w:rsid w:val="003C38B5"/>
    <w:rsid w:val="003C41B8"/>
    <w:rsid w:val="003C46BC"/>
    <w:rsid w:val="003C54FF"/>
    <w:rsid w:val="003C5775"/>
    <w:rsid w:val="003C5D99"/>
    <w:rsid w:val="003C6789"/>
    <w:rsid w:val="003C70B0"/>
    <w:rsid w:val="003D282E"/>
    <w:rsid w:val="003D2B58"/>
    <w:rsid w:val="003D2E26"/>
    <w:rsid w:val="003D53A9"/>
    <w:rsid w:val="003E0CCF"/>
    <w:rsid w:val="003E6A43"/>
    <w:rsid w:val="003E72D9"/>
    <w:rsid w:val="003F0234"/>
    <w:rsid w:val="003F0789"/>
    <w:rsid w:val="003F10FF"/>
    <w:rsid w:val="003F22F7"/>
    <w:rsid w:val="003F2AAA"/>
    <w:rsid w:val="003F4C3B"/>
    <w:rsid w:val="003F6EE5"/>
    <w:rsid w:val="003F771F"/>
    <w:rsid w:val="003F7C74"/>
    <w:rsid w:val="00401882"/>
    <w:rsid w:val="004019F7"/>
    <w:rsid w:val="00401CE7"/>
    <w:rsid w:val="00402229"/>
    <w:rsid w:val="00402888"/>
    <w:rsid w:val="00405379"/>
    <w:rsid w:val="00405AA7"/>
    <w:rsid w:val="00406BF8"/>
    <w:rsid w:val="004100C8"/>
    <w:rsid w:val="00410EDC"/>
    <w:rsid w:val="004119D6"/>
    <w:rsid w:val="00412ACE"/>
    <w:rsid w:val="00414053"/>
    <w:rsid w:val="00416464"/>
    <w:rsid w:val="004168F3"/>
    <w:rsid w:val="00416B73"/>
    <w:rsid w:val="00417C6B"/>
    <w:rsid w:val="00417F03"/>
    <w:rsid w:val="00420DE7"/>
    <w:rsid w:val="0042291B"/>
    <w:rsid w:val="00423138"/>
    <w:rsid w:val="00423423"/>
    <w:rsid w:val="00423D1B"/>
    <w:rsid w:val="004240B6"/>
    <w:rsid w:val="00426248"/>
    <w:rsid w:val="004263F9"/>
    <w:rsid w:val="00430406"/>
    <w:rsid w:val="00430560"/>
    <w:rsid w:val="00431249"/>
    <w:rsid w:val="00432050"/>
    <w:rsid w:val="0043448C"/>
    <w:rsid w:val="004345EE"/>
    <w:rsid w:val="00434C19"/>
    <w:rsid w:val="004362EA"/>
    <w:rsid w:val="00436721"/>
    <w:rsid w:val="00437840"/>
    <w:rsid w:val="004401B4"/>
    <w:rsid w:val="004407DE"/>
    <w:rsid w:val="004420D6"/>
    <w:rsid w:val="004421C0"/>
    <w:rsid w:val="0044377C"/>
    <w:rsid w:val="00443CA1"/>
    <w:rsid w:val="004447DB"/>
    <w:rsid w:val="00445190"/>
    <w:rsid w:val="0044543F"/>
    <w:rsid w:val="00445823"/>
    <w:rsid w:val="0044609A"/>
    <w:rsid w:val="00446543"/>
    <w:rsid w:val="00446D7C"/>
    <w:rsid w:val="00450810"/>
    <w:rsid w:val="0045243F"/>
    <w:rsid w:val="00452596"/>
    <w:rsid w:val="00453A9D"/>
    <w:rsid w:val="00453B8A"/>
    <w:rsid w:val="00454DF5"/>
    <w:rsid w:val="004563F9"/>
    <w:rsid w:val="00457E58"/>
    <w:rsid w:val="0046291F"/>
    <w:rsid w:val="004668A3"/>
    <w:rsid w:val="00467B0C"/>
    <w:rsid w:val="00470182"/>
    <w:rsid w:val="0047073D"/>
    <w:rsid w:val="00470EFC"/>
    <w:rsid w:val="00471217"/>
    <w:rsid w:val="00471702"/>
    <w:rsid w:val="00471F88"/>
    <w:rsid w:val="004722B6"/>
    <w:rsid w:val="00473521"/>
    <w:rsid w:val="00473AD0"/>
    <w:rsid w:val="004747EE"/>
    <w:rsid w:val="00475ED7"/>
    <w:rsid w:val="004761C2"/>
    <w:rsid w:val="00477144"/>
    <w:rsid w:val="004808AF"/>
    <w:rsid w:val="00480A45"/>
    <w:rsid w:val="004821E7"/>
    <w:rsid w:val="0048265F"/>
    <w:rsid w:val="004830BA"/>
    <w:rsid w:val="0048359B"/>
    <w:rsid w:val="00483806"/>
    <w:rsid w:val="0048391F"/>
    <w:rsid w:val="00485FDB"/>
    <w:rsid w:val="00486009"/>
    <w:rsid w:val="00486201"/>
    <w:rsid w:val="00490969"/>
    <w:rsid w:val="00490BD9"/>
    <w:rsid w:val="00491849"/>
    <w:rsid w:val="00491B30"/>
    <w:rsid w:val="0049211A"/>
    <w:rsid w:val="00492F0A"/>
    <w:rsid w:val="00493AEA"/>
    <w:rsid w:val="0049459F"/>
    <w:rsid w:val="004948F5"/>
    <w:rsid w:val="0049530B"/>
    <w:rsid w:val="00495EE9"/>
    <w:rsid w:val="00496306"/>
    <w:rsid w:val="004A0DD6"/>
    <w:rsid w:val="004A2736"/>
    <w:rsid w:val="004A3BC2"/>
    <w:rsid w:val="004A5847"/>
    <w:rsid w:val="004A5D07"/>
    <w:rsid w:val="004A7025"/>
    <w:rsid w:val="004A77DA"/>
    <w:rsid w:val="004B0B9C"/>
    <w:rsid w:val="004B1FBD"/>
    <w:rsid w:val="004B2507"/>
    <w:rsid w:val="004B43AE"/>
    <w:rsid w:val="004B4816"/>
    <w:rsid w:val="004B5B40"/>
    <w:rsid w:val="004B75C8"/>
    <w:rsid w:val="004C075D"/>
    <w:rsid w:val="004C11B1"/>
    <w:rsid w:val="004C1D43"/>
    <w:rsid w:val="004C30ED"/>
    <w:rsid w:val="004C42FC"/>
    <w:rsid w:val="004C4CA6"/>
    <w:rsid w:val="004C5410"/>
    <w:rsid w:val="004C583E"/>
    <w:rsid w:val="004C633F"/>
    <w:rsid w:val="004C7D28"/>
    <w:rsid w:val="004D1773"/>
    <w:rsid w:val="004D1B48"/>
    <w:rsid w:val="004D21F6"/>
    <w:rsid w:val="004D233C"/>
    <w:rsid w:val="004D2D1C"/>
    <w:rsid w:val="004D2FD6"/>
    <w:rsid w:val="004D3D6C"/>
    <w:rsid w:val="004D4D42"/>
    <w:rsid w:val="004D4DB6"/>
    <w:rsid w:val="004D4DD2"/>
    <w:rsid w:val="004D5558"/>
    <w:rsid w:val="004D5669"/>
    <w:rsid w:val="004E072D"/>
    <w:rsid w:val="004E0D19"/>
    <w:rsid w:val="004E0DC4"/>
    <w:rsid w:val="004E1400"/>
    <w:rsid w:val="004E224C"/>
    <w:rsid w:val="004E274E"/>
    <w:rsid w:val="004E2FD8"/>
    <w:rsid w:val="004E667A"/>
    <w:rsid w:val="004E75CC"/>
    <w:rsid w:val="004F01B0"/>
    <w:rsid w:val="004F04C5"/>
    <w:rsid w:val="004F084A"/>
    <w:rsid w:val="004F16E0"/>
    <w:rsid w:val="004F1FC3"/>
    <w:rsid w:val="004F47B6"/>
    <w:rsid w:val="004F4BB2"/>
    <w:rsid w:val="004F4CF4"/>
    <w:rsid w:val="004F59C2"/>
    <w:rsid w:val="004F645C"/>
    <w:rsid w:val="004F64DF"/>
    <w:rsid w:val="0050361A"/>
    <w:rsid w:val="005040ED"/>
    <w:rsid w:val="00507772"/>
    <w:rsid w:val="00511439"/>
    <w:rsid w:val="00511BF2"/>
    <w:rsid w:val="00511DF8"/>
    <w:rsid w:val="00511F7F"/>
    <w:rsid w:val="00512B08"/>
    <w:rsid w:val="00513DEB"/>
    <w:rsid w:val="0051549A"/>
    <w:rsid w:val="005155A4"/>
    <w:rsid w:val="00515695"/>
    <w:rsid w:val="00516024"/>
    <w:rsid w:val="005167BE"/>
    <w:rsid w:val="005206F4"/>
    <w:rsid w:val="005219C4"/>
    <w:rsid w:val="00521D74"/>
    <w:rsid w:val="00522124"/>
    <w:rsid w:val="0052287E"/>
    <w:rsid w:val="00526A6B"/>
    <w:rsid w:val="005277C4"/>
    <w:rsid w:val="005309F4"/>
    <w:rsid w:val="005339D5"/>
    <w:rsid w:val="005350BF"/>
    <w:rsid w:val="00536992"/>
    <w:rsid w:val="00536B0F"/>
    <w:rsid w:val="00540247"/>
    <w:rsid w:val="00540672"/>
    <w:rsid w:val="00541B4D"/>
    <w:rsid w:val="005429E3"/>
    <w:rsid w:val="005444F7"/>
    <w:rsid w:val="00546642"/>
    <w:rsid w:val="0054697A"/>
    <w:rsid w:val="00547062"/>
    <w:rsid w:val="005472EC"/>
    <w:rsid w:val="00547952"/>
    <w:rsid w:val="00547D35"/>
    <w:rsid w:val="00547E9A"/>
    <w:rsid w:val="00550F2D"/>
    <w:rsid w:val="00551B18"/>
    <w:rsid w:val="00551CB1"/>
    <w:rsid w:val="00551CBC"/>
    <w:rsid w:val="00552B2F"/>
    <w:rsid w:val="00552B8F"/>
    <w:rsid w:val="0055329A"/>
    <w:rsid w:val="005564DC"/>
    <w:rsid w:val="005571B3"/>
    <w:rsid w:val="005606ED"/>
    <w:rsid w:val="0056075E"/>
    <w:rsid w:val="00560CC9"/>
    <w:rsid w:val="00561B6C"/>
    <w:rsid w:val="00561C7D"/>
    <w:rsid w:val="0056238A"/>
    <w:rsid w:val="00563821"/>
    <w:rsid w:val="005642C5"/>
    <w:rsid w:val="00565F3A"/>
    <w:rsid w:val="0056649C"/>
    <w:rsid w:val="00566BEA"/>
    <w:rsid w:val="00567E0E"/>
    <w:rsid w:val="0057011F"/>
    <w:rsid w:val="00570918"/>
    <w:rsid w:val="00570964"/>
    <w:rsid w:val="00570CC2"/>
    <w:rsid w:val="0057273E"/>
    <w:rsid w:val="00572D79"/>
    <w:rsid w:val="00574723"/>
    <w:rsid w:val="005759E8"/>
    <w:rsid w:val="00575DD9"/>
    <w:rsid w:val="00577731"/>
    <w:rsid w:val="00580586"/>
    <w:rsid w:val="005810E3"/>
    <w:rsid w:val="005819E5"/>
    <w:rsid w:val="00582122"/>
    <w:rsid w:val="00582499"/>
    <w:rsid w:val="00582E09"/>
    <w:rsid w:val="00583C39"/>
    <w:rsid w:val="00584926"/>
    <w:rsid w:val="00586637"/>
    <w:rsid w:val="005906A2"/>
    <w:rsid w:val="005909CF"/>
    <w:rsid w:val="00591BE9"/>
    <w:rsid w:val="00591E71"/>
    <w:rsid w:val="00592F2E"/>
    <w:rsid w:val="00593F4A"/>
    <w:rsid w:val="00595F2F"/>
    <w:rsid w:val="00595F48"/>
    <w:rsid w:val="00596FDF"/>
    <w:rsid w:val="005A090B"/>
    <w:rsid w:val="005A1265"/>
    <w:rsid w:val="005A3450"/>
    <w:rsid w:val="005A361C"/>
    <w:rsid w:val="005A6280"/>
    <w:rsid w:val="005A6950"/>
    <w:rsid w:val="005A70B6"/>
    <w:rsid w:val="005A74CD"/>
    <w:rsid w:val="005A7962"/>
    <w:rsid w:val="005A79EA"/>
    <w:rsid w:val="005A7E06"/>
    <w:rsid w:val="005B0722"/>
    <w:rsid w:val="005B11B0"/>
    <w:rsid w:val="005B1861"/>
    <w:rsid w:val="005B1FF8"/>
    <w:rsid w:val="005B23D1"/>
    <w:rsid w:val="005B25A8"/>
    <w:rsid w:val="005B2602"/>
    <w:rsid w:val="005B288D"/>
    <w:rsid w:val="005B2A57"/>
    <w:rsid w:val="005B4800"/>
    <w:rsid w:val="005B5376"/>
    <w:rsid w:val="005B606A"/>
    <w:rsid w:val="005B7C22"/>
    <w:rsid w:val="005C0BD6"/>
    <w:rsid w:val="005C0F1F"/>
    <w:rsid w:val="005C158E"/>
    <w:rsid w:val="005C4715"/>
    <w:rsid w:val="005C5E8B"/>
    <w:rsid w:val="005C5FA9"/>
    <w:rsid w:val="005C7649"/>
    <w:rsid w:val="005C77FA"/>
    <w:rsid w:val="005D153D"/>
    <w:rsid w:val="005D1566"/>
    <w:rsid w:val="005D20C2"/>
    <w:rsid w:val="005D2CC3"/>
    <w:rsid w:val="005D347C"/>
    <w:rsid w:val="005D3B3E"/>
    <w:rsid w:val="005D3F63"/>
    <w:rsid w:val="005D506C"/>
    <w:rsid w:val="005D566D"/>
    <w:rsid w:val="005D5DBC"/>
    <w:rsid w:val="005D67DA"/>
    <w:rsid w:val="005E0DA2"/>
    <w:rsid w:val="005E161C"/>
    <w:rsid w:val="005E1CB4"/>
    <w:rsid w:val="005E3B2F"/>
    <w:rsid w:val="005E49C7"/>
    <w:rsid w:val="005E7078"/>
    <w:rsid w:val="005E75A8"/>
    <w:rsid w:val="005F0695"/>
    <w:rsid w:val="005F155E"/>
    <w:rsid w:val="005F31E8"/>
    <w:rsid w:val="005F5908"/>
    <w:rsid w:val="005F62DA"/>
    <w:rsid w:val="005F6527"/>
    <w:rsid w:val="00601286"/>
    <w:rsid w:val="006019A9"/>
    <w:rsid w:val="00603940"/>
    <w:rsid w:val="00606536"/>
    <w:rsid w:val="00607BF1"/>
    <w:rsid w:val="00607D97"/>
    <w:rsid w:val="00610ED0"/>
    <w:rsid w:val="00611043"/>
    <w:rsid w:val="006116D9"/>
    <w:rsid w:val="00611723"/>
    <w:rsid w:val="00612F24"/>
    <w:rsid w:val="00621119"/>
    <w:rsid w:val="00622128"/>
    <w:rsid w:val="00623DBA"/>
    <w:rsid w:val="00624AE3"/>
    <w:rsid w:val="00626301"/>
    <w:rsid w:val="00630D4D"/>
    <w:rsid w:val="00631E28"/>
    <w:rsid w:val="00632136"/>
    <w:rsid w:val="00632A74"/>
    <w:rsid w:val="00633C91"/>
    <w:rsid w:val="006349DC"/>
    <w:rsid w:val="006354DB"/>
    <w:rsid w:val="0063695B"/>
    <w:rsid w:val="0064058A"/>
    <w:rsid w:val="00641109"/>
    <w:rsid w:val="00641605"/>
    <w:rsid w:val="00641CB1"/>
    <w:rsid w:val="006446C6"/>
    <w:rsid w:val="00644ECD"/>
    <w:rsid w:val="006468E0"/>
    <w:rsid w:val="0064766B"/>
    <w:rsid w:val="00647F6A"/>
    <w:rsid w:val="00650A08"/>
    <w:rsid w:val="006515C6"/>
    <w:rsid w:val="00652C73"/>
    <w:rsid w:val="006536BE"/>
    <w:rsid w:val="0065425E"/>
    <w:rsid w:val="00654BA4"/>
    <w:rsid w:val="0065615F"/>
    <w:rsid w:val="00656695"/>
    <w:rsid w:val="00656AA1"/>
    <w:rsid w:val="006579A2"/>
    <w:rsid w:val="0066097B"/>
    <w:rsid w:val="006620FA"/>
    <w:rsid w:val="00662398"/>
    <w:rsid w:val="006637BA"/>
    <w:rsid w:val="0066390C"/>
    <w:rsid w:val="0066480B"/>
    <w:rsid w:val="0066484F"/>
    <w:rsid w:val="00664C37"/>
    <w:rsid w:val="00665730"/>
    <w:rsid w:val="006661F4"/>
    <w:rsid w:val="00666946"/>
    <w:rsid w:val="0066695D"/>
    <w:rsid w:val="00666965"/>
    <w:rsid w:val="0066760A"/>
    <w:rsid w:val="00667AED"/>
    <w:rsid w:val="00667D59"/>
    <w:rsid w:val="00667D7F"/>
    <w:rsid w:val="006703DB"/>
    <w:rsid w:val="00671E23"/>
    <w:rsid w:val="0067248F"/>
    <w:rsid w:val="00673887"/>
    <w:rsid w:val="0067494A"/>
    <w:rsid w:val="00675517"/>
    <w:rsid w:val="00677311"/>
    <w:rsid w:val="00677B58"/>
    <w:rsid w:val="00680178"/>
    <w:rsid w:val="0068117A"/>
    <w:rsid w:val="006838D1"/>
    <w:rsid w:val="0068464A"/>
    <w:rsid w:val="00687209"/>
    <w:rsid w:val="00691C3F"/>
    <w:rsid w:val="00694838"/>
    <w:rsid w:val="00695024"/>
    <w:rsid w:val="0069786B"/>
    <w:rsid w:val="00697B14"/>
    <w:rsid w:val="006A05A5"/>
    <w:rsid w:val="006A1107"/>
    <w:rsid w:val="006A1D93"/>
    <w:rsid w:val="006A23FA"/>
    <w:rsid w:val="006A4655"/>
    <w:rsid w:val="006A5A9A"/>
    <w:rsid w:val="006A7A3C"/>
    <w:rsid w:val="006A7C7C"/>
    <w:rsid w:val="006B030C"/>
    <w:rsid w:val="006B078E"/>
    <w:rsid w:val="006B087E"/>
    <w:rsid w:val="006B095E"/>
    <w:rsid w:val="006B0B22"/>
    <w:rsid w:val="006B0F5E"/>
    <w:rsid w:val="006B1005"/>
    <w:rsid w:val="006B111E"/>
    <w:rsid w:val="006B42C9"/>
    <w:rsid w:val="006B4A7F"/>
    <w:rsid w:val="006B5A0B"/>
    <w:rsid w:val="006B62D1"/>
    <w:rsid w:val="006B6B1C"/>
    <w:rsid w:val="006B6B4D"/>
    <w:rsid w:val="006C01D8"/>
    <w:rsid w:val="006C0993"/>
    <w:rsid w:val="006C21C6"/>
    <w:rsid w:val="006C244A"/>
    <w:rsid w:val="006C25B0"/>
    <w:rsid w:val="006C2A2F"/>
    <w:rsid w:val="006C31CE"/>
    <w:rsid w:val="006C37A7"/>
    <w:rsid w:val="006C42B0"/>
    <w:rsid w:val="006C57A6"/>
    <w:rsid w:val="006C7038"/>
    <w:rsid w:val="006D0683"/>
    <w:rsid w:val="006D088C"/>
    <w:rsid w:val="006D1337"/>
    <w:rsid w:val="006D3AFC"/>
    <w:rsid w:val="006D3C14"/>
    <w:rsid w:val="006D5589"/>
    <w:rsid w:val="006D5AAF"/>
    <w:rsid w:val="006D5AD6"/>
    <w:rsid w:val="006D71BE"/>
    <w:rsid w:val="006E03B3"/>
    <w:rsid w:val="006E04AF"/>
    <w:rsid w:val="006E15B7"/>
    <w:rsid w:val="006E173F"/>
    <w:rsid w:val="006E1F91"/>
    <w:rsid w:val="006E2BD9"/>
    <w:rsid w:val="006E3B08"/>
    <w:rsid w:val="006E42D4"/>
    <w:rsid w:val="006E4C15"/>
    <w:rsid w:val="006E7109"/>
    <w:rsid w:val="006E73EF"/>
    <w:rsid w:val="006E7E68"/>
    <w:rsid w:val="006F06D5"/>
    <w:rsid w:val="006F0991"/>
    <w:rsid w:val="006F2B3B"/>
    <w:rsid w:val="006F2C9C"/>
    <w:rsid w:val="006F44CC"/>
    <w:rsid w:val="0070036E"/>
    <w:rsid w:val="007012ED"/>
    <w:rsid w:val="007021CE"/>
    <w:rsid w:val="007023E6"/>
    <w:rsid w:val="00702757"/>
    <w:rsid w:val="00703EF5"/>
    <w:rsid w:val="00703F5A"/>
    <w:rsid w:val="00704633"/>
    <w:rsid w:val="007047F6"/>
    <w:rsid w:val="00705FF0"/>
    <w:rsid w:val="00706F6A"/>
    <w:rsid w:val="00707365"/>
    <w:rsid w:val="0071123E"/>
    <w:rsid w:val="00711867"/>
    <w:rsid w:val="007130A6"/>
    <w:rsid w:val="00713894"/>
    <w:rsid w:val="00714438"/>
    <w:rsid w:val="00716792"/>
    <w:rsid w:val="00716E0A"/>
    <w:rsid w:val="00717C5D"/>
    <w:rsid w:val="0072172E"/>
    <w:rsid w:val="00721AA4"/>
    <w:rsid w:val="007226A5"/>
    <w:rsid w:val="007234ED"/>
    <w:rsid w:val="00724576"/>
    <w:rsid w:val="00724D2E"/>
    <w:rsid w:val="007250DF"/>
    <w:rsid w:val="0072579E"/>
    <w:rsid w:val="00727A3A"/>
    <w:rsid w:val="00730A5E"/>
    <w:rsid w:val="0073126D"/>
    <w:rsid w:val="00731937"/>
    <w:rsid w:val="00732082"/>
    <w:rsid w:val="00732135"/>
    <w:rsid w:val="007321BD"/>
    <w:rsid w:val="00733E61"/>
    <w:rsid w:val="00734699"/>
    <w:rsid w:val="007354B5"/>
    <w:rsid w:val="007355C1"/>
    <w:rsid w:val="007369D6"/>
    <w:rsid w:val="00737BD6"/>
    <w:rsid w:val="00737CB4"/>
    <w:rsid w:val="00740412"/>
    <w:rsid w:val="007408C5"/>
    <w:rsid w:val="00743599"/>
    <w:rsid w:val="00744094"/>
    <w:rsid w:val="0074471F"/>
    <w:rsid w:val="00746E4D"/>
    <w:rsid w:val="007475F8"/>
    <w:rsid w:val="00747BFD"/>
    <w:rsid w:val="00747DFC"/>
    <w:rsid w:val="00751CC8"/>
    <w:rsid w:val="00751DF2"/>
    <w:rsid w:val="00751EBC"/>
    <w:rsid w:val="00751F49"/>
    <w:rsid w:val="00753844"/>
    <w:rsid w:val="00753A91"/>
    <w:rsid w:val="007548AF"/>
    <w:rsid w:val="007574B1"/>
    <w:rsid w:val="007604BB"/>
    <w:rsid w:val="007612E5"/>
    <w:rsid w:val="0076266A"/>
    <w:rsid w:val="00763446"/>
    <w:rsid w:val="00763579"/>
    <w:rsid w:val="007654DE"/>
    <w:rsid w:val="00767DAA"/>
    <w:rsid w:val="007716AF"/>
    <w:rsid w:val="0077182A"/>
    <w:rsid w:val="00775D03"/>
    <w:rsid w:val="007769AC"/>
    <w:rsid w:val="00776BB7"/>
    <w:rsid w:val="00780949"/>
    <w:rsid w:val="00783AD4"/>
    <w:rsid w:val="00784898"/>
    <w:rsid w:val="007859A6"/>
    <w:rsid w:val="00785EC0"/>
    <w:rsid w:val="00786DE1"/>
    <w:rsid w:val="00786EDD"/>
    <w:rsid w:val="00787FD8"/>
    <w:rsid w:val="00790C0A"/>
    <w:rsid w:val="00791603"/>
    <w:rsid w:val="00793430"/>
    <w:rsid w:val="00794AF1"/>
    <w:rsid w:val="0079593A"/>
    <w:rsid w:val="00797083"/>
    <w:rsid w:val="00797FEB"/>
    <w:rsid w:val="007A0008"/>
    <w:rsid w:val="007A0F8C"/>
    <w:rsid w:val="007A1D60"/>
    <w:rsid w:val="007A21EB"/>
    <w:rsid w:val="007A2244"/>
    <w:rsid w:val="007A22A8"/>
    <w:rsid w:val="007A2FDF"/>
    <w:rsid w:val="007A5113"/>
    <w:rsid w:val="007A514E"/>
    <w:rsid w:val="007A63BF"/>
    <w:rsid w:val="007A6E51"/>
    <w:rsid w:val="007A7429"/>
    <w:rsid w:val="007B1860"/>
    <w:rsid w:val="007B1909"/>
    <w:rsid w:val="007B223F"/>
    <w:rsid w:val="007B2540"/>
    <w:rsid w:val="007B2D78"/>
    <w:rsid w:val="007B3621"/>
    <w:rsid w:val="007B3ABD"/>
    <w:rsid w:val="007B4279"/>
    <w:rsid w:val="007B6C47"/>
    <w:rsid w:val="007C0967"/>
    <w:rsid w:val="007C102E"/>
    <w:rsid w:val="007C1B71"/>
    <w:rsid w:val="007C36C9"/>
    <w:rsid w:val="007C37FC"/>
    <w:rsid w:val="007C3B59"/>
    <w:rsid w:val="007C44E1"/>
    <w:rsid w:val="007C5E41"/>
    <w:rsid w:val="007C76DC"/>
    <w:rsid w:val="007D17B4"/>
    <w:rsid w:val="007D1F4E"/>
    <w:rsid w:val="007D212C"/>
    <w:rsid w:val="007D2442"/>
    <w:rsid w:val="007D2EC5"/>
    <w:rsid w:val="007D387D"/>
    <w:rsid w:val="007D58ED"/>
    <w:rsid w:val="007D617B"/>
    <w:rsid w:val="007D7339"/>
    <w:rsid w:val="007E01E4"/>
    <w:rsid w:val="007E036E"/>
    <w:rsid w:val="007E0C77"/>
    <w:rsid w:val="007E0CAC"/>
    <w:rsid w:val="007E1AE2"/>
    <w:rsid w:val="007E1B14"/>
    <w:rsid w:val="007E2085"/>
    <w:rsid w:val="007E20C1"/>
    <w:rsid w:val="007E24FC"/>
    <w:rsid w:val="007E2AFA"/>
    <w:rsid w:val="007E4FE4"/>
    <w:rsid w:val="007E54D5"/>
    <w:rsid w:val="007E5993"/>
    <w:rsid w:val="007E6550"/>
    <w:rsid w:val="007E6C88"/>
    <w:rsid w:val="007E6FF6"/>
    <w:rsid w:val="007E74BC"/>
    <w:rsid w:val="007F0283"/>
    <w:rsid w:val="007F0347"/>
    <w:rsid w:val="007F045B"/>
    <w:rsid w:val="007F0920"/>
    <w:rsid w:val="007F1060"/>
    <w:rsid w:val="007F14CC"/>
    <w:rsid w:val="007F1B2B"/>
    <w:rsid w:val="007F2954"/>
    <w:rsid w:val="007F3818"/>
    <w:rsid w:val="007F3BE6"/>
    <w:rsid w:val="007F40A0"/>
    <w:rsid w:val="007F4F3D"/>
    <w:rsid w:val="007F673B"/>
    <w:rsid w:val="007F6876"/>
    <w:rsid w:val="007F704B"/>
    <w:rsid w:val="007F7107"/>
    <w:rsid w:val="007F72A4"/>
    <w:rsid w:val="007F72B2"/>
    <w:rsid w:val="00800701"/>
    <w:rsid w:val="00801A3D"/>
    <w:rsid w:val="00803A50"/>
    <w:rsid w:val="008046B5"/>
    <w:rsid w:val="008049F3"/>
    <w:rsid w:val="008059BD"/>
    <w:rsid w:val="00805A6B"/>
    <w:rsid w:val="00806F47"/>
    <w:rsid w:val="0081030F"/>
    <w:rsid w:val="008109F5"/>
    <w:rsid w:val="00812809"/>
    <w:rsid w:val="00812A59"/>
    <w:rsid w:val="00812CC4"/>
    <w:rsid w:val="0081363C"/>
    <w:rsid w:val="00813AED"/>
    <w:rsid w:val="00813C23"/>
    <w:rsid w:val="00814D1E"/>
    <w:rsid w:val="0082087D"/>
    <w:rsid w:val="008212DD"/>
    <w:rsid w:val="008217BD"/>
    <w:rsid w:val="00821ADB"/>
    <w:rsid w:val="00821EA1"/>
    <w:rsid w:val="00823E32"/>
    <w:rsid w:val="00824CA4"/>
    <w:rsid w:val="00825E5F"/>
    <w:rsid w:val="00826B4C"/>
    <w:rsid w:val="00826D7B"/>
    <w:rsid w:val="0082780C"/>
    <w:rsid w:val="008306F9"/>
    <w:rsid w:val="0083195E"/>
    <w:rsid w:val="008341A7"/>
    <w:rsid w:val="00835078"/>
    <w:rsid w:val="00835DB3"/>
    <w:rsid w:val="00837AF4"/>
    <w:rsid w:val="0084042C"/>
    <w:rsid w:val="0084107F"/>
    <w:rsid w:val="00841B74"/>
    <w:rsid w:val="008423D6"/>
    <w:rsid w:val="00842590"/>
    <w:rsid w:val="00843077"/>
    <w:rsid w:val="008431D7"/>
    <w:rsid w:val="00843FA5"/>
    <w:rsid w:val="00845AEC"/>
    <w:rsid w:val="008462E0"/>
    <w:rsid w:val="008518E5"/>
    <w:rsid w:val="0085340F"/>
    <w:rsid w:val="00853474"/>
    <w:rsid w:val="00853A78"/>
    <w:rsid w:val="0085504C"/>
    <w:rsid w:val="00855859"/>
    <w:rsid w:val="0085677C"/>
    <w:rsid w:val="0086082C"/>
    <w:rsid w:val="00860997"/>
    <w:rsid w:val="00861411"/>
    <w:rsid w:val="00861E15"/>
    <w:rsid w:val="008625CA"/>
    <w:rsid w:val="008626A3"/>
    <w:rsid w:val="00862DBA"/>
    <w:rsid w:val="0086449E"/>
    <w:rsid w:val="0086477C"/>
    <w:rsid w:val="008649D0"/>
    <w:rsid w:val="00864ADC"/>
    <w:rsid w:val="00864CBF"/>
    <w:rsid w:val="00865285"/>
    <w:rsid w:val="008655A2"/>
    <w:rsid w:val="00865B30"/>
    <w:rsid w:val="00866664"/>
    <w:rsid w:val="0086694C"/>
    <w:rsid w:val="00866AE5"/>
    <w:rsid w:val="00867F71"/>
    <w:rsid w:val="0087196F"/>
    <w:rsid w:val="00871A1F"/>
    <w:rsid w:val="00873E8E"/>
    <w:rsid w:val="0087456E"/>
    <w:rsid w:val="008745D7"/>
    <w:rsid w:val="0087496F"/>
    <w:rsid w:val="00874D29"/>
    <w:rsid w:val="00875DA4"/>
    <w:rsid w:val="008761A4"/>
    <w:rsid w:val="00877FC4"/>
    <w:rsid w:val="008800B4"/>
    <w:rsid w:val="00880153"/>
    <w:rsid w:val="00880F94"/>
    <w:rsid w:val="00880F97"/>
    <w:rsid w:val="0088133A"/>
    <w:rsid w:val="00882B43"/>
    <w:rsid w:val="00882CDE"/>
    <w:rsid w:val="0088332F"/>
    <w:rsid w:val="00885024"/>
    <w:rsid w:val="00885E90"/>
    <w:rsid w:val="00886820"/>
    <w:rsid w:val="008916D0"/>
    <w:rsid w:val="008926CD"/>
    <w:rsid w:val="0089285E"/>
    <w:rsid w:val="008928A2"/>
    <w:rsid w:val="00893614"/>
    <w:rsid w:val="00893681"/>
    <w:rsid w:val="0089436C"/>
    <w:rsid w:val="00894A29"/>
    <w:rsid w:val="00894E3F"/>
    <w:rsid w:val="008953F0"/>
    <w:rsid w:val="00896BBF"/>
    <w:rsid w:val="00896CC1"/>
    <w:rsid w:val="00897010"/>
    <w:rsid w:val="008973B1"/>
    <w:rsid w:val="008974D2"/>
    <w:rsid w:val="00897749"/>
    <w:rsid w:val="008A0C86"/>
    <w:rsid w:val="008A1B7D"/>
    <w:rsid w:val="008A2A9C"/>
    <w:rsid w:val="008A3111"/>
    <w:rsid w:val="008A3566"/>
    <w:rsid w:val="008A5345"/>
    <w:rsid w:val="008A67AA"/>
    <w:rsid w:val="008B0316"/>
    <w:rsid w:val="008B0EBA"/>
    <w:rsid w:val="008B29D6"/>
    <w:rsid w:val="008B2B88"/>
    <w:rsid w:val="008B49D2"/>
    <w:rsid w:val="008B4A8C"/>
    <w:rsid w:val="008B60C3"/>
    <w:rsid w:val="008B6F5F"/>
    <w:rsid w:val="008B70A2"/>
    <w:rsid w:val="008B78A4"/>
    <w:rsid w:val="008B7CCB"/>
    <w:rsid w:val="008C1B6E"/>
    <w:rsid w:val="008C1D45"/>
    <w:rsid w:val="008C209D"/>
    <w:rsid w:val="008C2BCE"/>
    <w:rsid w:val="008C2CB9"/>
    <w:rsid w:val="008C3005"/>
    <w:rsid w:val="008C4647"/>
    <w:rsid w:val="008C47C0"/>
    <w:rsid w:val="008C499F"/>
    <w:rsid w:val="008C5E19"/>
    <w:rsid w:val="008C60F9"/>
    <w:rsid w:val="008D0944"/>
    <w:rsid w:val="008D12EF"/>
    <w:rsid w:val="008D3EB5"/>
    <w:rsid w:val="008D601F"/>
    <w:rsid w:val="008D663B"/>
    <w:rsid w:val="008D680D"/>
    <w:rsid w:val="008D6B28"/>
    <w:rsid w:val="008D6FD6"/>
    <w:rsid w:val="008D7D96"/>
    <w:rsid w:val="008E0E6C"/>
    <w:rsid w:val="008E1E9F"/>
    <w:rsid w:val="008E25AB"/>
    <w:rsid w:val="008E3CF7"/>
    <w:rsid w:val="008E44CB"/>
    <w:rsid w:val="008E5647"/>
    <w:rsid w:val="008E7ACD"/>
    <w:rsid w:val="008F0129"/>
    <w:rsid w:val="008F01AF"/>
    <w:rsid w:val="008F0D87"/>
    <w:rsid w:val="008F3A8B"/>
    <w:rsid w:val="008F3C59"/>
    <w:rsid w:val="008F407E"/>
    <w:rsid w:val="008F40DD"/>
    <w:rsid w:val="008F54CF"/>
    <w:rsid w:val="008F5930"/>
    <w:rsid w:val="008F5ED0"/>
    <w:rsid w:val="008F6273"/>
    <w:rsid w:val="008F76E0"/>
    <w:rsid w:val="0090143F"/>
    <w:rsid w:val="009030BF"/>
    <w:rsid w:val="00903AA0"/>
    <w:rsid w:val="00904B9E"/>
    <w:rsid w:val="00904D8C"/>
    <w:rsid w:val="009070AD"/>
    <w:rsid w:val="009071A0"/>
    <w:rsid w:val="00907A56"/>
    <w:rsid w:val="00907C74"/>
    <w:rsid w:val="0091082C"/>
    <w:rsid w:val="00911A05"/>
    <w:rsid w:val="00911F24"/>
    <w:rsid w:val="00912122"/>
    <w:rsid w:val="00912EA6"/>
    <w:rsid w:val="00913C89"/>
    <w:rsid w:val="00914368"/>
    <w:rsid w:val="00914946"/>
    <w:rsid w:val="00914B69"/>
    <w:rsid w:val="00915088"/>
    <w:rsid w:val="00915BBB"/>
    <w:rsid w:val="00915E7A"/>
    <w:rsid w:val="0091610A"/>
    <w:rsid w:val="00916E2C"/>
    <w:rsid w:val="00917133"/>
    <w:rsid w:val="00917B0F"/>
    <w:rsid w:val="00917FD7"/>
    <w:rsid w:val="009205A8"/>
    <w:rsid w:val="00920A14"/>
    <w:rsid w:val="00921CAF"/>
    <w:rsid w:val="009221A3"/>
    <w:rsid w:val="0092228F"/>
    <w:rsid w:val="009222D5"/>
    <w:rsid w:val="009223C4"/>
    <w:rsid w:val="00922F31"/>
    <w:rsid w:val="009234F1"/>
    <w:rsid w:val="00924669"/>
    <w:rsid w:val="0092482D"/>
    <w:rsid w:val="00924FF9"/>
    <w:rsid w:val="00925AEE"/>
    <w:rsid w:val="009260AA"/>
    <w:rsid w:val="00926685"/>
    <w:rsid w:val="00926D0A"/>
    <w:rsid w:val="00930260"/>
    <w:rsid w:val="00930FE5"/>
    <w:rsid w:val="00931076"/>
    <w:rsid w:val="009314EA"/>
    <w:rsid w:val="0093204D"/>
    <w:rsid w:val="00932D29"/>
    <w:rsid w:val="00933743"/>
    <w:rsid w:val="009343C6"/>
    <w:rsid w:val="009345D9"/>
    <w:rsid w:val="00934B15"/>
    <w:rsid w:val="00935BE5"/>
    <w:rsid w:val="00935C9B"/>
    <w:rsid w:val="009370E2"/>
    <w:rsid w:val="00940B37"/>
    <w:rsid w:val="00940F6E"/>
    <w:rsid w:val="00941D09"/>
    <w:rsid w:val="0094247E"/>
    <w:rsid w:val="00942A44"/>
    <w:rsid w:val="00942B62"/>
    <w:rsid w:val="00942D28"/>
    <w:rsid w:val="00944077"/>
    <w:rsid w:val="00945956"/>
    <w:rsid w:val="00945E3E"/>
    <w:rsid w:val="00946101"/>
    <w:rsid w:val="0094760E"/>
    <w:rsid w:val="00947FE1"/>
    <w:rsid w:val="00950BB5"/>
    <w:rsid w:val="00950BCA"/>
    <w:rsid w:val="009510CF"/>
    <w:rsid w:val="0095671D"/>
    <w:rsid w:val="00956A0C"/>
    <w:rsid w:val="00956BD9"/>
    <w:rsid w:val="0095721B"/>
    <w:rsid w:val="009578C1"/>
    <w:rsid w:val="00957CAB"/>
    <w:rsid w:val="00960F25"/>
    <w:rsid w:val="00961795"/>
    <w:rsid w:val="009619D2"/>
    <w:rsid w:val="00961C62"/>
    <w:rsid w:val="0096235E"/>
    <w:rsid w:val="00962489"/>
    <w:rsid w:val="00963785"/>
    <w:rsid w:val="00963820"/>
    <w:rsid w:val="00963C8F"/>
    <w:rsid w:val="009653EF"/>
    <w:rsid w:val="00965531"/>
    <w:rsid w:val="0096553D"/>
    <w:rsid w:val="00965A7B"/>
    <w:rsid w:val="00965C77"/>
    <w:rsid w:val="009664FC"/>
    <w:rsid w:val="009668CE"/>
    <w:rsid w:val="0096724A"/>
    <w:rsid w:val="00970FC8"/>
    <w:rsid w:val="009719D1"/>
    <w:rsid w:val="009728DE"/>
    <w:rsid w:val="0097292D"/>
    <w:rsid w:val="0097307E"/>
    <w:rsid w:val="009731E2"/>
    <w:rsid w:val="009737FB"/>
    <w:rsid w:val="00974722"/>
    <w:rsid w:val="00974A72"/>
    <w:rsid w:val="00976C8C"/>
    <w:rsid w:val="00977ECA"/>
    <w:rsid w:val="0098024F"/>
    <w:rsid w:val="00980E91"/>
    <w:rsid w:val="009821AA"/>
    <w:rsid w:val="009837F1"/>
    <w:rsid w:val="00983919"/>
    <w:rsid w:val="009844B0"/>
    <w:rsid w:val="00985A2B"/>
    <w:rsid w:val="0098729C"/>
    <w:rsid w:val="009873CE"/>
    <w:rsid w:val="0098754C"/>
    <w:rsid w:val="0099037E"/>
    <w:rsid w:val="00994C47"/>
    <w:rsid w:val="009A09D1"/>
    <w:rsid w:val="009A0B85"/>
    <w:rsid w:val="009A116E"/>
    <w:rsid w:val="009A150C"/>
    <w:rsid w:val="009A165A"/>
    <w:rsid w:val="009A1B1E"/>
    <w:rsid w:val="009A21E3"/>
    <w:rsid w:val="009A2348"/>
    <w:rsid w:val="009A691B"/>
    <w:rsid w:val="009A7B65"/>
    <w:rsid w:val="009A7FC2"/>
    <w:rsid w:val="009B35A0"/>
    <w:rsid w:val="009B3767"/>
    <w:rsid w:val="009B54DC"/>
    <w:rsid w:val="009B5C1C"/>
    <w:rsid w:val="009B65D6"/>
    <w:rsid w:val="009B6B53"/>
    <w:rsid w:val="009C11B7"/>
    <w:rsid w:val="009C3574"/>
    <w:rsid w:val="009C38EB"/>
    <w:rsid w:val="009C5BC6"/>
    <w:rsid w:val="009C5CB8"/>
    <w:rsid w:val="009C6085"/>
    <w:rsid w:val="009C7596"/>
    <w:rsid w:val="009D1068"/>
    <w:rsid w:val="009D1233"/>
    <w:rsid w:val="009D18FA"/>
    <w:rsid w:val="009D195A"/>
    <w:rsid w:val="009D2045"/>
    <w:rsid w:val="009D288A"/>
    <w:rsid w:val="009D3D52"/>
    <w:rsid w:val="009D4302"/>
    <w:rsid w:val="009D4D19"/>
    <w:rsid w:val="009D5C13"/>
    <w:rsid w:val="009D5CBB"/>
    <w:rsid w:val="009D5E9F"/>
    <w:rsid w:val="009D700D"/>
    <w:rsid w:val="009D78F0"/>
    <w:rsid w:val="009E0D49"/>
    <w:rsid w:val="009E0DBE"/>
    <w:rsid w:val="009E18AF"/>
    <w:rsid w:val="009E1DC0"/>
    <w:rsid w:val="009E25C3"/>
    <w:rsid w:val="009E3CC6"/>
    <w:rsid w:val="009E4351"/>
    <w:rsid w:val="009E683B"/>
    <w:rsid w:val="009E79F8"/>
    <w:rsid w:val="009E7D82"/>
    <w:rsid w:val="009F02B0"/>
    <w:rsid w:val="009F058D"/>
    <w:rsid w:val="009F0C28"/>
    <w:rsid w:val="009F0CE8"/>
    <w:rsid w:val="009F11A1"/>
    <w:rsid w:val="009F1274"/>
    <w:rsid w:val="009F488D"/>
    <w:rsid w:val="009F6573"/>
    <w:rsid w:val="009F696D"/>
    <w:rsid w:val="009F6B0E"/>
    <w:rsid w:val="009F6BC6"/>
    <w:rsid w:val="009F6FB8"/>
    <w:rsid w:val="009F7A7C"/>
    <w:rsid w:val="00A00147"/>
    <w:rsid w:val="00A004E9"/>
    <w:rsid w:val="00A00ED3"/>
    <w:rsid w:val="00A01705"/>
    <w:rsid w:val="00A01C45"/>
    <w:rsid w:val="00A029B0"/>
    <w:rsid w:val="00A03302"/>
    <w:rsid w:val="00A038AF"/>
    <w:rsid w:val="00A05102"/>
    <w:rsid w:val="00A07126"/>
    <w:rsid w:val="00A079D3"/>
    <w:rsid w:val="00A12F65"/>
    <w:rsid w:val="00A12F98"/>
    <w:rsid w:val="00A13D39"/>
    <w:rsid w:val="00A143A0"/>
    <w:rsid w:val="00A147EC"/>
    <w:rsid w:val="00A14B44"/>
    <w:rsid w:val="00A14F07"/>
    <w:rsid w:val="00A17328"/>
    <w:rsid w:val="00A2049B"/>
    <w:rsid w:val="00A228EC"/>
    <w:rsid w:val="00A22FE5"/>
    <w:rsid w:val="00A2394B"/>
    <w:rsid w:val="00A25D48"/>
    <w:rsid w:val="00A26900"/>
    <w:rsid w:val="00A26BCF"/>
    <w:rsid w:val="00A2703A"/>
    <w:rsid w:val="00A27089"/>
    <w:rsid w:val="00A272DC"/>
    <w:rsid w:val="00A27362"/>
    <w:rsid w:val="00A27600"/>
    <w:rsid w:val="00A30601"/>
    <w:rsid w:val="00A30B35"/>
    <w:rsid w:val="00A31891"/>
    <w:rsid w:val="00A32267"/>
    <w:rsid w:val="00A33DFF"/>
    <w:rsid w:val="00A34CBE"/>
    <w:rsid w:val="00A34F52"/>
    <w:rsid w:val="00A35115"/>
    <w:rsid w:val="00A35467"/>
    <w:rsid w:val="00A35A95"/>
    <w:rsid w:val="00A361D3"/>
    <w:rsid w:val="00A367F3"/>
    <w:rsid w:val="00A37421"/>
    <w:rsid w:val="00A3763C"/>
    <w:rsid w:val="00A37AC0"/>
    <w:rsid w:val="00A40F37"/>
    <w:rsid w:val="00A41046"/>
    <w:rsid w:val="00A42EDA"/>
    <w:rsid w:val="00A43B6F"/>
    <w:rsid w:val="00A44A88"/>
    <w:rsid w:val="00A4705A"/>
    <w:rsid w:val="00A478AF"/>
    <w:rsid w:val="00A501F7"/>
    <w:rsid w:val="00A50966"/>
    <w:rsid w:val="00A50C5A"/>
    <w:rsid w:val="00A519BA"/>
    <w:rsid w:val="00A51E47"/>
    <w:rsid w:val="00A52468"/>
    <w:rsid w:val="00A5294E"/>
    <w:rsid w:val="00A54B9F"/>
    <w:rsid w:val="00A554AB"/>
    <w:rsid w:val="00A56450"/>
    <w:rsid w:val="00A568C5"/>
    <w:rsid w:val="00A56F57"/>
    <w:rsid w:val="00A57967"/>
    <w:rsid w:val="00A6099D"/>
    <w:rsid w:val="00A61271"/>
    <w:rsid w:val="00A61339"/>
    <w:rsid w:val="00A619A9"/>
    <w:rsid w:val="00A61C90"/>
    <w:rsid w:val="00A63956"/>
    <w:rsid w:val="00A65539"/>
    <w:rsid w:val="00A65850"/>
    <w:rsid w:val="00A6596A"/>
    <w:rsid w:val="00A675F4"/>
    <w:rsid w:val="00A6773E"/>
    <w:rsid w:val="00A67B4B"/>
    <w:rsid w:val="00A70830"/>
    <w:rsid w:val="00A74430"/>
    <w:rsid w:val="00A746CB"/>
    <w:rsid w:val="00A756E4"/>
    <w:rsid w:val="00A75D27"/>
    <w:rsid w:val="00A76491"/>
    <w:rsid w:val="00A7654A"/>
    <w:rsid w:val="00A7744B"/>
    <w:rsid w:val="00A77EE3"/>
    <w:rsid w:val="00A8096D"/>
    <w:rsid w:val="00A8321A"/>
    <w:rsid w:val="00A85157"/>
    <w:rsid w:val="00A8616A"/>
    <w:rsid w:val="00A86AA6"/>
    <w:rsid w:val="00A87CF1"/>
    <w:rsid w:val="00A919CB"/>
    <w:rsid w:val="00A94A09"/>
    <w:rsid w:val="00A94FA6"/>
    <w:rsid w:val="00A9515E"/>
    <w:rsid w:val="00A954E2"/>
    <w:rsid w:val="00A97B58"/>
    <w:rsid w:val="00AA065B"/>
    <w:rsid w:val="00AA3602"/>
    <w:rsid w:val="00AA460C"/>
    <w:rsid w:val="00AA54B9"/>
    <w:rsid w:val="00AA574D"/>
    <w:rsid w:val="00AA58AF"/>
    <w:rsid w:val="00AA6710"/>
    <w:rsid w:val="00AB0681"/>
    <w:rsid w:val="00AB0828"/>
    <w:rsid w:val="00AB249A"/>
    <w:rsid w:val="00AB28E7"/>
    <w:rsid w:val="00AB3D09"/>
    <w:rsid w:val="00AB5BB8"/>
    <w:rsid w:val="00AB7513"/>
    <w:rsid w:val="00AC18D3"/>
    <w:rsid w:val="00AC19D4"/>
    <w:rsid w:val="00AC20D2"/>
    <w:rsid w:val="00AC4147"/>
    <w:rsid w:val="00AC5366"/>
    <w:rsid w:val="00AC7DB1"/>
    <w:rsid w:val="00AD14D3"/>
    <w:rsid w:val="00AD296A"/>
    <w:rsid w:val="00AD39AC"/>
    <w:rsid w:val="00AD6CBB"/>
    <w:rsid w:val="00AD7DC0"/>
    <w:rsid w:val="00AD7FF2"/>
    <w:rsid w:val="00AE3616"/>
    <w:rsid w:val="00AE3F7F"/>
    <w:rsid w:val="00AE510F"/>
    <w:rsid w:val="00AE5CE4"/>
    <w:rsid w:val="00AE5F58"/>
    <w:rsid w:val="00AF0054"/>
    <w:rsid w:val="00AF08B5"/>
    <w:rsid w:val="00AF0D9D"/>
    <w:rsid w:val="00AF12CC"/>
    <w:rsid w:val="00AF1985"/>
    <w:rsid w:val="00AF2956"/>
    <w:rsid w:val="00AF594D"/>
    <w:rsid w:val="00AF5971"/>
    <w:rsid w:val="00AF5CC7"/>
    <w:rsid w:val="00B001D0"/>
    <w:rsid w:val="00B00356"/>
    <w:rsid w:val="00B0051D"/>
    <w:rsid w:val="00B00BD6"/>
    <w:rsid w:val="00B01B05"/>
    <w:rsid w:val="00B05754"/>
    <w:rsid w:val="00B0681E"/>
    <w:rsid w:val="00B11954"/>
    <w:rsid w:val="00B12E6A"/>
    <w:rsid w:val="00B135CF"/>
    <w:rsid w:val="00B13EAA"/>
    <w:rsid w:val="00B13F5F"/>
    <w:rsid w:val="00B14CCA"/>
    <w:rsid w:val="00B1575E"/>
    <w:rsid w:val="00B1589A"/>
    <w:rsid w:val="00B168A0"/>
    <w:rsid w:val="00B16B9B"/>
    <w:rsid w:val="00B16F51"/>
    <w:rsid w:val="00B2052D"/>
    <w:rsid w:val="00B2190D"/>
    <w:rsid w:val="00B226D4"/>
    <w:rsid w:val="00B22F09"/>
    <w:rsid w:val="00B23483"/>
    <w:rsid w:val="00B2386A"/>
    <w:rsid w:val="00B23C45"/>
    <w:rsid w:val="00B25966"/>
    <w:rsid w:val="00B26729"/>
    <w:rsid w:val="00B26733"/>
    <w:rsid w:val="00B272F9"/>
    <w:rsid w:val="00B27FBA"/>
    <w:rsid w:val="00B330D4"/>
    <w:rsid w:val="00B33BA5"/>
    <w:rsid w:val="00B370D2"/>
    <w:rsid w:val="00B379BA"/>
    <w:rsid w:val="00B40402"/>
    <w:rsid w:val="00B407C1"/>
    <w:rsid w:val="00B411E6"/>
    <w:rsid w:val="00B41E88"/>
    <w:rsid w:val="00B420AC"/>
    <w:rsid w:val="00B42326"/>
    <w:rsid w:val="00B424EC"/>
    <w:rsid w:val="00B435D9"/>
    <w:rsid w:val="00B4453E"/>
    <w:rsid w:val="00B46991"/>
    <w:rsid w:val="00B478E5"/>
    <w:rsid w:val="00B517B1"/>
    <w:rsid w:val="00B53E7E"/>
    <w:rsid w:val="00B54337"/>
    <w:rsid w:val="00B54C9C"/>
    <w:rsid w:val="00B54D7F"/>
    <w:rsid w:val="00B55444"/>
    <w:rsid w:val="00B55F5D"/>
    <w:rsid w:val="00B561EA"/>
    <w:rsid w:val="00B56A08"/>
    <w:rsid w:val="00B56CE4"/>
    <w:rsid w:val="00B61CDB"/>
    <w:rsid w:val="00B6342E"/>
    <w:rsid w:val="00B63837"/>
    <w:rsid w:val="00B6386A"/>
    <w:rsid w:val="00B63911"/>
    <w:rsid w:val="00B63D29"/>
    <w:rsid w:val="00B64147"/>
    <w:rsid w:val="00B64570"/>
    <w:rsid w:val="00B64E84"/>
    <w:rsid w:val="00B65F25"/>
    <w:rsid w:val="00B66456"/>
    <w:rsid w:val="00B667F6"/>
    <w:rsid w:val="00B679DD"/>
    <w:rsid w:val="00B7005D"/>
    <w:rsid w:val="00B70352"/>
    <w:rsid w:val="00B7044A"/>
    <w:rsid w:val="00B7089E"/>
    <w:rsid w:val="00B7113F"/>
    <w:rsid w:val="00B73412"/>
    <w:rsid w:val="00B737E7"/>
    <w:rsid w:val="00B73858"/>
    <w:rsid w:val="00B75758"/>
    <w:rsid w:val="00B76EC1"/>
    <w:rsid w:val="00B8023C"/>
    <w:rsid w:val="00B80C16"/>
    <w:rsid w:val="00B80E3C"/>
    <w:rsid w:val="00B81404"/>
    <w:rsid w:val="00B82BE3"/>
    <w:rsid w:val="00B84672"/>
    <w:rsid w:val="00B84F6A"/>
    <w:rsid w:val="00B853A3"/>
    <w:rsid w:val="00B8562A"/>
    <w:rsid w:val="00B8688F"/>
    <w:rsid w:val="00B86E11"/>
    <w:rsid w:val="00B877A2"/>
    <w:rsid w:val="00B90231"/>
    <w:rsid w:val="00B90474"/>
    <w:rsid w:val="00B93BF0"/>
    <w:rsid w:val="00B94071"/>
    <w:rsid w:val="00B94FD9"/>
    <w:rsid w:val="00B95869"/>
    <w:rsid w:val="00B958D7"/>
    <w:rsid w:val="00B9702D"/>
    <w:rsid w:val="00B97802"/>
    <w:rsid w:val="00B97D18"/>
    <w:rsid w:val="00BA13AE"/>
    <w:rsid w:val="00BA1822"/>
    <w:rsid w:val="00BA23FD"/>
    <w:rsid w:val="00BA2F78"/>
    <w:rsid w:val="00BA3C40"/>
    <w:rsid w:val="00BA3ED7"/>
    <w:rsid w:val="00BA4647"/>
    <w:rsid w:val="00BA57EF"/>
    <w:rsid w:val="00BA73B6"/>
    <w:rsid w:val="00BB0AFC"/>
    <w:rsid w:val="00BB13B0"/>
    <w:rsid w:val="00BB1B10"/>
    <w:rsid w:val="00BB4CB7"/>
    <w:rsid w:val="00BB4FCD"/>
    <w:rsid w:val="00BB52A3"/>
    <w:rsid w:val="00BB52CD"/>
    <w:rsid w:val="00BB7001"/>
    <w:rsid w:val="00BC0204"/>
    <w:rsid w:val="00BC0871"/>
    <w:rsid w:val="00BC0A91"/>
    <w:rsid w:val="00BC101E"/>
    <w:rsid w:val="00BC42B2"/>
    <w:rsid w:val="00BC4F22"/>
    <w:rsid w:val="00BC51FC"/>
    <w:rsid w:val="00BD080F"/>
    <w:rsid w:val="00BD0DEE"/>
    <w:rsid w:val="00BD13EA"/>
    <w:rsid w:val="00BD1A97"/>
    <w:rsid w:val="00BD26AA"/>
    <w:rsid w:val="00BD3565"/>
    <w:rsid w:val="00BD6139"/>
    <w:rsid w:val="00BE0972"/>
    <w:rsid w:val="00BE1051"/>
    <w:rsid w:val="00BE3161"/>
    <w:rsid w:val="00BE3808"/>
    <w:rsid w:val="00BE3BC5"/>
    <w:rsid w:val="00BE5A9D"/>
    <w:rsid w:val="00BE7792"/>
    <w:rsid w:val="00BE7980"/>
    <w:rsid w:val="00BF0BEF"/>
    <w:rsid w:val="00BF3552"/>
    <w:rsid w:val="00BF3F90"/>
    <w:rsid w:val="00BF4BE9"/>
    <w:rsid w:val="00BF4C90"/>
    <w:rsid w:val="00BF5142"/>
    <w:rsid w:val="00BF5633"/>
    <w:rsid w:val="00BF6A34"/>
    <w:rsid w:val="00BF6F6A"/>
    <w:rsid w:val="00BF7728"/>
    <w:rsid w:val="00C00B9C"/>
    <w:rsid w:val="00C0360E"/>
    <w:rsid w:val="00C0429E"/>
    <w:rsid w:val="00C043A8"/>
    <w:rsid w:val="00C04E96"/>
    <w:rsid w:val="00C05BEA"/>
    <w:rsid w:val="00C062E9"/>
    <w:rsid w:val="00C07AA9"/>
    <w:rsid w:val="00C13721"/>
    <w:rsid w:val="00C137F5"/>
    <w:rsid w:val="00C13CE2"/>
    <w:rsid w:val="00C14B40"/>
    <w:rsid w:val="00C1590D"/>
    <w:rsid w:val="00C16B8E"/>
    <w:rsid w:val="00C1724D"/>
    <w:rsid w:val="00C21347"/>
    <w:rsid w:val="00C214B3"/>
    <w:rsid w:val="00C24A13"/>
    <w:rsid w:val="00C24DD7"/>
    <w:rsid w:val="00C25593"/>
    <w:rsid w:val="00C269DC"/>
    <w:rsid w:val="00C305BD"/>
    <w:rsid w:val="00C3187F"/>
    <w:rsid w:val="00C31EED"/>
    <w:rsid w:val="00C32B6D"/>
    <w:rsid w:val="00C3523D"/>
    <w:rsid w:val="00C36378"/>
    <w:rsid w:val="00C3697A"/>
    <w:rsid w:val="00C37BBC"/>
    <w:rsid w:val="00C42268"/>
    <w:rsid w:val="00C43EF8"/>
    <w:rsid w:val="00C46A9C"/>
    <w:rsid w:val="00C46D0F"/>
    <w:rsid w:val="00C472DD"/>
    <w:rsid w:val="00C50E05"/>
    <w:rsid w:val="00C50E17"/>
    <w:rsid w:val="00C51941"/>
    <w:rsid w:val="00C52442"/>
    <w:rsid w:val="00C543F4"/>
    <w:rsid w:val="00C55F8F"/>
    <w:rsid w:val="00C563E5"/>
    <w:rsid w:val="00C567DE"/>
    <w:rsid w:val="00C56A57"/>
    <w:rsid w:val="00C60725"/>
    <w:rsid w:val="00C60AA3"/>
    <w:rsid w:val="00C61C1B"/>
    <w:rsid w:val="00C62389"/>
    <w:rsid w:val="00C6291C"/>
    <w:rsid w:val="00C633CB"/>
    <w:rsid w:val="00C65115"/>
    <w:rsid w:val="00C654A8"/>
    <w:rsid w:val="00C66DDD"/>
    <w:rsid w:val="00C67A8A"/>
    <w:rsid w:val="00C67CF4"/>
    <w:rsid w:val="00C72097"/>
    <w:rsid w:val="00C72C55"/>
    <w:rsid w:val="00C7348D"/>
    <w:rsid w:val="00C7669C"/>
    <w:rsid w:val="00C81153"/>
    <w:rsid w:val="00C8141A"/>
    <w:rsid w:val="00C82809"/>
    <w:rsid w:val="00C83B88"/>
    <w:rsid w:val="00C8497D"/>
    <w:rsid w:val="00C84CDB"/>
    <w:rsid w:val="00C850BC"/>
    <w:rsid w:val="00C851BB"/>
    <w:rsid w:val="00C861B4"/>
    <w:rsid w:val="00C873C4"/>
    <w:rsid w:val="00C8762C"/>
    <w:rsid w:val="00C8767F"/>
    <w:rsid w:val="00C92260"/>
    <w:rsid w:val="00C9256B"/>
    <w:rsid w:val="00C9403F"/>
    <w:rsid w:val="00C96283"/>
    <w:rsid w:val="00C9670A"/>
    <w:rsid w:val="00C96715"/>
    <w:rsid w:val="00CA00F9"/>
    <w:rsid w:val="00CA178F"/>
    <w:rsid w:val="00CA2961"/>
    <w:rsid w:val="00CA3D60"/>
    <w:rsid w:val="00CA3E95"/>
    <w:rsid w:val="00CA4A41"/>
    <w:rsid w:val="00CA4D27"/>
    <w:rsid w:val="00CA53B4"/>
    <w:rsid w:val="00CA5461"/>
    <w:rsid w:val="00CA6982"/>
    <w:rsid w:val="00CA7423"/>
    <w:rsid w:val="00CB047E"/>
    <w:rsid w:val="00CB07C3"/>
    <w:rsid w:val="00CB21D3"/>
    <w:rsid w:val="00CB298E"/>
    <w:rsid w:val="00CB3979"/>
    <w:rsid w:val="00CB3A38"/>
    <w:rsid w:val="00CB3EC2"/>
    <w:rsid w:val="00CB3FCE"/>
    <w:rsid w:val="00CB4339"/>
    <w:rsid w:val="00CB50D7"/>
    <w:rsid w:val="00CB699A"/>
    <w:rsid w:val="00CB6FA6"/>
    <w:rsid w:val="00CB7177"/>
    <w:rsid w:val="00CC0993"/>
    <w:rsid w:val="00CC1998"/>
    <w:rsid w:val="00CC2634"/>
    <w:rsid w:val="00CC3BB1"/>
    <w:rsid w:val="00CC3FAE"/>
    <w:rsid w:val="00CC45DF"/>
    <w:rsid w:val="00CC4812"/>
    <w:rsid w:val="00CC4946"/>
    <w:rsid w:val="00CC4CE8"/>
    <w:rsid w:val="00CC5A91"/>
    <w:rsid w:val="00CC5E30"/>
    <w:rsid w:val="00CC65A2"/>
    <w:rsid w:val="00CC6DFC"/>
    <w:rsid w:val="00CC6ED6"/>
    <w:rsid w:val="00CC6F58"/>
    <w:rsid w:val="00CC7C85"/>
    <w:rsid w:val="00CD0B63"/>
    <w:rsid w:val="00CD1343"/>
    <w:rsid w:val="00CD3797"/>
    <w:rsid w:val="00CD37EF"/>
    <w:rsid w:val="00CD4700"/>
    <w:rsid w:val="00CD7051"/>
    <w:rsid w:val="00CD7978"/>
    <w:rsid w:val="00CE1F52"/>
    <w:rsid w:val="00CE3455"/>
    <w:rsid w:val="00CE3A29"/>
    <w:rsid w:val="00CE4D37"/>
    <w:rsid w:val="00CE646A"/>
    <w:rsid w:val="00CE6E4A"/>
    <w:rsid w:val="00CE7781"/>
    <w:rsid w:val="00CF09FA"/>
    <w:rsid w:val="00CF0C1E"/>
    <w:rsid w:val="00CF16BA"/>
    <w:rsid w:val="00CF20C9"/>
    <w:rsid w:val="00CF23C3"/>
    <w:rsid w:val="00CF2D4B"/>
    <w:rsid w:val="00CF68CE"/>
    <w:rsid w:val="00D010DB"/>
    <w:rsid w:val="00D0219F"/>
    <w:rsid w:val="00D04442"/>
    <w:rsid w:val="00D04BFD"/>
    <w:rsid w:val="00D06514"/>
    <w:rsid w:val="00D10838"/>
    <w:rsid w:val="00D109DA"/>
    <w:rsid w:val="00D11C4A"/>
    <w:rsid w:val="00D12186"/>
    <w:rsid w:val="00D12C5F"/>
    <w:rsid w:val="00D13041"/>
    <w:rsid w:val="00D137CF"/>
    <w:rsid w:val="00D13C92"/>
    <w:rsid w:val="00D13E39"/>
    <w:rsid w:val="00D15A29"/>
    <w:rsid w:val="00D15C4B"/>
    <w:rsid w:val="00D1675F"/>
    <w:rsid w:val="00D20AED"/>
    <w:rsid w:val="00D22A41"/>
    <w:rsid w:val="00D23413"/>
    <w:rsid w:val="00D23E9D"/>
    <w:rsid w:val="00D24429"/>
    <w:rsid w:val="00D270A4"/>
    <w:rsid w:val="00D311A4"/>
    <w:rsid w:val="00D3191F"/>
    <w:rsid w:val="00D31AC2"/>
    <w:rsid w:val="00D32652"/>
    <w:rsid w:val="00D334DE"/>
    <w:rsid w:val="00D348C7"/>
    <w:rsid w:val="00D34E1B"/>
    <w:rsid w:val="00D3531C"/>
    <w:rsid w:val="00D35A30"/>
    <w:rsid w:val="00D35D00"/>
    <w:rsid w:val="00D36B1E"/>
    <w:rsid w:val="00D37313"/>
    <w:rsid w:val="00D377AF"/>
    <w:rsid w:val="00D37958"/>
    <w:rsid w:val="00D37B84"/>
    <w:rsid w:val="00D4057F"/>
    <w:rsid w:val="00D421EA"/>
    <w:rsid w:val="00D4389E"/>
    <w:rsid w:val="00D44A33"/>
    <w:rsid w:val="00D4563C"/>
    <w:rsid w:val="00D45FB0"/>
    <w:rsid w:val="00D46E28"/>
    <w:rsid w:val="00D50768"/>
    <w:rsid w:val="00D5099D"/>
    <w:rsid w:val="00D509A0"/>
    <w:rsid w:val="00D51071"/>
    <w:rsid w:val="00D51917"/>
    <w:rsid w:val="00D541ED"/>
    <w:rsid w:val="00D541FB"/>
    <w:rsid w:val="00D5429A"/>
    <w:rsid w:val="00D5475A"/>
    <w:rsid w:val="00D55441"/>
    <w:rsid w:val="00D57423"/>
    <w:rsid w:val="00D614A5"/>
    <w:rsid w:val="00D63D0E"/>
    <w:rsid w:val="00D63D73"/>
    <w:rsid w:val="00D65972"/>
    <w:rsid w:val="00D65B27"/>
    <w:rsid w:val="00D66E1E"/>
    <w:rsid w:val="00D715F1"/>
    <w:rsid w:val="00D7486F"/>
    <w:rsid w:val="00D74C7A"/>
    <w:rsid w:val="00D74C80"/>
    <w:rsid w:val="00D74FAC"/>
    <w:rsid w:val="00D75722"/>
    <w:rsid w:val="00D77AE6"/>
    <w:rsid w:val="00D8259C"/>
    <w:rsid w:val="00D8291B"/>
    <w:rsid w:val="00D82EB0"/>
    <w:rsid w:val="00D83D50"/>
    <w:rsid w:val="00D84617"/>
    <w:rsid w:val="00D84B08"/>
    <w:rsid w:val="00D85357"/>
    <w:rsid w:val="00D86953"/>
    <w:rsid w:val="00D87437"/>
    <w:rsid w:val="00D902EF"/>
    <w:rsid w:val="00D916A9"/>
    <w:rsid w:val="00D9230B"/>
    <w:rsid w:val="00D9630E"/>
    <w:rsid w:val="00D96FFD"/>
    <w:rsid w:val="00D975EF"/>
    <w:rsid w:val="00D97DEC"/>
    <w:rsid w:val="00DA01E3"/>
    <w:rsid w:val="00DA23FC"/>
    <w:rsid w:val="00DA262B"/>
    <w:rsid w:val="00DA2CC7"/>
    <w:rsid w:val="00DA2F6F"/>
    <w:rsid w:val="00DA4B72"/>
    <w:rsid w:val="00DA61F7"/>
    <w:rsid w:val="00DA6D09"/>
    <w:rsid w:val="00DA7F0D"/>
    <w:rsid w:val="00DA7FAF"/>
    <w:rsid w:val="00DB0954"/>
    <w:rsid w:val="00DB2B72"/>
    <w:rsid w:val="00DB2E7B"/>
    <w:rsid w:val="00DB3226"/>
    <w:rsid w:val="00DB4F8A"/>
    <w:rsid w:val="00DB5F59"/>
    <w:rsid w:val="00DB5FB3"/>
    <w:rsid w:val="00DB67C9"/>
    <w:rsid w:val="00DB7287"/>
    <w:rsid w:val="00DB7CE3"/>
    <w:rsid w:val="00DC0C95"/>
    <w:rsid w:val="00DC146F"/>
    <w:rsid w:val="00DC1EFB"/>
    <w:rsid w:val="00DC2187"/>
    <w:rsid w:val="00DC267D"/>
    <w:rsid w:val="00DC27EE"/>
    <w:rsid w:val="00DC3D73"/>
    <w:rsid w:val="00DC4EAC"/>
    <w:rsid w:val="00DC641C"/>
    <w:rsid w:val="00DC6871"/>
    <w:rsid w:val="00DD09CE"/>
    <w:rsid w:val="00DD284A"/>
    <w:rsid w:val="00DD2CA4"/>
    <w:rsid w:val="00DD3B87"/>
    <w:rsid w:val="00DD473D"/>
    <w:rsid w:val="00DD4844"/>
    <w:rsid w:val="00DD5C7D"/>
    <w:rsid w:val="00DD6580"/>
    <w:rsid w:val="00DD6DCF"/>
    <w:rsid w:val="00DD7FF7"/>
    <w:rsid w:val="00DE138D"/>
    <w:rsid w:val="00DE16E9"/>
    <w:rsid w:val="00DE202D"/>
    <w:rsid w:val="00DE25CD"/>
    <w:rsid w:val="00DE2844"/>
    <w:rsid w:val="00DE438A"/>
    <w:rsid w:val="00DE4864"/>
    <w:rsid w:val="00DE4DB0"/>
    <w:rsid w:val="00DE7059"/>
    <w:rsid w:val="00DE70D7"/>
    <w:rsid w:val="00DE74C9"/>
    <w:rsid w:val="00DF0F74"/>
    <w:rsid w:val="00DF1D16"/>
    <w:rsid w:val="00DF3307"/>
    <w:rsid w:val="00DF39BB"/>
    <w:rsid w:val="00DF5DB3"/>
    <w:rsid w:val="00DF6506"/>
    <w:rsid w:val="00DF7A55"/>
    <w:rsid w:val="00E003DF"/>
    <w:rsid w:val="00E00ED2"/>
    <w:rsid w:val="00E04E0D"/>
    <w:rsid w:val="00E05E92"/>
    <w:rsid w:val="00E074A2"/>
    <w:rsid w:val="00E104B5"/>
    <w:rsid w:val="00E12394"/>
    <w:rsid w:val="00E14116"/>
    <w:rsid w:val="00E1500F"/>
    <w:rsid w:val="00E16AC2"/>
    <w:rsid w:val="00E175F0"/>
    <w:rsid w:val="00E177EC"/>
    <w:rsid w:val="00E17C72"/>
    <w:rsid w:val="00E17EFC"/>
    <w:rsid w:val="00E21092"/>
    <w:rsid w:val="00E22FDE"/>
    <w:rsid w:val="00E23768"/>
    <w:rsid w:val="00E25871"/>
    <w:rsid w:val="00E25FF6"/>
    <w:rsid w:val="00E305F4"/>
    <w:rsid w:val="00E31252"/>
    <w:rsid w:val="00E317F0"/>
    <w:rsid w:val="00E320A7"/>
    <w:rsid w:val="00E32DB4"/>
    <w:rsid w:val="00E33535"/>
    <w:rsid w:val="00E33C27"/>
    <w:rsid w:val="00E35229"/>
    <w:rsid w:val="00E377ED"/>
    <w:rsid w:val="00E37B61"/>
    <w:rsid w:val="00E37B9C"/>
    <w:rsid w:val="00E37D7D"/>
    <w:rsid w:val="00E401C0"/>
    <w:rsid w:val="00E401F6"/>
    <w:rsid w:val="00E409A9"/>
    <w:rsid w:val="00E41AA8"/>
    <w:rsid w:val="00E42709"/>
    <w:rsid w:val="00E43C4B"/>
    <w:rsid w:val="00E45840"/>
    <w:rsid w:val="00E50722"/>
    <w:rsid w:val="00E52D3B"/>
    <w:rsid w:val="00E572DE"/>
    <w:rsid w:val="00E60B5E"/>
    <w:rsid w:val="00E611D3"/>
    <w:rsid w:val="00E63133"/>
    <w:rsid w:val="00E631D1"/>
    <w:rsid w:val="00E669E2"/>
    <w:rsid w:val="00E670E9"/>
    <w:rsid w:val="00E6745A"/>
    <w:rsid w:val="00E67D60"/>
    <w:rsid w:val="00E72396"/>
    <w:rsid w:val="00E723F1"/>
    <w:rsid w:val="00E731EA"/>
    <w:rsid w:val="00E744B1"/>
    <w:rsid w:val="00E76038"/>
    <w:rsid w:val="00E76135"/>
    <w:rsid w:val="00E7649F"/>
    <w:rsid w:val="00E8205C"/>
    <w:rsid w:val="00E836A4"/>
    <w:rsid w:val="00E83728"/>
    <w:rsid w:val="00E84149"/>
    <w:rsid w:val="00E85063"/>
    <w:rsid w:val="00E85239"/>
    <w:rsid w:val="00E8744A"/>
    <w:rsid w:val="00E90437"/>
    <w:rsid w:val="00E90516"/>
    <w:rsid w:val="00E90BBE"/>
    <w:rsid w:val="00E91F56"/>
    <w:rsid w:val="00E92742"/>
    <w:rsid w:val="00E93300"/>
    <w:rsid w:val="00E93C9A"/>
    <w:rsid w:val="00E945C6"/>
    <w:rsid w:val="00E978E1"/>
    <w:rsid w:val="00EA1716"/>
    <w:rsid w:val="00EA1A3F"/>
    <w:rsid w:val="00EA2076"/>
    <w:rsid w:val="00EA4261"/>
    <w:rsid w:val="00EA714D"/>
    <w:rsid w:val="00EA7BD0"/>
    <w:rsid w:val="00EB0B8E"/>
    <w:rsid w:val="00EB1E24"/>
    <w:rsid w:val="00EB2B47"/>
    <w:rsid w:val="00EB3570"/>
    <w:rsid w:val="00EB485C"/>
    <w:rsid w:val="00EB5E00"/>
    <w:rsid w:val="00EC2900"/>
    <w:rsid w:val="00EC2E83"/>
    <w:rsid w:val="00EC3E63"/>
    <w:rsid w:val="00EC4156"/>
    <w:rsid w:val="00EC45AC"/>
    <w:rsid w:val="00EC4B2E"/>
    <w:rsid w:val="00EC4FAE"/>
    <w:rsid w:val="00EC53F4"/>
    <w:rsid w:val="00EC5D6C"/>
    <w:rsid w:val="00EC6D2F"/>
    <w:rsid w:val="00EC7839"/>
    <w:rsid w:val="00EC7B14"/>
    <w:rsid w:val="00ED0634"/>
    <w:rsid w:val="00ED098E"/>
    <w:rsid w:val="00ED0AE2"/>
    <w:rsid w:val="00ED1F31"/>
    <w:rsid w:val="00ED30ED"/>
    <w:rsid w:val="00ED3F3A"/>
    <w:rsid w:val="00ED5A63"/>
    <w:rsid w:val="00ED69A1"/>
    <w:rsid w:val="00EE0685"/>
    <w:rsid w:val="00EE0F0A"/>
    <w:rsid w:val="00EE2F09"/>
    <w:rsid w:val="00EE4018"/>
    <w:rsid w:val="00EE471F"/>
    <w:rsid w:val="00EE4CAC"/>
    <w:rsid w:val="00EE4E7D"/>
    <w:rsid w:val="00EF11C4"/>
    <w:rsid w:val="00EF1A3A"/>
    <w:rsid w:val="00EF1AB5"/>
    <w:rsid w:val="00EF3A37"/>
    <w:rsid w:val="00EF3CF1"/>
    <w:rsid w:val="00EF40C4"/>
    <w:rsid w:val="00EF47B0"/>
    <w:rsid w:val="00EF61A3"/>
    <w:rsid w:val="00EF62E5"/>
    <w:rsid w:val="00EF6CD5"/>
    <w:rsid w:val="00EF6FF7"/>
    <w:rsid w:val="00F02600"/>
    <w:rsid w:val="00F04A70"/>
    <w:rsid w:val="00F0537C"/>
    <w:rsid w:val="00F056FC"/>
    <w:rsid w:val="00F05C81"/>
    <w:rsid w:val="00F07284"/>
    <w:rsid w:val="00F135D8"/>
    <w:rsid w:val="00F150BD"/>
    <w:rsid w:val="00F15169"/>
    <w:rsid w:val="00F16A52"/>
    <w:rsid w:val="00F17222"/>
    <w:rsid w:val="00F176E3"/>
    <w:rsid w:val="00F17E18"/>
    <w:rsid w:val="00F20B82"/>
    <w:rsid w:val="00F213A6"/>
    <w:rsid w:val="00F21751"/>
    <w:rsid w:val="00F224B4"/>
    <w:rsid w:val="00F22A5D"/>
    <w:rsid w:val="00F22ABB"/>
    <w:rsid w:val="00F239EF"/>
    <w:rsid w:val="00F254F3"/>
    <w:rsid w:val="00F266C2"/>
    <w:rsid w:val="00F30028"/>
    <w:rsid w:val="00F3050A"/>
    <w:rsid w:val="00F30A74"/>
    <w:rsid w:val="00F30C61"/>
    <w:rsid w:val="00F30F88"/>
    <w:rsid w:val="00F31299"/>
    <w:rsid w:val="00F315C7"/>
    <w:rsid w:val="00F33E2C"/>
    <w:rsid w:val="00F344B2"/>
    <w:rsid w:val="00F35269"/>
    <w:rsid w:val="00F3534A"/>
    <w:rsid w:val="00F35CAF"/>
    <w:rsid w:val="00F42D03"/>
    <w:rsid w:val="00F43CAF"/>
    <w:rsid w:val="00F4566E"/>
    <w:rsid w:val="00F45672"/>
    <w:rsid w:val="00F45DEC"/>
    <w:rsid w:val="00F46AD2"/>
    <w:rsid w:val="00F50E7A"/>
    <w:rsid w:val="00F52FE4"/>
    <w:rsid w:val="00F532B0"/>
    <w:rsid w:val="00F53691"/>
    <w:rsid w:val="00F54789"/>
    <w:rsid w:val="00F54CFD"/>
    <w:rsid w:val="00F5512F"/>
    <w:rsid w:val="00F553BD"/>
    <w:rsid w:val="00F55B7A"/>
    <w:rsid w:val="00F55C1C"/>
    <w:rsid w:val="00F56A13"/>
    <w:rsid w:val="00F572F2"/>
    <w:rsid w:val="00F606DC"/>
    <w:rsid w:val="00F60BA2"/>
    <w:rsid w:val="00F63756"/>
    <w:rsid w:val="00F64514"/>
    <w:rsid w:val="00F668E2"/>
    <w:rsid w:val="00F67FBE"/>
    <w:rsid w:val="00F70BD9"/>
    <w:rsid w:val="00F7107C"/>
    <w:rsid w:val="00F715C3"/>
    <w:rsid w:val="00F71ABF"/>
    <w:rsid w:val="00F71B58"/>
    <w:rsid w:val="00F72AEB"/>
    <w:rsid w:val="00F73826"/>
    <w:rsid w:val="00F73903"/>
    <w:rsid w:val="00F73C11"/>
    <w:rsid w:val="00F74673"/>
    <w:rsid w:val="00F74B5A"/>
    <w:rsid w:val="00F74B8C"/>
    <w:rsid w:val="00F77A3F"/>
    <w:rsid w:val="00F77C12"/>
    <w:rsid w:val="00F82196"/>
    <w:rsid w:val="00F821A2"/>
    <w:rsid w:val="00F8227C"/>
    <w:rsid w:val="00F82AEE"/>
    <w:rsid w:val="00F82D23"/>
    <w:rsid w:val="00F839F3"/>
    <w:rsid w:val="00F84376"/>
    <w:rsid w:val="00F846D9"/>
    <w:rsid w:val="00F85325"/>
    <w:rsid w:val="00F865A8"/>
    <w:rsid w:val="00F866CE"/>
    <w:rsid w:val="00F87984"/>
    <w:rsid w:val="00F879B2"/>
    <w:rsid w:val="00F90E64"/>
    <w:rsid w:val="00F91380"/>
    <w:rsid w:val="00F918CC"/>
    <w:rsid w:val="00F91E54"/>
    <w:rsid w:val="00F946CD"/>
    <w:rsid w:val="00F94BD2"/>
    <w:rsid w:val="00F961F9"/>
    <w:rsid w:val="00F96BCC"/>
    <w:rsid w:val="00F9754C"/>
    <w:rsid w:val="00FA1474"/>
    <w:rsid w:val="00FA2D26"/>
    <w:rsid w:val="00FA3B03"/>
    <w:rsid w:val="00FA3CFC"/>
    <w:rsid w:val="00FA674B"/>
    <w:rsid w:val="00FA7319"/>
    <w:rsid w:val="00FA7684"/>
    <w:rsid w:val="00FA7C3D"/>
    <w:rsid w:val="00FA7F47"/>
    <w:rsid w:val="00FB3E36"/>
    <w:rsid w:val="00FB41DD"/>
    <w:rsid w:val="00FB472E"/>
    <w:rsid w:val="00FC0A17"/>
    <w:rsid w:val="00FC11C9"/>
    <w:rsid w:val="00FC11CB"/>
    <w:rsid w:val="00FC133F"/>
    <w:rsid w:val="00FC173E"/>
    <w:rsid w:val="00FC1FC0"/>
    <w:rsid w:val="00FC332B"/>
    <w:rsid w:val="00FC34F5"/>
    <w:rsid w:val="00FC46CF"/>
    <w:rsid w:val="00FC5FA0"/>
    <w:rsid w:val="00FC6535"/>
    <w:rsid w:val="00FC6F6D"/>
    <w:rsid w:val="00FC6FE3"/>
    <w:rsid w:val="00FD0253"/>
    <w:rsid w:val="00FD0A8F"/>
    <w:rsid w:val="00FD22B1"/>
    <w:rsid w:val="00FD2A09"/>
    <w:rsid w:val="00FD349A"/>
    <w:rsid w:val="00FD3C16"/>
    <w:rsid w:val="00FD3CBB"/>
    <w:rsid w:val="00FD520D"/>
    <w:rsid w:val="00FD5B52"/>
    <w:rsid w:val="00FD63DA"/>
    <w:rsid w:val="00FE0547"/>
    <w:rsid w:val="00FE0E00"/>
    <w:rsid w:val="00FE188C"/>
    <w:rsid w:val="00FE1F9D"/>
    <w:rsid w:val="00FE24CE"/>
    <w:rsid w:val="00FE2A7B"/>
    <w:rsid w:val="00FE2A8A"/>
    <w:rsid w:val="00FE3D02"/>
    <w:rsid w:val="00FE5E03"/>
    <w:rsid w:val="00FE7975"/>
    <w:rsid w:val="00FE7DD7"/>
    <w:rsid w:val="00FF16CF"/>
    <w:rsid w:val="00FF21D1"/>
    <w:rsid w:val="00FF29B2"/>
    <w:rsid w:val="00FF2BC8"/>
    <w:rsid w:val="00FF2BFE"/>
    <w:rsid w:val="00FF3842"/>
    <w:rsid w:val="00FF3F77"/>
    <w:rsid w:val="00FF56E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8688F"/>
    <w:rPr>
      <w:sz w:val="26"/>
      <w:szCs w:val="24"/>
    </w:rPr>
  </w:style>
  <w:style w:type="paragraph" w:styleId="Heading1">
    <w:name w:val="heading 1"/>
    <w:basedOn w:val="BodyText"/>
    <w:next w:val="BodyText"/>
    <w:rsid w:val="00B8688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8688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8688F"/>
    <w:pPr>
      <w:spacing w:before="560" w:line="320" w:lineRule="exact"/>
      <w:ind w:left="0" w:firstLine="0"/>
      <w:outlineLvl w:val="2"/>
    </w:pPr>
    <w:rPr>
      <w:sz w:val="26"/>
    </w:rPr>
  </w:style>
  <w:style w:type="paragraph" w:styleId="Heading4">
    <w:name w:val="heading 4"/>
    <w:basedOn w:val="Heading3"/>
    <w:next w:val="BodyText"/>
    <w:qFormat/>
    <w:rsid w:val="00B8688F"/>
    <w:pPr>
      <w:spacing w:before="480"/>
      <w:outlineLvl w:val="3"/>
    </w:pPr>
    <w:rPr>
      <w:b w:val="0"/>
      <w:i/>
      <w:sz w:val="24"/>
    </w:rPr>
  </w:style>
  <w:style w:type="paragraph" w:styleId="Heading5">
    <w:name w:val="heading 5"/>
    <w:basedOn w:val="Heading4"/>
    <w:next w:val="BodyText"/>
    <w:qFormat/>
    <w:rsid w:val="00B8688F"/>
    <w:pPr>
      <w:outlineLvl w:val="4"/>
    </w:pPr>
    <w:rPr>
      <w:rFonts w:ascii="Times New Roman" w:hAnsi="Times New Roman"/>
      <w:sz w:val="26"/>
    </w:rPr>
  </w:style>
  <w:style w:type="paragraph" w:styleId="Heading6">
    <w:name w:val="heading 6"/>
    <w:basedOn w:val="BodyText"/>
    <w:next w:val="BodyText"/>
    <w:rsid w:val="00B8688F"/>
    <w:pPr>
      <w:spacing w:after="60"/>
      <w:jc w:val="left"/>
      <w:outlineLvl w:val="5"/>
    </w:pPr>
    <w:rPr>
      <w:i/>
      <w:sz w:val="22"/>
    </w:rPr>
  </w:style>
  <w:style w:type="paragraph" w:styleId="Heading7">
    <w:name w:val="heading 7"/>
    <w:basedOn w:val="BodyText"/>
    <w:next w:val="BodyText"/>
    <w:rsid w:val="00B8688F"/>
    <w:pPr>
      <w:spacing w:after="60" w:line="240" w:lineRule="auto"/>
      <w:jc w:val="left"/>
      <w:outlineLvl w:val="6"/>
    </w:pPr>
    <w:rPr>
      <w:rFonts w:ascii="Arial" w:hAnsi="Arial"/>
      <w:sz w:val="20"/>
    </w:rPr>
  </w:style>
  <w:style w:type="paragraph" w:styleId="Heading8">
    <w:name w:val="heading 8"/>
    <w:basedOn w:val="BodyText"/>
    <w:next w:val="BodyText"/>
    <w:rsid w:val="00B8688F"/>
    <w:pPr>
      <w:spacing w:after="60" w:line="240" w:lineRule="auto"/>
      <w:jc w:val="left"/>
      <w:outlineLvl w:val="7"/>
    </w:pPr>
    <w:rPr>
      <w:rFonts w:ascii="Arial" w:hAnsi="Arial"/>
      <w:i/>
      <w:sz w:val="20"/>
    </w:rPr>
  </w:style>
  <w:style w:type="paragraph" w:styleId="Heading9">
    <w:name w:val="heading 9"/>
    <w:basedOn w:val="BodyText"/>
    <w:next w:val="BodyText"/>
    <w:rsid w:val="00B8688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86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88F"/>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B8688F"/>
    <w:pPr>
      <w:spacing w:before="240" w:line="320" w:lineRule="atLeast"/>
      <w:jc w:val="both"/>
    </w:pPr>
    <w:rPr>
      <w:sz w:val="26"/>
    </w:rPr>
  </w:style>
  <w:style w:type="paragraph" w:customStyle="1" w:styleId="Chapter">
    <w:name w:val="Chapter"/>
    <w:basedOn w:val="Heading1"/>
    <w:next w:val="BodyText"/>
    <w:semiHidden/>
    <w:rsid w:val="00B8688F"/>
    <w:pPr>
      <w:ind w:left="0" w:firstLine="0"/>
      <w:outlineLvl w:val="9"/>
    </w:pPr>
  </w:style>
  <w:style w:type="paragraph" w:styleId="Footer">
    <w:name w:val="footer"/>
    <w:basedOn w:val="BodyText"/>
    <w:semiHidden/>
    <w:rsid w:val="00B8688F"/>
    <w:pPr>
      <w:spacing w:before="80" w:line="200" w:lineRule="exact"/>
      <w:ind w:right="6"/>
      <w:jc w:val="left"/>
    </w:pPr>
    <w:rPr>
      <w:caps/>
      <w:spacing w:val="-4"/>
      <w:sz w:val="16"/>
    </w:rPr>
  </w:style>
  <w:style w:type="paragraph" w:customStyle="1" w:styleId="FooterEnd">
    <w:name w:val="Footer End"/>
    <w:basedOn w:val="Footer"/>
    <w:rsid w:val="00B8688F"/>
    <w:pPr>
      <w:spacing w:before="0" w:line="20" w:lineRule="exact"/>
    </w:pPr>
  </w:style>
  <w:style w:type="paragraph" w:styleId="Header">
    <w:name w:val="header"/>
    <w:basedOn w:val="BodyText"/>
    <w:rsid w:val="00B8688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8688F"/>
    <w:pPr>
      <w:spacing w:line="20" w:lineRule="exact"/>
    </w:pPr>
    <w:rPr>
      <w:sz w:val="16"/>
    </w:rPr>
  </w:style>
  <w:style w:type="paragraph" w:customStyle="1" w:styleId="HeaderEven">
    <w:name w:val="Header Even"/>
    <w:basedOn w:val="Header"/>
    <w:semiHidden/>
    <w:rsid w:val="00B8688F"/>
  </w:style>
  <w:style w:type="paragraph" w:customStyle="1" w:styleId="HeaderOdd">
    <w:name w:val="Header Odd"/>
    <w:basedOn w:val="Header"/>
    <w:semiHidden/>
    <w:rsid w:val="00B8688F"/>
  </w:style>
  <w:style w:type="character" w:styleId="PageNumber">
    <w:name w:val="page number"/>
    <w:basedOn w:val="DefaultParagraphFont"/>
    <w:rsid w:val="00B8688F"/>
    <w:rPr>
      <w:rFonts w:ascii="Arial" w:hAnsi="Arial"/>
      <w:b/>
      <w:sz w:val="16"/>
    </w:rPr>
  </w:style>
  <w:style w:type="paragraph" w:customStyle="1" w:styleId="Abbreviation">
    <w:name w:val="Abbreviation"/>
    <w:basedOn w:val="BodyText"/>
    <w:link w:val="AbbreviationChar"/>
    <w:rsid w:val="00B8688F"/>
    <w:pPr>
      <w:spacing w:before="120"/>
      <w:ind w:left="2381" w:hanging="2381"/>
      <w:jc w:val="left"/>
    </w:pPr>
  </w:style>
  <w:style w:type="paragraph" w:customStyle="1" w:styleId="Box">
    <w:name w:val="Box"/>
    <w:basedOn w:val="BodyText"/>
    <w:link w:val="BoxChar"/>
    <w:qFormat/>
    <w:rsid w:val="00B8688F"/>
    <w:pPr>
      <w:keepNext/>
      <w:spacing w:before="120" w:line="280" w:lineRule="atLeast"/>
    </w:pPr>
    <w:rPr>
      <w:rFonts w:ascii="Arial" w:hAnsi="Arial"/>
      <w:sz w:val="22"/>
    </w:rPr>
  </w:style>
  <w:style w:type="paragraph" w:customStyle="1" w:styleId="BoxContinued">
    <w:name w:val="Box Continued"/>
    <w:basedOn w:val="BodyText"/>
    <w:next w:val="BodyText"/>
    <w:semiHidden/>
    <w:rsid w:val="00B8688F"/>
    <w:pPr>
      <w:spacing w:before="180" w:line="220" w:lineRule="exact"/>
      <w:jc w:val="right"/>
    </w:pPr>
    <w:rPr>
      <w:rFonts w:ascii="Arial" w:hAnsi="Arial"/>
      <w:sz w:val="18"/>
    </w:rPr>
  </w:style>
  <w:style w:type="paragraph" w:customStyle="1" w:styleId="BoxHeading1">
    <w:name w:val="Box Heading 1"/>
    <w:basedOn w:val="BodyText"/>
    <w:next w:val="Box"/>
    <w:rsid w:val="00B8688F"/>
    <w:pPr>
      <w:keepNext/>
      <w:spacing w:before="200" w:line="280" w:lineRule="atLeast"/>
    </w:pPr>
    <w:rPr>
      <w:rFonts w:ascii="Arial" w:hAnsi="Arial"/>
      <w:b/>
      <w:sz w:val="22"/>
    </w:rPr>
  </w:style>
  <w:style w:type="paragraph" w:customStyle="1" w:styleId="BoxHeading2">
    <w:name w:val="Box Heading 2"/>
    <w:basedOn w:val="BoxHeading1"/>
    <w:next w:val="Normal"/>
    <w:rsid w:val="00B8688F"/>
    <w:rPr>
      <w:b w:val="0"/>
      <w:i/>
    </w:rPr>
  </w:style>
  <w:style w:type="paragraph" w:customStyle="1" w:styleId="BoxListBullet">
    <w:name w:val="Box List Bullet"/>
    <w:basedOn w:val="BodyText"/>
    <w:link w:val="BoxListBulletChar"/>
    <w:rsid w:val="00B8688F"/>
    <w:pPr>
      <w:keepNext/>
      <w:numPr>
        <w:numId w:val="1"/>
      </w:numPr>
      <w:spacing w:before="60" w:line="280" w:lineRule="atLeast"/>
    </w:pPr>
    <w:rPr>
      <w:rFonts w:ascii="Arial" w:hAnsi="Arial"/>
      <w:sz w:val="22"/>
    </w:rPr>
  </w:style>
  <w:style w:type="paragraph" w:customStyle="1" w:styleId="BoxListBullet2">
    <w:name w:val="Box List Bullet 2"/>
    <w:basedOn w:val="BodyText"/>
    <w:rsid w:val="00B8688F"/>
    <w:pPr>
      <w:keepNext/>
      <w:numPr>
        <w:numId w:val="2"/>
      </w:numPr>
      <w:spacing w:before="60" w:line="280" w:lineRule="atLeast"/>
    </w:pPr>
    <w:rPr>
      <w:rFonts w:ascii="Arial" w:hAnsi="Arial"/>
      <w:sz w:val="22"/>
    </w:rPr>
  </w:style>
  <w:style w:type="paragraph" w:customStyle="1" w:styleId="BoxListNumber">
    <w:name w:val="Box List Number"/>
    <w:basedOn w:val="BodyText"/>
    <w:rsid w:val="00B8688F"/>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B8688F"/>
    <w:pPr>
      <w:numPr>
        <w:ilvl w:val="1"/>
      </w:numPr>
    </w:pPr>
  </w:style>
  <w:style w:type="paragraph" w:customStyle="1" w:styleId="BoxQuote">
    <w:name w:val="Box Quote"/>
    <w:basedOn w:val="BodyText"/>
    <w:next w:val="Box"/>
    <w:rsid w:val="00B8688F"/>
    <w:pPr>
      <w:keepNext/>
      <w:spacing w:before="60" w:line="260" w:lineRule="exact"/>
      <w:ind w:left="284"/>
    </w:pPr>
    <w:rPr>
      <w:rFonts w:ascii="Arial" w:hAnsi="Arial"/>
      <w:sz w:val="20"/>
    </w:rPr>
  </w:style>
  <w:style w:type="paragraph" w:customStyle="1" w:styleId="Note">
    <w:name w:val="Note"/>
    <w:basedOn w:val="BodyText"/>
    <w:next w:val="BodyText"/>
    <w:link w:val="NoteChar"/>
    <w:rsid w:val="00B8688F"/>
    <w:pPr>
      <w:keepLines/>
      <w:spacing w:before="80" w:line="220" w:lineRule="exact"/>
    </w:pPr>
    <w:rPr>
      <w:rFonts w:ascii="Arial" w:hAnsi="Arial"/>
      <w:sz w:val="18"/>
    </w:rPr>
  </w:style>
  <w:style w:type="paragraph" w:customStyle="1" w:styleId="Source">
    <w:name w:val="Source"/>
    <w:basedOn w:val="Note"/>
    <w:next w:val="BodyText"/>
    <w:link w:val="SourceChar"/>
    <w:rsid w:val="00B8688F"/>
    <w:pPr>
      <w:spacing w:after="120"/>
    </w:pPr>
  </w:style>
  <w:style w:type="paragraph" w:customStyle="1" w:styleId="BoxSource">
    <w:name w:val="Box Source"/>
    <w:basedOn w:val="Source"/>
    <w:next w:val="BodyText"/>
    <w:rsid w:val="00B8688F"/>
    <w:pPr>
      <w:spacing w:before="180" w:after="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B8688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8688F"/>
    <w:pPr>
      <w:spacing w:before="120" w:after="0"/>
      <w:ind w:left="1304" w:hanging="1304"/>
    </w:pPr>
    <w:rPr>
      <w:sz w:val="24"/>
    </w:rPr>
  </w:style>
  <w:style w:type="paragraph" w:customStyle="1" w:styleId="BoxSubtitle">
    <w:name w:val="Box Subtitle"/>
    <w:basedOn w:val="BoxTitle"/>
    <w:next w:val="Normal"/>
    <w:rsid w:val="00B8688F"/>
    <w:pPr>
      <w:spacing w:after="80" w:line="200" w:lineRule="exact"/>
      <w:ind w:firstLine="0"/>
    </w:pPr>
    <w:rPr>
      <w:b w:val="0"/>
      <w:sz w:val="20"/>
    </w:rPr>
  </w:style>
  <w:style w:type="paragraph" w:customStyle="1" w:styleId="ChapterSummary">
    <w:name w:val="Chapter Summary"/>
    <w:basedOn w:val="BodyText"/>
    <w:rsid w:val="00B8688F"/>
    <w:pPr>
      <w:ind w:left="907"/>
    </w:pPr>
    <w:rPr>
      <w:rFonts w:ascii="Arial" w:hAnsi="Arial"/>
      <w:b/>
      <w:sz w:val="22"/>
    </w:rPr>
  </w:style>
  <w:style w:type="character" w:styleId="CommentReference">
    <w:name w:val="annotation reference"/>
    <w:basedOn w:val="DefaultParagraphFont"/>
    <w:semiHidden/>
    <w:rsid w:val="00B8688F"/>
    <w:rPr>
      <w:b/>
      <w:vanish/>
      <w:color w:val="FF00FF"/>
      <w:sz w:val="20"/>
    </w:rPr>
  </w:style>
  <w:style w:type="paragraph" w:styleId="CommentText">
    <w:name w:val="annotation text"/>
    <w:basedOn w:val="Normal"/>
    <w:semiHidden/>
    <w:rsid w:val="00B8688F"/>
    <w:pPr>
      <w:spacing w:before="120" w:line="240" w:lineRule="atLeast"/>
      <w:ind w:left="567" w:hanging="567"/>
    </w:pPr>
    <w:rPr>
      <w:sz w:val="20"/>
    </w:rPr>
  </w:style>
  <w:style w:type="paragraph" w:customStyle="1" w:styleId="Continued">
    <w:name w:val="Continued"/>
    <w:basedOn w:val="BoxContinued"/>
    <w:next w:val="BodyText"/>
    <w:rsid w:val="00B8688F"/>
  </w:style>
  <w:style w:type="character" w:customStyle="1" w:styleId="DocumentInfo">
    <w:name w:val="Document Info"/>
    <w:basedOn w:val="DefaultParagraphFont"/>
    <w:semiHidden/>
    <w:rsid w:val="00B8688F"/>
    <w:rPr>
      <w:rFonts w:ascii="Arial" w:hAnsi="Arial"/>
      <w:sz w:val="14"/>
    </w:rPr>
  </w:style>
  <w:style w:type="character" w:customStyle="1" w:styleId="DraftingNote">
    <w:name w:val="Drafting Note"/>
    <w:basedOn w:val="DefaultParagraphFont"/>
    <w:rsid w:val="00B8688F"/>
    <w:rPr>
      <w:b/>
      <w:color w:val="FF0000"/>
      <w:sz w:val="24"/>
      <w:u w:val="dotted"/>
    </w:rPr>
  </w:style>
  <w:style w:type="paragraph" w:customStyle="1" w:styleId="Figure">
    <w:name w:val="Figure"/>
    <w:basedOn w:val="BodyText"/>
    <w:link w:val="FigureChar"/>
    <w:rsid w:val="00B8688F"/>
    <w:pPr>
      <w:keepNext/>
      <w:spacing w:before="120" w:after="120" w:line="240" w:lineRule="atLeast"/>
      <w:jc w:val="center"/>
    </w:pPr>
  </w:style>
  <w:style w:type="paragraph" w:customStyle="1" w:styleId="FigureTitle">
    <w:name w:val="Figure Title"/>
    <w:basedOn w:val="Caption"/>
    <w:next w:val="Subtitle"/>
    <w:link w:val="FigureTitleChar"/>
    <w:rsid w:val="00B8688F"/>
    <w:rPr>
      <w:sz w:val="24"/>
    </w:rPr>
  </w:style>
  <w:style w:type="paragraph" w:styleId="Subtitle">
    <w:name w:val="Subtitle"/>
    <w:basedOn w:val="Caption"/>
    <w:link w:val="SubtitleChar"/>
    <w:rsid w:val="00B8688F"/>
    <w:pPr>
      <w:spacing w:before="0" w:line="200" w:lineRule="exact"/>
      <w:ind w:firstLine="0"/>
    </w:pPr>
    <w:rPr>
      <w:b w:val="0"/>
      <w:sz w:val="20"/>
    </w:rPr>
  </w:style>
  <w:style w:type="paragraph" w:customStyle="1" w:styleId="Finding">
    <w:name w:val="Finding"/>
    <w:basedOn w:val="BodyText"/>
    <w:rsid w:val="00B8688F"/>
    <w:pPr>
      <w:keepLines/>
      <w:spacing w:before="180"/>
    </w:pPr>
    <w:rPr>
      <w:i/>
    </w:rPr>
  </w:style>
  <w:style w:type="paragraph" w:customStyle="1" w:styleId="FindingBullet">
    <w:name w:val="Finding Bullet"/>
    <w:basedOn w:val="Finding"/>
    <w:rsid w:val="00B8688F"/>
    <w:pPr>
      <w:numPr>
        <w:numId w:val="3"/>
      </w:numPr>
      <w:spacing w:before="80"/>
    </w:pPr>
  </w:style>
  <w:style w:type="paragraph" w:customStyle="1" w:styleId="FindingNoTitle">
    <w:name w:val="Finding NoTitle"/>
    <w:basedOn w:val="Finding"/>
    <w:rsid w:val="00B8688F"/>
    <w:pPr>
      <w:spacing w:before="240"/>
    </w:pPr>
  </w:style>
  <w:style w:type="paragraph" w:customStyle="1" w:styleId="RecTitle">
    <w:name w:val="Rec Title"/>
    <w:basedOn w:val="BodyText"/>
    <w:next w:val="Normal"/>
    <w:rsid w:val="00B8688F"/>
    <w:pPr>
      <w:keepNext/>
      <w:keepLines/>
    </w:pPr>
    <w:rPr>
      <w:caps/>
      <w:sz w:val="20"/>
    </w:rPr>
  </w:style>
  <w:style w:type="paragraph" w:customStyle="1" w:styleId="FindingTitle">
    <w:name w:val="Finding Title"/>
    <w:basedOn w:val="RecTitle"/>
    <w:next w:val="Finding"/>
    <w:rsid w:val="00B8688F"/>
    <w:pPr>
      <w:framePr w:wrap="notBeside" w:hAnchor="text"/>
    </w:pPr>
  </w:style>
  <w:style w:type="character" w:styleId="FootnoteReference">
    <w:name w:val="footnote reference"/>
    <w:basedOn w:val="DefaultParagraphFont"/>
    <w:semiHidden/>
    <w:rsid w:val="00B8688F"/>
    <w:rPr>
      <w:rFonts w:ascii="Times New Roman" w:hAnsi="Times New Roman"/>
      <w:position w:val="6"/>
      <w:sz w:val="22"/>
      <w:vertAlign w:val="baseline"/>
    </w:rPr>
  </w:style>
  <w:style w:type="paragraph" w:styleId="FootnoteText">
    <w:name w:val="footnote text"/>
    <w:basedOn w:val="BodyText"/>
    <w:rsid w:val="00B8688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8688F"/>
    <w:pPr>
      <w:spacing w:before="360" w:after="120"/>
    </w:pPr>
    <w:rPr>
      <w:rFonts w:ascii="Arial" w:hAnsi="Arial"/>
      <w:sz w:val="24"/>
    </w:rPr>
  </w:style>
  <w:style w:type="paragraph" w:customStyle="1" w:styleId="Jurisdictioncommentsbodytext">
    <w:name w:val="Jurisdiction comments body text"/>
    <w:rsid w:val="00B8688F"/>
    <w:pPr>
      <w:spacing w:after="140"/>
      <w:jc w:val="both"/>
    </w:pPr>
    <w:rPr>
      <w:rFonts w:ascii="Arial" w:hAnsi="Arial"/>
      <w:sz w:val="24"/>
      <w:lang w:eastAsia="en-US"/>
    </w:rPr>
  </w:style>
  <w:style w:type="paragraph" w:customStyle="1" w:styleId="Jurisdictioncommentsheading">
    <w:name w:val="Jurisdiction comments heading"/>
    <w:rsid w:val="00B8688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8688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B8688F"/>
    <w:pPr>
      <w:numPr>
        <w:numId w:val="5"/>
      </w:numPr>
      <w:spacing w:before="120"/>
    </w:pPr>
  </w:style>
  <w:style w:type="paragraph" w:styleId="ListBullet2">
    <w:name w:val="List Bullet 2"/>
    <w:basedOn w:val="BodyText"/>
    <w:rsid w:val="00B8688F"/>
    <w:pPr>
      <w:numPr>
        <w:numId w:val="6"/>
      </w:numPr>
      <w:spacing w:before="120"/>
    </w:pPr>
  </w:style>
  <w:style w:type="paragraph" w:styleId="ListBullet3">
    <w:name w:val="List Bullet 3"/>
    <w:basedOn w:val="BodyText"/>
    <w:rsid w:val="00B8688F"/>
    <w:pPr>
      <w:numPr>
        <w:numId w:val="7"/>
      </w:numPr>
      <w:spacing w:before="120"/>
    </w:pPr>
  </w:style>
  <w:style w:type="paragraph" w:styleId="ListNumber">
    <w:name w:val="List Number"/>
    <w:basedOn w:val="BodyText"/>
    <w:rsid w:val="00B8688F"/>
    <w:pPr>
      <w:numPr>
        <w:numId w:val="13"/>
      </w:numPr>
      <w:spacing w:before="120"/>
    </w:pPr>
  </w:style>
  <w:style w:type="paragraph" w:styleId="ListNumber2">
    <w:name w:val="List Number 2"/>
    <w:basedOn w:val="ListNumber"/>
    <w:rsid w:val="00B8688F"/>
    <w:pPr>
      <w:numPr>
        <w:ilvl w:val="1"/>
      </w:numPr>
    </w:pPr>
  </w:style>
  <w:style w:type="paragraph" w:styleId="ListNumber3">
    <w:name w:val="List Number 3"/>
    <w:basedOn w:val="ListNumber2"/>
    <w:rsid w:val="00B8688F"/>
    <w:pPr>
      <w:numPr>
        <w:ilvl w:val="2"/>
      </w:numPr>
    </w:pPr>
  </w:style>
  <w:style w:type="character" w:customStyle="1" w:styleId="NoteLabel">
    <w:name w:val="Note Label"/>
    <w:basedOn w:val="DefaultParagraphFont"/>
    <w:rsid w:val="00B8688F"/>
    <w:rPr>
      <w:rFonts w:ascii="Arial" w:hAnsi="Arial"/>
      <w:b/>
      <w:position w:val="6"/>
      <w:sz w:val="18"/>
    </w:rPr>
  </w:style>
  <w:style w:type="paragraph" w:customStyle="1" w:styleId="PartDivider">
    <w:name w:val="Part Divider"/>
    <w:basedOn w:val="BodyText"/>
    <w:next w:val="BodyText"/>
    <w:semiHidden/>
    <w:rsid w:val="00B8688F"/>
    <w:pPr>
      <w:spacing w:before="0" w:line="40" w:lineRule="exact"/>
      <w:jc w:val="right"/>
    </w:pPr>
    <w:rPr>
      <w:smallCaps/>
      <w:sz w:val="16"/>
    </w:rPr>
  </w:style>
  <w:style w:type="paragraph" w:customStyle="1" w:styleId="PartNumber">
    <w:name w:val="Part Number"/>
    <w:basedOn w:val="BodyText"/>
    <w:next w:val="BodyText"/>
    <w:semiHidden/>
    <w:rsid w:val="00B8688F"/>
    <w:pPr>
      <w:spacing w:before="4000" w:line="320" w:lineRule="exact"/>
      <w:ind w:left="6634"/>
      <w:jc w:val="right"/>
    </w:pPr>
    <w:rPr>
      <w:smallCaps/>
      <w:spacing w:val="60"/>
      <w:sz w:val="32"/>
    </w:rPr>
  </w:style>
  <w:style w:type="paragraph" w:customStyle="1" w:styleId="PartTitle">
    <w:name w:val="Part Title"/>
    <w:basedOn w:val="BodyText"/>
    <w:semiHidden/>
    <w:rsid w:val="00B8688F"/>
    <w:pPr>
      <w:spacing w:before="160" w:after="1360" w:line="520" w:lineRule="exact"/>
      <w:ind w:right="2381"/>
      <w:jc w:val="right"/>
    </w:pPr>
    <w:rPr>
      <w:smallCaps/>
      <w:sz w:val="52"/>
    </w:rPr>
  </w:style>
  <w:style w:type="paragraph" w:styleId="Quote">
    <w:name w:val="Quote"/>
    <w:basedOn w:val="BodyText"/>
    <w:next w:val="BodyText"/>
    <w:qFormat/>
    <w:rsid w:val="00B8688F"/>
    <w:pPr>
      <w:spacing w:before="120" w:line="280" w:lineRule="exact"/>
      <w:ind w:left="340"/>
    </w:pPr>
    <w:rPr>
      <w:sz w:val="24"/>
    </w:rPr>
  </w:style>
  <w:style w:type="paragraph" w:customStyle="1" w:styleId="QuoteBullet">
    <w:name w:val="Quote Bullet"/>
    <w:basedOn w:val="Quote"/>
    <w:rsid w:val="00B8688F"/>
    <w:pPr>
      <w:numPr>
        <w:numId w:val="8"/>
      </w:numPr>
    </w:pPr>
  </w:style>
  <w:style w:type="paragraph" w:customStyle="1" w:styleId="Rec">
    <w:name w:val="Rec"/>
    <w:basedOn w:val="BodyText"/>
    <w:rsid w:val="00B8688F"/>
    <w:pPr>
      <w:keepLines/>
      <w:spacing w:before="180"/>
    </w:pPr>
    <w:rPr>
      <w:b/>
      <w:i/>
    </w:rPr>
  </w:style>
  <w:style w:type="paragraph" w:customStyle="1" w:styleId="RecBullet">
    <w:name w:val="Rec Bullet"/>
    <w:basedOn w:val="Rec"/>
    <w:rsid w:val="00B8688F"/>
    <w:pPr>
      <w:numPr>
        <w:numId w:val="9"/>
      </w:numPr>
      <w:spacing w:before="80"/>
    </w:pPr>
  </w:style>
  <w:style w:type="paragraph" w:customStyle="1" w:styleId="RecB">
    <w:name w:val="RecB"/>
    <w:basedOn w:val="Normal"/>
    <w:rsid w:val="00B8688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8688F"/>
    <w:pPr>
      <w:numPr>
        <w:numId w:val="10"/>
      </w:numPr>
      <w:spacing w:before="80"/>
    </w:pPr>
  </w:style>
  <w:style w:type="paragraph" w:customStyle="1" w:styleId="RecBNoTitle">
    <w:name w:val="RecB NoTitle"/>
    <w:basedOn w:val="RecB"/>
    <w:rsid w:val="00B8688F"/>
    <w:pPr>
      <w:spacing w:before="240"/>
    </w:pPr>
  </w:style>
  <w:style w:type="paragraph" w:customStyle="1" w:styleId="Reference">
    <w:name w:val="Reference"/>
    <w:basedOn w:val="BodyText"/>
    <w:link w:val="ReferenceChar"/>
    <w:rsid w:val="00B8688F"/>
    <w:pPr>
      <w:spacing w:before="120"/>
      <w:ind w:left="340" w:hanging="340"/>
    </w:pPr>
  </w:style>
  <w:style w:type="paragraph" w:customStyle="1" w:styleId="SequenceInfo">
    <w:name w:val="Sequence Info"/>
    <w:basedOn w:val="BodyText"/>
    <w:semiHidden/>
    <w:rsid w:val="00B8688F"/>
    <w:rPr>
      <w:vanish/>
      <w:sz w:val="16"/>
    </w:rPr>
  </w:style>
  <w:style w:type="paragraph" w:customStyle="1" w:styleId="SideNote">
    <w:name w:val="Side Note"/>
    <w:basedOn w:val="BodyText"/>
    <w:next w:val="BodyText"/>
    <w:semiHidden/>
    <w:rsid w:val="00B8688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8688F"/>
    <w:pPr>
      <w:framePr w:wrap="around"/>
      <w:numPr>
        <w:numId w:val="11"/>
      </w:numPr>
      <w:tabs>
        <w:tab w:val="left" w:pos="227"/>
      </w:tabs>
    </w:pPr>
  </w:style>
  <w:style w:type="paragraph" w:customStyle="1" w:styleId="SideNoteGraphic">
    <w:name w:val="Side Note Graphic"/>
    <w:basedOn w:val="SideNote"/>
    <w:next w:val="BodyText"/>
    <w:semiHidden/>
    <w:rsid w:val="00B8688F"/>
    <w:pPr>
      <w:framePr w:wrap="around"/>
    </w:pPr>
  </w:style>
  <w:style w:type="paragraph" w:customStyle="1" w:styleId="TableBodyText">
    <w:name w:val="Table Body Text"/>
    <w:basedOn w:val="BodyText"/>
    <w:link w:val="TableBodyTextChar"/>
    <w:rsid w:val="00B8688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8688F"/>
    <w:pPr>
      <w:numPr>
        <w:numId w:val="12"/>
      </w:numPr>
      <w:jc w:val="left"/>
    </w:pPr>
  </w:style>
  <w:style w:type="paragraph" w:customStyle="1" w:styleId="TableColumnHeading">
    <w:name w:val="Table Column Heading"/>
    <w:basedOn w:val="TableBodyText"/>
    <w:link w:val="TableColumnHeadingChar"/>
    <w:rsid w:val="00B8688F"/>
    <w:pPr>
      <w:spacing w:before="80" w:after="80"/>
    </w:pPr>
    <w:rPr>
      <w:i/>
    </w:rPr>
  </w:style>
  <w:style w:type="paragraph" w:styleId="TOC2">
    <w:name w:val="toc 2"/>
    <w:basedOn w:val="BodyText"/>
    <w:rsid w:val="00B8688F"/>
    <w:pPr>
      <w:tabs>
        <w:tab w:val="right" w:pos="8789"/>
      </w:tabs>
      <w:ind w:left="510" w:right="851" w:hanging="510"/>
      <w:jc w:val="left"/>
    </w:pPr>
    <w:rPr>
      <w:b/>
    </w:rPr>
  </w:style>
  <w:style w:type="paragraph" w:styleId="TOC3">
    <w:name w:val="toc 3"/>
    <w:basedOn w:val="TOC2"/>
    <w:semiHidden/>
    <w:rsid w:val="00B8688F"/>
    <w:pPr>
      <w:spacing w:before="60"/>
      <w:ind w:left="1190" w:hanging="680"/>
    </w:pPr>
    <w:rPr>
      <w:b w:val="0"/>
    </w:rPr>
  </w:style>
  <w:style w:type="paragraph" w:styleId="TableofFigures">
    <w:name w:val="table of figures"/>
    <w:basedOn w:val="TOC3"/>
    <w:next w:val="BodyText"/>
    <w:semiHidden/>
    <w:rsid w:val="00B8688F"/>
    <w:pPr>
      <w:ind w:left="737" w:hanging="737"/>
    </w:pPr>
  </w:style>
  <w:style w:type="paragraph" w:customStyle="1" w:styleId="TableTitle">
    <w:name w:val="Table Title"/>
    <w:basedOn w:val="Caption"/>
    <w:next w:val="Subtitle"/>
    <w:link w:val="TableTitleChar"/>
    <w:rsid w:val="00B8688F"/>
    <w:rPr>
      <w:sz w:val="24"/>
    </w:rPr>
  </w:style>
  <w:style w:type="paragraph" w:customStyle="1" w:styleId="TableUnitsRow">
    <w:name w:val="Table Units Row"/>
    <w:basedOn w:val="TableBodyText"/>
    <w:rsid w:val="00B8688F"/>
    <w:pPr>
      <w:spacing w:before="80" w:after="80"/>
    </w:pPr>
  </w:style>
  <w:style w:type="paragraph" w:styleId="TOC1">
    <w:name w:val="toc 1"/>
    <w:basedOn w:val="Normal"/>
    <w:next w:val="TOC2"/>
    <w:semiHidden/>
    <w:rsid w:val="00B8688F"/>
    <w:pPr>
      <w:tabs>
        <w:tab w:val="right" w:pos="8789"/>
      </w:tabs>
      <w:spacing w:before="480" w:after="60" w:line="320" w:lineRule="exact"/>
      <w:ind w:left="1191" w:right="851" w:hanging="1191"/>
    </w:pPr>
    <w:rPr>
      <w:b/>
      <w:caps/>
    </w:rPr>
  </w:style>
  <w:style w:type="paragraph" w:styleId="TOC4">
    <w:name w:val="toc 4"/>
    <w:basedOn w:val="TOC3"/>
    <w:semiHidden/>
    <w:rsid w:val="00B8688F"/>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B8688F"/>
    <w:rPr>
      <w:rFonts w:ascii="Tahoma" w:hAnsi="Tahoma" w:cs="Tahoma"/>
      <w:sz w:val="16"/>
      <w:szCs w:val="16"/>
    </w:rPr>
  </w:style>
  <w:style w:type="table" w:styleId="TableGrid">
    <w:name w:val="Table Grid"/>
    <w:basedOn w:val="TableNormal"/>
    <w:rsid w:val="00F73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link w:val="BodyText"/>
    <w:rsid w:val="00D8291B"/>
    <w:rPr>
      <w:sz w:val="26"/>
    </w:rPr>
  </w:style>
  <w:style w:type="character" w:customStyle="1" w:styleId="AbbreviationChar">
    <w:name w:val="Abbreviation Char"/>
    <w:basedOn w:val="BodyTextChar"/>
    <w:link w:val="Abbreviation"/>
    <w:rsid w:val="00D8291B"/>
    <w:rPr>
      <w:sz w:val="26"/>
    </w:rPr>
  </w:style>
  <w:style w:type="character" w:customStyle="1" w:styleId="TableBodyTextChar">
    <w:name w:val="Table Body Text Char"/>
    <w:link w:val="TableBodyText"/>
    <w:rsid w:val="00156731"/>
    <w:rPr>
      <w:rFonts w:ascii="Arial" w:hAnsi="Arial"/>
    </w:rPr>
  </w:style>
  <w:style w:type="character" w:customStyle="1" w:styleId="TableColumnHeadingChar">
    <w:name w:val="Table Column Heading Char"/>
    <w:link w:val="TableColumnHeading"/>
    <w:rsid w:val="00156731"/>
    <w:rPr>
      <w:rFonts w:ascii="Arial" w:hAnsi="Arial"/>
      <w:i/>
    </w:rPr>
  </w:style>
  <w:style w:type="character" w:customStyle="1" w:styleId="ListBulletChar">
    <w:name w:val="List Bullet Char"/>
    <w:aliases w:val="List Bullet Char1 Char,List Bullet Char Char Char,List Bullet Char1 Char Char Char"/>
    <w:link w:val="ListBullet"/>
    <w:rsid w:val="00BA1822"/>
    <w:rPr>
      <w:sz w:val="26"/>
    </w:rPr>
  </w:style>
  <w:style w:type="character" w:customStyle="1" w:styleId="BoxChar">
    <w:name w:val="Box Char"/>
    <w:link w:val="Box"/>
    <w:rsid w:val="00BA1822"/>
    <w:rPr>
      <w:rFonts w:ascii="Arial" w:hAnsi="Arial"/>
      <w:sz w:val="22"/>
    </w:rPr>
  </w:style>
  <w:style w:type="character" w:customStyle="1" w:styleId="BoxListBulletChar">
    <w:name w:val="Box List Bullet Char"/>
    <w:basedOn w:val="BoxChar"/>
    <w:link w:val="BoxListBullet"/>
    <w:rsid w:val="007F4F3D"/>
    <w:rPr>
      <w:rFonts w:ascii="Arial" w:hAnsi="Arial"/>
      <w:sz w:val="22"/>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924669"/>
    <w:rPr>
      <w:sz w:val="26"/>
      <w:lang w:val="en-AU" w:eastAsia="en-AU" w:bidi="ar-SA"/>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6"/>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6"/>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B8688F"/>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B8688F"/>
    <w:rPr>
      <w:i/>
      <w:iCs/>
    </w:rPr>
  </w:style>
  <w:style w:type="paragraph" w:customStyle="1" w:styleId="RecBBullet2">
    <w:name w:val="RecB Bullet 2"/>
    <w:basedOn w:val="ListBullet2"/>
    <w:semiHidden/>
    <w:rsid w:val="00B8688F"/>
    <w:pPr>
      <w:pBdr>
        <w:left w:val="single" w:sz="24" w:space="29" w:color="C0C0C0"/>
      </w:pBdr>
    </w:pPr>
    <w:rPr>
      <w:b/>
      <w:i/>
    </w:rPr>
  </w:style>
  <w:style w:type="character" w:customStyle="1" w:styleId="BalloonTextChar">
    <w:name w:val="Balloon Text Char"/>
    <w:basedOn w:val="DefaultParagraphFont"/>
    <w:link w:val="BalloonText"/>
    <w:rsid w:val="00B8688F"/>
    <w:rPr>
      <w:rFonts w:ascii="Tahoma" w:hAnsi="Tahoma" w:cs="Tahoma"/>
      <w:sz w:val="16"/>
      <w:szCs w:val="16"/>
    </w:rPr>
  </w:style>
  <w:style w:type="paragraph" w:customStyle="1" w:styleId="BoxListBullet3">
    <w:name w:val="Box List Bullet 3"/>
    <w:basedOn w:val="ListBullet3"/>
    <w:rsid w:val="00B8688F"/>
    <w:pPr>
      <w:numPr>
        <w:numId w:val="18"/>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B8688F"/>
    <w:pPr>
      <w:numPr>
        <w:numId w:val="16"/>
      </w:numPr>
      <w:ind w:left="568" w:hanging="284"/>
    </w:pPr>
  </w:style>
  <w:style w:type="paragraph" w:customStyle="1" w:styleId="InformationRequestBullet">
    <w:name w:val="Information Request Bullet"/>
    <w:basedOn w:val="ListBullet"/>
    <w:next w:val="BodyText"/>
    <w:rsid w:val="00B8688F"/>
    <w:pPr>
      <w:numPr>
        <w:numId w:val="17"/>
      </w:numPr>
      <w:ind w:left="340" w:hanging="340"/>
    </w:pPr>
    <w:rPr>
      <w:rFonts w:ascii="Arial" w:hAnsi="Arial"/>
      <w:i/>
      <w:sz w:val="24"/>
    </w:rPr>
  </w:style>
  <w:style w:type="paragraph" w:customStyle="1" w:styleId="BoxSpaceAbove">
    <w:name w:val="Box Space Above"/>
    <w:basedOn w:val="BodyText"/>
    <w:rsid w:val="00B8688F"/>
    <w:pPr>
      <w:keepNext/>
      <w:spacing w:before="360" w:line="80" w:lineRule="exact"/>
      <w:jc w:val="left"/>
    </w:pPr>
  </w:style>
  <w:style w:type="paragraph" w:customStyle="1" w:styleId="BoxSpaceBelow">
    <w:name w:val="Box Space Below"/>
    <w:basedOn w:val="Box"/>
    <w:rsid w:val="00B8688F"/>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B8688F"/>
    <w:rPr>
      <w:sz w:val="26"/>
      <w:szCs w:val="24"/>
    </w:rPr>
  </w:style>
  <w:style w:type="paragraph" w:styleId="Heading1">
    <w:name w:val="heading 1"/>
    <w:basedOn w:val="BodyText"/>
    <w:next w:val="BodyText"/>
    <w:rsid w:val="00B8688F"/>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B8688F"/>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B8688F"/>
    <w:pPr>
      <w:spacing w:before="560" w:line="320" w:lineRule="exact"/>
      <w:ind w:left="0" w:firstLine="0"/>
      <w:outlineLvl w:val="2"/>
    </w:pPr>
    <w:rPr>
      <w:sz w:val="26"/>
    </w:rPr>
  </w:style>
  <w:style w:type="paragraph" w:styleId="Heading4">
    <w:name w:val="heading 4"/>
    <w:basedOn w:val="Heading3"/>
    <w:next w:val="BodyText"/>
    <w:qFormat/>
    <w:rsid w:val="00B8688F"/>
    <w:pPr>
      <w:spacing w:before="480"/>
      <w:outlineLvl w:val="3"/>
    </w:pPr>
    <w:rPr>
      <w:b w:val="0"/>
      <w:i/>
      <w:sz w:val="24"/>
    </w:rPr>
  </w:style>
  <w:style w:type="paragraph" w:styleId="Heading5">
    <w:name w:val="heading 5"/>
    <w:basedOn w:val="Heading4"/>
    <w:next w:val="BodyText"/>
    <w:qFormat/>
    <w:rsid w:val="00B8688F"/>
    <w:pPr>
      <w:outlineLvl w:val="4"/>
    </w:pPr>
    <w:rPr>
      <w:rFonts w:ascii="Times New Roman" w:hAnsi="Times New Roman"/>
      <w:sz w:val="26"/>
    </w:rPr>
  </w:style>
  <w:style w:type="paragraph" w:styleId="Heading6">
    <w:name w:val="heading 6"/>
    <w:basedOn w:val="BodyText"/>
    <w:next w:val="BodyText"/>
    <w:rsid w:val="00B8688F"/>
    <w:pPr>
      <w:spacing w:after="60"/>
      <w:jc w:val="left"/>
      <w:outlineLvl w:val="5"/>
    </w:pPr>
    <w:rPr>
      <w:i/>
      <w:sz w:val="22"/>
    </w:rPr>
  </w:style>
  <w:style w:type="paragraph" w:styleId="Heading7">
    <w:name w:val="heading 7"/>
    <w:basedOn w:val="BodyText"/>
    <w:next w:val="BodyText"/>
    <w:rsid w:val="00B8688F"/>
    <w:pPr>
      <w:spacing w:after="60" w:line="240" w:lineRule="auto"/>
      <w:jc w:val="left"/>
      <w:outlineLvl w:val="6"/>
    </w:pPr>
    <w:rPr>
      <w:rFonts w:ascii="Arial" w:hAnsi="Arial"/>
      <w:sz w:val="20"/>
    </w:rPr>
  </w:style>
  <w:style w:type="paragraph" w:styleId="Heading8">
    <w:name w:val="heading 8"/>
    <w:basedOn w:val="BodyText"/>
    <w:next w:val="BodyText"/>
    <w:rsid w:val="00B8688F"/>
    <w:pPr>
      <w:spacing w:after="60" w:line="240" w:lineRule="auto"/>
      <w:jc w:val="left"/>
      <w:outlineLvl w:val="7"/>
    </w:pPr>
    <w:rPr>
      <w:rFonts w:ascii="Arial" w:hAnsi="Arial"/>
      <w:i/>
      <w:sz w:val="20"/>
    </w:rPr>
  </w:style>
  <w:style w:type="paragraph" w:styleId="Heading9">
    <w:name w:val="heading 9"/>
    <w:basedOn w:val="BodyText"/>
    <w:next w:val="BodyText"/>
    <w:rsid w:val="00B8688F"/>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B8688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8688F"/>
  </w:style>
  <w:style w:type="paragraph" w:styleId="BodyText">
    <w:name w:val="Body Text"/>
    <w:aliases w:val="new legislation style,Body Text1,Body Text21,Body Text2,new legislation style1,Body Text Char1 Char Char,new legislation style Char Char Char Char,Body Text Char1 Char Char Char Char,Body Text Char Char Char Char Char Char,Body Text Char1 Char"/>
    <w:link w:val="BodyTextChar"/>
    <w:qFormat/>
    <w:rsid w:val="00B8688F"/>
    <w:pPr>
      <w:spacing w:before="240" w:line="320" w:lineRule="atLeast"/>
      <w:jc w:val="both"/>
    </w:pPr>
    <w:rPr>
      <w:sz w:val="26"/>
    </w:rPr>
  </w:style>
  <w:style w:type="paragraph" w:customStyle="1" w:styleId="Chapter">
    <w:name w:val="Chapter"/>
    <w:basedOn w:val="Heading1"/>
    <w:next w:val="BodyText"/>
    <w:semiHidden/>
    <w:rsid w:val="00B8688F"/>
    <w:pPr>
      <w:ind w:left="0" w:firstLine="0"/>
      <w:outlineLvl w:val="9"/>
    </w:pPr>
  </w:style>
  <w:style w:type="paragraph" w:styleId="Footer">
    <w:name w:val="footer"/>
    <w:basedOn w:val="BodyText"/>
    <w:semiHidden/>
    <w:rsid w:val="00B8688F"/>
    <w:pPr>
      <w:spacing w:before="80" w:line="200" w:lineRule="exact"/>
      <w:ind w:right="6"/>
      <w:jc w:val="left"/>
    </w:pPr>
    <w:rPr>
      <w:caps/>
      <w:spacing w:val="-4"/>
      <w:sz w:val="16"/>
    </w:rPr>
  </w:style>
  <w:style w:type="paragraph" w:customStyle="1" w:styleId="FooterEnd">
    <w:name w:val="Footer End"/>
    <w:basedOn w:val="Footer"/>
    <w:rsid w:val="00B8688F"/>
    <w:pPr>
      <w:spacing w:before="0" w:line="20" w:lineRule="exact"/>
    </w:pPr>
  </w:style>
  <w:style w:type="paragraph" w:styleId="Header">
    <w:name w:val="header"/>
    <w:basedOn w:val="BodyText"/>
    <w:rsid w:val="00B8688F"/>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B8688F"/>
    <w:pPr>
      <w:spacing w:line="20" w:lineRule="exact"/>
    </w:pPr>
    <w:rPr>
      <w:sz w:val="16"/>
    </w:rPr>
  </w:style>
  <w:style w:type="paragraph" w:customStyle="1" w:styleId="HeaderEven">
    <w:name w:val="Header Even"/>
    <w:basedOn w:val="Header"/>
    <w:semiHidden/>
    <w:rsid w:val="00B8688F"/>
  </w:style>
  <w:style w:type="paragraph" w:customStyle="1" w:styleId="HeaderOdd">
    <w:name w:val="Header Odd"/>
    <w:basedOn w:val="Header"/>
    <w:semiHidden/>
    <w:rsid w:val="00B8688F"/>
  </w:style>
  <w:style w:type="character" w:styleId="PageNumber">
    <w:name w:val="page number"/>
    <w:basedOn w:val="DefaultParagraphFont"/>
    <w:rsid w:val="00B8688F"/>
    <w:rPr>
      <w:rFonts w:ascii="Arial" w:hAnsi="Arial"/>
      <w:b/>
      <w:sz w:val="16"/>
    </w:rPr>
  </w:style>
  <w:style w:type="paragraph" w:customStyle="1" w:styleId="Abbreviation">
    <w:name w:val="Abbreviation"/>
    <w:basedOn w:val="BodyText"/>
    <w:link w:val="AbbreviationChar"/>
    <w:rsid w:val="00B8688F"/>
    <w:pPr>
      <w:spacing w:before="120"/>
      <w:ind w:left="2381" w:hanging="2381"/>
      <w:jc w:val="left"/>
    </w:pPr>
  </w:style>
  <w:style w:type="paragraph" w:customStyle="1" w:styleId="Box">
    <w:name w:val="Box"/>
    <w:basedOn w:val="BodyText"/>
    <w:link w:val="BoxChar"/>
    <w:qFormat/>
    <w:rsid w:val="00B8688F"/>
    <w:pPr>
      <w:keepNext/>
      <w:spacing w:before="120" w:line="280" w:lineRule="atLeast"/>
    </w:pPr>
    <w:rPr>
      <w:rFonts w:ascii="Arial" w:hAnsi="Arial"/>
      <w:sz w:val="22"/>
    </w:rPr>
  </w:style>
  <w:style w:type="paragraph" w:customStyle="1" w:styleId="BoxContinued">
    <w:name w:val="Box Continued"/>
    <w:basedOn w:val="BodyText"/>
    <w:next w:val="BodyText"/>
    <w:semiHidden/>
    <w:rsid w:val="00B8688F"/>
    <w:pPr>
      <w:spacing w:before="180" w:line="220" w:lineRule="exact"/>
      <w:jc w:val="right"/>
    </w:pPr>
    <w:rPr>
      <w:rFonts w:ascii="Arial" w:hAnsi="Arial"/>
      <w:sz w:val="18"/>
    </w:rPr>
  </w:style>
  <w:style w:type="paragraph" w:customStyle="1" w:styleId="BoxHeading1">
    <w:name w:val="Box Heading 1"/>
    <w:basedOn w:val="BodyText"/>
    <w:next w:val="Box"/>
    <w:rsid w:val="00B8688F"/>
    <w:pPr>
      <w:keepNext/>
      <w:spacing w:before="200" w:line="280" w:lineRule="atLeast"/>
    </w:pPr>
    <w:rPr>
      <w:rFonts w:ascii="Arial" w:hAnsi="Arial"/>
      <w:b/>
      <w:sz w:val="22"/>
    </w:rPr>
  </w:style>
  <w:style w:type="paragraph" w:customStyle="1" w:styleId="BoxHeading2">
    <w:name w:val="Box Heading 2"/>
    <w:basedOn w:val="BoxHeading1"/>
    <w:next w:val="Normal"/>
    <w:rsid w:val="00B8688F"/>
    <w:rPr>
      <w:b w:val="0"/>
      <w:i/>
    </w:rPr>
  </w:style>
  <w:style w:type="paragraph" w:customStyle="1" w:styleId="BoxListBullet">
    <w:name w:val="Box List Bullet"/>
    <w:basedOn w:val="BodyText"/>
    <w:link w:val="BoxListBulletChar"/>
    <w:rsid w:val="00B8688F"/>
    <w:pPr>
      <w:keepNext/>
      <w:numPr>
        <w:numId w:val="1"/>
      </w:numPr>
      <w:spacing w:before="60" w:line="280" w:lineRule="atLeast"/>
    </w:pPr>
    <w:rPr>
      <w:rFonts w:ascii="Arial" w:hAnsi="Arial"/>
      <w:sz w:val="22"/>
    </w:rPr>
  </w:style>
  <w:style w:type="paragraph" w:customStyle="1" w:styleId="BoxListBullet2">
    <w:name w:val="Box List Bullet 2"/>
    <w:basedOn w:val="BodyText"/>
    <w:rsid w:val="00B8688F"/>
    <w:pPr>
      <w:keepNext/>
      <w:numPr>
        <w:numId w:val="2"/>
      </w:numPr>
      <w:spacing w:before="60" w:line="280" w:lineRule="atLeast"/>
    </w:pPr>
    <w:rPr>
      <w:rFonts w:ascii="Arial" w:hAnsi="Arial"/>
      <w:sz w:val="22"/>
    </w:rPr>
  </w:style>
  <w:style w:type="paragraph" w:customStyle="1" w:styleId="BoxListNumber">
    <w:name w:val="Box List Number"/>
    <w:basedOn w:val="BodyText"/>
    <w:rsid w:val="00B8688F"/>
    <w:pPr>
      <w:keepNext/>
      <w:numPr>
        <w:numId w:val="14"/>
      </w:numPr>
      <w:spacing w:before="60" w:line="280" w:lineRule="atLeast"/>
    </w:pPr>
    <w:rPr>
      <w:rFonts w:ascii="Arial" w:hAnsi="Arial"/>
      <w:sz w:val="22"/>
    </w:rPr>
  </w:style>
  <w:style w:type="paragraph" w:customStyle="1" w:styleId="BoxListNumber2">
    <w:name w:val="Box List Number 2"/>
    <w:basedOn w:val="BoxListNumber"/>
    <w:rsid w:val="00B8688F"/>
    <w:pPr>
      <w:numPr>
        <w:ilvl w:val="1"/>
      </w:numPr>
    </w:pPr>
  </w:style>
  <w:style w:type="paragraph" w:customStyle="1" w:styleId="BoxQuote">
    <w:name w:val="Box Quote"/>
    <w:basedOn w:val="BodyText"/>
    <w:next w:val="Box"/>
    <w:rsid w:val="00B8688F"/>
    <w:pPr>
      <w:keepNext/>
      <w:spacing w:before="60" w:line="260" w:lineRule="exact"/>
      <w:ind w:left="284"/>
    </w:pPr>
    <w:rPr>
      <w:rFonts w:ascii="Arial" w:hAnsi="Arial"/>
      <w:sz w:val="20"/>
    </w:rPr>
  </w:style>
  <w:style w:type="paragraph" w:customStyle="1" w:styleId="Note">
    <w:name w:val="Note"/>
    <w:basedOn w:val="BodyText"/>
    <w:next w:val="BodyText"/>
    <w:link w:val="NoteChar"/>
    <w:rsid w:val="00B8688F"/>
    <w:pPr>
      <w:keepLines/>
      <w:spacing w:before="80" w:line="220" w:lineRule="exact"/>
    </w:pPr>
    <w:rPr>
      <w:rFonts w:ascii="Arial" w:hAnsi="Arial"/>
      <w:sz w:val="18"/>
    </w:rPr>
  </w:style>
  <w:style w:type="paragraph" w:customStyle="1" w:styleId="Source">
    <w:name w:val="Source"/>
    <w:basedOn w:val="Note"/>
    <w:next w:val="BodyText"/>
    <w:link w:val="SourceChar"/>
    <w:rsid w:val="00B8688F"/>
    <w:pPr>
      <w:spacing w:after="120"/>
    </w:pPr>
  </w:style>
  <w:style w:type="paragraph" w:customStyle="1" w:styleId="BoxSource">
    <w:name w:val="Box Source"/>
    <w:basedOn w:val="Source"/>
    <w:next w:val="BodyText"/>
    <w:rsid w:val="00B8688F"/>
    <w:pPr>
      <w:spacing w:before="180" w:after="0"/>
    </w:pPr>
  </w:style>
  <w:style w:type="paragraph" w:customStyle="1" w:styleId="BoxSpace">
    <w:name w:val="Box Space"/>
    <w:basedOn w:val="BodyText"/>
    <w:link w:val="BoxSpaceChar"/>
    <w:rsid w:val="00A03302"/>
    <w:pPr>
      <w:keepNext/>
      <w:spacing w:before="360" w:line="80" w:lineRule="exact"/>
      <w:jc w:val="left"/>
    </w:pPr>
  </w:style>
  <w:style w:type="paragraph" w:styleId="Caption">
    <w:name w:val="caption"/>
    <w:basedOn w:val="Normal"/>
    <w:next w:val="BodyText"/>
    <w:rsid w:val="00B8688F"/>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B8688F"/>
    <w:pPr>
      <w:spacing w:before="120" w:after="0"/>
      <w:ind w:left="1304" w:hanging="1304"/>
    </w:pPr>
    <w:rPr>
      <w:sz w:val="24"/>
    </w:rPr>
  </w:style>
  <w:style w:type="paragraph" w:customStyle="1" w:styleId="BoxSubtitle">
    <w:name w:val="Box Subtitle"/>
    <w:basedOn w:val="BoxTitle"/>
    <w:next w:val="Normal"/>
    <w:rsid w:val="00B8688F"/>
    <w:pPr>
      <w:spacing w:after="80" w:line="200" w:lineRule="exact"/>
      <w:ind w:firstLine="0"/>
    </w:pPr>
    <w:rPr>
      <w:b w:val="0"/>
      <w:sz w:val="20"/>
    </w:rPr>
  </w:style>
  <w:style w:type="paragraph" w:customStyle="1" w:styleId="ChapterSummary">
    <w:name w:val="Chapter Summary"/>
    <w:basedOn w:val="BodyText"/>
    <w:rsid w:val="00B8688F"/>
    <w:pPr>
      <w:ind w:left="907"/>
    </w:pPr>
    <w:rPr>
      <w:rFonts w:ascii="Arial" w:hAnsi="Arial"/>
      <w:b/>
      <w:sz w:val="22"/>
    </w:rPr>
  </w:style>
  <w:style w:type="character" w:styleId="CommentReference">
    <w:name w:val="annotation reference"/>
    <w:basedOn w:val="DefaultParagraphFont"/>
    <w:semiHidden/>
    <w:rsid w:val="00B8688F"/>
    <w:rPr>
      <w:b/>
      <w:vanish/>
      <w:color w:val="FF00FF"/>
      <w:sz w:val="20"/>
    </w:rPr>
  </w:style>
  <w:style w:type="paragraph" w:styleId="CommentText">
    <w:name w:val="annotation text"/>
    <w:basedOn w:val="Normal"/>
    <w:semiHidden/>
    <w:rsid w:val="00B8688F"/>
    <w:pPr>
      <w:spacing w:before="120" w:line="240" w:lineRule="atLeast"/>
      <w:ind w:left="567" w:hanging="567"/>
    </w:pPr>
    <w:rPr>
      <w:sz w:val="20"/>
    </w:rPr>
  </w:style>
  <w:style w:type="paragraph" w:customStyle="1" w:styleId="Continued">
    <w:name w:val="Continued"/>
    <w:basedOn w:val="BoxContinued"/>
    <w:next w:val="BodyText"/>
    <w:rsid w:val="00B8688F"/>
  </w:style>
  <w:style w:type="character" w:customStyle="1" w:styleId="DocumentInfo">
    <w:name w:val="Document Info"/>
    <w:basedOn w:val="DefaultParagraphFont"/>
    <w:semiHidden/>
    <w:rsid w:val="00B8688F"/>
    <w:rPr>
      <w:rFonts w:ascii="Arial" w:hAnsi="Arial"/>
      <w:sz w:val="14"/>
    </w:rPr>
  </w:style>
  <w:style w:type="character" w:customStyle="1" w:styleId="DraftingNote">
    <w:name w:val="Drafting Note"/>
    <w:basedOn w:val="DefaultParagraphFont"/>
    <w:rsid w:val="00B8688F"/>
    <w:rPr>
      <w:b/>
      <w:color w:val="FF0000"/>
      <w:sz w:val="24"/>
      <w:u w:val="dotted"/>
    </w:rPr>
  </w:style>
  <w:style w:type="paragraph" w:customStyle="1" w:styleId="Figure">
    <w:name w:val="Figure"/>
    <w:basedOn w:val="BodyText"/>
    <w:link w:val="FigureChar"/>
    <w:rsid w:val="00B8688F"/>
    <w:pPr>
      <w:keepNext/>
      <w:spacing w:before="120" w:after="120" w:line="240" w:lineRule="atLeast"/>
      <w:jc w:val="center"/>
    </w:pPr>
  </w:style>
  <w:style w:type="paragraph" w:customStyle="1" w:styleId="FigureTitle">
    <w:name w:val="Figure Title"/>
    <w:basedOn w:val="Caption"/>
    <w:next w:val="Subtitle"/>
    <w:link w:val="FigureTitleChar"/>
    <w:rsid w:val="00B8688F"/>
    <w:rPr>
      <w:sz w:val="24"/>
    </w:rPr>
  </w:style>
  <w:style w:type="paragraph" w:styleId="Subtitle">
    <w:name w:val="Subtitle"/>
    <w:basedOn w:val="Caption"/>
    <w:link w:val="SubtitleChar"/>
    <w:rsid w:val="00B8688F"/>
    <w:pPr>
      <w:spacing w:before="0" w:line="200" w:lineRule="exact"/>
      <w:ind w:firstLine="0"/>
    </w:pPr>
    <w:rPr>
      <w:b w:val="0"/>
      <w:sz w:val="20"/>
    </w:rPr>
  </w:style>
  <w:style w:type="paragraph" w:customStyle="1" w:styleId="Finding">
    <w:name w:val="Finding"/>
    <w:basedOn w:val="BodyText"/>
    <w:rsid w:val="00B8688F"/>
    <w:pPr>
      <w:keepLines/>
      <w:spacing w:before="180"/>
    </w:pPr>
    <w:rPr>
      <w:i/>
    </w:rPr>
  </w:style>
  <w:style w:type="paragraph" w:customStyle="1" w:styleId="FindingBullet">
    <w:name w:val="Finding Bullet"/>
    <w:basedOn w:val="Finding"/>
    <w:rsid w:val="00B8688F"/>
    <w:pPr>
      <w:numPr>
        <w:numId w:val="3"/>
      </w:numPr>
      <w:spacing w:before="80"/>
    </w:pPr>
  </w:style>
  <w:style w:type="paragraph" w:customStyle="1" w:styleId="FindingNoTitle">
    <w:name w:val="Finding NoTitle"/>
    <w:basedOn w:val="Finding"/>
    <w:rsid w:val="00B8688F"/>
    <w:pPr>
      <w:spacing w:before="240"/>
    </w:pPr>
  </w:style>
  <w:style w:type="paragraph" w:customStyle="1" w:styleId="RecTitle">
    <w:name w:val="Rec Title"/>
    <w:basedOn w:val="BodyText"/>
    <w:next w:val="Normal"/>
    <w:rsid w:val="00B8688F"/>
    <w:pPr>
      <w:keepNext/>
      <w:keepLines/>
    </w:pPr>
    <w:rPr>
      <w:caps/>
      <w:sz w:val="20"/>
    </w:rPr>
  </w:style>
  <w:style w:type="paragraph" w:customStyle="1" w:styleId="FindingTitle">
    <w:name w:val="Finding Title"/>
    <w:basedOn w:val="RecTitle"/>
    <w:next w:val="Finding"/>
    <w:rsid w:val="00B8688F"/>
    <w:pPr>
      <w:framePr w:wrap="notBeside" w:hAnchor="text"/>
    </w:pPr>
  </w:style>
  <w:style w:type="character" w:styleId="FootnoteReference">
    <w:name w:val="footnote reference"/>
    <w:basedOn w:val="DefaultParagraphFont"/>
    <w:semiHidden/>
    <w:rsid w:val="00B8688F"/>
    <w:rPr>
      <w:rFonts w:ascii="Times New Roman" w:hAnsi="Times New Roman"/>
      <w:position w:val="6"/>
      <w:sz w:val="22"/>
      <w:vertAlign w:val="baseline"/>
    </w:rPr>
  </w:style>
  <w:style w:type="paragraph" w:styleId="FootnoteText">
    <w:name w:val="footnote text"/>
    <w:basedOn w:val="BodyText"/>
    <w:rsid w:val="00B8688F"/>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B8688F"/>
    <w:pPr>
      <w:spacing w:before="360" w:after="120"/>
    </w:pPr>
    <w:rPr>
      <w:rFonts w:ascii="Arial" w:hAnsi="Arial"/>
      <w:sz w:val="24"/>
    </w:rPr>
  </w:style>
  <w:style w:type="paragraph" w:customStyle="1" w:styleId="Jurisdictioncommentsbodytext">
    <w:name w:val="Jurisdiction comments body text"/>
    <w:rsid w:val="00B8688F"/>
    <w:pPr>
      <w:spacing w:after="140"/>
      <w:jc w:val="both"/>
    </w:pPr>
    <w:rPr>
      <w:rFonts w:ascii="Arial" w:hAnsi="Arial"/>
      <w:sz w:val="24"/>
      <w:lang w:eastAsia="en-US"/>
    </w:rPr>
  </w:style>
  <w:style w:type="paragraph" w:customStyle="1" w:styleId="Jurisdictioncommentsheading">
    <w:name w:val="Jurisdiction comments heading"/>
    <w:rsid w:val="00B8688F"/>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B8688F"/>
    <w:pPr>
      <w:numPr>
        <w:numId w:val="4"/>
      </w:numPr>
      <w:spacing w:after="140"/>
      <w:jc w:val="both"/>
    </w:pPr>
    <w:rPr>
      <w:rFonts w:ascii="Arial" w:hAnsi="Arial"/>
      <w:sz w:val="24"/>
      <w:lang w:eastAsia="en-US"/>
    </w:rPr>
  </w:style>
  <w:style w:type="paragraph" w:styleId="ListBullet">
    <w:name w:val="List Bullet"/>
    <w:aliases w:val="List Bullet Char1,List Bullet Char Char,List Bullet Char1 Char Char"/>
    <w:basedOn w:val="BodyText"/>
    <w:link w:val="ListBulletChar"/>
    <w:rsid w:val="00B8688F"/>
    <w:pPr>
      <w:numPr>
        <w:numId w:val="5"/>
      </w:numPr>
      <w:spacing w:before="120"/>
    </w:pPr>
  </w:style>
  <w:style w:type="paragraph" w:styleId="ListBullet2">
    <w:name w:val="List Bullet 2"/>
    <w:basedOn w:val="BodyText"/>
    <w:rsid w:val="00B8688F"/>
    <w:pPr>
      <w:numPr>
        <w:numId w:val="6"/>
      </w:numPr>
      <w:spacing w:before="120"/>
    </w:pPr>
  </w:style>
  <w:style w:type="paragraph" w:styleId="ListBullet3">
    <w:name w:val="List Bullet 3"/>
    <w:basedOn w:val="BodyText"/>
    <w:rsid w:val="00B8688F"/>
    <w:pPr>
      <w:numPr>
        <w:numId w:val="7"/>
      </w:numPr>
      <w:spacing w:before="120"/>
    </w:pPr>
  </w:style>
  <w:style w:type="paragraph" w:styleId="ListNumber">
    <w:name w:val="List Number"/>
    <w:basedOn w:val="BodyText"/>
    <w:rsid w:val="00B8688F"/>
    <w:pPr>
      <w:numPr>
        <w:numId w:val="13"/>
      </w:numPr>
      <w:spacing w:before="120"/>
    </w:pPr>
  </w:style>
  <w:style w:type="paragraph" w:styleId="ListNumber2">
    <w:name w:val="List Number 2"/>
    <w:basedOn w:val="ListNumber"/>
    <w:rsid w:val="00B8688F"/>
    <w:pPr>
      <w:numPr>
        <w:ilvl w:val="1"/>
      </w:numPr>
    </w:pPr>
  </w:style>
  <w:style w:type="paragraph" w:styleId="ListNumber3">
    <w:name w:val="List Number 3"/>
    <w:basedOn w:val="ListNumber2"/>
    <w:rsid w:val="00B8688F"/>
    <w:pPr>
      <w:numPr>
        <w:ilvl w:val="2"/>
      </w:numPr>
    </w:pPr>
  </w:style>
  <w:style w:type="character" w:customStyle="1" w:styleId="NoteLabel">
    <w:name w:val="Note Label"/>
    <w:basedOn w:val="DefaultParagraphFont"/>
    <w:rsid w:val="00B8688F"/>
    <w:rPr>
      <w:rFonts w:ascii="Arial" w:hAnsi="Arial"/>
      <w:b/>
      <w:position w:val="6"/>
      <w:sz w:val="18"/>
    </w:rPr>
  </w:style>
  <w:style w:type="paragraph" w:customStyle="1" w:styleId="PartDivider">
    <w:name w:val="Part Divider"/>
    <w:basedOn w:val="BodyText"/>
    <w:next w:val="BodyText"/>
    <w:semiHidden/>
    <w:rsid w:val="00B8688F"/>
    <w:pPr>
      <w:spacing w:before="0" w:line="40" w:lineRule="exact"/>
      <w:jc w:val="right"/>
    </w:pPr>
    <w:rPr>
      <w:smallCaps/>
      <w:sz w:val="16"/>
    </w:rPr>
  </w:style>
  <w:style w:type="paragraph" w:customStyle="1" w:styleId="PartNumber">
    <w:name w:val="Part Number"/>
    <w:basedOn w:val="BodyText"/>
    <w:next w:val="BodyText"/>
    <w:semiHidden/>
    <w:rsid w:val="00B8688F"/>
    <w:pPr>
      <w:spacing w:before="4000" w:line="320" w:lineRule="exact"/>
      <w:ind w:left="6634"/>
      <w:jc w:val="right"/>
    </w:pPr>
    <w:rPr>
      <w:smallCaps/>
      <w:spacing w:val="60"/>
      <w:sz w:val="32"/>
    </w:rPr>
  </w:style>
  <w:style w:type="paragraph" w:customStyle="1" w:styleId="PartTitle">
    <w:name w:val="Part Title"/>
    <w:basedOn w:val="BodyText"/>
    <w:semiHidden/>
    <w:rsid w:val="00B8688F"/>
    <w:pPr>
      <w:spacing w:before="160" w:after="1360" w:line="520" w:lineRule="exact"/>
      <w:ind w:right="2381"/>
      <w:jc w:val="right"/>
    </w:pPr>
    <w:rPr>
      <w:smallCaps/>
      <w:sz w:val="52"/>
    </w:rPr>
  </w:style>
  <w:style w:type="paragraph" w:styleId="Quote">
    <w:name w:val="Quote"/>
    <w:basedOn w:val="BodyText"/>
    <w:next w:val="BodyText"/>
    <w:qFormat/>
    <w:rsid w:val="00B8688F"/>
    <w:pPr>
      <w:spacing w:before="120" w:line="280" w:lineRule="exact"/>
      <w:ind w:left="340"/>
    </w:pPr>
    <w:rPr>
      <w:sz w:val="24"/>
    </w:rPr>
  </w:style>
  <w:style w:type="paragraph" w:customStyle="1" w:styleId="QuoteBullet">
    <w:name w:val="Quote Bullet"/>
    <w:basedOn w:val="Quote"/>
    <w:rsid w:val="00B8688F"/>
    <w:pPr>
      <w:numPr>
        <w:numId w:val="8"/>
      </w:numPr>
    </w:pPr>
  </w:style>
  <w:style w:type="paragraph" w:customStyle="1" w:styleId="Rec">
    <w:name w:val="Rec"/>
    <w:basedOn w:val="BodyText"/>
    <w:rsid w:val="00B8688F"/>
    <w:pPr>
      <w:keepLines/>
      <w:spacing w:before="180"/>
    </w:pPr>
    <w:rPr>
      <w:b/>
      <w:i/>
    </w:rPr>
  </w:style>
  <w:style w:type="paragraph" w:customStyle="1" w:styleId="RecBullet">
    <w:name w:val="Rec Bullet"/>
    <w:basedOn w:val="Rec"/>
    <w:rsid w:val="00B8688F"/>
    <w:pPr>
      <w:numPr>
        <w:numId w:val="9"/>
      </w:numPr>
      <w:spacing w:before="80"/>
    </w:pPr>
  </w:style>
  <w:style w:type="paragraph" w:customStyle="1" w:styleId="RecB">
    <w:name w:val="RecB"/>
    <w:basedOn w:val="Normal"/>
    <w:rsid w:val="00B8688F"/>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B8688F"/>
    <w:pPr>
      <w:numPr>
        <w:numId w:val="10"/>
      </w:numPr>
      <w:spacing w:before="80"/>
    </w:pPr>
  </w:style>
  <w:style w:type="paragraph" w:customStyle="1" w:styleId="RecBNoTitle">
    <w:name w:val="RecB NoTitle"/>
    <w:basedOn w:val="RecB"/>
    <w:rsid w:val="00B8688F"/>
    <w:pPr>
      <w:spacing w:before="240"/>
    </w:pPr>
  </w:style>
  <w:style w:type="paragraph" w:customStyle="1" w:styleId="Reference">
    <w:name w:val="Reference"/>
    <w:basedOn w:val="BodyText"/>
    <w:link w:val="ReferenceChar"/>
    <w:rsid w:val="00B8688F"/>
    <w:pPr>
      <w:spacing w:before="120"/>
      <w:ind w:left="340" w:hanging="340"/>
    </w:pPr>
  </w:style>
  <w:style w:type="paragraph" w:customStyle="1" w:styleId="SequenceInfo">
    <w:name w:val="Sequence Info"/>
    <w:basedOn w:val="BodyText"/>
    <w:semiHidden/>
    <w:rsid w:val="00B8688F"/>
    <w:rPr>
      <w:vanish/>
      <w:sz w:val="16"/>
    </w:rPr>
  </w:style>
  <w:style w:type="paragraph" w:customStyle="1" w:styleId="SideNote">
    <w:name w:val="Side Note"/>
    <w:basedOn w:val="BodyText"/>
    <w:next w:val="BodyText"/>
    <w:semiHidden/>
    <w:rsid w:val="00B8688F"/>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B8688F"/>
    <w:pPr>
      <w:framePr w:wrap="around"/>
      <w:numPr>
        <w:numId w:val="11"/>
      </w:numPr>
      <w:tabs>
        <w:tab w:val="left" w:pos="227"/>
      </w:tabs>
    </w:pPr>
  </w:style>
  <w:style w:type="paragraph" w:customStyle="1" w:styleId="SideNoteGraphic">
    <w:name w:val="Side Note Graphic"/>
    <w:basedOn w:val="SideNote"/>
    <w:next w:val="BodyText"/>
    <w:semiHidden/>
    <w:rsid w:val="00B8688F"/>
    <w:pPr>
      <w:framePr w:wrap="around"/>
    </w:pPr>
  </w:style>
  <w:style w:type="paragraph" w:customStyle="1" w:styleId="TableBodyText">
    <w:name w:val="Table Body Text"/>
    <w:basedOn w:val="BodyText"/>
    <w:link w:val="TableBodyTextChar"/>
    <w:rsid w:val="00B8688F"/>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B8688F"/>
    <w:pPr>
      <w:numPr>
        <w:numId w:val="12"/>
      </w:numPr>
      <w:jc w:val="left"/>
    </w:pPr>
  </w:style>
  <w:style w:type="paragraph" w:customStyle="1" w:styleId="TableColumnHeading">
    <w:name w:val="Table Column Heading"/>
    <w:basedOn w:val="TableBodyText"/>
    <w:link w:val="TableColumnHeadingChar"/>
    <w:rsid w:val="00B8688F"/>
    <w:pPr>
      <w:spacing w:before="80" w:after="80"/>
    </w:pPr>
    <w:rPr>
      <w:i/>
    </w:rPr>
  </w:style>
  <w:style w:type="paragraph" w:styleId="TOC2">
    <w:name w:val="toc 2"/>
    <w:basedOn w:val="BodyText"/>
    <w:rsid w:val="00B8688F"/>
    <w:pPr>
      <w:tabs>
        <w:tab w:val="right" w:pos="8789"/>
      </w:tabs>
      <w:ind w:left="510" w:right="851" w:hanging="510"/>
      <w:jc w:val="left"/>
    </w:pPr>
    <w:rPr>
      <w:b/>
    </w:rPr>
  </w:style>
  <w:style w:type="paragraph" w:styleId="TOC3">
    <w:name w:val="toc 3"/>
    <w:basedOn w:val="TOC2"/>
    <w:semiHidden/>
    <w:rsid w:val="00B8688F"/>
    <w:pPr>
      <w:spacing w:before="60"/>
      <w:ind w:left="1190" w:hanging="680"/>
    </w:pPr>
    <w:rPr>
      <w:b w:val="0"/>
    </w:rPr>
  </w:style>
  <w:style w:type="paragraph" w:styleId="TableofFigures">
    <w:name w:val="table of figures"/>
    <w:basedOn w:val="TOC3"/>
    <w:next w:val="BodyText"/>
    <w:semiHidden/>
    <w:rsid w:val="00B8688F"/>
    <w:pPr>
      <w:ind w:left="737" w:hanging="737"/>
    </w:pPr>
  </w:style>
  <w:style w:type="paragraph" w:customStyle="1" w:styleId="TableTitle">
    <w:name w:val="Table Title"/>
    <w:basedOn w:val="Caption"/>
    <w:next w:val="Subtitle"/>
    <w:link w:val="TableTitleChar"/>
    <w:rsid w:val="00B8688F"/>
    <w:rPr>
      <w:sz w:val="24"/>
    </w:rPr>
  </w:style>
  <w:style w:type="paragraph" w:customStyle="1" w:styleId="TableUnitsRow">
    <w:name w:val="Table Units Row"/>
    <w:basedOn w:val="TableBodyText"/>
    <w:rsid w:val="00B8688F"/>
    <w:pPr>
      <w:spacing w:before="80" w:after="80"/>
    </w:pPr>
  </w:style>
  <w:style w:type="paragraph" w:styleId="TOC1">
    <w:name w:val="toc 1"/>
    <w:basedOn w:val="Normal"/>
    <w:next w:val="TOC2"/>
    <w:semiHidden/>
    <w:rsid w:val="00B8688F"/>
    <w:pPr>
      <w:tabs>
        <w:tab w:val="right" w:pos="8789"/>
      </w:tabs>
      <w:spacing w:before="480" w:after="60" w:line="320" w:lineRule="exact"/>
      <w:ind w:left="1191" w:right="851" w:hanging="1191"/>
    </w:pPr>
    <w:rPr>
      <w:b/>
      <w:caps/>
    </w:rPr>
  </w:style>
  <w:style w:type="paragraph" w:styleId="TOC4">
    <w:name w:val="toc 4"/>
    <w:basedOn w:val="TOC3"/>
    <w:semiHidden/>
    <w:rsid w:val="00B8688F"/>
    <w:pPr>
      <w:ind w:left="1191" w:firstLine="0"/>
    </w:pPr>
  </w:style>
  <w:style w:type="character" w:styleId="Hyperlink">
    <w:name w:val="Hyperlink"/>
    <w:uiPriority w:val="99"/>
    <w:rsid w:val="00C851BB"/>
    <w:rPr>
      <w:color w:val="0000FF"/>
      <w:u w:val="single"/>
    </w:rPr>
  </w:style>
  <w:style w:type="paragraph" w:styleId="BalloonText">
    <w:name w:val="Balloon Text"/>
    <w:basedOn w:val="Normal"/>
    <w:link w:val="BalloonTextChar"/>
    <w:rsid w:val="00B8688F"/>
    <w:rPr>
      <w:rFonts w:ascii="Tahoma" w:hAnsi="Tahoma" w:cs="Tahoma"/>
      <w:sz w:val="16"/>
      <w:szCs w:val="16"/>
    </w:rPr>
  </w:style>
  <w:style w:type="table" w:styleId="TableGrid">
    <w:name w:val="Table Grid"/>
    <w:basedOn w:val="TableNormal"/>
    <w:rsid w:val="00F739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DA262B"/>
    <w:rPr>
      <w:color w:val="800080"/>
      <w:u w:val="single"/>
    </w:rPr>
  </w:style>
  <w:style w:type="character" w:customStyle="1" w:styleId="BodyTextChar">
    <w:name w:val="Body Text Char"/>
    <w:aliases w:val="new legislation style Char,Body Text1 Char,Body Text21 Char,Body Text2 Char,new legislation style1 Char,Body Text Char1 Char Char Char,new legislation style Char Char Char Char Char,Body Text Char1 Char Char Char Char Char"/>
    <w:link w:val="BodyText"/>
    <w:rsid w:val="00D8291B"/>
    <w:rPr>
      <w:sz w:val="26"/>
    </w:rPr>
  </w:style>
  <w:style w:type="character" w:customStyle="1" w:styleId="AbbreviationChar">
    <w:name w:val="Abbreviation Char"/>
    <w:basedOn w:val="BodyTextChar"/>
    <w:link w:val="Abbreviation"/>
    <w:rsid w:val="00D8291B"/>
    <w:rPr>
      <w:sz w:val="26"/>
    </w:rPr>
  </w:style>
  <w:style w:type="character" w:customStyle="1" w:styleId="TableBodyTextChar">
    <w:name w:val="Table Body Text Char"/>
    <w:link w:val="TableBodyText"/>
    <w:rsid w:val="00156731"/>
    <w:rPr>
      <w:rFonts w:ascii="Arial" w:hAnsi="Arial"/>
    </w:rPr>
  </w:style>
  <w:style w:type="character" w:customStyle="1" w:styleId="TableColumnHeadingChar">
    <w:name w:val="Table Column Heading Char"/>
    <w:link w:val="TableColumnHeading"/>
    <w:rsid w:val="00156731"/>
    <w:rPr>
      <w:rFonts w:ascii="Arial" w:hAnsi="Arial"/>
      <w:i/>
    </w:rPr>
  </w:style>
  <w:style w:type="character" w:customStyle="1" w:styleId="ListBulletChar">
    <w:name w:val="List Bullet Char"/>
    <w:aliases w:val="List Bullet Char1 Char,List Bullet Char Char Char,List Bullet Char1 Char Char Char"/>
    <w:link w:val="ListBullet"/>
    <w:rsid w:val="00BA1822"/>
    <w:rPr>
      <w:sz w:val="26"/>
    </w:rPr>
  </w:style>
  <w:style w:type="character" w:customStyle="1" w:styleId="BoxChar">
    <w:name w:val="Box Char"/>
    <w:link w:val="Box"/>
    <w:rsid w:val="00BA1822"/>
    <w:rPr>
      <w:rFonts w:ascii="Arial" w:hAnsi="Arial"/>
      <w:sz w:val="22"/>
    </w:rPr>
  </w:style>
  <w:style w:type="character" w:customStyle="1" w:styleId="BoxListBulletChar">
    <w:name w:val="Box List Bullet Char"/>
    <w:basedOn w:val="BoxChar"/>
    <w:link w:val="BoxListBullet"/>
    <w:rsid w:val="007F4F3D"/>
    <w:rPr>
      <w:rFonts w:ascii="Arial" w:hAnsi="Arial"/>
      <w:sz w:val="22"/>
    </w:rPr>
  </w:style>
  <w:style w:type="character" w:customStyle="1" w:styleId="NoteChar">
    <w:name w:val="Note Char"/>
    <w:link w:val="Note"/>
    <w:rsid w:val="006C42B0"/>
    <w:rPr>
      <w:rFonts w:ascii="Arial" w:hAnsi="Arial"/>
      <w:sz w:val="18"/>
    </w:rPr>
  </w:style>
  <w:style w:type="character" w:customStyle="1" w:styleId="SourceChar">
    <w:name w:val="Source Char"/>
    <w:basedOn w:val="NoteChar"/>
    <w:link w:val="Source"/>
    <w:rsid w:val="006C42B0"/>
    <w:rPr>
      <w:rFonts w:ascii="Arial" w:hAnsi="Arial"/>
      <w:sz w:val="18"/>
    </w:rPr>
  </w:style>
  <w:style w:type="character" w:customStyle="1" w:styleId="BoxSpaceChar">
    <w:name w:val="Box Space Char"/>
    <w:link w:val="BoxSpace"/>
    <w:rsid w:val="006C42B0"/>
    <w:rPr>
      <w:sz w:val="26"/>
    </w:rPr>
  </w:style>
  <w:style w:type="character" w:customStyle="1" w:styleId="BoxTitleChar">
    <w:name w:val="Box Title Char"/>
    <w:link w:val="BoxTitle"/>
    <w:rsid w:val="006C42B0"/>
    <w:rPr>
      <w:rFonts w:ascii="Arial" w:hAnsi="Arial"/>
      <w:b/>
      <w:sz w:val="24"/>
      <w:szCs w:val="24"/>
    </w:rPr>
  </w:style>
  <w:style w:type="character" w:customStyle="1" w:styleId="FigureTitleChar">
    <w:name w:val="Figure Title Char"/>
    <w:link w:val="FigureTitle"/>
    <w:rsid w:val="00546642"/>
    <w:rPr>
      <w:rFonts w:ascii="Arial" w:hAnsi="Arial"/>
      <w:b/>
      <w:sz w:val="24"/>
      <w:szCs w:val="24"/>
    </w:rPr>
  </w:style>
  <w:style w:type="character" w:customStyle="1" w:styleId="BodyTextCharCharChar">
    <w:name w:val="Body Text Char Char Char"/>
    <w:aliases w:val="new legislation style Char Char Char Char Char Char,Body Text Char1 Char Char Char Char Char Char"/>
    <w:rsid w:val="00924669"/>
    <w:rPr>
      <w:sz w:val="26"/>
      <w:lang w:val="en-AU" w:eastAsia="en-AU" w:bidi="ar-SA"/>
    </w:rPr>
  </w:style>
  <w:style w:type="character" w:customStyle="1" w:styleId="TableTitleChar">
    <w:name w:val="Table Title Char"/>
    <w:link w:val="TableTitle"/>
    <w:rsid w:val="00B54D7F"/>
    <w:rPr>
      <w:rFonts w:ascii="Arial" w:hAnsi="Arial"/>
      <w:b/>
      <w:sz w:val="24"/>
      <w:szCs w:val="24"/>
    </w:rPr>
  </w:style>
  <w:style w:type="character" w:customStyle="1" w:styleId="FigureChar">
    <w:name w:val="Figure Char"/>
    <w:link w:val="Figure"/>
    <w:rsid w:val="00B54D7F"/>
    <w:rPr>
      <w:sz w:val="26"/>
    </w:rPr>
  </w:style>
  <w:style w:type="paragraph" w:styleId="CommentSubject">
    <w:name w:val="annotation subject"/>
    <w:basedOn w:val="CommentText"/>
    <w:next w:val="CommentText"/>
    <w:semiHidden/>
    <w:rsid w:val="004407DE"/>
    <w:pPr>
      <w:spacing w:before="0" w:line="240" w:lineRule="auto"/>
      <w:ind w:left="0" w:firstLine="0"/>
    </w:pPr>
    <w:rPr>
      <w:b/>
      <w:bCs/>
      <w:szCs w:val="20"/>
    </w:rPr>
  </w:style>
  <w:style w:type="paragraph" w:customStyle="1" w:styleId="D">
    <w:name w:val="D"/>
    <w:basedOn w:val="BodyText"/>
    <w:rsid w:val="00845AEC"/>
  </w:style>
  <w:style w:type="character" w:customStyle="1" w:styleId="ReferenceChar">
    <w:name w:val="Reference Char"/>
    <w:link w:val="Reference"/>
    <w:rsid w:val="00FE7DD7"/>
    <w:rPr>
      <w:sz w:val="26"/>
    </w:rPr>
  </w:style>
  <w:style w:type="paragraph" w:styleId="NormalWeb">
    <w:name w:val="Normal (Web)"/>
    <w:basedOn w:val="Normal"/>
    <w:uiPriority w:val="99"/>
    <w:unhideWhenUsed/>
    <w:rsid w:val="00A42EDA"/>
    <w:pPr>
      <w:spacing w:before="240" w:after="240"/>
    </w:pPr>
  </w:style>
  <w:style w:type="character" w:customStyle="1" w:styleId="SubtitleChar">
    <w:name w:val="Subtitle Char"/>
    <w:basedOn w:val="DefaultParagraphFont"/>
    <w:link w:val="Subtitle"/>
    <w:rsid w:val="00B8688F"/>
    <w:rPr>
      <w:rFonts w:ascii="Arial" w:hAnsi="Arial"/>
      <w:szCs w:val="24"/>
    </w:rPr>
  </w:style>
  <w:style w:type="paragraph" w:styleId="Revision">
    <w:name w:val="Revision"/>
    <w:hidden/>
    <w:uiPriority w:val="99"/>
    <w:semiHidden/>
    <w:rsid w:val="00B63911"/>
    <w:rPr>
      <w:sz w:val="24"/>
      <w:szCs w:val="24"/>
    </w:rPr>
  </w:style>
  <w:style w:type="character" w:styleId="Emphasis">
    <w:name w:val="Emphasis"/>
    <w:basedOn w:val="DefaultParagraphFont"/>
    <w:rsid w:val="00B8688F"/>
    <w:rPr>
      <w:i/>
      <w:iCs/>
    </w:rPr>
  </w:style>
  <w:style w:type="paragraph" w:customStyle="1" w:styleId="RecBBullet2">
    <w:name w:val="RecB Bullet 2"/>
    <w:basedOn w:val="ListBullet2"/>
    <w:semiHidden/>
    <w:rsid w:val="00B8688F"/>
    <w:pPr>
      <w:pBdr>
        <w:left w:val="single" w:sz="24" w:space="29" w:color="C0C0C0"/>
      </w:pBdr>
    </w:pPr>
    <w:rPr>
      <w:b/>
      <w:i/>
    </w:rPr>
  </w:style>
  <w:style w:type="character" w:customStyle="1" w:styleId="BalloonTextChar">
    <w:name w:val="Balloon Text Char"/>
    <w:basedOn w:val="DefaultParagraphFont"/>
    <w:link w:val="BalloonText"/>
    <w:rsid w:val="00B8688F"/>
    <w:rPr>
      <w:rFonts w:ascii="Tahoma" w:hAnsi="Tahoma" w:cs="Tahoma"/>
      <w:sz w:val="16"/>
      <w:szCs w:val="16"/>
    </w:rPr>
  </w:style>
  <w:style w:type="paragraph" w:customStyle="1" w:styleId="BoxListBullet3">
    <w:name w:val="Box List Bullet 3"/>
    <w:basedOn w:val="ListBullet3"/>
    <w:rsid w:val="00B8688F"/>
    <w:pPr>
      <w:numPr>
        <w:numId w:val="18"/>
      </w:numPr>
      <w:tabs>
        <w:tab w:val="left" w:pos="907"/>
      </w:tabs>
      <w:spacing w:before="60" w:line="280" w:lineRule="atLeast"/>
      <w:ind w:left="907" w:hanging="340"/>
    </w:pPr>
    <w:rPr>
      <w:rFonts w:ascii="Arial" w:hAnsi="Arial"/>
      <w:sz w:val="22"/>
    </w:rPr>
  </w:style>
  <w:style w:type="paragraph" w:customStyle="1" w:styleId="BoxQuoteBullet">
    <w:name w:val="Box Quote Bullet"/>
    <w:basedOn w:val="BoxQuote"/>
    <w:next w:val="Box"/>
    <w:rsid w:val="00B8688F"/>
    <w:pPr>
      <w:numPr>
        <w:numId w:val="16"/>
      </w:numPr>
      <w:ind w:left="568" w:hanging="284"/>
    </w:pPr>
  </w:style>
  <w:style w:type="paragraph" w:customStyle="1" w:styleId="InformationRequestBullet">
    <w:name w:val="Information Request Bullet"/>
    <w:basedOn w:val="ListBullet"/>
    <w:next w:val="BodyText"/>
    <w:rsid w:val="00B8688F"/>
    <w:pPr>
      <w:numPr>
        <w:numId w:val="17"/>
      </w:numPr>
      <w:ind w:left="340" w:hanging="340"/>
    </w:pPr>
    <w:rPr>
      <w:rFonts w:ascii="Arial" w:hAnsi="Arial"/>
      <w:i/>
      <w:sz w:val="24"/>
    </w:rPr>
  </w:style>
  <w:style w:type="paragraph" w:customStyle="1" w:styleId="BoxSpaceAbove">
    <w:name w:val="Box Space Above"/>
    <w:basedOn w:val="BodyText"/>
    <w:rsid w:val="00B8688F"/>
    <w:pPr>
      <w:keepNext/>
      <w:spacing w:before="360" w:line="80" w:lineRule="exact"/>
      <w:jc w:val="left"/>
    </w:pPr>
  </w:style>
  <w:style w:type="paragraph" w:customStyle="1" w:styleId="BoxSpaceBelow">
    <w:name w:val="Box Space Below"/>
    <w:basedOn w:val="Box"/>
    <w:rsid w:val="00B8688F"/>
    <w:pPr>
      <w:keepNext w:val="0"/>
      <w:spacing w:before="60" w:after="60" w:line="80" w:lineRule="exact"/>
    </w:pPr>
    <w:rPr>
      <w:sz w:val="14"/>
    </w:rPr>
  </w:style>
  <w:style w:type="paragraph" w:styleId="PlainText">
    <w:name w:val="Plain Text"/>
    <w:basedOn w:val="Normal"/>
    <w:link w:val="PlainTextChar"/>
    <w:uiPriority w:val="99"/>
    <w:unhideWhenUsed/>
    <w:rsid w:val="004420D6"/>
    <w:rPr>
      <w:rFonts w:ascii="Calibri" w:hAnsi="Calibri"/>
      <w:sz w:val="22"/>
      <w:szCs w:val="21"/>
    </w:rPr>
  </w:style>
  <w:style w:type="character" w:customStyle="1" w:styleId="PlainTextChar">
    <w:name w:val="Plain Text Char"/>
    <w:basedOn w:val="DefaultParagraphFont"/>
    <w:link w:val="PlainText"/>
    <w:uiPriority w:val="99"/>
    <w:rsid w:val="004420D6"/>
    <w:rPr>
      <w:rFonts w:ascii="Calibri" w:hAnsi="Calibr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64521">
      <w:bodyDiv w:val="1"/>
      <w:marLeft w:val="0"/>
      <w:marRight w:val="0"/>
      <w:marTop w:val="0"/>
      <w:marBottom w:val="0"/>
      <w:divBdr>
        <w:top w:val="none" w:sz="0" w:space="0" w:color="auto"/>
        <w:left w:val="none" w:sz="0" w:space="0" w:color="auto"/>
        <w:bottom w:val="none" w:sz="0" w:space="0" w:color="auto"/>
        <w:right w:val="none" w:sz="0" w:space="0" w:color="auto"/>
      </w:divBdr>
    </w:div>
    <w:div w:id="87121304">
      <w:bodyDiv w:val="1"/>
      <w:marLeft w:val="0"/>
      <w:marRight w:val="0"/>
      <w:marTop w:val="0"/>
      <w:marBottom w:val="0"/>
      <w:divBdr>
        <w:top w:val="none" w:sz="0" w:space="0" w:color="auto"/>
        <w:left w:val="none" w:sz="0" w:space="0" w:color="auto"/>
        <w:bottom w:val="none" w:sz="0" w:space="0" w:color="auto"/>
        <w:right w:val="none" w:sz="0" w:space="0" w:color="auto"/>
      </w:divBdr>
    </w:div>
    <w:div w:id="90011828">
      <w:bodyDiv w:val="1"/>
      <w:marLeft w:val="0"/>
      <w:marRight w:val="0"/>
      <w:marTop w:val="0"/>
      <w:marBottom w:val="0"/>
      <w:divBdr>
        <w:top w:val="none" w:sz="0" w:space="0" w:color="auto"/>
        <w:left w:val="none" w:sz="0" w:space="0" w:color="auto"/>
        <w:bottom w:val="none" w:sz="0" w:space="0" w:color="auto"/>
        <w:right w:val="none" w:sz="0" w:space="0" w:color="auto"/>
      </w:divBdr>
      <w:divsChild>
        <w:div w:id="65499591">
          <w:marLeft w:val="0"/>
          <w:marRight w:val="0"/>
          <w:marTop w:val="0"/>
          <w:marBottom w:val="0"/>
          <w:divBdr>
            <w:top w:val="none" w:sz="0" w:space="0" w:color="auto"/>
            <w:left w:val="none" w:sz="0" w:space="0" w:color="auto"/>
            <w:bottom w:val="none" w:sz="0" w:space="0" w:color="auto"/>
            <w:right w:val="none" w:sz="0" w:space="0" w:color="auto"/>
          </w:divBdr>
          <w:divsChild>
            <w:div w:id="1852834746">
              <w:marLeft w:val="0"/>
              <w:marRight w:val="0"/>
              <w:marTop w:val="0"/>
              <w:marBottom w:val="0"/>
              <w:divBdr>
                <w:top w:val="none" w:sz="0" w:space="0" w:color="auto"/>
                <w:left w:val="none" w:sz="0" w:space="0" w:color="auto"/>
                <w:bottom w:val="none" w:sz="0" w:space="0" w:color="auto"/>
                <w:right w:val="none" w:sz="0" w:space="0" w:color="auto"/>
              </w:divBdr>
              <w:divsChild>
                <w:div w:id="1694303362">
                  <w:marLeft w:val="0"/>
                  <w:marRight w:val="0"/>
                  <w:marTop w:val="0"/>
                  <w:marBottom w:val="0"/>
                  <w:divBdr>
                    <w:top w:val="none" w:sz="0" w:space="0" w:color="auto"/>
                    <w:left w:val="none" w:sz="0" w:space="0" w:color="auto"/>
                    <w:bottom w:val="none" w:sz="0" w:space="0" w:color="auto"/>
                    <w:right w:val="none" w:sz="0" w:space="0" w:color="auto"/>
                  </w:divBdr>
                  <w:divsChild>
                    <w:div w:id="2082216674">
                      <w:marLeft w:val="0"/>
                      <w:marRight w:val="0"/>
                      <w:marTop w:val="0"/>
                      <w:marBottom w:val="0"/>
                      <w:divBdr>
                        <w:top w:val="none" w:sz="0" w:space="0" w:color="auto"/>
                        <w:left w:val="none" w:sz="0" w:space="0" w:color="auto"/>
                        <w:bottom w:val="none" w:sz="0" w:space="0" w:color="auto"/>
                        <w:right w:val="none" w:sz="0" w:space="0" w:color="auto"/>
                      </w:divBdr>
                      <w:divsChild>
                        <w:div w:id="1551990376">
                          <w:marLeft w:val="0"/>
                          <w:marRight w:val="0"/>
                          <w:marTop w:val="0"/>
                          <w:marBottom w:val="0"/>
                          <w:divBdr>
                            <w:top w:val="none" w:sz="0" w:space="0" w:color="auto"/>
                            <w:left w:val="none" w:sz="0" w:space="0" w:color="auto"/>
                            <w:bottom w:val="none" w:sz="0" w:space="0" w:color="auto"/>
                            <w:right w:val="none" w:sz="0" w:space="0" w:color="auto"/>
                          </w:divBdr>
                          <w:divsChild>
                            <w:div w:id="188213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7968">
      <w:bodyDiv w:val="1"/>
      <w:marLeft w:val="0"/>
      <w:marRight w:val="0"/>
      <w:marTop w:val="0"/>
      <w:marBottom w:val="0"/>
      <w:divBdr>
        <w:top w:val="none" w:sz="0" w:space="0" w:color="auto"/>
        <w:left w:val="none" w:sz="0" w:space="0" w:color="auto"/>
        <w:bottom w:val="none" w:sz="0" w:space="0" w:color="auto"/>
        <w:right w:val="none" w:sz="0" w:space="0" w:color="auto"/>
      </w:divBdr>
    </w:div>
    <w:div w:id="126243144">
      <w:bodyDiv w:val="1"/>
      <w:marLeft w:val="0"/>
      <w:marRight w:val="0"/>
      <w:marTop w:val="0"/>
      <w:marBottom w:val="0"/>
      <w:divBdr>
        <w:top w:val="none" w:sz="0" w:space="0" w:color="auto"/>
        <w:left w:val="none" w:sz="0" w:space="0" w:color="auto"/>
        <w:bottom w:val="none" w:sz="0" w:space="0" w:color="auto"/>
        <w:right w:val="none" w:sz="0" w:space="0" w:color="auto"/>
      </w:divBdr>
    </w:div>
    <w:div w:id="128405223">
      <w:bodyDiv w:val="1"/>
      <w:marLeft w:val="0"/>
      <w:marRight w:val="0"/>
      <w:marTop w:val="0"/>
      <w:marBottom w:val="0"/>
      <w:divBdr>
        <w:top w:val="none" w:sz="0" w:space="0" w:color="auto"/>
        <w:left w:val="none" w:sz="0" w:space="0" w:color="auto"/>
        <w:bottom w:val="none" w:sz="0" w:space="0" w:color="auto"/>
        <w:right w:val="none" w:sz="0" w:space="0" w:color="auto"/>
      </w:divBdr>
    </w:div>
    <w:div w:id="297415443">
      <w:bodyDiv w:val="1"/>
      <w:marLeft w:val="0"/>
      <w:marRight w:val="0"/>
      <w:marTop w:val="0"/>
      <w:marBottom w:val="0"/>
      <w:divBdr>
        <w:top w:val="none" w:sz="0" w:space="0" w:color="auto"/>
        <w:left w:val="none" w:sz="0" w:space="0" w:color="auto"/>
        <w:bottom w:val="none" w:sz="0" w:space="0" w:color="auto"/>
        <w:right w:val="none" w:sz="0" w:space="0" w:color="auto"/>
      </w:divBdr>
      <w:divsChild>
        <w:div w:id="107967243">
          <w:marLeft w:val="0"/>
          <w:marRight w:val="0"/>
          <w:marTop w:val="0"/>
          <w:marBottom w:val="0"/>
          <w:divBdr>
            <w:top w:val="none" w:sz="0" w:space="0" w:color="auto"/>
            <w:left w:val="none" w:sz="0" w:space="0" w:color="auto"/>
            <w:bottom w:val="none" w:sz="0" w:space="0" w:color="auto"/>
            <w:right w:val="none" w:sz="0" w:space="0" w:color="auto"/>
          </w:divBdr>
          <w:divsChild>
            <w:div w:id="183520962">
              <w:marLeft w:val="0"/>
              <w:marRight w:val="0"/>
              <w:marTop w:val="0"/>
              <w:marBottom w:val="0"/>
              <w:divBdr>
                <w:top w:val="none" w:sz="0" w:space="0" w:color="auto"/>
                <w:left w:val="none" w:sz="0" w:space="0" w:color="auto"/>
                <w:bottom w:val="none" w:sz="0" w:space="0" w:color="auto"/>
                <w:right w:val="none" w:sz="0" w:space="0" w:color="auto"/>
              </w:divBdr>
              <w:divsChild>
                <w:div w:id="631060080">
                  <w:marLeft w:val="0"/>
                  <w:marRight w:val="0"/>
                  <w:marTop w:val="0"/>
                  <w:marBottom w:val="0"/>
                  <w:divBdr>
                    <w:top w:val="none" w:sz="0" w:space="0" w:color="auto"/>
                    <w:left w:val="none" w:sz="0" w:space="0" w:color="auto"/>
                    <w:bottom w:val="none" w:sz="0" w:space="0" w:color="auto"/>
                    <w:right w:val="none" w:sz="0" w:space="0" w:color="auto"/>
                  </w:divBdr>
                  <w:divsChild>
                    <w:div w:id="572812707">
                      <w:marLeft w:val="0"/>
                      <w:marRight w:val="0"/>
                      <w:marTop w:val="0"/>
                      <w:marBottom w:val="600"/>
                      <w:divBdr>
                        <w:top w:val="none" w:sz="0" w:space="0" w:color="auto"/>
                        <w:left w:val="none" w:sz="0" w:space="0" w:color="auto"/>
                        <w:bottom w:val="none" w:sz="0" w:space="0" w:color="auto"/>
                        <w:right w:val="none" w:sz="0" w:space="0" w:color="auto"/>
                      </w:divBdr>
                      <w:divsChild>
                        <w:div w:id="2105687315">
                          <w:marLeft w:val="0"/>
                          <w:marRight w:val="0"/>
                          <w:marTop w:val="0"/>
                          <w:marBottom w:val="0"/>
                          <w:divBdr>
                            <w:top w:val="none" w:sz="0" w:space="0" w:color="auto"/>
                            <w:left w:val="none" w:sz="0" w:space="0" w:color="auto"/>
                            <w:bottom w:val="none" w:sz="0" w:space="0" w:color="auto"/>
                            <w:right w:val="none" w:sz="0" w:space="0" w:color="auto"/>
                          </w:divBdr>
                          <w:divsChild>
                            <w:div w:id="535317889">
                              <w:marLeft w:val="0"/>
                              <w:marRight w:val="0"/>
                              <w:marTop w:val="0"/>
                              <w:marBottom w:val="0"/>
                              <w:divBdr>
                                <w:top w:val="none" w:sz="0" w:space="0" w:color="auto"/>
                                <w:left w:val="none" w:sz="0" w:space="0" w:color="auto"/>
                                <w:bottom w:val="none" w:sz="0" w:space="0" w:color="auto"/>
                                <w:right w:val="none" w:sz="0" w:space="0" w:color="auto"/>
                              </w:divBdr>
                              <w:divsChild>
                                <w:div w:id="1821120371">
                                  <w:marLeft w:val="0"/>
                                  <w:marRight w:val="0"/>
                                  <w:marTop w:val="0"/>
                                  <w:marBottom w:val="0"/>
                                  <w:divBdr>
                                    <w:top w:val="none" w:sz="0" w:space="0" w:color="auto"/>
                                    <w:left w:val="none" w:sz="0" w:space="0" w:color="auto"/>
                                    <w:bottom w:val="none" w:sz="0" w:space="0" w:color="auto"/>
                                    <w:right w:val="none" w:sz="0" w:space="0" w:color="auto"/>
                                  </w:divBdr>
                                  <w:divsChild>
                                    <w:div w:id="1684822138">
                                      <w:marLeft w:val="0"/>
                                      <w:marRight w:val="0"/>
                                      <w:marTop w:val="0"/>
                                      <w:marBottom w:val="0"/>
                                      <w:divBdr>
                                        <w:top w:val="none" w:sz="0" w:space="0" w:color="auto"/>
                                        <w:left w:val="none" w:sz="0" w:space="0" w:color="auto"/>
                                        <w:bottom w:val="none" w:sz="0" w:space="0" w:color="auto"/>
                                        <w:right w:val="none" w:sz="0" w:space="0" w:color="auto"/>
                                      </w:divBdr>
                                      <w:divsChild>
                                        <w:div w:id="784351412">
                                          <w:marLeft w:val="0"/>
                                          <w:marRight w:val="0"/>
                                          <w:marTop w:val="0"/>
                                          <w:marBottom w:val="0"/>
                                          <w:divBdr>
                                            <w:top w:val="none" w:sz="0" w:space="0" w:color="auto"/>
                                            <w:left w:val="none" w:sz="0" w:space="0" w:color="auto"/>
                                            <w:bottom w:val="none" w:sz="0" w:space="0" w:color="auto"/>
                                            <w:right w:val="none" w:sz="0" w:space="0" w:color="auto"/>
                                          </w:divBdr>
                                          <w:divsChild>
                                            <w:div w:id="2118213613">
                                              <w:marLeft w:val="0"/>
                                              <w:marRight w:val="0"/>
                                              <w:marTop w:val="0"/>
                                              <w:marBottom w:val="0"/>
                                              <w:divBdr>
                                                <w:top w:val="none" w:sz="0" w:space="0" w:color="auto"/>
                                                <w:left w:val="none" w:sz="0" w:space="0" w:color="auto"/>
                                                <w:bottom w:val="none" w:sz="0" w:space="0" w:color="auto"/>
                                                <w:right w:val="none" w:sz="0" w:space="0" w:color="auto"/>
                                              </w:divBdr>
                                              <w:divsChild>
                                                <w:div w:id="75806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4183177">
      <w:bodyDiv w:val="1"/>
      <w:marLeft w:val="0"/>
      <w:marRight w:val="0"/>
      <w:marTop w:val="0"/>
      <w:marBottom w:val="0"/>
      <w:divBdr>
        <w:top w:val="none" w:sz="0" w:space="0" w:color="auto"/>
        <w:left w:val="none" w:sz="0" w:space="0" w:color="auto"/>
        <w:bottom w:val="none" w:sz="0" w:space="0" w:color="auto"/>
        <w:right w:val="none" w:sz="0" w:space="0" w:color="auto"/>
      </w:divBdr>
      <w:divsChild>
        <w:div w:id="2062436071">
          <w:marLeft w:val="0"/>
          <w:marRight w:val="0"/>
          <w:marTop w:val="0"/>
          <w:marBottom w:val="0"/>
          <w:divBdr>
            <w:top w:val="none" w:sz="0" w:space="0" w:color="auto"/>
            <w:left w:val="none" w:sz="0" w:space="0" w:color="auto"/>
            <w:bottom w:val="none" w:sz="0" w:space="0" w:color="auto"/>
            <w:right w:val="none" w:sz="0" w:space="0" w:color="auto"/>
          </w:divBdr>
          <w:divsChild>
            <w:div w:id="1663502480">
              <w:marLeft w:val="0"/>
              <w:marRight w:val="0"/>
              <w:marTop w:val="0"/>
              <w:marBottom w:val="0"/>
              <w:divBdr>
                <w:top w:val="none" w:sz="0" w:space="0" w:color="auto"/>
                <w:left w:val="none" w:sz="0" w:space="0" w:color="auto"/>
                <w:bottom w:val="none" w:sz="0" w:space="0" w:color="auto"/>
                <w:right w:val="none" w:sz="0" w:space="0" w:color="auto"/>
              </w:divBdr>
              <w:divsChild>
                <w:div w:id="121198497">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752167430">
      <w:bodyDiv w:val="1"/>
      <w:marLeft w:val="0"/>
      <w:marRight w:val="0"/>
      <w:marTop w:val="0"/>
      <w:marBottom w:val="0"/>
      <w:divBdr>
        <w:top w:val="none" w:sz="0" w:space="0" w:color="auto"/>
        <w:left w:val="none" w:sz="0" w:space="0" w:color="auto"/>
        <w:bottom w:val="none" w:sz="0" w:space="0" w:color="auto"/>
        <w:right w:val="none" w:sz="0" w:space="0" w:color="auto"/>
      </w:divBdr>
    </w:div>
    <w:div w:id="766535135">
      <w:bodyDiv w:val="1"/>
      <w:marLeft w:val="0"/>
      <w:marRight w:val="0"/>
      <w:marTop w:val="0"/>
      <w:marBottom w:val="0"/>
      <w:divBdr>
        <w:top w:val="none" w:sz="0" w:space="0" w:color="auto"/>
        <w:left w:val="none" w:sz="0" w:space="0" w:color="auto"/>
        <w:bottom w:val="none" w:sz="0" w:space="0" w:color="auto"/>
        <w:right w:val="none" w:sz="0" w:space="0" w:color="auto"/>
      </w:divBdr>
    </w:div>
    <w:div w:id="791557707">
      <w:bodyDiv w:val="1"/>
      <w:marLeft w:val="0"/>
      <w:marRight w:val="0"/>
      <w:marTop w:val="0"/>
      <w:marBottom w:val="0"/>
      <w:divBdr>
        <w:top w:val="none" w:sz="0" w:space="0" w:color="auto"/>
        <w:left w:val="none" w:sz="0" w:space="0" w:color="auto"/>
        <w:bottom w:val="none" w:sz="0" w:space="0" w:color="auto"/>
        <w:right w:val="none" w:sz="0" w:space="0" w:color="auto"/>
      </w:divBdr>
    </w:div>
    <w:div w:id="926303771">
      <w:bodyDiv w:val="1"/>
      <w:marLeft w:val="0"/>
      <w:marRight w:val="0"/>
      <w:marTop w:val="0"/>
      <w:marBottom w:val="0"/>
      <w:divBdr>
        <w:top w:val="none" w:sz="0" w:space="0" w:color="auto"/>
        <w:left w:val="none" w:sz="0" w:space="0" w:color="auto"/>
        <w:bottom w:val="none" w:sz="0" w:space="0" w:color="auto"/>
        <w:right w:val="none" w:sz="0" w:space="0" w:color="auto"/>
      </w:divBdr>
    </w:div>
    <w:div w:id="1094519956">
      <w:bodyDiv w:val="1"/>
      <w:marLeft w:val="0"/>
      <w:marRight w:val="0"/>
      <w:marTop w:val="0"/>
      <w:marBottom w:val="0"/>
      <w:divBdr>
        <w:top w:val="none" w:sz="0" w:space="0" w:color="auto"/>
        <w:left w:val="none" w:sz="0" w:space="0" w:color="auto"/>
        <w:bottom w:val="none" w:sz="0" w:space="0" w:color="auto"/>
        <w:right w:val="none" w:sz="0" w:space="0" w:color="auto"/>
      </w:divBdr>
    </w:div>
    <w:div w:id="1113789781">
      <w:bodyDiv w:val="1"/>
      <w:marLeft w:val="0"/>
      <w:marRight w:val="0"/>
      <w:marTop w:val="0"/>
      <w:marBottom w:val="0"/>
      <w:divBdr>
        <w:top w:val="none" w:sz="0" w:space="0" w:color="auto"/>
        <w:left w:val="none" w:sz="0" w:space="0" w:color="auto"/>
        <w:bottom w:val="none" w:sz="0" w:space="0" w:color="auto"/>
        <w:right w:val="none" w:sz="0" w:space="0" w:color="auto"/>
      </w:divBdr>
    </w:div>
    <w:div w:id="1145197586">
      <w:bodyDiv w:val="1"/>
      <w:marLeft w:val="0"/>
      <w:marRight w:val="0"/>
      <w:marTop w:val="0"/>
      <w:marBottom w:val="0"/>
      <w:divBdr>
        <w:top w:val="none" w:sz="0" w:space="0" w:color="auto"/>
        <w:left w:val="none" w:sz="0" w:space="0" w:color="auto"/>
        <w:bottom w:val="none" w:sz="0" w:space="0" w:color="auto"/>
        <w:right w:val="none" w:sz="0" w:space="0" w:color="auto"/>
      </w:divBdr>
    </w:div>
    <w:div w:id="1190070340">
      <w:bodyDiv w:val="1"/>
      <w:marLeft w:val="0"/>
      <w:marRight w:val="0"/>
      <w:marTop w:val="0"/>
      <w:marBottom w:val="0"/>
      <w:divBdr>
        <w:top w:val="none" w:sz="0" w:space="0" w:color="auto"/>
        <w:left w:val="none" w:sz="0" w:space="0" w:color="auto"/>
        <w:bottom w:val="none" w:sz="0" w:space="0" w:color="auto"/>
        <w:right w:val="none" w:sz="0" w:space="0" w:color="auto"/>
      </w:divBdr>
    </w:div>
    <w:div w:id="1227909559">
      <w:bodyDiv w:val="1"/>
      <w:marLeft w:val="0"/>
      <w:marRight w:val="0"/>
      <w:marTop w:val="0"/>
      <w:marBottom w:val="0"/>
      <w:divBdr>
        <w:top w:val="none" w:sz="0" w:space="0" w:color="auto"/>
        <w:left w:val="none" w:sz="0" w:space="0" w:color="auto"/>
        <w:bottom w:val="none" w:sz="0" w:space="0" w:color="auto"/>
        <w:right w:val="none" w:sz="0" w:space="0" w:color="auto"/>
      </w:divBdr>
    </w:div>
    <w:div w:id="1394502078">
      <w:bodyDiv w:val="1"/>
      <w:marLeft w:val="0"/>
      <w:marRight w:val="0"/>
      <w:marTop w:val="0"/>
      <w:marBottom w:val="0"/>
      <w:divBdr>
        <w:top w:val="none" w:sz="0" w:space="0" w:color="auto"/>
        <w:left w:val="none" w:sz="0" w:space="0" w:color="auto"/>
        <w:bottom w:val="none" w:sz="0" w:space="0" w:color="auto"/>
        <w:right w:val="none" w:sz="0" w:space="0" w:color="auto"/>
      </w:divBdr>
      <w:divsChild>
        <w:div w:id="1335188313">
          <w:marLeft w:val="0"/>
          <w:marRight w:val="0"/>
          <w:marTop w:val="0"/>
          <w:marBottom w:val="0"/>
          <w:divBdr>
            <w:top w:val="none" w:sz="0" w:space="0" w:color="auto"/>
            <w:left w:val="none" w:sz="0" w:space="0" w:color="auto"/>
            <w:bottom w:val="none" w:sz="0" w:space="0" w:color="auto"/>
            <w:right w:val="none" w:sz="0" w:space="0" w:color="auto"/>
          </w:divBdr>
        </w:div>
      </w:divsChild>
    </w:div>
    <w:div w:id="1444886726">
      <w:bodyDiv w:val="1"/>
      <w:marLeft w:val="0"/>
      <w:marRight w:val="0"/>
      <w:marTop w:val="0"/>
      <w:marBottom w:val="0"/>
      <w:divBdr>
        <w:top w:val="none" w:sz="0" w:space="0" w:color="auto"/>
        <w:left w:val="none" w:sz="0" w:space="0" w:color="auto"/>
        <w:bottom w:val="none" w:sz="0" w:space="0" w:color="auto"/>
        <w:right w:val="none" w:sz="0" w:space="0" w:color="auto"/>
      </w:divBdr>
    </w:div>
    <w:div w:id="1537040578">
      <w:bodyDiv w:val="1"/>
      <w:marLeft w:val="0"/>
      <w:marRight w:val="0"/>
      <w:marTop w:val="0"/>
      <w:marBottom w:val="0"/>
      <w:divBdr>
        <w:top w:val="none" w:sz="0" w:space="0" w:color="auto"/>
        <w:left w:val="none" w:sz="0" w:space="0" w:color="auto"/>
        <w:bottom w:val="none" w:sz="0" w:space="0" w:color="auto"/>
        <w:right w:val="none" w:sz="0" w:space="0" w:color="auto"/>
      </w:divBdr>
      <w:divsChild>
        <w:div w:id="1803647554">
          <w:marLeft w:val="0"/>
          <w:marRight w:val="0"/>
          <w:marTop w:val="0"/>
          <w:marBottom w:val="0"/>
          <w:divBdr>
            <w:top w:val="none" w:sz="0" w:space="0" w:color="auto"/>
            <w:left w:val="none" w:sz="0" w:space="0" w:color="auto"/>
            <w:bottom w:val="none" w:sz="0" w:space="0" w:color="auto"/>
            <w:right w:val="none" w:sz="0" w:space="0" w:color="auto"/>
          </w:divBdr>
          <w:divsChild>
            <w:div w:id="491603418">
              <w:marLeft w:val="0"/>
              <w:marRight w:val="0"/>
              <w:marTop w:val="0"/>
              <w:marBottom w:val="0"/>
              <w:divBdr>
                <w:top w:val="none" w:sz="0" w:space="0" w:color="auto"/>
                <w:left w:val="none" w:sz="0" w:space="0" w:color="auto"/>
                <w:bottom w:val="none" w:sz="0" w:space="0" w:color="auto"/>
                <w:right w:val="none" w:sz="0" w:space="0" w:color="auto"/>
              </w:divBdr>
              <w:divsChild>
                <w:div w:id="1625114510">
                  <w:marLeft w:val="0"/>
                  <w:marRight w:val="3600"/>
                  <w:marTop w:val="0"/>
                  <w:marBottom w:val="0"/>
                  <w:divBdr>
                    <w:top w:val="none" w:sz="0" w:space="0" w:color="auto"/>
                    <w:left w:val="none" w:sz="0" w:space="0" w:color="auto"/>
                    <w:bottom w:val="none" w:sz="0" w:space="0" w:color="auto"/>
                    <w:right w:val="none" w:sz="0" w:space="0" w:color="auto"/>
                  </w:divBdr>
                </w:div>
              </w:divsChild>
            </w:div>
          </w:divsChild>
        </w:div>
      </w:divsChild>
    </w:div>
    <w:div w:id="1569924576">
      <w:bodyDiv w:val="1"/>
      <w:marLeft w:val="0"/>
      <w:marRight w:val="0"/>
      <w:marTop w:val="0"/>
      <w:marBottom w:val="0"/>
      <w:divBdr>
        <w:top w:val="none" w:sz="0" w:space="0" w:color="auto"/>
        <w:left w:val="none" w:sz="0" w:space="0" w:color="auto"/>
        <w:bottom w:val="none" w:sz="0" w:space="0" w:color="auto"/>
        <w:right w:val="none" w:sz="0" w:space="0" w:color="auto"/>
      </w:divBdr>
    </w:div>
    <w:div w:id="1816338842">
      <w:bodyDiv w:val="1"/>
      <w:marLeft w:val="0"/>
      <w:marRight w:val="0"/>
      <w:marTop w:val="0"/>
      <w:marBottom w:val="0"/>
      <w:divBdr>
        <w:top w:val="none" w:sz="0" w:space="0" w:color="auto"/>
        <w:left w:val="none" w:sz="0" w:space="0" w:color="auto"/>
        <w:bottom w:val="none" w:sz="0" w:space="0" w:color="auto"/>
        <w:right w:val="none" w:sz="0" w:space="0" w:color="auto"/>
      </w:divBdr>
    </w:div>
    <w:div w:id="1832330086">
      <w:bodyDiv w:val="1"/>
      <w:marLeft w:val="0"/>
      <w:marRight w:val="0"/>
      <w:marTop w:val="0"/>
      <w:marBottom w:val="0"/>
      <w:divBdr>
        <w:top w:val="none" w:sz="0" w:space="0" w:color="auto"/>
        <w:left w:val="none" w:sz="0" w:space="0" w:color="auto"/>
        <w:bottom w:val="none" w:sz="0" w:space="0" w:color="auto"/>
        <w:right w:val="none" w:sz="0" w:space="0" w:color="auto"/>
      </w:divBdr>
    </w:div>
    <w:div w:id="1977025163">
      <w:bodyDiv w:val="1"/>
      <w:marLeft w:val="0"/>
      <w:marRight w:val="0"/>
      <w:marTop w:val="0"/>
      <w:marBottom w:val="0"/>
      <w:divBdr>
        <w:top w:val="none" w:sz="0" w:space="0" w:color="auto"/>
        <w:left w:val="none" w:sz="0" w:space="0" w:color="auto"/>
        <w:bottom w:val="none" w:sz="0" w:space="0" w:color="auto"/>
        <w:right w:val="none" w:sz="0" w:space="0" w:color="auto"/>
      </w:divBdr>
    </w:div>
    <w:div w:id="200835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4.xml"/><Relationship Id="rId18" Type="http://schemas.openxmlformats.org/officeDocument/2006/relationships/image" Target="media/image4.emf"/><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chart" Target="charts/chart3.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hart" Target="charts/chart6.xml"/><Relationship Id="rId23"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chart" Target="charts/chart5.xml"/><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0%20Disability%20services\02%20Report\03%20Data\2014%20Report\Charts\2014%20Report\2014%20SC%20Draft%20AttachFA%20Community%20Services%20charts.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0%20Disability%20services\02%20Report\03%20Data\2014%20Report\Charts\2014%20Report\2014%20SC%20Draft%20AttachFA%20Community%20Services%20charts.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01%20Report%20general\06%20Community%20services%20sector%20overview\04%20Data\2014%20Report\Comm_services%20sector%20overview%20AEDI%20data%20chart.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Sheet2!$N$17</c:f>
              <c:strCache>
                <c:ptCount val="1"/>
                <c:pt idx="0">
                  <c:v>Males</c:v>
                </c:pt>
              </c:strCache>
            </c:strRef>
          </c:tx>
          <c:spPr>
            <a:solidFill>
              <a:sysClr val="window" lastClr="FFFFFF">
                <a:lumMod val="75000"/>
              </a:sysClr>
            </a:solidFill>
            <a:ln>
              <a:solidFill>
                <a:srgbClr val="000000"/>
              </a:solidFill>
            </a:ln>
          </c:spPr>
          <c:invertIfNegative val="0"/>
          <c:errBars>
            <c:errBarType val="both"/>
            <c:errValType val="cust"/>
            <c:noEndCap val="0"/>
            <c:plus>
              <c:numRef>
                <c:f>Sheet2!$O$22:$Q$22</c:f>
                <c:numCache>
                  <c:formatCode>General</c:formatCode>
                  <c:ptCount val="3"/>
                  <c:pt idx="0">
                    <c:v>5.6</c:v>
                  </c:pt>
                  <c:pt idx="1">
                    <c:v>9.4</c:v>
                  </c:pt>
                  <c:pt idx="2">
                    <c:v>13.3</c:v>
                  </c:pt>
                </c:numCache>
              </c:numRef>
            </c:plus>
            <c:minus>
              <c:numRef>
                <c:f>Sheet2!$O$22:$Q$22</c:f>
                <c:numCache>
                  <c:formatCode>General</c:formatCode>
                  <c:ptCount val="3"/>
                  <c:pt idx="0">
                    <c:v>5.6</c:v>
                  </c:pt>
                  <c:pt idx="1">
                    <c:v>9.4</c:v>
                  </c:pt>
                  <c:pt idx="2">
                    <c:v>13.3</c:v>
                  </c:pt>
                </c:numCache>
              </c:numRef>
            </c:minus>
          </c:errBars>
          <c:cat>
            <c:strRef>
              <c:f>Sheet2!$O$16:$Q$16</c:f>
              <c:strCache>
                <c:ptCount val="3"/>
                <c:pt idx="0">
                  <c:v>65-74</c:v>
                </c:pt>
                <c:pt idx="1">
                  <c:v>75-84</c:v>
                </c:pt>
                <c:pt idx="2">
                  <c:v>85+</c:v>
                </c:pt>
              </c:strCache>
            </c:strRef>
          </c:cat>
          <c:val>
            <c:numRef>
              <c:f>Sheet2!$O$17:$Q$17</c:f>
              <c:numCache>
                <c:formatCode>General</c:formatCode>
                <c:ptCount val="3"/>
                <c:pt idx="0">
                  <c:v>81</c:v>
                </c:pt>
                <c:pt idx="1">
                  <c:v>75.599999999999994</c:v>
                </c:pt>
                <c:pt idx="2">
                  <c:v>83.4</c:v>
                </c:pt>
              </c:numCache>
            </c:numRef>
          </c:val>
        </c:ser>
        <c:ser>
          <c:idx val="1"/>
          <c:order val="1"/>
          <c:tx>
            <c:strRef>
              <c:f>Sheet2!$N$18</c:f>
              <c:strCache>
                <c:ptCount val="1"/>
                <c:pt idx="0">
                  <c:v>Females</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Sheet2!$O$23:$Q$23</c:f>
                <c:numCache>
                  <c:formatCode>General</c:formatCode>
                  <c:ptCount val="3"/>
                  <c:pt idx="0">
                    <c:v>3.6</c:v>
                  </c:pt>
                  <c:pt idx="1">
                    <c:v>7.8</c:v>
                  </c:pt>
                  <c:pt idx="2">
                    <c:v>7.6</c:v>
                  </c:pt>
                </c:numCache>
              </c:numRef>
            </c:plus>
            <c:minus>
              <c:numRef>
                <c:f>Sheet2!$O$23:$Q$23</c:f>
                <c:numCache>
                  <c:formatCode>General</c:formatCode>
                  <c:ptCount val="3"/>
                  <c:pt idx="0">
                    <c:v>3.6</c:v>
                  </c:pt>
                  <c:pt idx="1">
                    <c:v>7.8</c:v>
                  </c:pt>
                  <c:pt idx="2">
                    <c:v>7.6</c:v>
                  </c:pt>
                </c:numCache>
              </c:numRef>
            </c:minus>
          </c:errBars>
          <c:cat>
            <c:strRef>
              <c:f>Sheet2!$O$16:$Q$16</c:f>
              <c:strCache>
                <c:ptCount val="3"/>
                <c:pt idx="0">
                  <c:v>65-74</c:v>
                </c:pt>
                <c:pt idx="1">
                  <c:v>75-84</c:v>
                </c:pt>
                <c:pt idx="2">
                  <c:v>85+</c:v>
                </c:pt>
              </c:strCache>
            </c:strRef>
          </c:cat>
          <c:val>
            <c:numRef>
              <c:f>Sheet2!$O$18:$Q$18</c:f>
              <c:numCache>
                <c:formatCode>General</c:formatCode>
                <c:ptCount val="3"/>
                <c:pt idx="0">
                  <c:v>85.5</c:v>
                </c:pt>
                <c:pt idx="1">
                  <c:v>78.8</c:v>
                </c:pt>
                <c:pt idx="2">
                  <c:v>81.5</c:v>
                </c:pt>
              </c:numCache>
            </c:numRef>
          </c:val>
        </c:ser>
        <c:ser>
          <c:idx val="2"/>
          <c:order val="2"/>
          <c:tx>
            <c:strRef>
              <c:f>Sheet2!$N$19</c:f>
              <c:strCache>
                <c:ptCount val="1"/>
                <c:pt idx="0">
                  <c:v>All people</c:v>
                </c:pt>
              </c:strCache>
            </c:strRef>
          </c:tx>
          <c:spPr>
            <a:solidFill>
              <a:schemeClr val="bg1">
                <a:lumMod val="50000"/>
              </a:schemeClr>
            </a:solidFill>
            <a:ln>
              <a:solidFill>
                <a:sysClr val="windowText" lastClr="000000"/>
              </a:solidFill>
            </a:ln>
          </c:spPr>
          <c:invertIfNegative val="0"/>
          <c:errBars>
            <c:errBarType val="both"/>
            <c:errValType val="cust"/>
            <c:noEndCap val="0"/>
            <c:plus>
              <c:numRef>
                <c:f>Sheet2!$O$24:$Q$24</c:f>
                <c:numCache>
                  <c:formatCode>General</c:formatCode>
                  <c:ptCount val="3"/>
                  <c:pt idx="0">
                    <c:v>3.5</c:v>
                  </c:pt>
                  <c:pt idx="1">
                    <c:v>6.6</c:v>
                  </c:pt>
                  <c:pt idx="2">
                    <c:v>6.3</c:v>
                  </c:pt>
                </c:numCache>
              </c:numRef>
            </c:plus>
            <c:minus>
              <c:numRef>
                <c:f>Sheet2!$O$24:$Q$24</c:f>
                <c:numCache>
                  <c:formatCode>General</c:formatCode>
                  <c:ptCount val="3"/>
                  <c:pt idx="0">
                    <c:v>3.5</c:v>
                  </c:pt>
                  <c:pt idx="1">
                    <c:v>6.6</c:v>
                  </c:pt>
                  <c:pt idx="2">
                    <c:v>6.3</c:v>
                  </c:pt>
                </c:numCache>
              </c:numRef>
            </c:minus>
          </c:errBars>
          <c:cat>
            <c:strRef>
              <c:f>Sheet2!$O$16:$Q$16</c:f>
              <c:strCache>
                <c:ptCount val="3"/>
                <c:pt idx="0">
                  <c:v>65-74</c:v>
                </c:pt>
                <c:pt idx="1">
                  <c:v>75-84</c:v>
                </c:pt>
                <c:pt idx="2">
                  <c:v>85+</c:v>
                </c:pt>
              </c:strCache>
            </c:strRef>
          </c:cat>
          <c:val>
            <c:numRef>
              <c:f>Sheet2!$O$19:$Q$19</c:f>
              <c:numCache>
                <c:formatCode>General</c:formatCode>
                <c:ptCount val="3"/>
                <c:pt idx="0">
                  <c:v>83.3</c:v>
                </c:pt>
                <c:pt idx="1">
                  <c:v>77.3</c:v>
                </c:pt>
                <c:pt idx="2">
                  <c:v>82.2</c:v>
                </c:pt>
              </c:numCache>
            </c:numRef>
          </c:val>
        </c:ser>
        <c:dLbls>
          <c:showLegendKey val="0"/>
          <c:showVal val="0"/>
          <c:showCatName val="0"/>
          <c:showSerName val="0"/>
          <c:showPercent val="0"/>
          <c:showBubbleSize val="0"/>
        </c:dLbls>
        <c:gapWidth val="150"/>
        <c:axId val="75106176"/>
        <c:axId val="75107712"/>
      </c:barChart>
      <c:catAx>
        <c:axId val="75106176"/>
        <c:scaling>
          <c:orientation val="minMax"/>
        </c:scaling>
        <c:delete val="0"/>
        <c:axPos val="b"/>
        <c:majorTickMark val="out"/>
        <c:minorTickMark val="none"/>
        <c:tickLblPos val="nextTo"/>
        <c:crossAx val="75107712"/>
        <c:crosses val="autoZero"/>
        <c:auto val="1"/>
        <c:lblAlgn val="ctr"/>
        <c:lblOffset val="100"/>
        <c:noMultiLvlLbl val="0"/>
      </c:catAx>
      <c:valAx>
        <c:axId val="7510771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General" sourceLinked="1"/>
        <c:majorTickMark val="out"/>
        <c:minorTickMark val="none"/>
        <c:tickLblPos val="nextTo"/>
        <c:spPr>
          <a:ln>
            <a:solidFill>
              <a:schemeClr val="tx1"/>
            </a:solidFill>
          </a:ln>
        </c:spPr>
        <c:crossAx val="75106176"/>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'face to face'!$P$37</c:f>
              <c:strCache>
                <c:ptCount val="1"/>
                <c:pt idx="0">
                  <c:v>has not participated</c:v>
                </c:pt>
              </c:strCache>
            </c:strRef>
          </c:tx>
          <c:spPr>
            <a:solidFill>
              <a:sysClr val="window" lastClr="FFFFFF">
                <a:lumMod val="75000"/>
              </a:sysClr>
            </a:solidFill>
            <a:ln>
              <a:solidFill>
                <a:srgbClr val="000000"/>
              </a:solidFill>
            </a:ln>
          </c:spPr>
          <c:invertIfNegative val="0"/>
          <c:errBars>
            <c:errBarType val="both"/>
            <c:errValType val="cust"/>
            <c:noEndCap val="0"/>
            <c:plus>
              <c:numRef>
                <c:f>'face to face'!$Q$44:$Y$44</c:f>
                <c:numCache>
                  <c:formatCode>General</c:formatCode>
                  <c:ptCount val="9"/>
                  <c:pt idx="0">
                    <c:v>1.2</c:v>
                  </c:pt>
                  <c:pt idx="1">
                    <c:v>1.2</c:v>
                  </c:pt>
                  <c:pt idx="2">
                    <c:v>1.8</c:v>
                  </c:pt>
                  <c:pt idx="3">
                    <c:v>1.7</c:v>
                  </c:pt>
                  <c:pt idx="4">
                    <c:v>1.3</c:v>
                  </c:pt>
                  <c:pt idx="5">
                    <c:v>2.4</c:v>
                  </c:pt>
                  <c:pt idx="6">
                    <c:v>1.8</c:v>
                  </c:pt>
                  <c:pt idx="7">
                    <c:v>5.7</c:v>
                  </c:pt>
                  <c:pt idx="8">
                    <c:v>0.6</c:v>
                  </c:pt>
                </c:numCache>
              </c:numRef>
            </c:plus>
            <c:minus>
              <c:numRef>
                <c:f>'face to face'!$Q$44:$Y$44</c:f>
                <c:numCache>
                  <c:formatCode>General</c:formatCode>
                  <c:ptCount val="9"/>
                  <c:pt idx="0">
                    <c:v>1.2</c:v>
                  </c:pt>
                  <c:pt idx="1">
                    <c:v>1.2</c:v>
                  </c:pt>
                  <c:pt idx="2">
                    <c:v>1.8</c:v>
                  </c:pt>
                  <c:pt idx="3">
                    <c:v>1.7</c:v>
                  </c:pt>
                  <c:pt idx="4">
                    <c:v>1.3</c:v>
                  </c:pt>
                  <c:pt idx="5">
                    <c:v>2.4</c:v>
                  </c:pt>
                  <c:pt idx="6">
                    <c:v>1.8</c:v>
                  </c:pt>
                  <c:pt idx="7">
                    <c:v>5.7</c:v>
                  </c:pt>
                  <c:pt idx="8">
                    <c:v>0.6</c:v>
                  </c:pt>
                </c:numCache>
              </c:numRef>
            </c:minus>
          </c:errBars>
          <c:cat>
            <c:strRef>
              <c:f>'face to face'!$Q$36:$Y$36</c:f>
              <c:strCache>
                <c:ptCount val="9"/>
                <c:pt idx="0">
                  <c:v>NSW</c:v>
                </c:pt>
                <c:pt idx="1">
                  <c:v>Vic</c:v>
                </c:pt>
                <c:pt idx="2">
                  <c:v>Qld</c:v>
                </c:pt>
                <c:pt idx="3">
                  <c:v>WA</c:v>
                </c:pt>
                <c:pt idx="4">
                  <c:v>SA</c:v>
                </c:pt>
                <c:pt idx="5">
                  <c:v>Tas</c:v>
                </c:pt>
                <c:pt idx="6">
                  <c:v>ACT</c:v>
                </c:pt>
                <c:pt idx="7">
                  <c:v>NT </c:v>
                </c:pt>
                <c:pt idx="8">
                  <c:v>Aust</c:v>
                </c:pt>
              </c:strCache>
            </c:strRef>
          </c:cat>
          <c:val>
            <c:numRef>
              <c:f>'face to face'!$Q$37:$Y$37</c:f>
              <c:numCache>
                <c:formatCode>0.0</c:formatCode>
                <c:ptCount val="9"/>
                <c:pt idx="0">
                  <c:v>6.1</c:v>
                </c:pt>
                <c:pt idx="1">
                  <c:v>5.6</c:v>
                </c:pt>
                <c:pt idx="2">
                  <c:v>7.8</c:v>
                </c:pt>
                <c:pt idx="3">
                  <c:v>5.5</c:v>
                </c:pt>
                <c:pt idx="4">
                  <c:v>5.2</c:v>
                </c:pt>
                <c:pt idx="5">
                  <c:v>7.1</c:v>
                </c:pt>
                <c:pt idx="6">
                  <c:v>3.1</c:v>
                </c:pt>
                <c:pt idx="7">
                  <c:v>13.2</c:v>
                </c:pt>
                <c:pt idx="8">
                  <c:v>6.2</c:v>
                </c:pt>
              </c:numCache>
            </c:numRef>
          </c:val>
        </c:ser>
        <c:ser>
          <c:idx val="1"/>
          <c:order val="1"/>
          <c:tx>
            <c:strRef>
              <c:f>'face to face'!$P$38</c:f>
              <c:strCache>
                <c:ptCount val="1"/>
                <c:pt idx="0">
                  <c:v>has participated</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'face to face'!$Q$45:$Y$45</c:f>
                <c:numCache>
                  <c:formatCode>General</c:formatCode>
                  <c:ptCount val="9"/>
                  <c:pt idx="0">
                    <c:v>0.9</c:v>
                  </c:pt>
                  <c:pt idx="1">
                    <c:v>1</c:v>
                  </c:pt>
                  <c:pt idx="2">
                    <c:v>1.8</c:v>
                  </c:pt>
                  <c:pt idx="3">
                    <c:v>1.5</c:v>
                  </c:pt>
                  <c:pt idx="4">
                    <c:v>1.6</c:v>
                  </c:pt>
                  <c:pt idx="5">
                    <c:v>2.1</c:v>
                  </c:pt>
                  <c:pt idx="6">
                    <c:v>1.4</c:v>
                  </c:pt>
                  <c:pt idx="7">
                    <c:v>5.9</c:v>
                  </c:pt>
                  <c:pt idx="8">
                    <c:v>0.7</c:v>
                  </c:pt>
                </c:numCache>
              </c:numRef>
            </c:plus>
            <c:minus>
              <c:numRef>
                <c:f>'face to face'!$Q$45:$Y$45</c:f>
                <c:numCache>
                  <c:formatCode>General</c:formatCode>
                  <c:ptCount val="9"/>
                  <c:pt idx="0">
                    <c:v>0.9</c:v>
                  </c:pt>
                  <c:pt idx="1">
                    <c:v>1</c:v>
                  </c:pt>
                  <c:pt idx="2">
                    <c:v>1.8</c:v>
                  </c:pt>
                  <c:pt idx="3">
                    <c:v>1.5</c:v>
                  </c:pt>
                  <c:pt idx="4">
                    <c:v>1.6</c:v>
                  </c:pt>
                  <c:pt idx="5">
                    <c:v>2.1</c:v>
                  </c:pt>
                  <c:pt idx="6">
                    <c:v>1.4</c:v>
                  </c:pt>
                  <c:pt idx="7">
                    <c:v>5.9</c:v>
                  </c:pt>
                  <c:pt idx="8">
                    <c:v>0.7</c:v>
                  </c:pt>
                </c:numCache>
              </c:numRef>
            </c:minus>
          </c:errBars>
          <c:cat>
            <c:strRef>
              <c:f>'face to face'!$Q$36:$Y$36</c:f>
              <c:strCache>
                <c:ptCount val="9"/>
                <c:pt idx="0">
                  <c:v>NSW</c:v>
                </c:pt>
                <c:pt idx="1">
                  <c:v>Vic</c:v>
                </c:pt>
                <c:pt idx="2">
                  <c:v>Qld</c:v>
                </c:pt>
                <c:pt idx="3">
                  <c:v>WA</c:v>
                </c:pt>
                <c:pt idx="4">
                  <c:v>SA</c:v>
                </c:pt>
                <c:pt idx="5">
                  <c:v>Tas</c:v>
                </c:pt>
                <c:pt idx="6">
                  <c:v>ACT</c:v>
                </c:pt>
                <c:pt idx="7">
                  <c:v>NT </c:v>
                </c:pt>
                <c:pt idx="8">
                  <c:v>Aust</c:v>
                </c:pt>
              </c:strCache>
            </c:strRef>
          </c:cat>
          <c:val>
            <c:numRef>
              <c:f>'face to face'!$Q$38:$Y$38</c:f>
              <c:numCache>
                <c:formatCode>0.0</c:formatCode>
                <c:ptCount val="9"/>
                <c:pt idx="0">
                  <c:v>93.4</c:v>
                </c:pt>
                <c:pt idx="1">
                  <c:v>94</c:v>
                </c:pt>
                <c:pt idx="2">
                  <c:v>91.5</c:v>
                </c:pt>
                <c:pt idx="3">
                  <c:v>94.1</c:v>
                </c:pt>
                <c:pt idx="4">
                  <c:v>94.4</c:v>
                </c:pt>
                <c:pt idx="5">
                  <c:v>92</c:v>
                </c:pt>
                <c:pt idx="6">
                  <c:v>95.5</c:v>
                </c:pt>
                <c:pt idx="7">
                  <c:v>84.5</c:v>
                </c:pt>
                <c:pt idx="8">
                  <c:v>93.2</c:v>
                </c:pt>
              </c:numCache>
            </c:numRef>
          </c:val>
        </c:ser>
        <c:ser>
          <c:idx val="2"/>
          <c:order val="2"/>
          <c:tx>
            <c:strRef>
              <c:f>'face to face'!$P$39</c:f>
              <c:strCache>
                <c:ptCount val="1"/>
              </c:strCache>
            </c:strRef>
          </c:tx>
          <c:spPr>
            <a:solidFill>
              <a:schemeClr val="bg1">
                <a:lumMod val="50000"/>
              </a:schemeClr>
            </a:solidFill>
            <a:ln>
              <a:solidFill>
                <a:sysClr val="windowText" lastClr="000000"/>
              </a:solidFill>
            </a:ln>
          </c:spPr>
          <c:invertIfNegative val="0"/>
          <c:errBars>
            <c:errBarType val="both"/>
            <c:errValType val="cust"/>
            <c:noEndCap val="0"/>
            <c:plus>
              <c:numRef>
                <c:f>'face to face'!$Q$46:$Y$46</c:f>
                <c:numCache>
                  <c:formatCode>General</c:formatCode>
                  <c:ptCount val="9"/>
                </c:numCache>
              </c:numRef>
            </c:plus>
            <c:minus>
              <c:numRef>
                <c:f>'face to face'!$Q$46:$Y$46</c:f>
                <c:numCache>
                  <c:formatCode>General</c:formatCode>
                  <c:ptCount val="9"/>
                </c:numCache>
              </c:numRef>
            </c:minus>
          </c:errBars>
          <c:cat>
            <c:strRef>
              <c:f>'face to face'!$Q$36:$Y$36</c:f>
              <c:strCache>
                <c:ptCount val="9"/>
                <c:pt idx="0">
                  <c:v>NSW</c:v>
                </c:pt>
                <c:pt idx="1">
                  <c:v>Vic</c:v>
                </c:pt>
                <c:pt idx="2">
                  <c:v>Qld</c:v>
                </c:pt>
                <c:pt idx="3">
                  <c:v>WA</c:v>
                </c:pt>
                <c:pt idx="4">
                  <c:v>SA</c:v>
                </c:pt>
                <c:pt idx="5">
                  <c:v>Tas</c:v>
                </c:pt>
                <c:pt idx="6">
                  <c:v>ACT</c:v>
                </c:pt>
                <c:pt idx="7">
                  <c:v>NT </c:v>
                </c:pt>
                <c:pt idx="8">
                  <c:v>Aust</c:v>
                </c:pt>
              </c:strCache>
            </c:strRef>
          </c:cat>
          <c:val>
            <c:numRef>
              <c:f>'face to face'!$Q$39:$Y$39</c:f>
              <c:numCache>
                <c:formatCode>General</c:formatCode>
                <c:ptCount val="9"/>
              </c:numCache>
            </c:numRef>
          </c:val>
        </c:ser>
        <c:dLbls>
          <c:showLegendKey val="0"/>
          <c:showVal val="0"/>
          <c:showCatName val="0"/>
          <c:showSerName val="0"/>
          <c:showPercent val="0"/>
          <c:showBubbleSize val="0"/>
        </c:dLbls>
        <c:gapWidth val="150"/>
        <c:axId val="75411840"/>
        <c:axId val="75413760"/>
      </c:barChart>
      <c:catAx>
        <c:axId val="75411840"/>
        <c:scaling>
          <c:orientation val="minMax"/>
        </c:scaling>
        <c:delete val="0"/>
        <c:axPos val="b"/>
        <c:majorTickMark val="out"/>
        <c:minorTickMark val="none"/>
        <c:tickLblPos val="nextTo"/>
        <c:crossAx val="75413760"/>
        <c:crosses val="autoZero"/>
        <c:auto val="1"/>
        <c:lblAlgn val="ctr"/>
        <c:lblOffset val="100"/>
        <c:noMultiLvlLbl val="0"/>
      </c:catAx>
      <c:valAx>
        <c:axId val="75413760"/>
        <c:scaling>
          <c:orientation val="minMax"/>
          <c:max val="100"/>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75411840"/>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FA.6'!$M$28</c:f>
              <c:strCache>
                <c:ptCount val="1"/>
              </c:strCache>
            </c:strRef>
          </c:tx>
          <c:spPr>
            <a:solidFill>
              <a:sysClr val="window" lastClr="FFFFFF">
                <a:lumMod val="75000"/>
              </a:sysClr>
            </a:solidFill>
            <a:ln>
              <a:solidFill>
                <a:srgbClr val="000000"/>
              </a:solidFill>
            </a:ln>
          </c:spPr>
          <c:invertIfNegative val="0"/>
          <c:errBars>
            <c:errBarType val="both"/>
            <c:errValType val="cust"/>
            <c:noEndCap val="0"/>
            <c:plus>
              <c:numRef>
                <c:f>'Table FA.6'!$N$31:$T$31</c:f>
                <c:numCache>
                  <c:formatCode>General</c:formatCode>
                  <c:ptCount val="7"/>
                  <c:pt idx="0">
                    <c:v>1.5</c:v>
                  </c:pt>
                  <c:pt idx="1">
                    <c:v>2</c:v>
                  </c:pt>
                  <c:pt idx="2">
                    <c:v>1.3</c:v>
                  </c:pt>
                  <c:pt idx="3">
                    <c:v>1.1000000000000001</c:v>
                  </c:pt>
                  <c:pt idx="4">
                    <c:v>0.4</c:v>
                  </c:pt>
                  <c:pt idx="5">
                    <c:v>0.4</c:v>
                  </c:pt>
                  <c:pt idx="6">
                    <c:v>0.3</c:v>
                  </c:pt>
                </c:numCache>
              </c:numRef>
            </c:plus>
            <c:minus>
              <c:numRef>
                <c:f>'Table FA.6'!$N$31:$T$31</c:f>
                <c:numCache>
                  <c:formatCode>General</c:formatCode>
                  <c:ptCount val="7"/>
                  <c:pt idx="0">
                    <c:v>1.5</c:v>
                  </c:pt>
                  <c:pt idx="1">
                    <c:v>2</c:v>
                  </c:pt>
                  <c:pt idx="2">
                    <c:v>1.3</c:v>
                  </c:pt>
                  <c:pt idx="3">
                    <c:v>1.1000000000000001</c:v>
                  </c:pt>
                  <c:pt idx="4">
                    <c:v>0.4</c:v>
                  </c:pt>
                  <c:pt idx="5">
                    <c:v>0.4</c:v>
                  </c:pt>
                  <c:pt idx="6">
                    <c:v>0.3</c:v>
                  </c:pt>
                </c:numCache>
              </c:numRef>
            </c:minus>
          </c:errBars>
          <c:cat>
            <c:strRef>
              <c:f>'Table FA.6'!$N$27:$T$27</c:f>
              <c:strCache>
                <c:ptCount val="7"/>
                <c:pt idx="0">
                  <c:v>Delighted</c:v>
                </c:pt>
                <c:pt idx="1">
                  <c:v>Pleased</c:v>
                </c:pt>
                <c:pt idx="2">
                  <c:v>Mostly statisfied</c:v>
                </c:pt>
                <c:pt idx="3">
                  <c:v>Mixed</c:v>
                </c:pt>
                <c:pt idx="4">
                  <c:v>Mostly dissatisfied</c:v>
                </c:pt>
                <c:pt idx="5">
                  <c:v>Unhappy</c:v>
                </c:pt>
                <c:pt idx="6">
                  <c:v>Terrible</c:v>
                </c:pt>
              </c:strCache>
            </c:strRef>
          </c:cat>
          <c:val>
            <c:numRef>
              <c:f>'Table FA.6'!$N$28:$T$28</c:f>
              <c:numCache>
                <c:formatCode>General</c:formatCode>
                <c:ptCount val="7"/>
                <c:pt idx="0">
                  <c:v>13.5</c:v>
                </c:pt>
                <c:pt idx="1">
                  <c:v>29.9</c:v>
                </c:pt>
                <c:pt idx="2">
                  <c:v>34.6</c:v>
                </c:pt>
                <c:pt idx="3">
                  <c:v>16.8</c:v>
                </c:pt>
                <c:pt idx="4">
                  <c:v>2.1</c:v>
                </c:pt>
                <c:pt idx="5">
                  <c:v>2.1</c:v>
                </c:pt>
                <c:pt idx="6">
                  <c:v>0.9</c:v>
                </c:pt>
              </c:numCache>
            </c:numRef>
          </c:val>
        </c:ser>
        <c:dLbls>
          <c:showLegendKey val="0"/>
          <c:showVal val="0"/>
          <c:showCatName val="0"/>
          <c:showSerName val="0"/>
          <c:showPercent val="0"/>
          <c:showBubbleSize val="0"/>
        </c:dLbls>
        <c:gapWidth val="150"/>
        <c:axId val="84345600"/>
        <c:axId val="86111744"/>
      </c:barChart>
      <c:catAx>
        <c:axId val="84345600"/>
        <c:scaling>
          <c:orientation val="minMax"/>
        </c:scaling>
        <c:delete val="0"/>
        <c:axPos val="b"/>
        <c:majorTickMark val="out"/>
        <c:minorTickMark val="none"/>
        <c:tickLblPos val="nextTo"/>
        <c:crossAx val="86111744"/>
        <c:crosses val="autoZero"/>
        <c:auto val="1"/>
        <c:lblAlgn val="ctr"/>
        <c:lblOffset val="100"/>
        <c:noMultiLvlLbl val="0"/>
      </c:catAx>
      <c:valAx>
        <c:axId val="86111744"/>
        <c:scaling>
          <c:orientation val="minMax"/>
        </c:scaling>
        <c:delete val="0"/>
        <c:axPos val="l"/>
        <c:majorGridlines/>
        <c:title>
          <c:tx>
            <c:rich>
              <a:bodyPr rot="-5400000" vert="horz"/>
              <a:lstStyle/>
              <a:p>
                <a:pPr>
                  <a:defRPr/>
                </a:pPr>
                <a:r>
                  <a:rPr lang="en-AU"/>
                  <a:t>Per cent</a:t>
                </a:r>
              </a:p>
            </c:rich>
          </c:tx>
          <c:overlay val="0"/>
        </c:title>
        <c:numFmt formatCode="General" sourceLinked="1"/>
        <c:majorTickMark val="out"/>
        <c:minorTickMark val="none"/>
        <c:tickLblPos val="nextTo"/>
        <c:spPr>
          <a:ln>
            <a:solidFill>
              <a:schemeClr val="tx1"/>
            </a:solidFill>
          </a:ln>
        </c:spPr>
        <c:crossAx val="84345600"/>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'face to face (2)'!$P$37</c:f>
              <c:strCache>
                <c:ptCount val="1"/>
                <c:pt idx="0">
                  <c:v>has not participate</c:v>
                </c:pt>
              </c:strCache>
            </c:strRef>
          </c:tx>
          <c:spPr>
            <a:solidFill>
              <a:sysClr val="window" lastClr="FFFFFF">
                <a:lumMod val="75000"/>
              </a:sysClr>
            </a:solidFill>
            <a:ln>
              <a:solidFill>
                <a:srgbClr val="000000"/>
              </a:solidFill>
            </a:ln>
          </c:spPr>
          <c:invertIfNegative val="0"/>
          <c:errBars>
            <c:errBarType val="both"/>
            <c:errValType val="cust"/>
            <c:noEndCap val="0"/>
            <c:plus>
              <c:numRef>
                <c:f>'face to face (2)'!$Q$44:$Y$44</c:f>
                <c:numCache>
                  <c:formatCode>General</c:formatCode>
                  <c:ptCount val="9"/>
                  <c:pt idx="0">
                    <c:v>4.3</c:v>
                  </c:pt>
                  <c:pt idx="1">
                    <c:v>6.5</c:v>
                  </c:pt>
                  <c:pt idx="2">
                    <c:v>3.6</c:v>
                  </c:pt>
                  <c:pt idx="3">
                    <c:v>9.1</c:v>
                  </c:pt>
                  <c:pt idx="4">
                    <c:v>6.6</c:v>
                  </c:pt>
                  <c:pt idx="5">
                    <c:v>9.4</c:v>
                  </c:pt>
                  <c:pt idx="6">
                    <c:v>11.7</c:v>
                  </c:pt>
                  <c:pt idx="7">
                    <c:v>18.7</c:v>
                  </c:pt>
                  <c:pt idx="8">
                    <c:v>1.7</c:v>
                  </c:pt>
                </c:numCache>
              </c:numRef>
            </c:plus>
            <c:minus>
              <c:numRef>
                <c:f>'face to face (2)'!$Q$44:$Y$44</c:f>
                <c:numCache>
                  <c:formatCode>General</c:formatCode>
                  <c:ptCount val="9"/>
                  <c:pt idx="0">
                    <c:v>4.3</c:v>
                  </c:pt>
                  <c:pt idx="1">
                    <c:v>6.5</c:v>
                  </c:pt>
                  <c:pt idx="2">
                    <c:v>3.6</c:v>
                  </c:pt>
                  <c:pt idx="3">
                    <c:v>9.1</c:v>
                  </c:pt>
                  <c:pt idx="4">
                    <c:v>6.6</c:v>
                  </c:pt>
                  <c:pt idx="5">
                    <c:v>9.4</c:v>
                  </c:pt>
                  <c:pt idx="6">
                    <c:v>11.7</c:v>
                  </c:pt>
                  <c:pt idx="7">
                    <c:v>18.7</c:v>
                  </c:pt>
                  <c:pt idx="8">
                    <c:v>1.7</c:v>
                  </c:pt>
                </c:numCache>
              </c:numRef>
            </c:minus>
          </c:errBars>
          <c:cat>
            <c:strRef>
              <c:f>'face to face (2)'!$Q$36:$Y$36</c:f>
              <c:strCache>
                <c:ptCount val="9"/>
                <c:pt idx="0">
                  <c:v>NSW</c:v>
                </c:pt>
                <c:pt idx="1">
                  <c:v>Vic</c:v>
                </c:pt>
                <c:pt idx="2">
                  <c:v>Qld</c:v>
                </c:pt>
                <c:pt idx="3">
                  <c:v>WA</c:v>
                </c:pt>
                <c:pt idx="4">
                  <c:v>SA</c:v>
                </c:pt>
                <c:pt idx="5">
                  <c:v>Tas</c:v>
                </c:pt>
                <c:pt idx="6">
                  <c:v>ACT</c:v>
                </c:pt>
                <c:pt idx="7">
                  <c:v>NT </c:v>
                </c:pt>
                <c:pt idx="8">
                  <c:v>Aust</c:v>
                </c:pt>
              </c:strCache>
            </c:strRef>
          </c:cat>
          <c:val>
            <c:numRef>
              <c:f>'face to face (2)'!$Q$37:$Y$37</c:f>
              <c:numCache>
                <c:formatCode>0.0</c:formatCode>
                <c:ptCount val="9"/>
                <c:pt idx="0">
                  <c:v>58.2</c:v>
                </c:pt>
                <c:pt idx="1">
                  <c:v>61.9</c:v>
                </c:pt>
                <c:pt idx="2">
                  <c:v>65.2</c:v>
                </c:pt>
                <c:pt idx="3">
                  <c:v>57.5</c:v>
                </c:pt>
                <c:pt idx="4">
                  <c:v>63.1</c:v>
                </c:pt>
                <c:pt idx="5">
                  <c:v>68.5</c:v>
                </c:pt>
                <c:pt idx="6">
                  <c:v>54.1</c:v>
                </c:pt>
                <c:pt idx="7">
                  <c:v>62.8</c:v>
                </c:pt>
                <c:pt idx="8">
                  <c:v>61.3</c:v>
                </c:pt>
              </c:numCache>
            </c:numRef>
          </c:val>
        </c:ser>
        <c:ser>
          <c:idx val="1"/>
          <c:order val="1"/>
          <c:tx>
            <c:strRef>
              <c:f>'face to face (2)'!$P$38</c:f>
              <c:strCache>
                <c:ptCount val="1"/>
                <c:pt idx="0">
                  <c:v>has participated</c:v>
                </c:pt>
              </c:strCache>
            </c:strRef>
          </c:tx>
          <c:spPr>
            <a:pattFill prst="wdUpDiag">
              <a:fgClr>
                <a:schemeClr val="tx1"/>
              </a:fgClr>
              <a:bgClr>
                <a:schemeClr val="bg1"/>
              </a:bgClr>
            </a:pattFill>
            <a:ln>
              <a:solidFill>
                <a:sysClr val="windowText" lastClr="000000"/>
              </a:solidFill>
            </a:ln>
          </c:spPr>
          <c:invertIfNegative val="0"/>
          <c:errBars>
            <c:errBarType val="both"/>
            <c:errValType val="cust"/>
            <c:noEndCap val="0"/>
            <c:plus>
              <c:numRef>
                <c:f>'face to face (2)'!$Q$45:$Y$45</c:f>
                <c:numCache>
                  <c:formatCode>General</c:formatCode>
                  <c:ptCount val="9"/>
                  <c:pt idx="0">
                    <c:v>5.3</c:v>
                  </c:pt>
                  <c:pt idx="1">
                    <c:v>4</c:v>
                  </c:pt>
                  <c:pt idx="2">
                    <c:v>4.3</c:v>
                  </c:pt>
                  <c:pt idx="3">
                    <c:v>5.5</c:v>
                  </c:pt>
                  <c:pt idx="4">
                    <c:v>6.7</c:v>
                  </c:pt>
                  <c:pt idx="5">
                    <c:v>8.1</c:v>
                  </c:pt>
                  <c:pt idx="6">
                    <c:v>7.3</c:v>
                  </c:pt>
                  <c:pt idx="7">
                    <c:v>14.5</c:v>
                  </c:pt>
                  <c:pt idx="8">
                    <c:v>2.6</c:v>
                  </c:pt>
                </c:numCache>
              </c:numRef>
            </c:plus>
            <c:minus>
              <c:numRef>
                <c:f>'face to face (2)'!$Q$45:$Y$45</c:f>
                <c:numCache>
                  <c:formatCode>General</c:formatCode>
                  <c:ptCount val="9"/>
                  <c:pt idx="0">
                    <c:v>5.3</c:v>
                  </c:pt>
                  <c:pt idx="1">
                    <c:v>4</c:v>
                  </c:pt>
                  <c:pt idx="2">
                    <c:v>4.3</c:v>
                  </c:pt>
                  <c:pt idx="3">
                    <c:v>5.5</c:v>
                  </c:pt>
                  <c:pt idx="4">
                    <c:v>6.7</c:v>
                  </c:pt>
                  <c:pt idx="5">
                    <c:v>8.1</c:v>
                  </c:pt>
                  <c:pt idx="6">
                    <c:v>7.3</c:v>
                  </c:pt>
                  <c:pt idx="7">
                    <c:v>14.5</c:v>
                  </c:pt>
                  <c:pt idx="8">
                    <c:v>2.6</c:v>
                  </c:pt>
                </c:numCache>
              </c:numRef>
            </c:minus>
          </c:errBars>
          <c:cat>
            <c:strRef>
              <c:f>'face to face (2)'!$Q$36:$Y$36</c:f>
              <c:strCache>
                <c:ptCount val="9"/>
                <c:pt idx="0">
                  <c:v>NSW</c:v>
                </c:pt>
                <c:pt idx="1">
                  <c:v>Vic</c:v>
                </c:pt>
                <c:pt idx="2">
                  <c:v>Qld</c:v>
                </c:pt>
                <c:pt idx="3">
                  <c:v>WA</c:v>
                </c:pt>
                <c:pt idx="4">
                  <c:v>SA</c:v>
                </c:pt>
                <c:pt idx="5">
                  <c:v>Tas</c:v>
                </c:pt>
                <c:pt idx="6">
                  <c:v>ACT</c:v>
                </c:pt>
                <c:pt idx="7">
                  <c:v>NT </c:v>
                </c:pt>
                <c:pt idx="8">
                  <c:v>Aust</c:v>
                </c:pt>
              </c:strCache>
            </c:strRef>
          </c:cat>
          <c:val>
            <c:numRef>
              <c:f>'face to face (2)'!$Q$38:$Y$38</c:f>
              <c:numCache>
                <c:formatCode>0.0</c:formatCode>
                <c:ptCount val="9"/>
                <c:pt idx="0">
                  <c:v>41.6</c:v>
                </c:pt>
                <c:pt idx="1">
                  <c:v>37.700000000000003</c:v>
                </c:pt>
                <c:pt idx="2">
                  <c:v>34.6</c:v>
                </c:pt>
                <c:pt idx="3">
                  <c:v>40.799999999999997</c:v>
                </c:pt>
                <c:pt idx="4">
                  <c:v>36.5</c:v>
                </c:pt>
                <c:pt idx="5">
                  <c:v>39.6</c:v>
                </c:pt>
                <c:pt idx="6">
                  <c:v>46.7</c:v>
                </c:pt>
                <c:pt idx="7">
                  <c:v>34.4</c:v>
                </c:pt>
                <c:pt idx="8">
                  <c:v>39</c:v>
                </c:pt>
              </c:numCache>
            </c:numRef>
          </c:val>
        </c:ser>
        <c:ser>
          <c:idx val="2"/>
          <c:order val="2"/>
          <c:tx>
            <c:strRef>
              <c:f>'face to face (2)'!$P$39</c:f>
              <c:strCache>
                <c:ptCount val="1"/>
              </c:strCache>
            </c:strRef>
          </c:tx>
          <c:spPr>
            <a:solidFill>
              <a:schemeClr val="bg1">
                <a:lumMod val="50000"/>
              </a:schemeClr>
            </a:solidFill>
            <a:ln>
              <a:solidFill>
                <a:sysClr val="windowText" lastClr="000000"/>
              </a:solidFill>
            </a:ln>
          </c:spPr>
          <c:invertIfNegative val="0"/>
          <c:errBars>
            <c:errBarType val="both"/>
            <c:errValType val="cust"/>
            <c:noEndCap val="0"/>
            <c:plus>
              <c:numRef>
                <c:f>'face to face (2)'!$Q$46:$Y$46</c:f>
                <c:numCache>
                  <c:formatCode>General</c:formatCode>
                  <c:ptCount val="9"/>
                </c:numCache>
              </c:numRef>
            </c:plus>
            <c:minus>
              <c:numRef>
                <c:f>'face to face (2)'!$Q$46:$Y$46</c:f>
                <c:numCache>
                  <c:formatCode>General</c:formatCode>
                  <c:ptCount val="9"/>
                </c:numCache>
              </c:numRef>
            </c:minus>
          </c:errBars>
          <c:cat>
            <c:strRef>
              <c:f>'face to face (2)'!$Q$36:$Y$36</c:f>
              <c:strCache>
                <c:ptCount val="9"/>
                <c:pt idx="0">
                  <c:v>NSW</c:v>
                </c:pt>
                <c:pt idx="1">
                  <c:v>Vic</c:v>
                </c:pt>
                <c:pt idx="2">
                  <c:v>Qld</c:v>
                </c:pt>
                <c:pt idx="3">
                  <c:v>WA</c:v>
                </c:pt>
                <c:pt idx="4">
                  <c:v>SA</c:v>
                </c:pt>
                <c:pt idx="5">
                  <c:v>Tas</c:v>
                </c:pt>
                <c:pt idx="6">
                  <c:v>ACT</c:v>
                </c:pt>
                <c:pt idx="7">
                  <c:v>NT </c:v>
                </c:pt>
                <c:pt idx="8">
                  <c:v>Aust</c:v>
                </c:pt>
              </c:strCache>
            </c:strRef>
          </c:cat>
          <c:val>
            <c:numRef>
              <c:f>'face to face (2)'!$Q$39:$Y$39</c:f>
              <c:numCache>
                <c:formatCode>General</c:formatCode>
                <c:ptCount val="9"/>
              </c:numCache>
            </c:numRef>
          </c:val>
        </c:ser>
        <c:dLbls>
          <c:showLegendKey val="0"/>
          <c:showVal val="0"/>
          <c:showCatName val="0"/>
          <c:showSerName val="0"/>
          <c:showPercent val="0"/>
          <c:showBubbleSize val="0"/>
        </c:dLbls>
        <c:gapWidth val="150"/>
        <c:axId val="188971264"/>
        <c:axId val="191425536"/>
      </c:barChart>
      <c:catAx>
        <c:axId val="188971264"/>
        <c:scaling>
          <c:orientation val="minMax"/>
        </c:scaling>
        <c:delete val="0"/>
        <c:axPos val="b"/>
        <c:majorTickMark val="out"/>
        <c:minorTickMark val="none"/>
        <c:tickLblPos val="nextTo"/>
        <c:crossAx val="191425536"/>
        <c:crosses val="autoZero"/>
        <c:auto val="1"/>
        <c:lblAlgn val="ctr"/>
        <c:lblOffset val="100"/>
        <c:noMultiLvlLbl val="0"/>
      </c:catAx>
      <c:valAx>
        <c:axId val="191425536"/>
        <c:scaling>
          <c:orientation val="minMax"/>
          <c:max val="100"/>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188971264"/>
        <c:crosses val="autoZero"/>
        <c:crossBetween val="between"/>
        <c:majorUnit val="20"/>
      </c:valAx>
      <c:spPr>
        <a:noFill/>
        <a:ln>
          <a:solidFill>
            <a:schemeClr val="tx1"/>
          </a:solidFill>
        </a:ln>
      </c:spPr>
    </c:plotArea>
    <c:legend>
      <c:legendPos val="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'Table FA.4'!$M$26</c:f>
              <c:strCache>
                <c:ptCount val="1"/>
                <c:pt idx="0">
                  <c:v>All jobless families</c:v>
                </c:pt>
              </c:strCache>
            </c:strRef>
          </c:tx>
          <c:spPr>
            <a:solidFill>
              <a:sysClr val="window" lastClr="FFFFFF">
                <a:lumMod val="75000"/>
              </a:sysClr>
            </a:solidFill>
            <a:ln>
              <a:solidFill>
                <a:srgbClr val="000000"/>
              </a:solidFill>
            </a:ln>
          </c:spPr>
          <c:invertIfNegative val="0"/>
          <c:cat>
            <c:numRef>
              <c:f>'Table FA.4'!$N$25:$R$25</c:f>
              <c:numCache>
                <c:formatCode>General</c:formatCode>
                <c:ptCount val="5"/>
                <c:pt idx="0">
                  <c:v>2008</c:v>
                </c:pt>
                <c:pt idx="1">
                  <c:v>2009</c:v>
                </c:pt>
                <c:pt idx="2">
                  <c:v>2010</c:v>
                </c:pt>
                <c:pt idx="3">
                  <c:v>2011</c:v>
                </c:pt>
                <c:pt idx="4">
                  <c:v>2012</c:v>
                </c:pt>
              </c:numCache>
            </c:numRef>
          </c:cat>
          <c:val>
            <c:numRef>
              <c:f>'Table FA.4'!$N$26:$R$26</c:f>
              <c:numCache>
                <c:formatCode>0.0</c:formatCode>
                <c:ptCount val="5"/>
                <c:pt idx="0">
                  <c:v>19.142650411019162</c:v>
                </c:pt>
                <c:pt idx="1">
                  <c:v>19.823245255093301</c:v>
                </c:pt>
                <c:pt idx="2">
                  <c:v>19.424499439923864</c:v>
                </c:pt>
                <c:pt idx="3">
                  <c:v>19.035755715114298</c:v>
                </c:pt>
                <c:pt idx="4">
                  <c:v>19.5</c:v>
                </c:pt>
              </c:numCache>
            </c:numRef>
          </c:val>
        </c:ser>
        <c:ser>
          <c:idx val="1"/>
          <c:order val="1"/>
          <c:tx>
            <c:strRef>
              <c:f>'Table FA.4'!$M$27</c:f>
              <c:strCache>
                <c:ptCount val="1"/>
                <c:pt idx="0">
                  <c:v>Jobless families with dependants (includes children aged under 15)</c:v>
                </c:pt>
              </c:strCache>
            </c:strRef>
          </c:tx>
          <c:spPr>
            <a:pattFill prst="wdUpDiag">
              <a:fgClr>
                <a:schemeClr val="tx1"/>
              </a:fgClr>
              <a:bgClr>
                <a:schemeClr val="bg1"/>
              </a:bgClr>
            </a:pattFill>
            <a:ln>
              <a:solidFill>
                <a:sysClr val="windowText" lastClr="000000"/>
              </a:solidFill>
            </a:ln>
          </c:spPr>
          <c:invertIfNegative val="0"/>
          <c:cat>
            <c:numRef>
              <c:f>'Table FA.4'!$N$25:$R$25</c:f>
              <c:numCache>
                <c:formatCode>General</c:formatCode>
                <c:ptCount val="5"/>
                <c:pt idx="0">
                  <c:v>2008</c:v>
                </c:pt>
                <c:pt idx="1">
                  <c:v>2009</c:v>
                </c:pt>
                <c:pt idx="2">
                  <c:v>2010</c:v>
                </c:pt>
                <c:pt idx="3">
                  <c:v>2011</c:v>
                </c:pt>
                <c:pt idx="4">
                  <c:v>2012</c:v>
                </c:pt>
              </c:numCache>
            </c:numRef>
          </c:cat>
          <c:val>
            <c:numRef>
              <c:f>'Table FA.4'!$N$27:$R$27</c:f>
              <c:numCache>
                <c:formatCode>0.0</c:formatCode>
                <c:ptCount val="5"/>
                <c:pt idx="0">
                  <c:v>9.3481945025348328</c:v>
                </c:pt>
                <c:pt idx="1">
                  <c:v>10.803186857072232</c:v>
                </c:pt>
                <c:pt idx="2">
                  <c:v>10.57907125745167</c:v>
                </c:pt>
                <c:pt idx="3">
                  <c:v>10.493470752005686</c:v>
                </c:pt>
                <c:pt idx="4">
                  <c:v>10.6</c:v>
                </c:pt>
              </c:numCache>
            </c:numRef>
          </c:val>
        </c:ser>
        <c:ser>
          <c:idx val="2"/>
          <c:order val="2"/>
          <c:tx>
            <c:strRef>
              <c:f>'Table FA.4'!$M$28</c:f>
              <c:strCache>
                <c:ptCount val="1"/>
                <c:pt idx="0">
                  <c:v>Jobless families with children aged under 15</c:v>
                </c:pt>
              </c:strCache>
            </c:strRef>
          </c:tx>
          <c:spPr>
            <a:solidFill>
              <a:schemeClr val="bg1">
                <a:lumMod val="50000"/>
              </a:schemeClr>
            </a:solidFill>
            <a:ln>
              <a:solidFill>
                <a:sysClr val="windowText" lastClr="000000"/>
              </a:solidFill>
            </a:ln>
          </c:spPr>
          <c:invertIfNegative val="0"/>
          <c:cat>
            <c:numRef>
              <c:f>'Table FA.4'!$N$25:$R$25</c:f>
              <c:numCache>
                <c:formatCode>General</c:formatCode>
                <c:ptCount val="5"/>
                <c:pt idx="0">
                  <c:v>2008</c:v>
                </c:pt>
                <c:pt idx="1">
                  <c:v>2009</c:v>
                </c:pt>
                <c:pt idx="2">
                  <c:v>2010</c:v>
                </c:pt>
                <c:pt idx="3">
                  <c:v>2011</c:v>
                </c:pt>
                <c:pt idx="4">
                  <c:v>2012</c:v>
                </c:pt>
              </c:numCache>
            </c:numRef>
          </c:cat>
          <c:val>
            <c:numRef>
              <c:f>'Table FA.4'!$N$28:$R$28</c:f>
              <c:numCache>
                <c:formatCode>0.0</c:formatCode>
                <c:ptCount val="5"/>
                <c:pt idx="0">
                  <c:v>10.212310509464995</c:v>
                </c:pt>
                <c:pt idx="1">
                  <c:v>12.077718109844978</c:v>
                </c:pt>
                <c:pt idx="2">
                  <c:v>11.917703641826218</c:v>
                </c:pt>
                <c:pt idx="3">
                  <c:v>11.632597534719757</c:v>
                </c:pt>
                <c:pt idx="4">
                  <c:v>11.5</c:v>
                </c:pt>
              </c:numCache>
            </c:numRef>
          </c:val>
        </c:ser>
        <c:dLbls>
          <c:showLegendKey val="0"/>
          <c:showVal val="0"/>
          <c:showCatName val="0"/>
          <c:showSerName val="0"/>
          <c:showPercent val="0"/>
          <c:showBubbleSize val="0"/>
        </c:dLbls>
        <c:gapWidth val="150"/>
        <c:axId val="194521344"/>
        <c:axId val="194823296"/>
      </c:barChart>
      <c:catAx>
        <c:axId val="194521344"/>
        <c:scaling>
          <c:orientation val="minMax"/>
        </c:scaling>
        <c:delete val="0"/>
        <c:axPos val="b"/>
        <c:numFmt formatCode="General" sourceLinked="1"/>
        <c:majorTickMark val="out"/>
        <c:minorTickMark val="none"/>
        <c:tickLblPos val="nextTo"/>
        <c:crossAx val="194823296"/>
        <c:crossesAt val="0"/>
        <c:auto val="1"/>
        <c:lblAlgn val="ctr"/>
        <c:lblOffset val="100"/>
        <c:noMultiLvlLbl val="0"/>
      </c:catAx>
      <c:valAx>
        <c:axId val="194823296"/>
        <c:scaling>
          <c:orientation val="minMax"/>
          <c:max val="25"/>
          <c:min val="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194521344"/>
        <c:crosses val="autoZero"/>
        <c:crossBetween val="between"/>
        <c:majorUnit val="5"/>
        <c:minorUnit val="1"/>
      </c:valAx>
      <c:spPr>
        <a:noFill/>
        <a:ln>
          <a:solidFill>
            <a:schemeClr val="tx1"/>
          </a:solidFill>
        </a:ln>
      </c:spPr>
    </c:plotArea>
    <c:legend>
      <c:legendPos val="t"/>
      <c:layout>
        <c:manualLayout>
          <c:xMode val="edge"/>
          <c:yMode val="edge"/>
          <c:x val="0.14091841812149858"/>
          <c:y val="2.6921324020392372E-2"/>
          <c:w val="0.74386128532916873"/>
          <c:h val="0.2229520185693542"/>
        </c:manualLayout>
      </c:layout>
      <c:overlay val="0"/>
      <c:spPr>
        <a:ln>
          <a:solidFill>
            <a:schemeClr val="tx1"/>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'AEDI data'!$B$4</c:f>
              <c:strCache>
                <c:ptCount val="1"/>
                <c:pt idx="0">
                  <c:v>Proportion of children developmentally vulnerable on one or more AEDI domain/s</c:v>
                </c:pt>
              </c:strCache>
            </c:strRef>
          </c:tx>
          <c:spPr>
            <a:solidFill>
              <a:sysClr val="window" lastClr="FFFFFF">
                <a:lumMod val="75000"/>
              </a:sysClr>
            </a:solidFill>
            <a:ln>
              <a:solidFill>
                <a:srgbClr val="000000"/>
              </a:solidFill>
            </a:ln>
          </c:spPr>
          <c:invertIfNegative val="0"/>
          <c:cat>
            <c:strRef>
              <c:f>'AEDI data'!$D$3:$L$3</c:f>
              <c:strCache>
                <c:ptCount val="9"/>
                <c:pt idx="0">
                  <c:v>NSW</c:v>
                </c:pt>
                <c:pt idx="1">
                  <c:v>Vic</c:v>
                </c:pt>
                <c:pt idx="2">
                  <c:v>Qld</c:v>
                </c:pt>
                <c:pt idx="3">
                  <c:v>WA</c:v>
                </c:pt>
                <c:pt idx="4">
                  <c:v>SA</c:v>
                </c:pt>
                <c:pt idx="5">
                  <c:v>Tas</c:v>
                </c:pt>
                <c:pt idx="6">
                  <c:v>ACT</c:v>
                </c:pt>
                <c:pt idx="7">
                  <c:v>NT</c:v>
                </c:pt>
                <c:pt idx="8">
                  <c:v>Aust</c:v>
                </c:pt>
              </c:strCache>
            </c:strRef>
          </c:cat>
          <c:val>
            <c:numRef>
              <c:f>'AEDI data'!$D$4:$L$4</c:f>
              <c:numCache>
                <c:formatCode>General</c:formatCode>
                <c:ptCount val="9"/>
                <c:pt idx="0" formatCode="0.0">
                  <c:v>19.899999999999999</c:v>
                </c:pt>
                <c:pt idx="1">
                  <c:v>19.5</c:v>
                </c:pt>
                <c:pt idx="2" formatCode="0.0">
                  <c:v>26.2</c:v>
                </c:pt>
                <c:pt idx="3" formatCode="0.0">
                  <c:v>23</c:v>
                </c:pt>
                <c:pt idx="4" formatCode="0.0">
                  <c:v>23.7</c:v>
                </c:pt>
                <c:pt idx="5" formatCode="0.0">
                  <c:v>21.5</c:v>
                </c:pt>
                <c:pt idx="6" formatCode="0.0">
                  <c:v>22</c:v>
                </c:pt>
                <c:pt idx="7" formatCode="0.0">
                  <c:v>35.5</c:v>
                </c:pt>
                <c:pt idx="8" formatCode="0.0">
                  <c:v>22</c:v>
                </c:pt>
              </c:numCache>
            </c:numRef>
          </c:val>
        </c:ser>
        <c:ser>
          <c:idx val="1"/>
          <c:order val="1"/>
          <c:tx>
            <c:strRef>
              <c:f>'AEDI data'!$B$5</c:f>
              <c:strCache>
                <c:ptCount val="1"/>
                <c:pt idx="0">
                  <c:v>Proportion of children developmentally vulnerable on two or more AEDI domains</c:v>
                </c:pt>
              </c:strCache>
            </c:strRef>
          </c:tx>
          <c:spPr>
            <a:pattFill prst="wdUpDiag">
              <a:fgClr>
                <a:schemeClr val="tx1"/>
              </a:fgClr>
              <a:bgClr>
                <a:schemeClr val="bg1"/>
              </a:bgClr>
            </a:pattFill>
            <a:ln>
              <a:solidFill>
                <a:sysClr val="windowText" lastClr="000000"/>
              </a:solidFill>
            </a:ln>
          </c:spPr>
          <c:invertIfNegative val="0"/>
          <c:cat>
            <c:strRef>
              <c:f>'AEDI data'!$D$3:$L$3</c:f>
              <c:strCache>
                <c:ptCount val="9"/>
                <c:pt idx="0">
                  <c:v>NSW</c:v>
                </c:pt>
                <c:pt idx="1">
                  <c:v>Vic</c:v>
                </c:pt>
                <c:pt idx="2">
                  <c:v>Qld</c:v>
                </c:pt>
                <c:pt idx="3">
                  <c:v>WA</c:v>
                </c:pt>
                <c:pt idx="4">
                  <c:v>SA</c:v>
                </c:pt>
                <c:pt idx="5">
                  <c:v>Tas</c:v>
                </c:pt>
                <c:pt idx="6">
                  <c:v>ACT</c:v>
                </c:pt>
                <c:pt idx="7">
                  <c:v>NT</c:v>
                </c:pt>
                <c:pt idx="8">
                  <c:v>Aust</c:v>
                </c:pt>
              </c:strCache>
            </c:strRef>
          </c:cat>
          <c:val>
            <c:numRef>
              <c:f>'AEDI data'!$D$5:$L$5</c:f>
              <c:numCache>
                <c:formatCode>General</c:formatCode>
                <c:ptCount val="9"/>
                <c:pt idx="0" formatCode="0.0">
                  <c:v>9.1999999999999993</c:v>
                </c:pt>
                <c:pt idx="1">
                  <c:v>9.5</c:v>
                </c:pt>
                <c:pt idx="2" formatCode="0.0">
                  <c:v>13.8</c:v>
                </c:pt>
                <c:pt idx="3" formatCode="0.0">
                  <c:v>11.2</c:v>
                </c:pt>
                <c:pt idx="4" formatCode="0.0">
                  <c:v>12.2</c:v>
                </c:pt>
                <c:pt idx="5" formatCode="0.0">
                  <c:v>10.1</c:v>
                </c:pt>
                <c:pt idx="6" formatCode="0.0">
                  <c:v>9.8000000000000007</c:v>
                </c:pt>
                <c:pt idx="7" formatCode="0.0">
                  <c:v>20.9</c:v>
                </c:pt>
                <c:pt idx="8" formatCode="0.0">
                  <c:v>10.8</c:v>
                </c:pt>
              </c:numCache>
            </c:numRef>
          </c:val>
        </c:ser>
        <c:dLbls>
          <c:showLegendKey val="0"/>
          <c:showVal val="0"/>
          <c:showCatName val="0"/>
          <c:showSerName val="0"/>
          <c:showPercent val="0"/>
          <c:showBubbleSize val="0"/>
        </c:dLbls>
        <c:gapWidth val="150"/>
        <c:axId val="32212480"/>
        <c:axId val="32214016"/>
      </c:barChart>
      <c:catAx>
        <c:axId val="32212480"/>
        <c:scaling>
          <c:orientation val="minMax"/>
        </c:scaling>
        <c:delete val="0"/>
        <c:axPos val="b"/>
        <c:majorTickMark val="out"/>
        <c:minorTickMark val="none"/>
        <c:tickLblPos val="nextTo"/>
        <c:crossAx val="32214016"/>
        <c:crosses val="autoZero"/>
        <c:auto val="1"/>
        <c:lblAlgn val="ctr"/>
        <c:lblOffset val="100"/>
        <c:noMultiLvlLbl val="0"/>
      </c:catAx>
      <c:valAx>
        <c:axId val="32214016"/>
        <c:scaling>
          <c:orientation val="minMax"/>
          <c:max val="50"/>
        </c:scaling>
        <c:delete val="0"/>
        <c:axPos val="l"/>
        <c:majorGridlines/>
        <c:title>
          <c:tx>
            <c:rich>
              <a:bodyPr rot="-5400000" vert="horz"/>
              <a:lstStyle/>
              <a:p>
                <a:pPr>
                  <a:defRPr/>
                </a:pPr>
                <a:r>
                  <a:rPr lang="en-AU"/>
                  <a:t>Per cent</a:t>
                </a:r>
              </a:p>
            </c:rich>
          </c:tx>
          <c:layout>
            <c:manualLayout>
              <c:xMode val="edge"/>
              <c:yMode val="edge"/>
              <c:x val="1.8814149351384053E-2"/>
              <c:y val="0.45199409722222222"/>
            </c:manualLayout>
          </c:layout>
          <c:overlay val="0"/>
        </c:title>
        <c:numFmt formatCode="0" sourceLinked="0"/>
        <c:majorTickMark val="out"/>
        <c:minorTickMark val="none"/>
        <c:tickLblPos val="nextTo"/>
        <c:spPr>
          <a:ln>
            <a:solidFill>
              <a:schemeClr val="tx1"/>
            </a:solidFill>
          </a:ln>
        </c:spPr>
        <c:crossAx val="32212480"/>
        <c:crosses val="autoZero"/>
        <c:crossBetween val="between"/>
        <c:majorUnit val="10"/>
      </c:valAx>
      <c:spPr>
        <a:noFill/>
        <a:ln>
          <a:solidFill>
            <a:schemeClr val="tx1"/>
          </a:solidFill>
        </a:ln>
      </c:spPr>
    </c:plotArea>
    <c:legend>
      <c:legendPos val="t"/>
      <c:overlay val="0"/>
      <c:spPr>
        <a:ln>
          <a:noFill/>
        </a:ln>
      </c:spPr>
      <c:txPr>
        <a:bodyPr/>
        <a:lstStyle/>
        <a:p>
          <a:pPr>
            <a:defRPr sz="900"/>
          </a:pPr>
          <a:endParaRPr lang="en-US"/>
        </a:p>
      </c:tx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77A600-2081-41A1-AD01-64346025E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TotalTime>
  <Pages>46</Pages>
  <Words>12080</Words>
  <Characters>68209</Characters>
  <Application>Microsoft Office Word</Application>
  <DocSecurity>0</DocSecurity>
  <Lines>2273</Lines>
  <Paragraphs>1708</Paragraphs>
  <ScaleCrop>false</ScaleCrop>
  <HeadingPairs>
    <vt:vector size="2" baseType="variant">
      <vt:variant>
        <vt:lpstr>Title</vt:lpstr>
      </vt:variant>
      <vt:variant>
        <vt:i4>1</vt:i4>
      </vt:variant>
    </vt:vector>
  </HeadingPairs>
  <TitlesOfParts>
    <vt:vector size="1" baseType="lpstr">
      <vt:lpstr>Housing and Homelessness sector summary</vt:lpstr>
    </vt:vector>
  </TitlesOfParts>
  <Company>Productivity Commission</Company>
  <LinksUpToDate>false</LinksUpToDate>
  <CharactersWithSpaces>78581</CharactersWithSpaces>
  <SharedDoc>false</SharedDoc>
  <HLinks>
    <vt:vector size="30" baseType="variant">
      <vt:variant>
        <vt:i4>1966128</vt:i4>
      </vt:variant>
      <vt:variant>
        <vt:i4>26</vt:i4>
      </vt:variant>
      <vt:variant>
        <vt:i4>0</vt:i4>
      </vt:variant>
      <vt:variant>
        <vt:i4>5</vt:i4>
      </vt:variant>
      <vt:variant>
        <vt:lpwstr/>
      </vt:variant>
      <vt:variant>
        <vt:lpwstr>_Toc306118404</vt:lpwstr>
      </vt:variant>
      <vt:variant>
        <vt:i4>1966128</vt:i4>
      </vt:variant>
      <vt:variant>
        <vt:i4>20</vt:i4>
      </vt:variant>
      <vt:variant>
        <vt:i4>0</vt:i4>
      </vt:variant>
      <vt:variant>
        <vt:i4>5</vt:i4>
      </vt:variant>
      <vt:variant>
        <vt:lpwstr/>
      </vt:variant>
      <vt:variant>
        <vt:lpwstr>_Toc306118403</vt:lpwstr>
      </vt:variant>
      <vt:variant>
        <vt:i4>1966128</vt:i4>
      </vt:variant>
      <vt:variant>
        <vt:i4>14</vt:i4>
      </vt:variant>
      <vt:variant>
        <vt:i4>0</vt:i4>
      </vt:variant>
      <vt:variant>
        <vt:i4>5</vt:i4>
      </vt:variant>
      <vt:variant>
        <vt:lpwstr/>
      </vt:variant>
      <vt:variant>
        <vt:lpwstr>_Toc306118402</vt:lpwstr>
      </vt:variant>
      <vt:variant>
        <vt:i4>1966128</vt:i4>
      </vt:variant>
      <vt:variant>
        <vt:i4>8</vt:i4>
      </vt:variant>
      <vt:variant>
        <vt:i4>0</vt:i4>
      </vt:variant>
      <vt:variant>
        <vt:i4>5</vt:i4>
      </vt:variant>
      <vt:variant>
        <vt:lpwstr/>
      </vt:variant>
      <vt:variant>
        <vt:lpwstr>_Toc306118401</vt:lpwstr>
      </vt:variant>
      <vt:variant>
        <vt:i4>1966128</vt:i4>
      </vt:variant>
      <vt:variant>
        <vt:i4>2</vt:i4>
      </vt:variant>
      <vt:variant>
        <vt:i4>0</vt:i4>
      </vt:variant>
      <vt:variant>
        <vt:i4>5</vt:i4>
      </vt:variant>
      <vt:variant>
        <vt:lpwstr/>
      </vt:variant>
      <vt:variant>
        <vt:lpwstr>_Toc306118400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and Homelessness sector summary</dc:title>
  <dc:subject>2012 Report on Government Services</dc:subject>
  <dc:creator>Steering Committee for the Review of Government Service Provision</dc:creator>
  <dc:description>F.</dc:description>
  <cp:lastModifiedBy>Frech, Tanya</cp:lastModifiedBy>
  <cp:revision>2</cp:revision>
  <cp:lastPrinted>2014-01-10T00:54:00Z</cp:lastPrinted>
  <dcterms:created xsi:type="dcterms:W3CDTF">2014-01-23T07:43:00Z</dcterms:created>
  <dcterms:modified xsi:type="dcterms:W3CDTF">2014-01-23T07:43:00Z</dcterms:modified>
</cp:coreProperties>
</file>