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ECE" w:rsidRPr="00520EA5" w:rsidRDefault="00B70781" w:rsidP="00B70781">
      <w:pPr>
        <w:pStyle w:val="Heading1"/>
      </w:pPr>
      <w:bookmarkStart w:id="0" w:name="ChapterNumber"/>
      <w:bookmarkStart w:id="1" w:name="_Toc400552899"/>
      <w:bookmarkStart w:id="2" w:name="_Toc401910506"/>
      <w:bookmarkStart w:id="3" w:name="_Toc404802277"/>
      <w:bookmarkStart w:id="4" w:name="_Toc405974304"/>
      <w:r>
        <w:t>4</w:t>
      </w:r>
      <w:bookmarkEnd w:id="0"/>
      <w:r>
        <w:tab/>
      </w:r>
      <w:bookmarkStart w:id="5" w:name="ChapterTitle"/>
      <w:r>
        <w:t>School education</w:t>
      </w:r>
      <w:bookmarkEnd w:id="1"/>
      <w:bookmarkEnd w:id="2"/>
      <w:bookmarkEnd w:id="3"/>
      <w:bookmarkEnd w:id="4"/>
      <w:bookmarkEnd w:id="5"/>
    </w:p>
    <w:p w:rsidR="00BC7997" w:rsidRDefault="00666ECE" w:rsidP="00666ECE">
      <w:pPr>
        <w:tabs>
          <w:tab w:val="right" w:pos="8789"/>
        </w:tabs>
        <w:spacing w:before="480" w:after="60" w:line="320" w:lineRule="exact"/>
        <w:ind w:left="1191" w:right="851" w:hanging="1191"/>
        <w:rPr>
          <w:noProof/>
        </w:rPr>
      </w:pPr>
      <w:r w:rsidRPr="00C464C0">
        <w:rPr>
          <w:rFonts w:asciiTheme="minorHAnsi" w:hAnsiTheme="minorHAnsi" w:cstheme="minorHAnsi"/>
          <w:caps/>
        </w:rPr>
        <w:t>CONTENTS</w:t>
      </w:r>
    </w:p>
    <w:p w:rsidR="00BC7997" w:rsidRDefault="00BC7997">
      <w:pPr>
        <w:pStyle w:val="TOC2"/>
        <w:tabs>
          <w:tab w:val="left" w:pos="1134"/>
        </w:tabs>
        <w:rPr>
          <w:rFonts w:asciiTheme="minorHAnsi" w:eastAsiaTheme="minorEastAsia" w:hAnsiTheme="minorHAnsi" w:cstheme="minorBidi"/>
          <w:noProof/>
          <w:sz w:val="22"/>
          <w:szCs w:val="22"/>
          <w:lang w:eastAsia="en-AU"/>
        </w:rPr>
      </w:pPr>
      <w:r w:rsidRPr="00963842">
        <w:rPr>
          <w:noProof/>
        </w:rPr>
        <w:t>4.1</w:t>
      </w:r>
      <w:r>
        <w:rPr>
          <w:rFonts w:asciiTheme="minorHAnsi" w:eastAsiaTheme="minorEastAsia" w:hAnsiTheme="minorHAnsi" w:cstheme="minorBidi"/>
          <w:noProof/>
          <w:sz w:val="22"/>
          <w:szCs w:val="22"/>
          <w:lang w:eastAsia="en-AU"/>
        </w:rPr>
        <w:tab/>
      </w:r>
      <w:r w:rsidRPr="00963842">
        <w:rPr>
          <w:noProof/>
        </w:rPr>
        <w:t>Profile of school education</w:t>
      </w:r>
      <w:r>
        <w:rPr>
          <w:noProof/>
          <w:webHidden/>
        </w:rPr>
        <w:tab/>
      </w:r>
      <w:r w:rsidR="009D1C5F">
        <w:rPr>
          <w:noProof/>
          <w:webHidden/>
        </w:rPr>
        <w:t>4.</w:t>
      </w:r>
      <w:r w:rsidR="005953B6">
        <w:rPr>
          <w:noProof/>
          <w:webHidden/>
        </w:rPr>
        <w:t>2</w:t>
      </w:r>
    </w:p>
    <w:p w:rsidR="00BC7997" w:rsidRDefault="00BC7997">
      <w:pPr>
        <w:pStyle w:val="TOC2"/>
        <w:tabs>
          <w:tab w:val="left" w:pos="1134"/>
        </w:tabs>
        <w:rPr>
          <w:rFonts w:asciiTheme="minorHAnsi" w:eastAsiaTheme="minorEastAsia" w:hAnsiTheme="minorHAnsi" w:cstheme="minorBidi"/>
          <w:noProof/>
          <w:sz w:val="22"/>
          <w:szCs w:val="22"/>
          <w:lang w:eastAsia="en-AU"/>
        </w:rPr>
      </w:pPr>
      <w:r w:rsidRPr="00963842">
        <w:rPr>
          <w:noProof/>
        </w:rPr>
        <w:t>4.2</w:t>
      </w:r>
      <w:r>
        <w:rPr>
          <w:rFonts w:asciiTheme="minorHAnsi" w:eastAsiaTheme="minorEastAsia" w:hAnsiTheme="minorHAnsi" w:cstheme="minorBidi"/>
          <w:noProof/>
          <w:sz w:val="22"/>
          <w:szCs w:val="22"/>
          <w:lang w:eastAsia="en-AU"/>
        </w:rPr>
        <w:tab/>
      </w:r>
      <w:r w:rsidRPr="00963842">
        <w:rPr>
          <w:noProof/>
        </w:rPr>
        <w:t>Framework of performance indicators</w:t>
      </w:r>
      <w:r>
        <w:rPr>
          <w:noProof/>
          <w:webHidden/>
        </w:rPr>
        <w:tab/>
      </w:r>
      <w:r w:rsidR="009D1C5F">
        <w:rPr>
          <w:noProof/>
          <w:webHidden/>
        </w:rPr>
        <w:t>4.</w:t>
      </w:r>
      <w:r w:rsidR="005953B6">
        <w:rPr>
          <w:noProof/>
          <w:webHidden/>
        </w:rPr>
        <w:t>16</w:t>
      </w:r>
    </w:p>
    <w:p w:rsidR="00BC7997" w:rsidRDefault="00BC7997">
      <w:pPr>
        <w:pStyle w:val="TOC2"/>
        <w:tabs>
          <w:tab w:val="left" w:pos="1134"/>
        </w:tabs>
        <w:rPr>
          <w:rFonts w:asciiTheme="minorHAnsi" w:eastAsiaTheme="minorEastAsia" w:hAnsiTheme="minorHAnsi" w:cstheme="minorBidi"/>
          <w:noProof/>
          <w:sz w:val="22"/>
          <w:szCs w:val="22"/>
          <w:lang w:eastAsia="en-AU"/>
        </w:rPr>
      </w:pPr>
      <w:r w:rsidRPr="00963842">
        <w:rPr>
          <w:noProof/>
        </w:rPr>
        <w:t>4.3</w:t>
      </w:r>
      <w:r>
        <w:rPr>
          <w:rFonts w:asciiTheme="minorHAnsi" w:eastAsiaTheme="minorEastAsia" w:hAnsiTheme="minorHAnsi" w:cstheme="minorBidi"/>
          <w:noProof/>
          <w:sz w:val="22"/>
          <w:szCs w:val="22"/>
          <w:lang w:eastAsia="en-AU"/>
        </w:rPr>
        <w:tab/>
      </w:r>
      <w:r w:rsidRPr="00963842">
        <w:rPr>
          <w:noProof/>
        </w:rPr>
        <w:t>Key performance indicator results</w:t>
      </w:r>
      <w:r>
        <w:rPr>
          <w:noProof/>
          <w:webHidden/>
        </w:rPr>
        <w:tab/>
      </w:r>
      <w:r w:rsidR="009D1C5F">
        <w:rPr>
          <w:noProof/>
          <w:webHidden/>
        </w:rPr>
        <w:t>4.</w:t>
      </w:r>
      <w:r w:rsidR="005953B6">
        <w:rPr>
          <w:noProof/>
          <w:webHidden/>
        </w:rPr>
        <w:t>18</w:t>
      </w:r>
    </w:p>
    <w:p w:rsidR="00BC7997" w:rsidRDefault="00BC7997">
      <w:pPr>
        <w:pStyle w:val="TOC2"/>
        <w:tabs>
          <w:tab w:val="left" w:pos="1134"/>
        </w:tabs>
        <w:rPr>
          <w:rFonts w:asciiTheme="minorHAnsi" w:eastAsiaTheme="minorEastAsia" w:hAnsiTheme="minorHAnsi" w:cstheme="minorBidi"/>
          <w:noProof/>
          <w:sz w:val="22"/>
          <w:szCs w:val="22"/>
          <w:lang w:eastAsia="en-AU"/>
        </w:rPr>
      </w:pPr>
      <w:r w:rsidRPr="00963842">
        <w:rPr>
          <w:noProof/>
        </w:rPr>
        <w:t>4.4</w:t>
      </w:r>
      <w:r>
        <w:rPr>
          <w:rFonts w:asciiTheme="minorHAnsi" w:eastAsiaTheme="minorEastAsia" w:hAnsiTheme="minorHAnsi" w:cstheme="minorBidi"/>
          <w:noProof/>
          <w:sz w:val="22"/>
          <w:szCs w:val="22"/>
          <w:lang w:eastAsia="en-AU"/>
        </w:rPr>
        <w:tab/>
      </w:r>
      <w:r w:rsidRPr="00963842">
        <w:rPr>
          <w:noProof/>
        </w:rPr>
        <w:t>Future directions in performance reporting</w:t>
      </w:r>
      <w:r>
        <w:rPr>
          <w:noProof/>
          <w:webHidden/>
        </w:rPr>
        <w:tab/>
      </w:r>
      <w:r w:rsidR="009D1C5F">
        <w:rPr>
          <w:noProof/>
          <w:webHidden/>
        </w:rPr>
        <w:t>4.</w:t>
      </w:r>
      <w:r w:rsidR="005953B6">
        <w:rPr>
          <w:noProof/>
          <w:webHidden/>
        </w:rPr>
        <w:t>98</w:t>
      </w:r>
    </w:p>
    <w:p w:rsidR="00BC7997" w:rsidRDefault="00BC7997">
      <w:pPr>
        <w:pStyle w:val="TOC2"/>
        <w:tabs>
          <w:tab w:val="left" w:pos="1134"/>
        </w:tabs>
        <w:rPr>
          <w:rFonts w:asciiTheme="minorHAnsi" w:eastAsiaTheme="minorEastAsia" w:hAnsiTheme="minorHAnsi" w:cstheme="minorBidi"/>
          <w:noProof/>
          <w:sz w:val="22"/>
          <w:szCs w:val="22"/>
          <w:lang w:eastAsia="en-AU"/>
        </w:rPr>
      </w:pPr>
      <w:r w:rsidRPr="00963842">
        <w:rPr>
          <w:noProof/>
        </w:rPr>
        <w:t>4.5</w:t>
      </w:r>
      <w:r>
        <w:rPr>
          <w:rFonts w:asciiTheme="minorHAnsi" w:eastAsiaTheme="minorEastAsia" w:hAnsiTheme="minorHAnsi" w:cstheme="minorBidi"/>
          <w:noProof/>
          <w:sz w:val="22"/>
          <w:szCs w:val="22"/>
          <w:lang w:eastAsia="en-AU"/>
        </w:rPr>
        <w:tab/>
      </w:r>
      <w:r w:rsidRPr="00963842">
        <w:rPr>
          <w:noProof/>
        </w:rPr>
        <w:t>Jurisdictions’ comments</w:t>
      </w:r>
      <w:r>
        <w:rPr>
          <w:noProof/>
          <w:webHidden/>
        </w:rPr>
        <w:tab/>
      </w:r>
      <w:r w:rsidR="009D1C5F">
        <w:rPr>
          <w:noProof/>
          <w:webHidden/>
        </w:rPr>
        <w:t>4.</w:t>
      </w:r>
      <w:r w:rsidR="005953B6">
        <w:rPr>
          <w:noProof/>
          <w:webHidden/>
        </w:rPr>
        <w:t>99</w:t>
      </w:r>
    </w:p>
    <w:p w:rsidR="00BC7997" w:rsidRDefault="00BC7997">
      <w:pPr>
        <w:pStyle w:val="TOC2"/>
        <w:tabs>
          <w:tab w:val="left" w:pos="1134"/>
        </w:tabs>
        <w:rPr>
          <w:rFonts w:asciiTheme="minorHAnsi" w:eastAsiaTheme="minorEastAsia" w:hAnsiTheme="minorHAnsi" w:cstheme="minorBidi"/>
          <w:noProof/>
          <w:sz w:val="22"/>
          <w:szCs w:val="22"/>
          <w:lang w:eastAsia="en-AU"/>
        </w:rPr>
      </w:pPr>
      <w:r w:rsidRPr="00963842">
        <w:rPr>
          <w:noProof/>
        </w:rPr>
        <w:t>4.6</w:t>
      </w:r>
      <w:r>
        <w:rPr>
          <w:rFonts w:asciiTheme="minorHAnsi" w:eastAsiaTheme="minorEastAsia" w:hAnsiTheme="minorHAnsi" w:cstheme="minorBidi"/>
          <w:noProof/>
          <w:sz w:val="22"/>
          <w:szCs w:val="22"/>
          <w:lang w:eastAsia="en-AU"/>
        </w:rPr>
        <w:tab/>
      </w:r>
      <w:r w:rsidRPr="00963842">
        <w:rPr>
          <w:noProof/>
        </w:rPr>
        <w:t>Definitions of key terms</w:t>
      </w:r>
      <w:r>
        <w:rPr>
          <w:noProof/>
          <w:webHidden/>
        </w:rPr>
        <w:tab/>
      </w:r>
      <w:r w:rsidR="009D1C5F">
        <w:rPr>
          <w:noProof/>
          <w:webHidden/>
        </w:rPr>
        <w:t>4.</w:t>
      </w:r>
      <w:r w:rsidR="005953B6">
        <w:rPr>
          <w:noProof/>
          <w:webHidden/>
        </w:rPr>
        <w:t>109</w:t>
      </w:r>
    </w:p>
    <w:p w:rsidR="00BC7997" w:rsidRDefault="00BC7997">
      <w:pPr>
        <w:pStyle w:val="TOC2"/>
        <w:tabs>
          <w:tab w:val="left" w:pos="1134"/>
        </w:tabs>
        <w:rPr>
          <w:rFonts w:asciiTheme="minorHAnsi" w:eastAsiaTheme="minorEastAsia" w:hAnsiTheme="minorHAnsi" w:cstheme="minorBidi"/>
          <w:noProof/>
          <w:sz w:val="22"/>
          <w:szCs w:val="22"/>
          <w:lang w:eastAsia="en-AU"/>
        </w:rPr>
      </w:pPr>
      <w:r w:rsidRPr="00963842">
        <w:rPr>
          <w:noProof/>
        </w:rPr>
        <w:t>4.7</w:t>
      </w:r>
      <w:r>
        <w:rPr>
          <w:rFonts w:asciiTheme="minorHAnsi" w:eastAsiaTheme="minorEastAsia" w:hAnsiTheme="minorHAnsi" w:cstheme="minorBidi"/>
          <w:noProof/>
          <w:sz w:val="22"/>
          <w:szCs w:val="22"/>
          <w:lang w:eastAsia="en-AU"/>
        </w:rPr>
        <w:tab/>
      </w:r>
      <w:r w:rsidRPr="00963842">
        <w:rPr>
          <w:noProof/>
        </w:rPr>
        <w:t>List of attachment tables</w:t>
      </w:r>
      <w:r>
        <w:rPr>
          <w:noProof/>
          <w:webHidden/>
        </w:rPr>
        <w:tab/>
      </w:r>
      <w:r w:rsidR="009D1C5F">
        <w:rPr>
          <w:noProof/>
          <w:webHidden/>
        </w:rPr>
        <w:t>4.</w:t>
      </w:r>
      <w:r w:rsidR="005953B6">
        <w:rPr>
          <w:noProof/>
          <w:webHidden/>
        </w:rPr>
        <w:t>112</w:t>
      </w:r>
    </w:p>
    <w:p w:rsidR="00BC7997" w:rsidRDefault="00BC7997">
      <w:pPr>
        <w:pStyle w:val="TOC2"/>
        <w:tabs>
          <w:tab w:val="left" w:pos="1134"/>
        </w:tabs>
        <w:rPr>
          <w:rFonts w:asciiTheme="minorHAnsi" w:eastAsiaTheme="minorEastAsia" w:hAnsiTheme="minorHAnsi" w:cstheme="minorBidi"/>
          <w:noProof/>
          <w:sz w:val="22"/>
          <w:szCs w:val="22"/>
          <w:lang w:eastAsia="en-AU"/>
        </w:rPr>
      </w:pPr>
      <w:r w:rsidRPr="00963842">
        <w:rPr>
          <w:noProof/>
        </w:rPr>
        <w:t>4.8</w:t>
      </w:r>
      <w:r>
        <w:rPr>
          <w:rFonts w:asciiTheme="minorHAnsi" w:eastAsiaTheme="minorEastAsia" w:hAnsiTheme="minorHAnsi" w:cstheme="minorBidi"/>
          <w:noProof/>
          <w:sz w:val="22"/>
          <w:szCs w:val="22"/>
          <w:lang w:eastAsia="en-AU"/>
        </w:rPr>
        <w:tab/>
      </w:r>
      <w:r w:rsidRPr="00963842">
        <w:rPr>
          <w:noProof/>
        </w:rPr>
        <w:t>References</w:t>
      </w:r>
      <w:r>
        <w:rPr>
          <w:noProof/>
          <w:webHidden/>
        </w:rPr>
        <w:tab/>
      </w:r>
      <w:r w:rsidR="009D1C5F">
        <w:rPr>
          <w:noProof/>
          <w:webHidden/>
        </w:rPr>
        <w:t>4.</w:t>
      </w:r>
      <w:r w:rsidR="005953B6">
        <w:rPr>
          <w:noProof/>
          <w:webHidden/>
        </w:rPr>
        <w:t>123</w:t>
      </w:r>
    </w:p>
    <w:p w:rsidR="00A2357B" w:rsidRDefault="00A2357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2357B" w:rsidTr="00B45495">
        <w:tc>
          <w:tcPr>
            <w:tcW w:w="8771" w:type="dxa"/>
            <w:tcBorders>
              <w:top w:val="single" w:sz="6" w:space="0" w:color="78A22F"/>
              <w:left w:val="nil"/>
              <w:bottom w:val="nil"/>
              <w:right w:val="nil"/>
            </w:tcBorders>
            <w:shd w:val="clear" w:color="auto" w:fill="F2F2F2"/>
          </w:tcPr>
          <w:p w:rsidR="00A2357B" w:rsidRDefault="00A2357B">
            <w:pPr>
              <w:pStyle w:val="BoxTitle"/>
            </w:pPr>
            <w:r>
              <w:t xml:space="preserve">Attachment tables </w:t>
            </w:r>
          </w:p>
        </w:tc>
      </w:tr>
      <w:tr w:rsidR="00A2357B" w:rsidTr="00B45495">
        <w:trPr>
          <w:cantSplit/>
        </w:trPr>
        <w:tc>
          <w:tcPr>
            <w:tcW w:w="8771" w:type="dxa"/>
            <w:tcBorders>
              <w:top w:val="nil"/>
              <w:left w:val="nil"/>
              <w:bottom w:val="nil"/>
              <w:right w:val="nil"/>
            </w:tcBorders>
            <w:shd w:val="clear" w:color="auto" w:fill="F2F2F2"/>
          </w:tcPr>
          <w:p w:rsidR="00A2357B" w:rsidRDefault="00A2357B" w:rsidP="00B45495">
            <w:pPr>
              <w:pStyle w:val="Box"/>
            </w:pPr>
            <w:r w:rsidRPr="00A2357B">
              <w:t>Attachment tables are identified in references throughout this chapter by a ‘</w:t>
            </w:r>
            <w:proofErr w:type="spellStart"/>
            <w:r w:rsidRPr="00A2357B">
              <w:t>4A</w:t>
            </w:r>
            <w:proofErr w:type="spellEnd"/>
            <w:r w:rsidRPr="00A2357B">
              <w:t xml:space="preserve">’ prefix (for example, table </w:t>
            </w:r>
            <w:proofErr w:type="spellStart"/>
            <w:r w:rsidRPr="00A2357B">
              <w:t>4A.1</w:t>
            </w:r>
            <w:proofErr w:type="spellEnd"/>
            <w:r w:rsidRPr="00A2357B">
              <w:t xml:space="preserve">). A full list of attachment tables is provided at the end of this chapter, and the attachment tables are available from the Review website at </w:t>
            </w:r>
            <w:proofErr w:type="spellStart"/>
            <w:r w:rsidRPr="00A2357B">
              <w:t>www.pc.gov.au</w:t>
            </w:r>
            <w:proofErr w:type="spellEnd"/>
            <w:r w:rsidRPr="00A2357B">
              <w:t>/</w:t>
            </w:r>
            <w:proofErr w:type="spellStart"/>
            <w:r w:rsidRPr="00A2357B">
              <w:t>gsp</w:t>
            </w:r>
            <w:proofErr w:type="spellEnd"/>
            <w:r w:rsidRPr="00A2357B">
              <w:t>.</w:t>
            </w:r>
          </w:p>
        </w:tc>
      </w:tr>
      <w:tr w:rsidR="006D545B" w:rsidTr="00B45495">
        <w:trPr>
          <w:cantSplit/>
        </w:trPr>
        <w:tc>
          <w:tcPr>
            <w:tcW w:w="8771" w:type="dxa"/>
            <w:tcBorders>
              <w:top w:val="nil"/>
              <w:left w:val="nil"/>
              <w:bottom w:val="nil"/>
              <w:right w:val="nil"/>
            </w:tcBorders>
            <w:shd w:val="clear" w:color="auto" w:fill="F2F2F2"/>
          </w:tcPr>
          <w:p w:rsidR="006D545B" w:rsidRPr="00A2357B" w:rsidRDefault="006D545B" w:rsidP="006D545B">
            <w:pPr>
              <w:pStyle w:val="Box"/>
              <w:spacing w:before="0" w:line="120" w:lineRule="exact"/>
            </w:pPr>
          </w:p>
        </w:tc>
      </w:tr>
      <w:tr w:rsidR="00A2357B" w:rsidRPr="000863A5" w:rsidTr="00B45495">
        <w:tc>
          <w:tcPr>
            <w:tcW w:w="8771" w:type="dxa"/>
            <w:tcBorders>
              <w:top w:val="single" w:sz="6" w:space="0" w:color="78A22F"/>
              <w:left w:val="nil"/>
              <w:bottom w:val="nil"/>
              <w:right w:val="nil"/>
            </w:tcBorders>
          </w:tcPr>
          <w:p w:rsidR="00A2357B" w:rsidRPr="00626D32" w:rsidRDefault="00A2357B" w:rsidP="00B45495">
            <w:pPr>
              <w:pStyle w:val="BoxSpaceBelow"/>
            </w:pPr>
          </w:p>
        </w:tc>
      </w:tr>
    </w:tbl>
    <w:p w:rsidR="00666ECE" w:rsidRPr="00666ECE" w:rsidRDefault="00666ECE" w:rsidP="00602CDA">
      <w:pPr>
        <w:pStyle w:val="BodyText"/>
      </w:pPr>
      <w:r w:rsidRPr="00666ECE">
        <w:t>This chapter focuses on performance information — equity, effectiveness and efficiency — for government funded school education in Australia. Reporting relates to government funding only, not to the full cost to the community of providing school education. Descriptive information and performance indicators are variously reported for:</w:t>
      </w:r>
    </w:p>
    <w:p w:rsidR="00666ECE" w:rsidRPr="00602CDA" w:rsidRDefault="00666ECE" w:rsidP="00602CDA">
      <w:pPr>
        <w:pStyle w:val="ListBullet"/>
      </w:pPr>
      <w:r w:rsidRPr="00602CDA">
        <w:t>government primary and secondary schools</w:t>
      </w:r>
    </w:p>
    <w:p w:rsidR="00666ECE" w:rsidRPr="00602CDA" w:rsidRDefault="00666ECE" w:rsidP="00602CDA">
      <w:pPr>
        <w:pStyle w:val="ListBullet"/>
      </w:pPr>
      <w:r w:rsidRPr="00602CDA">
        <w:t>non-government primary and secondary schools</w:t>
      </w:r>
    </w:p>
    <w:p w:rsidR="00666ECE" w:rsidRPr="00602CDA" w:rsidRDefault="00666ECE" w:rsidP="00602CDA">
      <w:pPr>
        <w:pStyle w:val="ListBullet"/>
      </w:pPr>
      <w:r w:rsidRPr="00602CDA">
        <w:t>school education as a whole (government plus non-government primary and secondary schools).</w:t>
      </w:r>
    </w:p>
    <w:p w:rsidR="00666ECE" w:rsidRPr="00666ECE" w:rsidRDefault="00666ECE" w:rsidP="00602CDA">
      <w:pPr>
        <w:pStyle w:val="BodyText"/>
      </w:pPr>
      <w:r w:rsidRPr="00666ECE">
        <w:t xml:space="preserve">Data in this chapter </w:t>
      </w:r>
      <w:r w:rsidR="00CA4833">
        <w:t>most</w:t>
      </w:r>
      <w:r w:rsidRPr="00666ECE">
        <w:t xml:space="preserve">ly relate to </w:t>
      </w:r>
      <w:r w:rsidR="00CA4833">
        <w:t xml:space="preserve">the </w:t>
      </w:r>
      <w:r w:rsidRPr="004F2DCF">
        <w:t>201</w:t>
      </w:r>
      <w:r w:rsidR="000674C4">
        <w:t>3</w:t>
      </w:r>
      <w:r w:rsidRPr="00666ECE">
        <w:t xml:space="preserve"> </w:t>
      </w:r>
      <w:r w:rsidR="00CA4833">
        <w:t xml:space="preserve">calendar year </w:t>
      </w:r>
      <w:r w:rsidRPr="00666ECE">
        <w:t xml:space="preserve">and the </w:t>
      </w:r>
      <w:r w:rsidRPr="004F2DCF">
        <w:t>201</w:t>
      </w:r>
      <w:r w:rsidR="000674C4">
        <w:t>2</w:t>
      </w:r>
      <w:r w:rsidRPr="004F2DCF">
        <w:t>-1</w:t>
      </w:r>
      <w:r w:rsidR="000674C4">
        <w:t>3</w:t>
      </w:r>
      <w:r w:rsidRPr="00666ECE">
        <w:t xml:space="preserve"> financial year.</w:t>
      </w:r>
      <w:r w:rsidR="00F3314B">
        <w:t xml:space="preserve"> </w:t>
      </w:r>
      <w:r w:rsidR="007E4F60" w:rsidRPr="0089766B">
        <w:t xml:space="preserve">National Assessment Program – Literacy and Numeracy </w:t>
      </w:r>
      <w:r w:rsidR="007E4F60">
        <w:t>(</w:t>
      </w:r>
      <w:proofErr w:type="spellStart"/>
      <w:r w:rsidR="00F3314B">
        <w:t>NAPLAN</w:t>
      </w:r>
      <w:proofErr w:type="spellEnd"/>
      <w:r w:rsidR="007E4F60">
        <w:t>)</w:t>
      </w:r>
      <w:r w:rsidR="00F3314B">
        <w:t xml:space="preserve"> data are included for 2014.</w:t>
      </w:r>
    </w:p>
    <w:p w:rsidR="00666ECE" w:rsidRPr="00666ECE" w:rsidRDefault="00666ECE" w:rsidP="00666ECE">
      <w:pPr>
        <w:spacing w:before="240" w:line="320" w:lineRule="atLeast"/>
        <w:jc w:val="both"/>
        <w:rPr>
          <w:szCs w:val="20"/>
        </w:rPr>
      </w:pPr>
      <w:r w:rsidRPr="00666ECE">
        <w:rPr>
          <w:szCs w:val="20"/>
        </w:rPr>
        <w:t>Schooling aims to provide education for all young people. The main purposes of school education are to assist students in:</w:t>
      </w:r>
    </w:p>
    <w:p w:rsidR="00666ECE" w:rsidRPr="00602CDA" w:rsidRDefault="00666ECE" w:rsidP="00602CDA">
      <w:pPr>
        <w:pStyle w:val="ListBullet"/>
      </w:pPr>
      <w:r w:rsidRPr="00602CDA">
        <w:t>attaining knowledge, skills and understanding in key learning areas</w:t>
      </w:r>
    </w:p>
    <w:p w:rsidR="00666ECE" w:rsidRPr="00602CDA" w:rsidRDefault="00666ECE" w:rsidP="00602CDA">
      <w:pPr>
        <w:pStyle w:val="ListBullet"/>
      </w:pPr>
      <w:r w:rsidRPr="00602CDA">
        <w:lastRenderedPageBreak/>
        <w:t>developing their talents, capacities, self-confidence, self-esteem and respect for others</w:t>
      </w:r>
    </w:p>
    <w:p w:rsidR="00666ECE" w:rsidRPr="00602CDA" w:rsidRDefault="00666ECE" w:rsidP="00602CDA">
      <w:pPr>
        <w:pStyle w:val="ListBullet"/>
      </w:pPr>
      <w:r w:rsidRPr="00602CDA">
        <w:t>developing their capacity to contribute to Australia’s social, cultural and economic development.</w:t>
      </w:r>
    </w:p>
    <w:p w:rsidR="00666ECE" w:rsidRPr="00C006D3" w:rsidRDefault="00666ECE" w:rsidP="0080263C">
      <w:pPr>
        <w:spacing w:before="240" w:line="320" w:lineRule="atLeast"/>
        <w:jc w:val="both"/>
      </w:pPr>
      <w:r w:rsidRPr="00602CDA">
        <w:rPr>
          <w:rStyle w:val="BodyTextChar"/>
        </w:rPr>
        <w:t>Major improvements in reporting on school education this year include</w:t>
      </w:r>
      <w:r w:rsidR="00380F44" w:rsidRPr="00602CDA">
        <w:rPr>
          <w:rStyle w:val="BodyTextChar"/>
        </w:rPr>
        <w:t>:</w:t>
      </w:r>
    </w:p>
    <w:p w:rsidR="00F85276" w:rsidRDefault="00F85276" w:rsidP="00602CDA">
      <w:pPr>
        <w:pStyle w:val="ListBullet"/>
      </w:pPr>
      <w:r>
        <w:t>inclusion of a mini</w:t>
      </w:r>
      <w:r w:rsidR="00347361">
        <w:t>-</w:t>
      </w:r>
      <w:r>
        <w:t>case study on the WA Independent Public Schools initiative</w:t>
      </w:r>
    </w:p>
    <w:p w:rsidR="00380F44" w:rsidRPr="00602CDA" w:rsidRDefault="00380F44" w:rsidP="00602CDA">
      <w:pPr>
        <w:pStyle w:val="ListBullet"/>
      </w:pPr>
      <w:r w:rsidRPr="00602CDA">
        <w:t>inclusion of data by Indigenous status in the 6–15 years enrolment measure</w:t>
      </w:r>
    </w:p>
    <w:p w:rsidR="00380F44" w:rsidRPr="00602CDA" w:rsidRDefault="00380F44" w:rsidP="00602CDA">
      <w:pPr>
        <w:pStyle w:val="ListBullet"/>
      </w:pPr>
      <w:r w:rsidRPr="00602CDA">
        <w:t>for the ‘learning outcomes’ indicator:</w:t>
      </w:r>
    </w:p>
    <w:p w:rsidR="00380F44" w:rsidRPr="00602CDA" w:rsidRDefault="00380F44" w:rsidP="00602CDA">
      <w:pPr>
        <w:pStyle w:val="ListBullet2"/>
      </w:pPr>
      <w:r w:rsidRPr="00602CDA">
        <w:t xml:space="preserve">reporting the most recent year of </w:t>
      </w:r>
      <w:proofErr w:type="spellStart"/>
      <w:r w:rsidRPr="00602CDA">
        <w:t>NAPLAN</w:t>
      </w:r>
      <w:proofErr w:type="spellEnd"/>
      <w:r w:rsidRPr="00602CDA">
        <w:t xml:space="preserve"> </w:t>
      </w:r>
      <w:r w:rsidR="00A2357B">
        <w:t>outcomes</w:t>
      </w:r>
      <w:r w:rsidRPr="00602CDA">
        <w:t xml:space="preserve"> (2014 data), including significance of differences </w:t>
      </w:r>
      <w:r w:rsidR="007E4F60">
        <w:t xml:space="preserve">(effect size) </w:t>
      </w:r>
      <w:r w:rsidRPr="00602CDA">
        <w:t xml:space="preserve">across states and territories. Data for 2013 </w:t>
      </w:r>
      <w:proofErr w:type="spellStart"/>
      <w:r w:rsidR="007E4F60">
        <w:t>NAPLAN</w:t>
      </w:r>
      <w:proofErr w:type="spellEnd"/>
      <w:r w:rsidR="007E4F60">
        <w:t xml:space="preserve"> </w:t>
      </w:r>
      <w:r w:rsidRPr="00602CDA">
        <w:t>are also included in this report for the first time</w:t>
      </w:r>
      <w:r w:rsidR="007E4F60">
        <w:t>, in the attachment tables</w:t>
      </w:r>
    </w:p>
    <w:p w:rsidR="00666ECE" w:rsidRPr="00602CDA" w:rsidRDefault="00666ECE" w:rsidP="00602CDA">
      <w:pPr>
        <w:pStyle w:val="ListBullet2"/>
      </w:pPr>
      <w:r w:rsidRPr="00602CDA">
        <w:t xml:space="preserve">reporting </w:t>
      </w:r>
      <w:r w:rsidR="00635573" w:rsidRPr="00602CDA">
        <w:t>outcomes of the year</w:t>
      </w:r>
      <w:r w:rsidR="00380F44" w:rsidRPr="00602CDA">
        <w:t>s</w:t>
      </w:r>
      <w:r w:rsidR="00635573" w:rsidRPr="00602CDA">
        <w:t xml:space="preserve"> 6 </w:t>
      </w:r>
      <w:r w:rsidR="00380F44" w:rsidRPr="00602CDA">
        <w:t xml:space="preserve">and 10 Civics and </w:t>
      </w:r>
      <w:r w:rsidR="001435AF" w:rsidRPr="00602CDA">
        <w:t>C</w:t>
      </w:r>
      <w:r w:rsidR="00380F44" w:rsidRPr="00602CDA">
        <w:t>itizenship</w:t>
      </w:r>
      <w:r w:rsidRPr="00602CDA">
        <w:t xml:space="preserve"> National Assessment Program (NAP)</w:t>
      </w:r>
      <w:r w:rsidR="00635573" w:rsidRPr="00602CDA">
        <w:t xml:space="preserve"> in 201</w:t>
      </w:r>
      <w:r w:rsidR="00380F44" w:rsidRPr="00602CDA">
        <w:t>3</w:t>
      </w:r>
      <w:r w:rsidR="00F85276">
        <w:t>, including significance of differences across states and territories</w:t>
      </w:r>
    </w:p>
    <w:p w:rsidR="0080263C" w:rsidRPr="00602CDA" w:rsidRDefault="0080263C" w:rsidP="00602CDA">
      <w:pPr>
        <w:pStyle w:val="ListBullet2"/>
      </w:pPr>
      <w:r w:rsidRPr="00602CDA">
        <w:t>reporting outcomes of the 201</w:t>
      </w:r>
      <w:r w:rsidR="00380F44" w:rsidRPr="00602CDA">
        <w:t>3</w:t>
      </w:r>
      <w:r w:rsidRPr="00602CDA">
        <w:t xml:space="preserve"> </w:t>
      </w:r>
      <w:proofErr w:type="spellStart"/>
      <w:r w:rsidR="00380F44" w:rsidRPr="00602CDA">
        <w:t>IEA</w:t>
      </w:r>
      <w:proofErr w:type="spellEnd"/>
      <w:r w:rsidR="00380F44" w:rsidRPr="00602CDA">
        <w:t xml:space="preserve"> International Computer and Information Literacy Study (</w:t>
      </w:r>
      <w:proofErr w:type="spellStart"/>
      <w:r w:rsidR="00380F44" w:rsidRPr="00602CDA">
        <w:t>ICILS</w:t>
      </w:r>
      <w:proofErr w:type="spellEnd"/>
      <w:r w:rsidR="00380F44" w:rsidRPr="00602CDA">
        <w:t xml:space="preserve">) </w:t>
      </w:r>
    </w:p>
    <w:p w:rsidR="00380F44" w:rsidRPr="00602CDA" w:rsidRDefault="00380F44" w:rsidP="00602CDA">
      <w:pPr>
        <w:pStyle w:val="ListBullet"/>
      </w:pPr>
      <w:r w:rsidRPr="00602CDA">
        <w:t>inclusion of new measures for the outcome indicator ‘destination’, based on the Survey of Education and Work and the Census of Population and Housing.</w:t>
      </w:r>
    </w:p>
    <w:p w:rsidR="00666ECE" w:rsidRPr="00666ECE" w:rsidRDefault="007B0AE2" w:rsidP="007B0AE2">
      <w:pPr>
        <w:pStyle w:val="Heading2"/>
      </w:pPr>
      <w:bookmarkStart w:id="6" w:name="_Toc405974305"/>
      <w:r>
        <w:t>4.1</w:t>
      </w:r>
      <w:r>
        <w:tab/>
      </w:r>
      <w:r w:rsidR="00666ECE" w:rsidRPr="00666ECE">
        <w:t>Profile of school education</w:t>
      </w:r>
      <w:bookmarkEnd w:id="6"/>
    </w:p>
    <w:p w:rsidR="00666ECE" w:rsidRPr="00666ECE" w:rsidRDefault="00666ECE" w:rsidP="007B0AE2">
      <w:pPr>
        <w:pStyle w:val="Heading3"/>
      </w:pPr>
      <w:r w:rsidRPr="00666ECE">
        <w:t>Service overview</w:t>
      </w:r>
    </w:p>
    <w:p w:rsidR="00666ECE" w:rsidRPr="00666ECE" w:rsidRDefault="00666ECE" w:rsidP="004145D6">
      <w:pPr>
        <w:pStyle w:val="BodyText"/>
      </w:pPr>
      <w:r w:rsidRPr="00666ECE">
        <w:t xml:space="preserve">Schools are the institutions within which organised school education takes place. They are differentiated by the type and level of education </w:t>
      </w:r>
      <w:r w:rsidRPr="00E87EFD">
        <w:t>they provide, their ownership and management, and the characteristics of their student body. The formal statistical definition of s</w:t>
      </w:r>
      <w:r w:rsidR="004145D6">
        <w:t xml:space="preserve">chools used for this chapter is </w:t>
      </w:r>
      <w:r w:rsidRPr="00666ECE">
        <w:t xml:space="preserve">an establishment </w:t>
      </w:r>
      <w:r w:rsidR="00CC2C02">
        <w:t>which</w:t>
      </w:r>
      <w:r w:rsidRPr="00666ECE">
        <w:t xml:space="preserve"> satisfies all of the following criteria:</w:t>
      </w:r>
    </w:p>
    <w:p w:rsidR="00666ECE" w:rsidRPr="00666ECE" w:rsidRDefault="00666ECE" w:rsidP="004145D6">
      <w:pPr>
        <w:pStyle w:val="ListBullet"/>
      </w:pPr>
      <w:r w:rsidRPr="00666ECE">
        <w:t xml:space="preserve">its major activity is the provision of full time day primary or secondary education or the provision of primary or secondary distance education </w:t>
      </w:r>
    </w:p>
    <w:p w:rsidR="00666ECE" w:rsidRPr="00666ECE" w:rsidRDefault="00666ECE" w:rsidP="004145D6">
      <w:pPr>
        <w:pStyle w:val="ListBullet"/>
      </w:pPr>
      <w:r w:rsidRPr="00666ECE">
        <w:t>it is headed by a principal (or equivalent) responsible for its internal operation</w:t>
      </w:r>
    </w:p>
    <w:p w:rsidR="00666ECE" w:rsidRPr="00BA0589" w:rsidRDefault="00666ECE" w:rsidP="004145D6">
      <w:pPr>
        <w:pStyle w:val="ListBullet"/>
      </w:pPr>
      <w:r w:rsidRPr="00666ECE">
        <w:t xml:space="preserve">it is possible for students to enrol for a minimum of four continuous weeks, excluding breaks for school </w:t>
      </w:r>
      <w:r w:rsidRPr="00BA0589">
        <w:t>vacations (ABS 201</w:t>
      </w:r>
      <w:r w:rsidR="008F46A2">
        <w:t>4</w:t>
      </w:r>
      <w:r w:rsidRPr="00BA0589">
        <w:t xml:space="preserve">). </w:t>
      </w:r>
    </w:p>
    <w:p w:rsidR="00666ECE" w:rsidRPr="00666ECE" w:rsidRDefault="00666ECE" w:rsidP="004145D6">
      <w:pPr>
        <w:pStyle w:val="BodyText"/>
      </w:pPr>
      <w:r w:rsidRPr="00666ECE">
        <w:t xml:space="preserve">Student performance can be affected by factors that may be partly or totally outside the influence of the school system, such as student commitment, family environment </w:t>
      </w:r>
      <w:r w:rsidR="00635573">
        <w:t xml:space="preserve">(including </w:t>
      </w:r>
      <w:proofErr w:type="spellStart"/>
      <w:r w:rsidR="00635573">
        <w:t>socio</w:t>
      </w:r>
      <w:r w:rsidR="009131A4">
        <w:t>-</w:t>
      </w:r>
      <w:r w:rsidR="00635573">
        <w:t>economic</w:t>
      </w:r>
      <w:proofErr w:type="spellEnd"/>
      <w:r w:rsidR="00635573">
        <w:t xml:space="preserve"> status and</w:t>
      </w:r>
      <w:r w:rsidRPr="00666ECE">
        <w:t xml:space="preserve"> parents’ educational attainment and support for the child) and the proximity of the school to other educational facilities. It is beyond the scope </w:t>
      </w:r>
      <w:r w:rsidRPr="00666ECE">
        <w:lastRenderedPageBreak/>
        <w:t xml:space="preserve">of this Report to consider the effect of all such factors, but this section provides some context for the performance information presented later in the chapter. Further contextual information about population and household characteristics in each State and Territory is provided in </w:t>
      </w:r>
      <w:r w:rsidR="002D7C16">
        <w:t>chapter 2 ‘</w:t>
      </w:r>
      <w:r w:rsidR="00031DF6">
        <w:t>S</w:t>
      </w:r>
      <w:r w:rsidR="002D7C16">
        <w:t>tatistical context’</w:t>
      </w:r>
      <w:r w:rsidRPr="00666ECE">
        <w:t>.</w:t>
      </w:r>
    </w:p>
    <w:p w:rsidR="00666ECE" w:rsidRPr="007B0AE2" w:rsidRDefault="00666ECE" w:rsidP="007B0AE2">
      <w:pPr>
        <w:pStyle w:val="Heading3"/>
      </w:pPr>
      <w:r w:rsidRPr="007B0AE2">
        <w:t>Roles and responsibilities</w:t>
      </w:r>
    </w:p>
    <w:p w:rsidR="00666ECE" w:rsidRPr="00666ECE" w:rsidRDefault="00666ECE" w:rsidP="004145D6">
      <w:pPr>
        <w:pStyle w:val="BodyText"/>
      </w:pPr>
      <w:r w:rsidRPr="00666ECE">
        <w:t xml:space="preserve">Under constitutional arrangements, State and Territory </w:t>
      </w:r>
      <w:r w:rsidR="00DA2525">
        <w:t xml:space="preserve">governments </w:t>
      </w:r>
      <w:r w:rsidR="00EC7696">
        <w:t xml:space="preserve">are responsible for ensuring </w:t>
      </w:r>
      <w:r w:rsidRPr="00666ECE">
        <w:t>the delivery of schooling to all children of school age</w:t>
      </w:r>
      <w:r w:rsidR="00EC7696">
        <w:t xml:space="preserve"> in their jurisdictions</w:t>
      </w:r>
      <w:r w:rsidRPr="00666ECE">
        <w:t>. They determine curricula, regulate school activities and provide most of the funding. State and Territory governments are directly responsible for the administration of government schools, for which they provide the majority of government funding. Non-government schools operate under conditions determined by State and Territory government registration authorities and also receive State and Territory government funding.</w:t>
      </w:r>
    </w:p>
    <w:p w:rsidR="00666ECE" w:rsidRPr="004145D6" w:rsidRDefault="00666ECE" w:rsidP="00321BBB">
      <w:pPr>
        <w:spacing w:before="240" w:line="300" w:lineRule="atLeast"/>
        <w:jc w:val="both"/>
        <w:rPr>
          <w:rStyle w:val="BodyTextChar"/>
        </w:rPr>
      </w:pPr>
      <w:r w:rsidRPr="004145D6">
        <w:rPr>
          <w:rStyle w:val="BodyTextChar"/>
        </w:rPr>
        <w:t xml:space="preserve">The major element of Australian Government funding </w:t>
      </w:r>
      <w:r w:rsidR="000674C4" w:rsidRPr="004145D6">
        <w:rPr>
          <w:rStyle w:val="BodyTextChar"/>
        </w:rPr>
        <w:t xml:space="preserve">in 2012-13 </w:t>
      </w:r>
      <w:r w:rsidR="00761473" w:rsidRPr="004145D6">
        <w:rPr>
          <w:rStyle w:val="BodyTextChar"/>
        </w:rPr>
        <w:t>was</w:t>
      </w:r>
      <w:r w:rsidRPr="004145D6">
        <w:rPr>
          <w:rStyle w:val="BodyTextChar"/>
        </w:rPr>
        <w:t xml:space="preserve"> provided through the National Schools Specific Purpose Payment (</w:t>
      </w:r>
      <w:proofErr w:type="spellStart"/>
      <w:r w:rsidRPr="004145D6">
        <w:rPr>
          <w:rStyle w:val="BodyTextChar"/>
        </w:rPr>
        <w:t>SPP</w:t>
      </w:r>
      <w:proofErr w:type="spellEnd"/>
      <w:r w:rsidRPr="004145D6">
        <w:rPr>
          <w:rStyle w:val="BodyTextChar"/>
        </w:rPr>
        <w:t xml:space="preserve">), which is associated with the </w:t>
      </w:r>
      <w:r w:rsidR="00635573" w:rsidRPr="004145D6">
        <w:rPr>
          <w:rStyle w:val="BodyTextChar"/>
        </w:rPr>
        <w:t>National Education Agreement (</w:t>
      </w:r>
      <w:r w:rsidRPr="004145D6">
        <w:rPr>
          <w:rStyle w:val="BodyTextChar"/>
        </w:rPr>
        <w:t>NEA</w:t>
      </w:r>
      <w:r w:rsidR="00635573" w:rsidRPr="004145D6">
        <w:rPr>
          <w:rStyle w:val="BodyTextChar"/>
        </w:rPr>
        <w:t>)</w:t>
      </w:r>
      <w:r w:rsidRPr="004145D6">
        <w:rPr>
          <w:rStyle w:val="BodyTextChar"/>
        </w:rPr>
        <w:t xml:space="preserve"> under the Intergovernmental Agreement (IGA) on Federal Financial Relations. The non-government schools funding component of the National Schools </w:t>
      </w:r>
      <w:proofErr w:type="spellStart"/>
      <w:r w:rsidRPr="004145D6">
        <w:rPr>
          <w:rStyle w:val="BodyTextChar"/>
        </w:rPr>
        <w:t>SPP</w:t>
      </w:r>
      <w:proofErr w:type="spellEnd"/>
      <w:r w:rsidRPr="004145D6">
        <w:rPr>
          <w:rStyle w:val="BodyTextChar"/>
        </w:rPr>
        <w:t xml:space="preserve"> is determined by the Schools Assistance Act 2008. Both the NEA and the Schools Assistance Act 2008 came into effect on 1 January 2009. The Australian Government also provides supplementary funding for government schools and non</w:t>
      </w:r>
      <w:r w:rsidRPr="004145D6">
        <w:rPr>
          <w:rStyle w:val="BodyTextChar"/>
        </w:rPr>
        <w:noBreakHyphen/>
        <w:t xml:space="preserve">government schools through National Partnerships associated with the NEA. Other Australian Government payments of a smaller scale are made directly to school communities, students and other organisations to support schooling. </w:t>
      </w:r>
    </w:p>
    <w:p w:rsidR="00666ECE" w:rsidRDefault="00666ECE" w:rsidP="004145D6">
      <w:pPr>
        <w:pStyle w:val="BodyText"/>
      </w:pPr>
      <w:r w:rsidRPr="000E6F59">
        <w:t xml:space="preserve">The </w:t>
      </w:r>
      <w:r w:rsidR="008F46A2">
        <w:t>Education</w:t>
      </w:r>
      <w:r w:rsidRPr="000E6F59">
        <w:t xml:space="preserve"> Council</w:t>
      </w:r>
      <w:r w:rsidRPr="000E6F59">
        <w:rPr>
          <w:position w:val="6"/>
          <w:sz w:val="22"/>
        </w:rPr>
        <w:footnoteReference w:id="1"/>
      </w:r>
      <w:r w:rsidRPr="000E6F59">
        <w:t xml:space="preserve"> — comprising Australian, State and Territory, and New Zealand education ministers</w:t>
      </w:r>
      <w:r w:rsidRPr="00666ECE">
        <w:t xml:space="preserve"> — is the principal forum for developing national priorities and strategies for schooling.</w:t>
      </w:r>
    </w:p>
    <w:p w:rsidR="00857DE0" w:rsidRPr="00963842" w:rsidRDefault="00F86716" w:rsidP="00963842">
      <w:pPr>
        <w:pStyle w:val="Heading4"/>
        <w:rPr>
          <w:i/>
        </w:rPr>
      </w:pPr>
      <w:r w:rsidRPr="00963842">
        <w:rPr>
          <w:i/>
        </w:rPr>
        <w:t>Mini</w:t>
      </w:r>
      <w:r w:rsidR="00347361" w:rsidRPr="00963842">
        <w:rPr>
          <w:i/>
        </w:rPr>
        <w:t>-</w:t>
      </w:r>
      <w:r w:rsidRPr="00963842">
        <w:rPr>
          <w:i/>
        </w:rPr>
        <w:t>case study: Independent Public Schools in Western Australia</w:t>
      </w:r>
    </w:p>
    <w:p w:rsidR="00F86716" w:rsidRPr="00963842" w:rsidRDefault="00F86716" w:rsidP="00963842">
      <w:pPr>
        <w:pStyle w:val="BodyText"/>
      </w:pPr>
      <w:r w:rsidRPr="00963842">
        <w:t xml:space="preserve">In 2010, the WA Government commenced implementation of its </w:t>
      </w:r>
      <w:r w:rsidR="00627784" w:rsidRPr="00963842">
        <w:t xml:space="preserve">Independent Public Schools </w:t>
      </w:r>
      <w:r w:rsidR="00CA13EA" w:rsidRPr="00963842">
        <w:t>(</w:t>
      </w:r>
      <w:proofErr w:type="spellStart"/>
      <w:r w:rsidR="00CA13EA" w:rsidRPr="00963842">
        <w:t>IPS</w:t>
      </w:r>
      <w:proofErr w:type="spellEnd"/>
      <w:r w:rsidR="00CA13EA" w:rsidRPr="00963842">
        <w:t xml:space="preserve">) </w:t>
      </w:r>
      <w:r w:rsidR="00627784" w:rsidRPr="00963842">
        <w:t xml:space="preserve">initiative, which provides participating government school communities with greater </w:t>
      </w:r>
      <w:r w:rsidR="00627784" w:rsidRPr="00896525">
        <w:t>control, flexibility and autonomy to respond to their st</w:t>
      </w:r>
      <w:r w:rsidR="00627784">
        <w:t xml:space="preserve">udents’ and communities’ needs. </w:t>
      </w:r>
      <w:r w:rsidR="00403955">
        <w:t>T</w:t>
      </w:r>
      <w:r w:rsidR="00627784">
        <w:t>his initiative and results of the initial evaluation are described in box 4.1.</w:t>
      </w:r>
      <w:r w:rsidR="00855086">
        <w:t xml:space="preserve"> </w:t>
      </w:r>
    </w:p>
    <w:p w:rsidR="00896525" w:rsidRPr="00963842" w:rsidRDefault="00896525" w:rsidP="00963842">
      <w:pPr>
        <w:pStyle w:val="BodyText"/>
      </w:pPr>
    </w:p>
    <w:p w:rsidR="00896525" w:rsidRDefault="0089652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96525" w:rsidTr="0034666A">
        <w:tc>
          <w:tcPr>
            <w:tcW w:w="8771" w:type="dxa"/>
            <w:tcBorders>
              <w:top w:val="single" w:sz="6" w:space="0" w:color="78A22F"/>
              <w:left w:val="nil"/>
              <w:bottom w:val="nil"/>
              <w:right w:val="nil"/>
            </w:tcBorders>
            <w:shd w:val="clear" w:color="auto" w:fill="F2F2F2"/>
          </w:tcPr>
          <w:p w:rsidR="00896525" w:rsidRDefault="00896525" w:rsidP="00CA13EA">
            <w:pPr>
              <w:pStyle w:val="BoxTitle"/>
            </w:pPr>
            <w:r>
              <w:rPr>
                <w:b w:val="0"/>
              </w:rPr>
              <w:t>Box 4.</w:t>
            </w:r>
            <w:r w:rsidR="005953B6">
              <w:rPr>
                <w:b w:val="0"/>
                <w:noProof/>
              </w:rPr>
              <w:t>1</w:t>
            </w:r>
            <w:r>
              <w:tab/>
            </w:r>
            <w:r w:rsidR="00372F16">
              <w:t>W</w:t>
            </w:r>
            <w:r w:rsidR="00CA13EA">
              <w:t>estern Australia</w:t>
            </w:r>
            <w:r w:rsidR="00372F16">
              <w:t xml:space="preserve"> Independent Public Schools initiative</w:t>
            </w:r>
          </w:p>
        </w:tc>
      </w:tr>
      <w:tr w:rsidR="00896525" w:rsidTr="0034666A">
        <w:trPr>
          <w:cantSplit/>
        </w:trPr>
        <w:tc>
          <w:tcPr>
            <w:tcW w:w="8771" w:type="dxa"/>
            <w:tcBorders>
              <w:top w:val="nil"/>
              <w:left w:val="nil"/>
              <w:bottom w:val="nil"/>
              <w:right w:val="nil"/>
            </w:tcBorders>
            <w:shd w:val="clear" w:color="auto" w:fill="F2F2F2"/>
          </w:tcPr>
          <w:p w:rsidR="00EC7696" w:rsidRPr="00896525" w:rsidRDefault="00EC7696" w:rsidP="00EC7696">
            <w:pPr>
              <w:pStyle w:val="Box"/>
            </w:pPr>
            <w:r w:rsidRPr="00896525">
              <w:t xml:space="preserve">The fundamental premise of </w:t>
            </w:r>
            <w:r w:rsidR="00CA13EA">
              <w:t xml:space="preserve">the </w:t>
            </w:r>
            <w:proofErr w:type="spellStart"/>
            <w:r w:rsidRPr="00896525">
              <w:t>IPS</w:t>
            </w:r>
            <w:proofErr w:type="spellEnd"/>
            <w:r w:rsidR="00CA13EA">
              <w:t xml:space="preserve"> initiative</w:t>
            </w:r>
            <w:r w:rsidRPr="00896525">
              <w:t xml:space="preserve"> is that school communities are best placed to make decisions about their students’ education needs. Giving such communities more control, autonomy and flexibility across a wide range of strategic, resourcing and operational matters leads to decisions that are better tailored to the specific educational needs of local communities and </w:t>
            </w:r>
            <w:r>
              <w:t xml:space="preserve">their students. </w:t>
            </w:r>
            <w:r w:rsidRPr="00896525">
              <w:t>This in turn fosters greater local innovation, more efficient and effective use of school resources and ultimately creates the conditions for better educational services and improved outcomes for their students.</w:t>
            </w:r>
          </w:p>
          <w:p w:rsidR="000B7F27" w:rsidRDefault="00896525" w:rsidP="00896525">
            <w:pPr>
              <w:pStyle w:val="Box"/>
            </w:pPr>
            <w:proofErr w:type="spellStart"/>
            <w:r w:rsidRPr="00896525">
              <w:t>IPSs</w:t>
            </w:r>
            <w:proofErr w:type="spellEnd"/>
            <w:r w:rsidRPr="00896525">
              <w:t xml:space="preserve"> have been operating for s</w:t>
            </w:r>
            <w:r>
              <w:t>ome time i</w:t>
            </w:r>
            <w:r w:rsidR="00EC7696">
              <w:t>n</w:t>
            </w:r>
            <w:r>
              <w:t xml:space="preserve"> Western Australia. </w:t>
            </w:r>
            <w:r w:rsidR="000B7F27" w:rsidRPr="00896525">
              <w:t xml:space="preserve">Launched in 34 government schools in 2010, the Western Australian </w:t>
            </w:r>
            <w:proofErr w:type="spellStart"/>
            <w:r w:rsidR="000B7F27" w:rsidRPr="00896525">
              <w:t>IPS</w:t>
            </w:r>
            <w:proofErr w:type="spellEnd"/>
            <w:r w:rsidR="000B7F27" w:rsidRPr="00896525">
              <w:t xml:space="preserve"> initiative seeks to empower participating school communities by giving them greater control, flexibility and autonomy to respond to their st</w:t>
            </w:r>
            <w:r w:rsidR="000B7F27">
              <w:t>udents’ and communities’ needs.</w:t>
            </w:r>
            <w:r w:rsidR="000B7F27" w:rsidRPr="00896525">
              <w:t xml:space="preserve"> </w:t>
            </w:r>
          </w:p>
          <w:p w:rsidR="000B7F27" w:rsidRPr="00896525" w:rsidRDefault="00896525" w:rsidP="000B7F27">
            <w:pPr>
              <w:pStyle w:val="Box"/>
            </w:pPr>
            <w:r w:rsidRPr="00896525">
              <w:t xml:space="preserve">In 2013, an independent evaluation of the Western Australian </w:t>
            </w:r>
            <w:proofErr w:type="spellStart"/>
            <w:r w:rsidRPr="00896525">
              <w:t>IPS</w:t>
            </w:r>
            <w:proofErr w:type="spellEnd"/>
            <w:r w:rsidRPr="00896525">
              <w:t xml:space="preserve"> initiative confirmed it was achieving promising early results</w:t>
            </w:r>
            <w:r w:rsidR="00EC7696">
              <w:t>,</w:t>
            </w:r>
            <w:r w:rsidRPr="00896525">
              <w:t xml:space="preserve"> and </w:t>
            </w:r>
            <w:r w:rsidR="00EC7696">
              <w:t>the initiative</w:t>
            </w:r>
            <w:r w:rsidRPr="00896525">
              <w:t xml:space="preserve"> won the Western Australian Premier’s Award for Excellence in Public Sector Management and the Improv</w:t>
            </w:r>
            <w:r>
              <w:t>ing Government category award.</w:t>
            </w:r>
            <w:r w:rsidR="000B7F27" w:rsidRPr="00896525">
              <w:t xml:space="preserve"> By 2014, the initiative had been expanded to 264 schools, representing one-third of Western Australia’s government schools and approximately half of all teachers and students in the s</w:t>
            </w:r>
            <w:r w:rsidR="000B7F27">
              <w:t>tate’s public education system.</w:t>
            </w:r>
            <w:r w:rsidR="000B7F27" w:rsidRPr="00896525">
              <w:t xml:space="preserve"> An additional 178 government schools will become </w:t>
            </w:r>
            <w:proofErr w:type="spellStart"/>
            <w:r w:rsidR="000B7F27" w:rsidRPr="00896525">
              <w:t>IPSs</w:t>
            </w:r>
            <w:proofErr w:type="spellEnd"/>
            <w:r w:rsidR="000B7F27" w:rsidRPr="00896525">
              <w:t xml:space="preserve"> in 2015, resulting in 70</w:t>
            </w:r>
            <w:r w:rsidR="000B7F27">
              <w:t xml:space="preserve"> per cent</w:t>
            </w:r>
            <w:r w:rsidR="000B7F27" w:rsidRPr="00896525">
              <w:t xml:space="preserve"> of Western Australian government school students being educated at </w:t>
            </w:r>
            <w:proofErr w:type="spellStart"/>
            <w:r w:rsidR="000B7F27" w:rsidRPr="00896525">
              <w:t>IPSs</w:t>
            </w:r>
            <w:proofErr w:type="spellEnd"/>
            <w:r w:rsidR="000B7F27" w:rsidRPr="00896525">
              <w:t>.</w:t>
            </w:r>
          </w:p>
          <w:p w:rsidR="00896525" w:rsidRDefault="000B7F27" w:rsidP="00896525">
            <w:pPr>
              <w:pStyle w:val="Box"/>
            </w:pPr>
            <w:r>
              <w:t xml:space="preserve">Western Australian </w:t>
            </w:r>
            <w:proofErr w:type="spellStart"/>
            <w:r w:rsidR="00896525" w:rsidRPr="00896525">
              <w:t>IPSs</w:t>
            </w:r>
            <w:proofErr w:type="spellEnd"/>
            <w:r w:rsidR="00896525" w:rsidRPr="00896525">
              <w:t xml:space="preserve"> have markedly different governance and accountability arrangements that extensively</w:t>
            </w:r>
            <w:r w:rsidR="00896525">
              <w:t xml:space="preserve"> involve their local community.</w:t>
            </w:r>
            <w:r w:rsidR="00896525" w:rsidRPr="00896525">
              <w:t xml:space="preserve"> Each </w:t>
            </w:r>
            <w:proofErr w:type="spellStart"/>
            <w:r w:rsidR="00896525" w:rsidRPr="00896525">
              <w:t>IPS</w:t>
            </w:r>
            <w:proofErr w:type="spellEnd"/>
            <w:r w:rsidR="00896525" w:rsidRPr="00896525">
              <w:t xml:space="preserve"> has a school board that must include staff, parents, business and other community representatives</w:t>
            </w:r>
            <w:r w:rsidR="00896525">
              <w:t xml:space="preserve">. </w:t>
            </w:r>
            <w:r w:rsidR="00896525" w:rsidRPr="00896525">
              <w:t xml:space="preserve">The chair of the board, along with the principal and the Director General, establish a triennial Delivery and Performance Agreement that outlines the resources the school will receive, support that will be provided, programs to be delivered, and the expected performance and accountability arrangements of the school over the life of the agreement. The chair of the board also endorses the </w:t>
            </w:r>
            <w:proofErr w:type="spellStart"/>
            <w:r w:rsidR="00896525" w:rsidRPr="00896525">
              <w:t>IPS’s</w:t>
            </w:r>
            <w:proofErr w:type="spellEnd"/>
            <w:r w:rsidR="00896525" w:rsidRPr="00896525">
              <w:t xml:space="preserve"> one</w:t>
            </w:r>
            <w:r w:rsidR="00DE6188">
              <w:noBreakHyphen/>
            </w:r>
            <w:r w:rsidR="00896525" w:rsidRPr="00896525">
              <w:t>line budgets and business plans, and the board receives quarterly reports from the principal detailing the school’s performance against the targets and commitments in the Delivery and Performance Agreement</w:t>
            </w:r>
            <w:r w:rsidR="00896525">
              <w:t>.</w:t>
            </w:r>
            <w:r w:rsidR="00896525" w:rsidRPr="00896525">
              <w:t xml:space="preserve"> The board also participates in the triennial independent review by an external government agency of each </w:t>
            </w:r>
            <w:proofErr w:type="spellStart"/>
            <w:r w:rsidR="00896525" w:rsidRPr="00896525">
              <w:t>IPS’s</w:t>
            </w:r>
            <w:proofErr w:type="spellEnd"/>
            <w:r w:rsidR="00896525" w:rsidRPr="00896525">
              <w:t xml:space="preserve"> performance, with the results being made publicly available.</w:t>
            </w:r>
          </w:p>
          <w:p w:rsidR="00896525" w:rsidRDefault="00896525" w:rsidP="00896525">
            <w:pPr>
              <w:pStyle w:val="Box"/>
            </w:pPr>
            <w:r w:rsidRPr="00896525">
              <w:t xml:space="preserve">Another key aspect of the Western Australian </w:t>
            </w:r>
            <w:proofErr w:type="spellStart"/>
            <w:r w:rsidRPr="00896525">
              <w:t>IPS</w:t>
            </w:r>
            <w:proofErr w:type="spellEnd"/>
            <w:r w:rsidRPr="00896525">
              <w:t xml:space="preserve"> initiative is that schools that want to become an </w:t>
            </w:r>
            <w:proofErr w:type="spellStart"/>
            <w:r w:rsidRPr="00896525">
              <w:t>IPS</w:t>
            </w:r>
            <w:proofErr w:type="spellEnd"/>
            <w:r w:rsidRPr="00896525">
              <w:t xml:space="preserve"> have to undergo a rigorous development and selection process t</w:t>
            </w:r>
            <w:r w:rsidR="00372F16">
              <w:t>o</w:t>
            </w:r>
            <w:r w:rsidRPr="00896525">
              <w:t xml:space="preserve"> ensure they are adequately prepared for the additional responsibilities that flow from greater autonomy. </w:t>
            </w:r>
          </w:p>
          <w:p w:rsidR="000B7F27" w:rsidRDefault="000B7F27" w:rsidP="00896525">
            <w:pPr>
              <w:pStyle w:val="Box"/>
            </w:pPr>
            <w:r>
              <w:t>T</w:t>
            </w:r>
            <w:r w:rsidRPr="00896525">
              <w:t xml:space="preserve">he Western Australian initiative is one model of </w:t>
            </w:r>
            <w:proofErr w:type="spellStart"/>
            <w:r w:rsidRPr="00896525">
              <w:t>IPS</w:t>
            </w:r>
            <w:proofErr w:type="spellEnd"/>
            <w:r w:rsidRPr="00896525">
              <w:t xml:space="preserve"> implementation and other states and territories may use alternative models or approaches to achieve similar objectives.</w:t>
            </w:r>
          </w:p>
          <w:p w:rsidR="00CA13EA" w:rsidRPr="00896525" w:rsidRDefault="00CA13EA" w:rsidP="00CA13EA">
            <w:pPr>
              <w:pStyle w:val="BoxHeading1"/>
              <w:spacing w:before="120"/>
            </w:pPr>
            <w:r w:rsidRPr="00896525">
              <w:t xml:space="preserve">What effect is the Western Australian </w:t>
            </w:r>
            <w:proofErr w:type="spellStart"/>
            <w:r w:rsidRPr="00896525">
              <w:t>IPS</w:t>
            </w:r>
            <w:proofErr w:type="spellEnd"/>
            <w:r w:rsidRPr="00896525">
              <w:t xml:space="preserve"> initiative having on schools?</w:t>
            </w:r>
          </w:p>
          <w:p w:rsidR="00896525" w:rsidRDefault="00CA13EA" w:rsidP="007275F7">
            <w:pPr>
              <w:pStyle w:val="Box"/>
            </w:pPr>
            <w:r w:rsidRPr="00896525">
              <w:t xml:space="preserve">The initiative was evaluated between 2010 and 2012 by the University of Melbourne in partnership with Murdoch University and Shelby Consulting Pty Ltd.  </w:t>
            </w:r>
          </w:p>
          <w:p w:rsidR="00CA13EA" w:rsidRDefault="00CA13EA" w:rsidP="007275F7">
            <w:pPr>
              <w:pStyle w:val="Box"/>
            </w:pPr>
            <w:r w:rsidRPr="00896525">
              <w:t xml:space="preserve">The </w:t>
            </w:r>
            <w:r>
              <w:t xml:space="preserve">evaluation </w:t>
            </w:r>
            <w:r w:rsidRPr="00896525">
              <w:t xml:space="preserve">report noted that, although it was too soon for the </w:t>
            </w:r>
            <w:proofErr w:type="spellStart"/>
            <w:r w:rsidRPr="00896525">
              <w:t>IPS</w:t>
            </w:r>
            <w:proofErr w:type="spellEnd"/>
            <w:r w:rsidRPr="00896525">
              <w:t xml:space="preserve"> initiative to demonstrate an effect on student outcomes, many of the intended changes to how </w:t>
            </w:r>
            <w:proofErr w:type="spellStart"/>
            <w:r w:rsidRPr="00896525">
              <w:t>IPSs</w:t>
            </w:r>
            <w:proofErr w:type="spellEnd"/>
            <w:r w:rsidRPr="00896525">
              <w:t xml:space="preserve"> operate were occurring and it was creating the foundations for future improvements in student achievement, behaviour and attendance.</w:t>
            </w:r>
            <w:r>
              <w:t xml:space="preserve"> </w:t>
            </w:r>
          </w:p>
        </w:tc>
      </w:tr>
      <w:tr w:rsidR="00896525" w:rsidTr="00896525">
        <w:trPr>
          <w:cantSplit/>
          <w:trHeight w:val="88"/>
        </w:trPr>
        <w:tc>
          <w:tcPr>
            <w:tcW w:w="8771" w:type="dxa"/>
            <w:tcBorders>
              <w:top w:val="nil"/>
              <w:left w:val="nil"/>
              <w:bottom w:val="nil"/>
              <w:right w:val="nil"/>
            </w:tcBorders>
            <w:shd w:val="clear" w:color="auto" w:fill="F2F2F2"/>
          </w:tcPr>
          <w:p w:rsidR="00896525" w:rsidRPr="00896525" w:rsidRDefault="00896525" w:rsidP="00896525">
            <w:pPr>
              <w:pStyle w:val="BoxSource"/>
              <w:spacing w:line="160" w:lineRule="exact"/>
              <w:jc w:val="right"/>
            </w:pPr>
            <w:r w:rsidRPr="00896525">
              <w:t>(continued next page)</w:t>
            </w:r>
          </w:p>
        </w:tc>
      </w:tr>
      <w:tr w:rsidR="00896525" w:rsidRPr="000863A5" w:rsidTr="0034666A">
        <w:tc>
          <w:tcPr>
            <w:tcW w:w="8771" w:type="dxa"/>
            <w:tcBorders>
              <w:top w:val="single" w:sz="6" w:space="0" w:color="78A22F"/>
              <w:left w:val="nil"/>
              <w:bottom w:val="nil"/>
              <w:right w:val="nil"/>
            </w:tcBorders>
          </w:tcPr>
          <w:p w:rsidR="00896525" w:rsidRPr="00626D32" w:rsidRDefault="00896525" w:rsidP="0034666A">
            <w:pPr>
              <w:pStyle w:val="BoxSpaceBelow"/>
            </w:pPr>
          </w:p>
        </w:tc>
      </w:tr>
    </w:tbl>
    <w:p w:rsidR="00896525" w:rsidRDefault="0089652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909"/>
      </w:tblGrid>
      <w:tr w:rsidR="00896525" w:rsidTr="00855086">
        <w:tc>
          <w:tcPr>
            <w:tcW w:w="8909" w:type="dxa"/>
            <w:tcBorders>
              <w:top w:val="single" w:sz="6" w:space="0" w:color="78A22F"/>
              <w:left w:val="nil"/>
              <w:bottom w:val="nil"/>
              <w:right w:val="nil"/>
            </w:tcBorders>
            <w:shd w:val="clear" w:color="auto" w:fill="F2F2F2"/>
          </w:tcPr>
          <w:p w:rsidR="00896525" w:rsidRDefault="00896525" w:rsidP="00372F16">
            <w:pPr>
              <w:pStyle w:val="BoxTitle"/>
            </w:pPr>
            <w:r>
              <w:rPr>
                <w:b w:val="0"/>
              </w:rPr>
              <w:t>Box 4.</w:t>
            </w:r>
            <w:r w:rsidR="00372F16">
              <w:rPr>
                <w:b w:val="0"/>
              </w:rPr>
              <w:t>1</w:t>
            </w:r>
            <w:r>
              <w:tab/>
            </w:r>
            <w:r w:rsidR="00372F16" w:rsidRPr="00372F16">
              <w:rPr>
                <w:b w:val="0"/>
                <w:sz w:val="18"/>
                <w:szCs w:val="18"/>
              </w:rPr>
              <w:t>(continued</w:t>
            </w:r>
            <w:r w:rsidR="00372F16">
              <w:rPr>
                <w:b w:val="0"/>
                <w:sz w:val="18"/>
                <w:szCs w:val="18"/>
              </w:rPr>
              <w:t>)</w:t>
            </w:r>
          </w:p>
        </w:tc>
      </w:tr>
      <w:tr w:rsidR="00896525" w:rsidTr="00855086">
        <w:trPr>
          <w:cantSplit/>
        </w:trPr>
        <w:tc>
          <w:tcPr>
            <w:tcW w:w="8909" w:type="dxa"/>
            <w:tcBorders>
              <w:top w:val="nil"/>
              <w:left w:val="nil"/>
              <w:bottom w:val="nil"/>
              <w:right w:val="nil"/>
            </w:tcBorders>
            <w:shd w:val="clear" w:color="auto" w:fill="F2F2F2"/>
          </w:tcPr>
          <w:p w:rsidR="00896525" w:rsidRDefault="00896525" w:rsidP="00896525">
            <w:pPr>
              <w:pStyle w:val="Box"/>
            </w:pPr>
            <w:r w:rsidRPr="00896525">
              <w:t xml:space="preserve">The initiative was found to be empowering and providing greater decision-making power, autonomy and flexibility to </w:t>
            </w:r>
            <w:proofErr w:type="spellStart"/>
            <w:r w:rsidRPr="00896525">
              <w:t>IPS</w:t>
            </w:r>
            <w:proofErr w:type="spellEnd"/>
            <w:r w:rsidRPr="00896525">
              <w:t xml:space="preserve"> principals, teacher</w:t>
            </w:r>
            <w:r>
              <w:t>s and their school communities.</w:t>
            </w:r>
            <w:r w:rsidRPr="00896525">
              <w:t xml:space="preserve"> As shown in </w:t>
            </w:r>
            <w:r w:rsidR="0098573D">
              <w:t>f</w:t>
            </w:r>
            <w:r w:rsidRPr="00896525">
              <w:t xml:space="preserve">igure </w:t>
            </w:r>
            <w:r w:rsidR="0098573D">
              <w:t>4.1</w:t>
            </w:r>
            <w:r w:rsidRPr="00896525">
              <w:t xml:space="preserve">, </w:t>
            </w:r>
            <w:proofErr w:type="spellStart"/>
            <w:r w:rsidRPr="00896525">
              <w:t>IPS</w:t>
            </w:r>
            <w:proofErr w:type="spellEnd"/>
            <w:r w:rsidRPr="00896525">
              <w:t xml:space="preserve"> principals reported higher levels of cost-effectiveness, enhanced functioning of their school and better educational provisions for students since becoming an </w:t>
            </w:r>
            <w:proofErr w:type="spellStart"/>
            <w:r w:rsidRPr="00896525">
              <w:t>IPS</w:t>
            </w:r>
            <w:proofErr w:type="spellEnd"/>
            <w:r w:rsidRPr="00896525">
              <w:t xml:space="preserve">. The results were consistent with other findings in the evaluation that </w:t>
            </w:r>
            <w:proofErr w:type="spellStart"/>
            <w:r w:rsidRPr="00896525">
              <w:t>IPS</w:t>
            </w:r>
            <w:proofErr w:type="spellEnd"/>
            <w:r w:rsidRPr="00896525">
              <w:t xml:space="preserve"> benefits were generally greater after a transition period during which schools established appropriate systems and processes for operating as </w:t>
            </w:r>
            <w:proofErr w:type="spellStart"/>
            <w:r w:rsidRPr="00896525">
              <w:t>I</w:t>
            </w:r>
            <w:r>
              <w:t>PSs</w:t>
            </w:r>
            <w:proofErr w:type="spellEnd"/>
            <w:r>
              <w:t>.</w:t>
            </w:r>
            <w:r w:rsidR="007275F7">
              <w:t xml:space="preserve"> </w:t>
            </w:r>
          </w:p>
          <w:p w:rsidR="00896525" w:rsidRDefault="00896525" w:rsidP="00B32C32">
            <w:pPr>
              <w:pStyle w:val="BoxSpaceAbove"/>
              <w:spacing w:before="120"/>
            </w:pPr>
          </w:p>
          <w:tbl>
            <w:tblPr>
              <w:tblW w:w="8771" w:type="dxa"/>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319"/>
              <w:gridCol w:w="452"/>
            </w:tblGrid>
            <w:tr w:rsidR="00896525" w:rsidTr="0098573D">
              <w:tc>
                <w:tcPr>
                  <w:tcW w:w="8771" w:type="dxa"/>
                  <w:gridSpan w:val="2"/>
                  <w:tcBorders>
                    <w:top w:val="single" w:sz="6" w:space="0" w:color="78A22F"/>
                    <w:left w:val="nil"/>
                    <w:bottom w:val="nil"/>
                    <w:right w:val="nil"/>
                  </w:tcBorders>
                  <w:shd w:val="clear" w:color="auto" w:fill="auto"/>
                </w:tcPr>
                <w:p w:rsidR="00896525" w:rsidRPr="00176D3F" w:rsidRDefault="00896525" w:rsidP="00855086">
                  <w:pPr>
                    <w:pStyle w:val="FigureTitle"/>
                  </w:pPr>
                  <w:r w:rsidRPr="00784A05">
                    <w:rPr>
                      <w:b w:val="0"/>
                    </w:rPr>
                    <w:t xml:space="preserve">Figure </w:t>
                  </w:r>
                  <w:r>
                    <w:rPr>
                      <w:b w:val="0"/>
                    </w:rPr>
                    <w:t>4.</w:t>
                  </w:r>
                  <w:r w:rsidR="005953B6">
                    <w:rPr>
                      <w:b w:val="0"/>
                      <w:noProof/>
                    </w:rPr>
                    <w:t>1</w:t>
                  </w:r>
                  <w:r>
                    <w:tab/>
                  </w:r>
                  <w:r w:rsidR="00855086">
                    <w:t>Principals’ r</w:t>
                  </w:r>
                  <w:r w:rsidR="0098573D">
                    <w:t>esponses to introdu</w:t>
                  </w:r>
                  <w:r w:rsidR="00855086">
                    <w:t xml:space="preserve">ction of the WA </w:t>
                  </w:r>
                  <w:proofErr w:type="spellStart"/>
                  <w:r w:rsidR="00855086">
                    <w:t>IPS</w:t>
                  </w:r>
                  <w:proofErr w:type="spellEnd"/>
                  <w:r w:rsidR="00855086">
                    <w:t xml:space="preserve"> initiative</w:t>
                  </w:r>
                </w:p>
              </w:tc>
            </w:tr>
            <w:tr w:rsidR="00896525" w:rsidTr="00D67F9B">
              <w:trPr>
                <w:gridAfter w:val="1"/>
                <w:wAfter w:w="452" w:type="dxa"/>
              </w:trPr>
              <w:tc>
                <w:tcPr>
                  <w:tcW w:w="8319" w:type="dxa"/>
                  <w:tcBorders>
                    <w:top w:val="nil"/>
                    <w:left w:val="nil"/>
                    <w:bottom w:val="nil"/>
                    <w:right w:val="nil"/>
                  </w:tcBorders>
                  <w:shd w:val="clear" w:color="auto" w:fill="F2F2F2" w:themeFill="background2" w:themeFillTint="33"/>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896525" w:rsidTr="0034666A">
                    <w:trPr>
                      <w:jc w:val="center"/>
                    </w:trPr>
                    <w:tc>
                      <w:tcPr>
                        <w:tcW w:w="5000" w:type="pct"/>
                        <w:tcBorders>
                          <w:top w:val="nil"/>
                          <w:bottom w:val="nil"/>
                        </w:tcBorders>
                      </w:tcPr>
                      <w:p w:rsidR="00896525" w:rsidRDefault="00DC200A" w:rsidP="00A56DC7">
                        <w:pPr>
                          <w:pStyle w:val="Figure"/>
                          <w:spacing w:before="60" w:after="60"/>
                          <w:ind w:left="-177" w:firstLine="177"/>
                        </w:pPr>
                        <w:r>
                          <w:rPr>
                            <w:noProof/>
                          </w:rPr>
                          <w:drawing>
                            <wp:inline distT="0" distB="0" distL="0" distR="0">
                              <wp:extent cx="5391150" cy="2867025"/>
                              <wp:effectExtent l="0" t="0" r="0" b="9525"/>
                              <wp:docPr id="1" name="Picture 1" descr="Figure 4.1 Principals' responses to introduction of the WA IPS initiativ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1150" cy="2867025"/>
                                      </a:xfrm>
                                      <a:prstGeom prst="rect">
                                        <a:avLst/>
                                      </a:prstGeom>
                                      <a:noFill/>
                                      <a:ln>
                                        <a:noFill/>
                                      </a:ln>
                                    </pic:spPr>
                                  </pic:pic>
                                </a:graphicData>
                              </a:graphic>
                            </wp:inline>
                          </w:drawing>
                        </w:r>
                      </w:p>
                    </w:tc>
                  </w:tr>
                </w:tbl>
                <w:p w:rsidR="00896525" w:rsidRDefault="00896525" w:rsidP="0034666A">
                  <w:pPr>
                    <w:pStyle w:val="Figure"/>
                  </w:pPr>
                </w:p>
              </w:tc>
            </w:tr>
            <w:tr w:rsidR="00896525" w:rsidTr="0098573D">
              <w:tc>
                <w:tcPr>
                  <w:tcW w:w="8771" w:type="dxa"/>
                  <w:gridSpan w:val="2"/>
                  <w:tcBorders>
                    <w:top w:val="nil"/>
                    <w:left w:val="nil"/>
                    <w:bottom w:val="single" w:sz="6" w:space="0" w:color="78A22F"/>
                    <w:right w:val="nil"/>
                  </w:tcBorders>
                  <w:shd w:val="clear" w:color="auto" w:fill="auto"/>
                </w:tcPr>
                <w:p w:rsidR="00896525" w:rsidRDefault="00896525" w:rsidP="0034666A">
                  <w:pPr>
                    <w:pStyle w:val="Figurespace"/>
                  </w:pPr>
                </w:p>
              </w:tc>
            </w:tr>
          </w:tbl>
          <w:p w:rsidR="00896525" w:rsidRPr="00896525" w:rsidRDefault="00896525" w:rsidP="00896525">
            <w:pPr>
              <w:pStyle w:val="Box"/>
            </w:pPr>
            <w:r w:rsidRPr="00896525">
              <w:t xml:space="preserve">Teachers at </w:t>
            </w:r>
            <w:proofErr w:type="spellStart"/>
            <w:r w:rsidRPr="00896525">
              <w:t>IPSs</w:t>
            </w:r>
            <w:proofErr w:type="spellEnd"/>
            <w:r w:rsidRPr="00896525">
              <w:t xml:space="preserve"> were also generally positive about the effects of the initiative and reported higher levels of collaboration, a greater sense of autonomy to address students’ needs and f</w:t>
            </w:r>
            <w:r w:rsidR="00EC7696">
              <w:t>eeling</w:t>
            </w:r>
            <w:r w:rsidRPr="00896525">
              <w:t xml:space="preserve"> more professiona</w:t>
            </w:r>
            <w:r>
              <w:t>l, accountable and in control.</w:t>
            </w:r>
          </w:p>
          <w:p w:rsidR="00896525" w:rsidRDefault="00896525" w:rsidP="00896525">
            <w:pPr>
              <w:pStyle w:val="Box"/>
            </w:pPr>
            <w:r w:rsidRPr="00896525">
              <w:t xml:space="preserve">The evaluation also found that the </w:t>
            </w:r>
            <w:proofErr w:type="spellStart"/>
            <w:r w:rsidRPr="00896525">
              <w:t>IPS</w:t>
            </w:r>
            <w:proofErr w:type="spellEnd"/>
            <w:r w:rsidRPr="00896525">
              <w:t xml:space="preserve"> initiative was acting as a vehicle for whole of system reform, with many of the flexibilities that started in </w:t>
            </w:r>
            <w:proofErr w:type="spellStart"/>
            <w:r w:rsidRPr="00896525">
              <w:t>IPSs</w:t>
            </w:r>
            <w:proofErr w:type="spellEnd"/>
            <w:r w:rsidRPr="00896525">
              <w:t xml:space="preserve"> being extended to other schools</w:t>
            </w:r>
            <w:r w:rsidR="00EC7696">
              <w:t>,</w:t>
            </w:r>
            <w:r w:rsidRPr="00896525">
              <w:t xml:space="preserve"> including one-line budgets and greater autonomy regarding staff recruitment and management.</w:t>
            </w:r>
            <w:r w:rsidR="00372F16">
              <w:t xml:space="preserve"> </w:t>
            </w:r>
            <w:r w:rsidRPr="00896525">
              <w:t xml:space="preserve">On the downside, some survey respondents expressed concern about aspects of the </w:t>
            </w:r>
            <w:proofErr w:type="spellStart"/>
            <w:r w:rsidRPr="00896525">
              <w:t>IPS</w:t>
            </w:r>
            <w:proofErr w:type="spellEnd"/>
            <w:r w:rsidRPr="00896525">
              <w:t xml:space="preserve"> initiative, such as the impact on schools that are not </w:t>
            </w:r>
            <w:proofErr w:type="spellStart"/>
            <w:r w:rsidRPr="00896525">
              <w:t>IPSs</w:t>
            </w:r>
            <w:proofErr w:type="spellEnd"/>
            <w:r w:rsidRPr="00896525">
              <w:t xml:space="preserve"> and staff </w:t>
            </w:r>
            <w:r>
              <w:t xml:space="preserve">workloads at </w:t>
            </w:r>
            <w:proofErr w:type="spellStart"/>
            <w:r>
              <w:t>IPSs</w:t>
            </w:r>
            <w:proofErr w:type="spellEnd"/>
            <w:r>
              <w:t>.</w:t>
            </w:r>
            <w:r w:rsidR="00B32C32">
              <w:t xml:space="preserve"> </w:t>
            </w:r>
          </w:p>
          <w:p w:rsidR="00CA13EA" w:rsidRDefault="00CA13EA" w:rsidP="00896525">
            <w:pPr>
              <w:pStyle w:val="Box"/>
            </w:pPr>
            <w:r w:rsidRPr="00896525">
              <w:t xml:space="preserve">The evaluation report is publicly available via: </w:t>
            </w:r>
            <w:proofErr w:type="spellStart"/>
            <w:r w:rsidRPr="00896525">
              <w:t>www.education.wa.edu.au</w:t>
            </w:r>
            <w:proofErr w:type="spellEnd"/>
            <w:r w:rsidR="00E308C4">
              <w:t>.</w:t>
            </w:r>
            <w:r>
              <w:t xml:space="preserve"> </w:t>
            </w:r>
          </w:p>
          <w:p w:rsidR="00896525" w:rsidRDefault="00CA13EA" w:rsidP="00CA13EA">
            <w:pPr>
              <w:pStyle w:val="Box"/>
            </w:pPr>
            <w:r w:rsidRPr="00A11734">
              <w:rPr>
                <w:shd w:val="clear" w:color="auto" w:fill="F2F2F2" w:themeFill="background1" w:themeFillShade="F2"/>
              </w:rPr>
              <w:t xml:space="preserve">The experience and outcomes from the Western Australian implementation of </w:t>
            </w:r>
            <w:proofErr w:type="spellStart"/>
            <w:r w:rsidRPr="00A11734">
              <w:rPr>
                <w:shd w:val="clear" w:color="auto" w:fill="F2F2F2" w:themeFill="background1" w:themeFillShade="F2"/>
              </w:rPr>
              <w:t>IPS</w:t>
            </w:r>
            <w:proofErr w:type="spellEnd"/>
            <w:r w:rsidRPr="00A11734">
              <w:rPr>
                <w:shd w:val="clear" w:color="auto" w:fill="F2F2F2" w:themeFill="background1" w:themeFillShade="F2"/>
              </w:rPr>
              <w:t xml:space="preserve"> are relevant to other jurisdictions given the Australian Government’s focus on school autonomy through the Students First policy approach, particularly its Independent Public Schools initiative announced in 2013.</w:t>
            </w:r>
          </w:p>
        </w:tc>
      </w:tr>
      <w:tr w:rsidR="00896525" w:rsidTr="00855086">
        <w:trPr>
          <w:cantSplit/>
        </w:trPr>
        <w:tc>
          <w:tcPr>
            <w:tcW w:w="8909" w:type="dxa"/>
            <w:tcBorders>
              <w:top w:val="nil"/>
              <w:left w:val="nil"/>
              <w:bottom w:val="nil"/>
              <w:right w:val="nil"/>
            </w:tcBorders>
            <w:shd w:val="clear" w:color="auto" w:fill="F2F2F2"/>
          </w:tcPr>
          <w:p w:rsidR="00896525" w:rsidRDefault="00896525" w:rsidP="00372F16">
            <w:pPr>
              <w:pStyle w:val="BoxSource"/>
              <w:spacing w:line="140" w:lineRule="exact"/>
            </w:pPr>
            <w:r>
              <w:rPr>
                <w:i/>
              </w:rPr>
              <w:t>Source</w:t>
            </w:r>
            <w:r w:rsidRPr="00167F06">
              <w:t xml:space="preserve">: </w:t>
            </w:r>
            <w:r>
              <w:t>WA Government</w:t>
            </w:r>
          </w:p>
        </w:tc>
      </w:tr>
      <w:tr w:rsidR="007275F7" w:rsidTr="00855086">
        <w:trPr>
          <w:cantSplit/>
        </w:trPr>
        <w:tc>
          <w:tcPr>
            <w:tcW w:w="8909" w:type="dxa"/>
            <w:tcBorders>
              <w:top w:val="nil"/>
              <w:left w:val="nil"/>
              <w:bottom w:val="single" w:sz="6" w:space="0" w:color="78A22F"/>
              <w:right w:val="nil"/>
            </w:tcBorders>
            <w:shd w:val="clear" w:color="auto" w:fill="F2F2F2"/>
          </w:tcPr>
          <w:p w:rsidR="007275F7" w:rsidRDefault="007275F7" w:rsidP="0034666A">
            <w:pPr>
              <w:pStyle w:val="Box"/>
              <w:spacing w:before="0" w:line="120" w:lineRule="exact"/>
            </w:pPr>
          </w:p>
        </w:tc>
      </w:tr>
      <w:tr w:rsidR="007275F7" w:rsidTr="00855086">
        <w:trPr>
          <w:cantSplit/>
        </w:trPr>
        <w:tc>
          <w:tcPr>
            <w:tcW w:w="8909" w:type="dxa"/>
            <w:tcBorders>
              <w:top w:val="nil"/>
              <w:left w:val="nil"/>
              <w:bottom w:val="nil"/>
              <w:right w:val="nil"/>
            </w:tcBorders>
            <w:shd w:val="clear" w:color="auto" w:fill="F2F2F2"/>
          </w:tcPr>
          <w:p w:rsidR="007275F7" w:rsidRDefault="007275F7" w:rsidP="00372F16">
            <w:pPr>
              <w:pStyle w:val="BoxSource"/>
              <w:spacing w:line="140" w:lineRule="exact"/>
              <w:rPr>
                <w:i/>
              </w:rPr>
            </w:pPr>
          </w:p>
        </w:tc>
      </w:tr>
    </w:tbl>
    <w:p w:rsidR="00666ECE" w:rsidRPr="007B0AE2" w:rsidRDefault="00666ECE" w:rsidP="007B0AE2">
      <w:pPr>
        <w:pStyle w:val="Heading3"/>
      </w:pPr>
      <w:r w:rsidRPr="007B0AE2">
        <w:lastRenderedPageBreak/>
        <w:t>Funding</w:t>
      </w:r>
    </w:p>
    <w:p w:rsidR="00666ECE" w:rsidRPr="00BF18A5" w:rsidRDefault="00666ECE" w:rsidP="004145D6">
      <w:pPr>
        <w:pStyle w:val="BodyText"/>
      </w:pPr>
      <w:r w:rsidRPr="00BF18A5">
        <w:t xml:space="preserve">Australian, State and Territory government recurrent expenditure on school </w:t>
      </w:r>
      <w:r w:rsidRPr="00032235">
        <w:rPr>
          <w:shd w:val="clear" w:color="auto" w:fill="FFFFFF" w:themeFill="background1"/>
        </w:rPr>
        <w:t xml:space="preserve">education was </w:t>
      </w:r>
      <w:r w:rsidRPr="0078036C">
        <w:rPr>
          <w:shd w:val="clear" w:color="auto" w:fill="FFFFFF" w:themeFill="background1"/>
        </w:rPr>
        <w:t>$</w:t>
      </w:r>
      <w:r w:rsidR="00BF18A5" w:rsidRPr="0078036C">
        <w:rPr>
          <w:shd w:val="clear" w:color="auto" w:fill="FFFFFF" w:themeFill="background1"/>
        </w:rPr>
        <w:t>47.</w:t>
      </w:r>
      <w:r w:rsidR="0078036C" w:rsidRPr="0078036C">
        <w:rPr>
          <w:shd w:val="clear" w:color="auto" w:fill="FFFFFF" w:themeFill="background1"/>
        </w:rPr>
        <w:t>9</w:t>
      </w:r>
      <w:r w:rsidRPr="00032235">
        <w:rPr>
          <w:shd w:val="clear" w:color="auto" w:fill="FFFFFF" w:themeFill="background1"/>
        </w:rPr>
        <w:t xml:space="preserve"> billion in 201</w:t>
      </w:r>
      <w:r w:rsidR="000674C4">
        <w:rPr>
          <w:shd w:val="clear" w:color="auto" w:fill="FFFFFF" w:themeFill="background1"/>
        </w:rPr>
        <w:t>2</w:t>
      </w:r>
      <w:r w:rsidRPr="00032235">
        <w:rPr>
          <w:shd w:val="clear" w:color="auto" w:fill="FFFFFF" w:themeFill="background1"/>
        </w:rPr>
        <w:t>-1</w:t>
      </w:r>
      <w:r w:rsidR="000674C4">
        <w:rPr>
          <w:shd w:val="clear" w:color="auto" w:fill="FFFFFF" w:themeFill="background1"/>
        </w:rPr>
        <w:t>3</w:t>
      </w:r>
      <w:r w:rsidRPr="00032235">
        <w:rPr>
          <w:shd w:val="clear" w:color="auto" w:fill="FFFFFF" w:themeFill="background1"/>
        </w:rPr>
        <w:t xml:space="preserve"> (table 4.1). Expenditure on government </w:t>
      </w:r>
      <w:r w:rsidRPr="008F46A2">
        <w:rPr>
          <w:shd w:val="clear" w:color="auto" w:fill="FFFFFF" w:themeFill="background1"/>
        </w:rPr>
        <w:t>schools was $</w:t>
      </w:r>
      <w:r w:rsidR="00613CE6" w:rsidRPr="008F46A2">
        <w:rPr>
          <w:shd w:val="clear" w:color="auto" w:fill="FFFFFF" w:themeFill="background1"/>
        </w:rPr>
        <w:t>3</w:t>
      </w:r>
      <w:r w:rsidR="00A308AF" w:rsidRPr="008F46A2">
        <w:rPr>
          <w:shd w:val="clear" w:color="auto" w:fill="FFFFFF" w:themeFill="background1"/>
        </w:rPr>
        <w:t>6</w:t>
      </w:r>
      <w:r w:rsidR="00613CE6" w:rsidRPr="008F46A2">
        <w:rPr>
          <w:shd w:val="clear" w:color="auto" w:fill="FFFFFF" w:themeFill="background1"/>
        </w:rPr>
        <w:t>.</w:t>
      </w:r>
      <w:r w:rsidR="008F46A2" w:rsidRPr="008F46A2">
        <w:rPr>
          <w:shd w:val="clear" w:color="auto" w:fill="FFFFFF" w:themeFill="background1"/>
        </w:rPr>
        <w:t>9</w:t>
      </w:r>
      <w:r w:rsidR="00613CE6" w:rsidRPr="008F46A2">
        <w:rPr>
          <w:shd w:val="clear" w:color="auto" w:fill="FFFFFF" w:themeFill="background1"/>
        </w:rPr>
        <w:t xml:space="preserve"> </w:t>
      </w:r>
      <w:r w:rsidRPr="008F46A2">
        <w:rPr>
          <w:shd w:val="clear" w:color="auto" w:fill="FFFFFF" w:themeFill="background1"/>
        </w:rPr>
        <w:t>billion,</w:t>
      </w:r>
      <w:r w:rsidRPr="00032235">
        <w:rPr>
          <w:shd w:val="clear" w:color="auto" w:fill="FFFFFF" w:themeFill="background1"/>
        </w:rPr>
        <w:t xml:space="preserve"> </w:t>
      </w:r>
      <w:r w:rsidRPr="0078036C">
        <w:rPr>
          <w:shd w:val="clear" w:color="auto" w:fill="FFFFFF" w:themeFill="background1"/>
        </w:rPr>
        <w:t xml:space="preserve">or </w:t>
      </w:r>
      <w:r w:rsidR="0078036C" w:rsidRPr="0078036C">
        <w:rPr>
          <w:shd w:val="clear" w:color="auto" w:fill="FFFFFF" w:themeFill="background1"/>
        </w:rPr>
        <w:t>76.9</w:t>
      </w:r>
      <w:r w:rsidRPr="0078036C">
        <w:rPr>
          <w:shd w:val="clear" w:color="auto" w:fill="FFFFFF" w:themeFill="background1"/>
        </w:rPr>
        <w:t xml:space="preserve"> per cent</w:t>
      </w:r>
      <w:r w:rsidRPr="00032235">
        <w:rPr>
          <w:shd w:val="clear" w:color="auto" w:fill="FFFFFF" w:themeFill="background1"/>
        </w:rPr>
        <w:t xml:space="preserve"> of total</w:t>
      </w:r>
      <w:r w:rsidR="002D7C16" w:rsidRPr="00032235">
        <w:rPr>
          <w:shd w:val="clear" w:color="auto" w:fill="FFFFFF" w:themeFill="background1"/>
        </w:rPr>
        <w:t xml:space="preserve"> government recurrent expenditure on school education</w:t>
      </w:r>
      <w:r w:rsidRPr="00032235">
        <w:rPr>
          <w:shd w:val="clear" w:color="auto" w:fill="FFFFFF" w:themeFill="background1"/>
        </w:rPr>
        <w:t>. Government schools account</w:t>
      </w:r>
      <w:r w:rsidRPr="00BF18A5">
        <w:t xml:space="preserve"> for most of the expenditure by State and Territory governments</w:t>
      </w:r>
      <w:r w:rsidR="00D51826">
        <w:t>, although t</w:t>
      </w:r>
      <w:r w:rsidRPr="00BF18A5">
        <w:t xml:space="preserve">hese governments also contribute to the funding of non-government schools and provide services used by both government and non-government schools. </w:t>
      </w:r>
    </w:p>
    <w:p w:rsidR="00666ECE" w:rsidRPr="00BF18A5" w:rsidRDefault="00666ECE" w:rsidP="004145D6">
      <w:pPr>
        <w:pStyle w:val="BodyText"/>
      </w:pPr>
      <w:r w:rsidRPr="00BF18A5">
        <w:t xml:space="preserve">Nationally, State and Territory governments </w:t>
      </w:r>
      <w:r w:rsidRPr="00BF18A5">
        <w:rPr>
          <w:shd w:val="clear" w:color="auto" w:fill="FFFFFF" w:themeFill="background1"/>
        </w:rPr>
        <w:t xml:space="preserve">provided </w:t>
      </w:r>
      <w:r w:rsidR="00BF18A5" w:rsidRPr="0078036C">
        <w:rPr>
          <w:shd w:val="clear" w:color="auto" w:fill="FFFFFF" w:themeFill="background1"/>
        </w:rPr>
        <w:t>87.</w:t>
      </w:r>
      <w:r w:rsidR="0078036C" w:rsidRPr="0078036C">
        <w:rPr>
          <w:shd w:val="clear" w:color="auto" w:fill="FFFFFF" w:themeFill="background1"/>
        </w:rPr>
        <w:t>8</w:t>
      </w:r>
      <w:r w:rsidRPr="0078036C">
        <w:rPr>
          <w:shd w:val="clear" w:color="auto" w:fill="FFFFFF" w:themeFill="background1"/>
        </w:rPr>
        <w:t xml:space="preserve"> per cent of total government recurrent expenditure on government schools in </w:t>
      </w:r>
      <w:r w:rsidR="004F2DCF" w:rsidRPr="0078036C">
        <w:rPr>
          <w:shd w:val="clear" w:color="auto" w:fill="FFFFFF" w:themeFill="background1"/>
        </w:rPr>
        <w:t>201</w:t>
      </w:r>
      <w:r w:rsidR="000674C4" w:rsidRPr="0078036C">
        <w:rPr>
          <w:shd w:val="clear" w:color="auto" w:fill="FFFFFF" w:themeFill="background1"/>
        </w:rPr>
        <w:t>2</w:t>
      </w:r>
      <w:r w:rsidR="004F2DCF" w:rsidRPr="0078036C">
        <w:rPr>
          <w:shd w:val="clear" w:color="auto" w:fill="FFFFFF" w:themeFill="background1"/>
        </w:rPr>
        <w:t>-1</w:t>
      </w:r>
      <w:r w:rsidR="000674C4" w:rsidRPr="0078036C">
        <w:rPr>
          <w:shd w:val="clear" w:color="auto" w:fill="FFFFFF" w:themeFill="background1"/>
        </w:rPr>
        <w:t>3</w:t>
      </w:r>
      <w:r w:rsidRPr="0078036C">
        <w:rPr>
          <w:shd w:val="clear" w:color="auto" w:fill="FFFFFF" w:themeFill="background1"/>
        </w:rPr>
        <w:t xml:space="preserve">, and the Australian Government provided </w:t>
      </w:r>
      <w:r w:rsidR="00BF18A5" w:rsidRPr="0078036C">
        <w:rPr>
          <w:shd w:val="clear" w:color="auto" w:fill="FFFFFF" w:themeFill="background1"/>
        </w:rPr>
        <w:t>12.</w:t>
      </w:r>
      <w:r w:rsidR="0078036C" w:rsidRPr="0078036C">
        <w:rPr>
          <w:shd w:val="clear" w:color="auto" w:fill="FFFFFF" w:themeFill="background1"/>
        </w:rPr>
        <w:t>2</w:t>
      </w:r>
      <w:r w:rsidRPr="0078036C">
        <w:rPr>
          <w:shd w:val="clear" w:color="auto" w:fill="FFFFFF" w:themeFill="background1"/>
        </w:rPr>
        <w:t xml:space="preserve"> per cent. In contrast, government expenditure on non-government schools in that year was mainly provided by the Australian Government (</w:t>
      </w:r>
      <w:r w:rsidR="00BF18A5" w:rsidRPr="0078036C">
        <w:rPr>
          <w:shd w:val="clear" w:color="auto" w:fill="FFFFFF" w:themeFill="background1"/>
        </w:rPr>
        <w:t>73.</w:t>
      </w:r>
      <w:r w:rsidR="0078036C" w:rsidRPr="0078036C">
        <w:rPr>
          <w:shd w:val="clear" w:color="auto" w:fill="FFFFFF" w:themeFill="background1"/>
        </w:rPr>
        <w:t>0</w:t>
      </w:r>
      <w:r w:rsidRPr="0078036C">
        <w:rPr>
          <w:shd w:val="clear" w:color="auto" w:fill="FFFFFF" w:themeFill="background1"/>
        </w:rPr>
        <w:t xml:space="preserve"> per cent), with State and Territory governments providing </w:t>
      </w:r>
      <w:r w:rsidR="0078036C" w:rsidRPr="0078036C">
        <w:rPr>
          <w:shd w:val="clear" w:color="auto" w:fill="FFFFFF" w:themeFill="background1"/>
        </w:rPr>
        <w:t>27.0</w:t>
      </w:r>
      <w:r w:rsidRPr="0078036C">
        <w:rPr>
          <w:shd w:val="clear" w:color="auto" w:fill="FFFFFF" w:themeFill="background1"/>
        </w:rPr>
        <w:t> per cent (table</w:t>
      </w:r>
      <w:r w:rsidRPr="00BF18A5">
        <w:rPr>
          <w:shd w:val="clear" w:color="auto" w:fill="FFFFFF" w:themeFill="background1"/>
        </w:rPr>
        <w:t xml:space="preserve"> 4.1).</w:t>
      </w:r>
    </w:p>
    <w:p w:rsidR="009807CA" w:rsidRDefault="00666ECE" w:rsidP="004145D6">
      <w:pPr>
        <w:pStyle w:val="BodyText"/>
      </w:pPr>
      <w:r w:rsidRPr="00666ECE">
        <w:t xml:space="preserve">More information </w:t>
      </w:r>
      <w:r w:rsidR="002D7C16">
        <w:t xml:space="preserve">on funding and expenditure </w:t>
      </w:r>
      <w:r w:rsidRPr="00666ECE">
        <w:t xml:space="preserve">can be found in tables </w:t>
      </w:r>
      <w:proofErr w:type="spellStart"/>
      <w:r w:rsidRPr="002E2217">
        <w:t>4A.7</w:t>
      </w:r>
      <w:proofErr w:type="spellEnd"/>
      <w:r w:rsidR="009807CA">
        <w:t>–9.</w:t>
      </w:r>
    </w:p>
    <w:p w:rsidR="00271DC3" w:rsidRDefault="00271DC3" w:rsidP="00525589">
      <w:pPr>
        <w:pStyle w:val="BoxSpaceAbove"/>
      </w:pPr>
      <w:bookmarkStart w:id="7" w:name="OLE_LINK76"/>
      <w:bookmarkStart w:id="8" w:name="OLE_LINK77"/>
      <w:bookmarkStart w:id="9" w:name="OLE_LINK30"/>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909"/>
      </w:tblGrid>
      <w:tr w:rsidR="00271DC3" w:rsidTr="00525589">
        <w:tc>
          <w:tcPr>
            <w:tcW w:w="8771" w:type="dxa"/>
            <w:tcBorders>
              <w:top w:val="single" w:sz="6" w:space="0" w:color="78A22F"/>
              <w:left w:val="nil"/>
              <w:bottom w:val="nil"/>
              <w:right w:val="nil"/>
            </w:tcBorders>
            <w:shd w:val="clear" w:color="auto" w:fill="auto"/>
          </w:tcPr>
          <w:p w:rsidR="00271DC3" w:rsidRPr="00784A05" w:rsidRDefault="00271DC3" w:rsidP="00271DC3">
            <w:pPr>
              <w:pStyle w:val="TableTitle"/>
            </w:pPr>
            <w:r>
              <w:rPr>
                <w:b w:val="0"/>
              </w:rPr>
              <w:t xml:space="preserve">Table </w:t>
            </w:r>
            <w:r w:rsidR="00B70781">
              <w:rPr>
                <w:b w:val="0"/>
              </w:rPr>
              <w:t>4.</w:t>
            </w:r>
            <w:r w:rsidR="005953B6">
              <w:rPr>
                <w:b w:val="0"/>
                <w:noProof/>
              </w:rPr>
              <w:t>1</w:t>
            </w:r>
            <w:r>
              <w:tab/>
            </w:r>
            <w:r w:rsidRPr="00271DC3">
              <w:t xml:space="preserve">Government recurrent expenditure on school education, </w:t>
            </w:r>
            <w:r w:rsidRPr="00271DC3">
              <w:br/>
              <w:t>2012-13 ($ million)</w:t>
            </w:r>
            <w:r w:rsidRPr="00271DC3">
              <w:rPr>
                <w:rStyle w:val="NoteLabel"/>
                <w:b/>
              </w:rPr>
              <w:t>a, b, c, d</w:t>
            </w:r>
          </w:p>
        </w:tc>
      </w:tr>
      <w:tr w:rsidR="00271DC3" w:rsidTr="00525589">
        <w:trPr>
          <w:cantSplit/>
        </w:trPr>
        <w:tc>
          <w:tcPr>
            <w:tcW w:w="8771" w:type="dxa"/>
            <w:tcBorders>
              <w:top w:val="nil"/>
              <w:left w:val="nil"/>
              <w:bottom w:val="nil"/>
              <w:right w:val="nil"/>
            </w:tcBorders>
            <w:shd w:val="clear" w:color="auto" w:fill="auto"/>
          </w:tcPr>
          <w:tbl>
            <w:tblPr>
              <w:tblW w:w="8790" w:type="dxa"/>
              <w:tblCellMar>
                <w:left w:w="0" w:type="dxa"/>
                <w:right w:w="0" w:type="dxa"/>
              </w:tblCellMar>
              <w:tblLook w:val="0000" w:firstRow="0" w:lastRow="0" w:firstColumn="0" w:lastColumn="0" w:noHBand="0" w:noVBand="0"/>
            </w:tblPr>
            <w:tblGrid>
              <w:gridCol w:w="2268"/>
              <w:gridCol w:w="851"/>
              <w:gridCol w:w="828"/>
              <w:gridCol w:w="731"/>
              <w:gridCol w:w="709"/>
              <w:gridCol w:w="709"/>
              <w:gridCol w:w="686"/>
              <w:gridCol w:w="584"/>
              <w:gridCol w:w="572"/>
              <w:gridCol w:w="852"/>
            </w:tblGrid>
            <w:tr w:rsidR="00271DC3" w:rsidRPr="00D612DE" w:rsidTr="00C348A4">
              <w:tc>
                <w:tcPr>
                  <w:tcW w:w="2268" w:type="dxa"/>
                  <w:tcBorders>
                    <w:top w:val="single" w:sz="6" w:space="0" w:color="auto"/>
                    <w:bottom w:val="single" w:sz="6" w:space="0" w:color="auto"/>
                  </w:tcBorders>
                  <w:shd w:val="clear" w:color="auto" w:fill="auto"/>
                </w:tcPr>
                <w:p w:rsidR="00271DC3" w:rsidRPr="00D612DE" w:rsidRDefault="00271DC3" w:rsidP="00525589">
                  <w:pPr>
                    <w:keepNext/>
                    <w:keepLines/>
                    <w:spacing w:before="80" w:after="80" w:line="220" w:lineRule="atLeast"/>
                    <w:ind w:left="6" w:right="113"/>
                    <w:rPr>
                      <w:rFonts w:ascii="Arial" w:hAnsi="Arial"/>
                      <w:i/>
                      <w:sz w:val="20"/>
                      <w:szCs w:val="20"/>
                    </w:rPr>
                  </w:pPr>
                </w:p>
              </w:tc>
              <w:tc>
                <w:tcPr>
                  <w:tcW w:w="851" w:type="dxa"/>
                  <w:tcBorders>
                    <w:top w:val="single" w:sz="6" w:space="0" w:color="auto"/>
                    <w:bottom w:val="single" w:sz="6" w:space="0" w:color="auto"/>
                  </w:tcBorders>
                  <w:shd w:val="clear" w:color="auto" w:fill="auto"/>
                </w:tcPr>
                <w:p w:rsidR="00271DC3" w:rsidRPr="009A52FC" w:rsidRDefault="00271DC3" w:rsidP="00525589">
                  <w:pPr>
                    <w:pStyle w:val="TableColumnHeading"/>
                  </w:pPr>
                  <w:r w:rsidRPr="009A52FC">
                    <w:t>NSW</w:t>
                  </w:r>
                </w:p>
              </w:tc>
              <w:tc>
                <w:tcPr>
                  <w:tcW w:w="828" w:type="dxa"/>
                  <w:tcBorders>
                    <w:top w:val="single" w:sz="6" w:space="0" w:color="auto"/>
                    <w:bottom w:val="single" w:sz="6" w:space="0" w:color="auto"/>
                  </w:tcBorders>
                  <w:shd w:val="clear" w:color="auto" w:fill="auto"/>
                </w:tcPr>
                <w:p w:rsidR="00271DC3" w:rsidRPr="009A52FC" w:rsidRDefault="00271DC3" w:rsidP="00525589">
                  <w:pPr>
                    <w:pStyle w:val="TableColumnHeading"/>
                  </w:pPr>
                  <w:r w:rsidRPr="009A52FC">
                    <w:t>Vic</w:t>
                  </w:r>
                </w:p>
              </w:tc>
              <w:tc>
                <w:tcPr>
                  <w:tcW w:w="731" w:type="dxa"/>
                  <w:tcBorders>
                    <w:top w:val="single" w:sz="6" w:space="0" w:color="auto"/>
                    <w:bottom w:val="single" w:sz="6" w:space="0" w:color="auto"/>
                  </w:tcBorders>
                  <w:shd w:val="clear" w:color="auto" w:fill="auto"/>
                </w:tcPr>
                <w:p w:rsidR="00271DC3" w:rsidRPr="009A52FC" w:rsidRDefault="00271DC3" w:rsidP="00525589">
                  <w:pPr>
                    <w:pStyle w:val="TableColumnHeading"/>
                  </w:pPr>
                  <w:r w:rsidRPr="009A52FC">
                    <w:t>Qld</w:t>
                  </w:r>
                </w:p>
              </w:tc>
              <w:tc>
                <w:tcPr>
                  <w:tcW w:w="709" w:type="dxa"/>
                  <w:tcBorders>
                    <w:top w:val="single" w:sz="6" w:space="0" w:color="auto"/>
                    <w:bottom w:val="single" w:sz="6" w:space="0" w:color="auto"/>
                  </w:tcBorders>
                  <w:shd w:val="clear" w:color="auto" w:fill="auto"/>
                </w:tcPr>
                <w:p w:rsidR="00271DC3" w:rsidRPr="009A52FC" w:rsidRDefault="00271DC3" w:rsidP="00525589">
                  <w:pPr>
                    <w:pStyle w:val="TableColumnHeading"/>
                  </w:pPr>
                  <w:r w:rsidRPr="009A52FC">
                    <w:t>WA</w:t>
                  </w:r>
                </w:p>
              </w:tc>
              <w:tc>
                <w:tcPr>
                  <w:tcW w:w="709" w:type="dxa"/>
                  <w:tcBorders>
                    <w:top w:val="single" w:sz="6" w:space="0" w:color="auto"/>
                    <w:bottom w:val="single" w:sz="6" w:space="0" w:color="auto"/>
                  </w:tcBorders>
                  <w:shd w:val="clear" w:color="auto" w:fill="auto"/>
                </w:tcPr>
                <w:p w:rsidR="00271DC3" w:rsidRPr="009A52FC" w:rsidRDefault="00271DC3" w:rsidP="00525589">
                  <w:pPr>
                    <w:pStyle w:val="TableColumnHeading"/>
                  </w:pPr>
                  <w:r w:rsidRPr="009A52FC">
                    <w:t>SA</w:t>
                  </w:r>
                </w:p>
              </w:tc>
              <w:tc>
                <w:tcPr>
                  <w:tcW w:w="686" w:type="dxa"/>
                  <w:tcBorders>
                    <w:top w:val="single" w:sz="6" w:space="0" w:color="auto"/>
                    <w:bottom w:val="single" w:sz="6" w:space="0" w:color="auto"/>
                  </w:tcBorders>
                  <w:shd w:val="clear" w:color="auto" w:fill="auto"/>
                </w:tcPr>
                <w:p w:rsidR="00271DC3" w:rsidRPr="009A52FC" w:rsidRDefault="00271DC3" w:rsidP="00525589">
                  <w:pPr>
                    <w:pStyle w:val="TableColumnHeading"/>
                  </w:pPr>
                  <w:r w:rsidRPr="009A52FC">
                    <w:t>Tas</w:t>
                  </w:r>
                </w:p>
              </w:tc>
              <w:tc>
                <w:tcPr>
                  <w:tcW w:w="584" w:type="dxa"/>
                  <w:tcBorders>
                    <w:top w:val="single" w:sz="6" w:space="0" w:color="auto"/>
                    <w:bottom w:val="single" w:sz="6" w:space="0" w:color="auto"/>
                  </w:tcBorders>
                  <w:shd w:val="clear" w:color="auto" w:fill="auto"/>
                </w:tcPr>
                <w:p w:rsidR="00271DC3" w:rsidRPr="009A52FC" w:rsidRDefault="00271DC3" w:rsidP="00525589">
                  <w:pPr>
                    <w:pStyle w:val="TableColumnHeading"/>
                  </w:pPr>
                  <w:r w:rsidRPr="009A52FC">
                    <w:t>ACT</w:t>
                  </w:r>
                </w:p>
              </w:tc>
              <w:tc>
                <w:tcPr>
                  <w:tcW w:w="572" w:type="dxa"/>
                  <w:tcBorders>
                    <w:top w:val="single" w:sz="6" w:space="0" w:color="auto"/>
                    <w:bottom w:val="single" w:sz="6" w:space="0" w:color="auto"/>
                  </w:tcBorders>
                  <w:shd w:val="clear" w:color="auto" w:fill="auto"/>
                </w:tcPr>
                <w:p w:rsidR="00271DC3" w:rsidRPr="009A52FC" w:rsidRDefault="00271DC3" w:rsidP="00525589">
                  <w:pPr>
                    <w:pStyle w:val="TableColumnHeading"/>
                  </w:pPr>
                  <w:r w:rsidRPr="009A52FC">
                    <w:t>NT</w:t>
                  </w:r>
                </w:p>
              </w:tc>
              <w:tc>
                <w:tcPr>
                  <w:tcW w:w="852" w:type="dxa"/>
                  <w:tcBorders>
                    <w:top w:val="single" w:sz="6" w:space="0" w:color="auto"/>
                    <w:bottom w:val="single" w:sz="6" w:space="0" w:color="auto"/>
                  </w:tcBorders>
                  <w:shd w:val="clear" w:color="auto" w:fill="auto"/>
                </w:tcPr>
                <w:p w:rsidR="00271DC3" w:rsidRPr="009A52FC" w:rsidRDefault="00271DC3" w:rsidP="00525589">
                  <w:pPr>
                    <w:pStyle w:val="TableColumnHeading"/>
                  </w:pPr>
                  <w:proofErr w:type="spellStart"/>
                  <w:r w:rsidRPr="009A52FC">
                    <w:t>Aust</w:t>
                  </w:r>
                  <w:proofErr w:type="spellEnd"/>
                </w:p>
              </w:tc>
            </w:tr>
            <w:tr w:rsidR="00271DC3" w:rsidRPr="00EB256F" w:rsidTr="00C348A4">
              <w:tc>
                <w:tcPr>
                  <w:tcW w:w="2268" w:type="dxa"/>
                </w:tcPr>
                <w:p w:rsidR="00271DC3" w:rsidRPr="00EF378C" w:rsidRDefault="00271DC3" w:rsidP="00EF378C">
                  <w:pPr>
                    <w:pStyle w:val="TableUnitsRow"/>
                    <w:jc w:val="left"/>
                    <w:rPr>
                      <w:b/>
                    </w:rPr>
                  </w:pPr>
                  <w:r w:rsidRPr="00EF378C">
                    <w:rPr>
                      <w:b/>
                    </w:rPr>
                    <w:t>Government schools</w:t>
                  </w:r>
                </w:p>
              </w:tc>
              <w:tc>
                <w:tcPr>
                  <w:tcW w:w="851" w:type="dxa"/>
                </w:tcPr>
                <w:p w:rsidR="00271DC3" w:rsidRPr="009A52FC" w:rsidRDefault="00271DC3" w:rsidP="00525589">
                  <w:pPr>
                    <w:keepNext/>
                    <w:keepLines/>
                    <w:spacing w:after="40" w:line="220" w:lineRule="atLeast"/>
                    <w:ind w:left="6" w:right="113"/>
                    <w:jc w:val="right"/>
                    <w:rPr>
                      <w:rFonts w:ascii="Arial" w:hAnsi="Arial"/>
                      <w:sz w:val="20"/>
                      <w:szCs w:val="20"/>
                      <w:highlight w:val="red"/>
                    </w:rPr>
                  </w:pPr>
                </w:p>
              </w:tc>
              <w:tc>
                <w:tcPr>
                  <w:tcW w:w="828" w:type="dxa"/>
                </w:tcPr>
                <w:p w:rsidR="00271DC3" w:rsidRPr="009A52FC" w:rsidRDefault="00271DC3" w:rsidP="00525589">
                  <w:pPr>
                    <w:keepNext/>
                    <w:keepLines/>
                    <w:spacing w:after="40" w:line="220" w:lineRule="atLeast"/>
                    <w:ind w:left="6" w:right="113"/>
                    <w:jc w:val="right"/>
                    <w:rPr>
                      <w:rFonts w:ascii="Arial" w:hAnsi="Arial"/>
                      <w:sz w:val="20"/>
                      <w:szCs w:val="20"/>
                      <w:highlight w:val="red"/>
                    </w:rPr>
                  </w:pPr>
                </w:p>
              </w:tc>
              <w:tc>
                <w:tcPr>
                  <w:tcW w:w="731" w:type="dxa"/>
                </w:tcPr>
                <w:p w:rsidR="00271DC3" w:rsidRPr="009A52FC" w:rsidRDefault="00271DC3" w:rsidP="00525589">
                  <w:pPr>
                    <w:keepNext/>
                    <w:keepLines/>
                    <w:spacing w:after="40" w:line="220" w:lineRule="atLeast"/>
                    <w:ind w:left="6" w:right="113"/>
                    <w:jc w:val="right"/>
                    <w:rPr>
                      <w:rFonts w:ascii="Arial" w:hAnsi="Arial"/>
                      <w:sz w:val="20"/>
                      <w:szCs w:val="20"/>
                      <w:highlight w:val="red"/>
                    </w:rPr>
                  </w:pPr>
                </w:p>
              </w:tc>
              <w:tc>
                <w:tcPr>
                  <w:tcW w:w="709" w:type="dxa"/>
                </w:tcPr>
                <w:p w:rsidR="00271DC3" w:rsidRPr="009A52FC" w:rsidRDefault="00271DC3" w:rsidP="00525589">
                  <w:pPr>
                    <w:keepNext/>
                    <w:keepLines/>
                    <w:spacing w:after="40" w:line="220" w:lineRule="atLeast"/>
                    <w:ind w:left="6" w:right="113"/>
                    <w:jc w:val="right"/>
                    <w:rPr>
                      <w:rFonts w:ascii="Arial" w:hAnsi="Arial"/>
                      <w:sz w:val="20"/>
                      <w:szCs w:val="20"/>
                      <w:highlight w:val="red"/>
                    </w:rPr>
                  </w:pPr>
                </w:p>
              </w:tc>
              <w:tc>
                <w:tcPr>
                  <w:tcW w:w="709" w:type="dxa"/>
                </w:tcPr>
                <w:p w:rsidR="00271DC3" w:rsidRPr="009A52FC" w:rsidRDefault="00271DC3" w:rsidP="00525589">
                  <w:pPr>
                    <w:keepNext/>
                    <w:keepLines/>
                    <w:spacing w:after="40" w:line="220" w:lineRule="atLeast"/>
                    <w:ind w:left="6" w:right="113"/>
                    <w:jc w:val="right"/>
                    <w:rPr>
                      <w:rFonts w:ascii="Arial" w:hAnsi="Arial"/>
                      <w:sz w:val="20"/>
                      <w:szCs w:val="20"/>
                      <w:highlight w:val="red"/>
                    </w:rPr>
                  </w:pPr>
                </w:p>
              </w:tc>
              <w:tc>
                <w:tcPr>
                  <w:tcW w:w="686" w:type="dxa"/>
                </w:tcPr>
                <w:p w:rsidR="00271DC3" w:rsidRPr="009A52FC" w:rsidRDefault="00271DC3" w:rsidP="00525589">
                  <w:pPr>
                    <w:keepNext/>
                    <w:keepLines/>
                    <w:spacing w:after="40" w:line="220" w:lineRule="atLeast"/>
                    <w:ind w:left="6" w:right="113"/>
                    <w:jc w:val="right"/>
                    <w:rPr>
                      <w:rFonts w:ascii="Arial" w:hAnsi="Arial"/>
                      <w:sz w:val="20"/>
                      <w:szCs w:val="20"/>
                      <w:highlight w:val="red"/>
                    </w:rPr>
                  </w:pPr>
                </w:p>
              </w:tc>
              <w:tc>
                <w:tcPr>
                  <w:tcW w:w="584" w:type="dxa"/>
                </w:tcPr>
                <w:p w:rsidR="00271DC3" w:rsidRPr="009A52FC" w:rsidRDefault="00271DC3" w:rsidP="00525589">
                  <w:pPr>
                    <w:keepNext/>
                    <w:keepLines/>
                    <w:spacing w:after="40" w:line="220" w:lineRule="atLeast"/>
                    <w:ind w:left="6" w:right="113"/>
                    <w:jc w:val="right"/>
                    <w:rPr>
                      <w:rFonts w:ascii="Arial" w:hAnsi="Arial"/>
                      <w:sz w:val="20"/>
                      <w:szCs w:val="20"/>
                      <w:highlight w:val="red"/>
                    </w:rPr>
                  </w:pPr>
                </w:p>
              </w:tc>
              <w:tc>
                <w:tcPr>
                  <w:tcW w:w="572" w:type="dxa"/>
                </w:tcPr>
                <w:p w:rsidR="00271DC3" w:rsidRPr="009A52FC" w:rsidRDefault="00271DC3" w:rsidP="00525589">
                  <w:pPr>
                    <w:keepNext/>
                    <w:keepLines/>
                    <w:spacing w:after="40" w:line="220" w:lineRule="atLeast"/>
                    <w:ind w:left="6" w:right="113"/>
                    <w:jc w:val="right"/>
                    <w:rPr>
                      <w:rFonts w:ascii="Arial" w:hAnsi="Arial"/>
                      <w:sz w:val="20"/>
                      <w:szCs w:val="20"/>
                      <w:highlight w:val="red"/>
                    </w:rPr>
                  </w:pPr>
                </w:p>
              </w:tc>
              <w:tc>
                <w:tcPr>
                  <w:tcW w:w="852" w:type="dxa"/>
                </w:tcPr>
                <w:p w:rsidR="00271DC3" w:rsidRPr="009A52FC" w:rsidRDefault="00271DC3" w:rsidP="00525589">
                  <w:pPr>
                    <w:keepNext/>
                    <w:keepLines/>
                    <w:spacing w:after="40" w:line="220" w:lineRule="atLeast"/>
                    <w:ind w:left="6" w:right="113"/>
                    <w:jc w:val="right"/>
                    <w:rPr>
                      <w:rFonts w:ascii="Arial" w:hAnsi="Arial"/>
                      <w:sz w:val="20"/>
                      <w:szCs w:val="20"/>
                      <w:highlight w:val="red"/>
                    </w:rPr>
                  </w:pPr>
                </w:p>
              </w:tc>
            </w:tr>
            <w:tr w:rsidR="00271DC3" w:rsidRPr="00EB256F" w:rsidTr="0078036C">
              <w:tc>
                <w:tcPr>
                  <w:tcW w:w="2268" w:type="dxa"/>
                  <w:shd w:val="clear" w:color="auto" w:fill="FFFFFF" w:themeFill="background1"/>
                </w:tcPr>
                <w:p w:rsidR="00271DC3" w:rsidRPr="00D612DE" w:rsidRDefault="00271DC3" w:rsidP="00EF378C">
                  <w:pPr>
                    <w:pStyle w:val="TableUnitsRow"/>
                    <w:jc w:val="left"/>
                  </w:pPr>
                  <w:r w:rsidRPr="00D612DE">
                    <w:t>Australian Government</w:t>
                  </w:r>
                </w:p>
              </w:tc>
              <w:tc>
                <w:tcPr>
                  <w:tcW w:w="851" w:type="dxa"/>
                  <w:shd w:val="clear" w:color="auto" w:fill="FFFFFF" w:themeFill="background1"/>
                  <w:vAlign w:val="center"/>
                </w:tcPr>
                <w:p w:rsidR="00271DC3" w:rsidRDefault="00271DC3" w:rsidP="00271DC3">
                  <w:pPr>
                    <w:pStyle w:val="TableBodyText"/>
                  </w:pPr>
                  <w:r>
                    <w:t>1 481</w:t>
                  </w:r>
                </w:p>
              </w:tc>
              <w:tc>
                <w:tcPr>
                  <w:tcW w:w="828" w:type="dxa"/>
                  <w:shd w:val="clear" w:color="auto" w:fill="FFFFFF" w:themeFill="background1"/>
                  <w:vAlign w:val="center"/>
                </w:tcPr>
                <w:p w:rsidR="00271DC3" w:rsidRDefault="00271DC3" w:rsidP="00271DC3">
                  <w:pPr>
                    <w:pStyle w:val="TableBodyText"/>
                  </w:pPr>
                  <w:r>
                    <w:t>1 011</w:t>
                  </w:r>
                </w:p>
              </w:tc>
              <w:tc>
                <w:tcPr>
                  <w:tcW w:w="731" w:type="dxa"/>
                  <w:shd w:val="clear" w:color="auto" w:fill="FFFFFF" w:themeFill="background1"/>
                  <w:vAlign w:val="center"/>
                </w:tcPr>
                <w:p w:rsidR="00271DC3" w:rsidRDefault="00271DC3" w:rsidP="00271DC3">
                  <w:pPr>
                    <w:pStyle w:val="TableBodyText"/>
                  </w:pPr>
                  <w:r>
                    <w:t xml:space="preserve"> 915 </w:t>
                  </w:r>
                </w:p>
              </w:tc>
              <w:tc>
                <w:tcPr>
                  <w:tcW w:w="709" w:type="dxa"/>
                  <w:shd w:val="clear" w:color="auto" w:fill="FFFFFF" w:themeFill="background1"/>
                  <w:vAlign w:val="center"/>
                </w:tcPr>
                <w:p w:rsidR="00271DC3" w:rsidRDefault="00271DC3" w:rsidP="0078036C">
                  <w:pPr>
                    <w:pStyle w:val="TableBodyText"/>
                  </w:pPr>
                  <w:r>
                    <w:t xml:space="preserve"> 4</w:t>
                  </w:r>
                  <w:r w:rsidR="0078036C">
                    <w:t>46</w:t>
                  </w:r>
                </w:p>
              </w:tc>
              <w:tc>
                <w:tcPr>
                  <w:tcW w:w="709" w:type="dxa"/>
                  <w:shd w:val="clear" w:color="auto" w:fill="FFFFFF" w:themeFill="background1"/>
                  <w:vAlign w:val="center"/>
                </w:tcPr>
                <w:p w:rsidR="00271DC3" w:rsidRDefault="00271DC3" w:rsidP="00271DC3">
                  <w:pPr>
                    <w:pStyle w:val="TableBodyText"/>
                  </w:pPr>
                  <w:r>
                    <w:t xml:space="preserve"> 342</w:t>
                  </w:r>
                </w:p>
              </w:tc>
              <w:tc>
                <w:tcPr>
                  <w:tcW w:w="686" w:type="dxa"/>
                  <w:shd w:val="clear" w:color="auto" w:fill="FFFFFF" w:themeFill="background1"/>
                  <w:vAlign w:val="center"/>
                </w:tcPr>
                <w:p w:rsidR="00271DC3" w:rsidRDefault="00271DC3" w:rsidP="00271DC3">
                  <w:pPr>
                    <w:pStyle w:val="TableBodyText"/>
                  </w:pPr>
                  <w:r>
                    <w:t xml:space="preserve"> 123</w:t>
                  </w:r>
                </w:p>
              </w:tc>
              <w:tc>
                <w:tcPr>
                  <w:tcW w:w="584" w:type="dxa"/>
                  <w:shd w:val="clear" w:color="auto" w:fill="FFFFFF" w:themeFill="background1"/>
                  <w:vAlign w:val="center"/>
                </w:tcPr>
                <w:p w:rsidR="00271DC3" w:rsidRDefault="00271DC3" w:rsidP="00271DC3">
                  <w:pPr>
                    <w:pStyle w:val="TableBodyText"/>
                  </w:pPr>
                  <w:r>
                    <w:t xml:space="preserve"> 63</w:t>
                  </w:r>
                </w:p>
              </w:tc>
              <w:tc>
                <w:tcPr>
                  <w:tcW w:w="572" w:type="dxa"/>
                  <w:shd w:val="clear" w:color="auto" w:fill="FFFFFF" w:themeFill="background1"/>
                  <w:vAlign w:val="center"/>
                </w:tcPr>
                <w:p w:rsidR="00271DC3" w:rsidRDefault="00271DC3" w:rsidP="00271DC3">
                  <w:pPr>
                    <w:pStyle w:val="TableBodyText"/>
                  </w:pPr>
                  <w:r>
                    <w:t xml:space="preserve"> 114</w:t>
                  </w:r>
                </w:p>
              </w:tc>
              <w:tc>
                <w:tcPr>
                  <w:tcW w:w="852" w:type="dxa"/>
                  <w:shd w:val="clear" w:color="auto" w:fill="FFFFFF" w:themeFill="background1"/>
                  <w:vAlign w:val="center"/>
                </w:tcPr>
                <w:p w:rsidR="00271DC3" w:rsidRDefault="00271DC3" w:rsidP="0078036C">
                  <w:pPr>
                    <w:pStyle w:val="TableBodyText"/>
                  </w:pPr>
                  <w:r>
                    <w:t>4 4</w:t>
                  </w:r>
                  <w:r w:rsidR="0078036C">
                    <w:t>95</w:t>
                  </w:r>
                </w:p>
              </w:tc>
            </w:tr>
            <w:tr w:rsidR="00271DC3" w:rsidRPr="00EB256F" w:rsidTr="0078036C">
              <w:tc>
                <w:tcPr>
                  <w:tcW w:w="2268" w:type="dxa"/>
                  <w:shd w:val="clear" w:color="auto" w:fill="FFFFFF" w:themeFill="background1"/>
                </w:tcPr>
                <w:p w:rsidR="00271DC3" w:rsidRPr="00D612DE" w:rsidRDefault="00271DC3" w:rsidP="00EF378C">
                  <w:pPr>
                    <w:pStyle w:val="TableUnitsRow"/>
                    <w:jc w:val="left"/>
                  </w:pPr>
                  <w:r w:rsidRPr="00D612DE">
                    <w:t>State and Territory governments</w:t>
                  </w:r>
                </w:p>
              </w:tc>
              <w:tc>
                <w:tcPr>
                  <w:tcW w:w="851" w:type="dxa"/>
                  <w:shd w:val="clear" w:color="auto" w:fill="FFFFFF" w:themeFill="background1"/>
                  <w:vAlign w:val="center"/>
                </w:tcPr>
                <w:p w:rsidR="00271DC3" w:rsidRDefault="00271DC3" w:rsidP="00271DC3">
                  <w:pPr>
                    <w:pStyle w:val="TableBodyText"/>
                  </w:pPr>
                  <w:r>
                    <w:t>10 100</w:t>
                  </w:r>
                </w:p>
              </w:tc>
              <w:tc>
                <w:tcPr>
                  <w:tcW w:w="828" w:type="dxa"/>
                  <w:shd w:val="clear" w:color="auto" w:fill="FFFFFF" w:themeFill="background1"/>
                  <w:vAlign w:val="center"/>
                </w:tcPr>
                <w:p w:rsidR="00271DC3" w:rsidRDefault="00271DC3" w:rsidP="00271DC3">
                  <w:pPr>
                    <w:pStyle w:val="TableBodyText"/>
                  </w:pPr>
                  <w:r>
                    <w:t>6 580</w:t>
                  </w:r>
                </w:p>
              </w:tc>
              <w:tc>
                <w:tcPr>
                  <w:tcW w:w="731" w:type="dxa"/>
                  <w:shd w:val="clear" w:color="auto" w:fill="FFFFFF" w:themeFill="background1"/>
                  <w:vAlign w:val="center"/>
                </w:tcPr>
                <w:p w:rsidR="00271DC3" w:rsidRDefault="00271DC3" w:rsidP="00271DC3">
                  <w:pPr>
                    <w:pStyle w:val="TableBodyText"/>
                  </w:pPr>
                  <w:r>
                    <w:t>6 934</w:t>
                  </w:r>
                </w:p>
              </w:tc>
              <w:tc>
                <w:tcPr>
                  <w:tcW w:w="709" w:type="dxa"/>
                  <w:shd w:val="clear" w:color="auto" w:fill="FFFFFF" w:themeFill="background1"/>
                  <w:vAlign w:val="center"/>
                </w:tcPr>
                <w:p w:rsidR="00271DC3" w:rsidRDefault="00271DC3" w:rsidP="0078036C">
                  <w:pPr>
                    <w:pStyle w:val="TableBodyText"/>
                  </w:pPr>
                  <w:r>
                    <w:t>4 2</w:t>
                  </w:r>
                  <w:r w:rsidR="0078036C">
                    <w:t>68</w:t>
                  </w:r>
                </w:p>
              </w:tc>
              <w:tc>
                <w:tcPr>
                  <w:tcW w:w="709" w:type="dxa"/>
                  <w:shd w:val="clear" w:color="auto" w:fill="FFFFFF" w:themeFill="background1"/>
                  <w:vAlign w:val="center"/>
                </w:tcPr>
                <w:p w:rsidR="00271DC3" w:rsidRDefault="00271DC3" w:rsidP="00271DC3">
                  <w:pPr>
                    <w:pStyle w:val="TableBodyText"/>
                  </w:pPr>
                  <w:r>
                    <w:t>2 363</w:t>
                  </w:r>
                </w:p>
              </w:tc>
              <w:tc>
                <w:tcPr>
                  <w:tcW w:w="686" w:type="dxa"/>
                  <w:shd w:val="clear" w:color="auto" w:fill="FFFFFF" w:themeFill="background1"/>
                  <w:vAlign w:val="center"/>
                </w:tcPr>
                <w:p w:rsidR="00271DC3" w:rsidRDefault="00271DC3" w:rsidP="00271DC3">
                  <w:pPr>
                    <w:pStyle w:val="TableBodyText"/>
                  </w:pPr>
                  <w:r>
                    <w:t xml:space="preserve"> 802</w:t>
                  </w:r>
                </w:p>
              </w:tc>
              <w:tc>
                <w:tcPr>
                  <w:tcW w:w="584" w:type="dxa"/>
                  <w:shd w:val="clear" w:color="auto" w:fill="FFFFFF" w:themeFill="background1"/>
                  <w:vAlign w:val="center"/>
                </w:tcPr>
                <w:p w:rsidR="00271DC3" w:rsidRDefault="00271DC3" w:rsidP="00271DC3">
                  <w:pPr>
                    <w:pStyle w:val="TableBodyText"/>
                  </w:pPr>
                  <w:r>
                    <w:t xml:space="preserve"> 695</w:t>
                  </w:r>
                </w:p>
              </w:tc>
              <w:tc>
                <w:tcPr>
                  <w:tcW w:w="572" w:type="dxa"/>
                  <w:shd w:val="clear" w:color="auto" w:fill="FFFFFF" w:themeFill="background1"/>
                  <w:vAlign w:val="center"/>
                </w:tcPr>
                <w:p w:rsidR="00525589" w:rsidRDefault="00271DC3" w:rsidP="00525589">
                  <w:pPr>
                    <w:pStyle w:val="TableBodyText"/>
                  </w:pPr>
                  <w:r>
                    <w:t xml:space="preserve"> 61</w:t>
                  </w:r>
                  <w:r w:rsidR="00525589">
                    <w:t>5</w:t>
                  </w:r>
                </w:p>
              </w:tc>
              <w:tc>
                <w:tcPr>
                  <w:tcW w:w="852" w:type="dxa"/>
                  <w:shd w:val="clear" w:color="auto" w:fill="FFFFFF" w:themeFill="background1"/>
                  <w:vAlign w:val="center"/>
                </w:tcPr>
                <w:p w:rsidR="00271DC3" w:rsidRDefault="009F03D5" w:rsidP="0078036C">
                  <w:pPr>
                    <w:pStyle w:val="TableBodyText"/>
                  </w:pPr>
                  <w:r>
                    <w:t>32 3</w:t>
                  </w:r>
                  <w:r w:rsidR="0078036C">
                    <w:t>58</w:t>
                  </w:r>
                </w:p>
              </w:tc>
            </w:tr>
            <w:tr w:rsidR="00271DC3" w:rsidRPr="00EB256F" w:rsidTr="0078036C">
              <w:tc>
                <w:tcPr>
                  <w:tcW w:w="2268" w:type="dxa"/>
                  <w:shd w:val="clear" w:color="auto" w:fill="FFFFFF" w:themeFill="background1"/>
                </w:tcPr>
                <w:p w:rsidR="00271DC3" w:rsidRPr="00D612DE" w:rsidRDefault="00271DC3" w:rsidP="00EF378C">
                  <w:pPr>
                    <w:pStyle w:val="TableUnitsRow"/>
                    <w:jc w:val="left"/>
                    <w:rPr>
                      <w:b/>
                    </w:rPr>
                  </w:pPr>
                  <w:r w:rsidRPr="00D612DE">
                    <w:rPr>
                      <w:b/>
                    </w:rPr>
                    <w:t>Total</w:t>
                  </w:r>
                </w:p>
              </w:tc>
              <w:tc>
                <w:tcPr>
                  <w:tcW w:w="851" w:type="dxa"/>
                  <w:shd w:val="clear" w:color="auto" w:fill="FFFFFF" w:themeFill="background1"/>
                  <w:vAlign w:val="center"/>
                </w:tcPr>
                <w:p w:rsidR="00271DC3" w:rsidRDefault="00271DC3" w:rsidP="009F03D5">
                  <w:pPr>
                    <w:pStyle w:val="TableBodyText"/>
                    <w:rPr>
                      <w:b/>
                      <w:bCs/>
                    </w:rPr>
                  </w:pPr>
                  <w:r>
                    <w:rPr>
                      <w:b/>
                      <w:bCs/>
                    </w:rPr>
                    <w:t>11 58</w:t>
                  </w:r>
                  <w:r w:rsidR="009F03D5">
                    <w:rPr>
                      <w:b/>
                      <w:bCs/>
                    </w:rPr>
                    <w:t>2</w:t>
                  </w:r>
                </w:p>
              </w:tc>
              <w:tc>
                <w:tcPr>
                  <w:tcW w:w="828" w:type="dxa"/>
                  <w:shd w:val="clear" w:color="auto" w:fill="FFFFFF" w:themeFill="background1"/>
                  <w:vAlign w:val="center"/>
                </w:tcPr>
                <w:p w:rsidR="00271DC3" w:rsidRDefault="009F03D5" w:rsidP="009F03D5">
                  <w:pPr>
                    <w:pStyle w:val="TableBodyText"/>
                    <w:rPr>
                      <w:b/>
                      <w:bCs/>
                    </w:rPr>
                  </w:pPr>
                  <w:r>
                    <w:rPr>
                      <w:b/>
                      <w:bCs/>
                    </w:rPr>
                    <w:t>7 590</w:t>
                  </w:r>
                </w:p>
              </w:tc>
              <w:tc>
                <w:tcPr>
                  <w:tcW w:w="731" w:type="dxa"/>
                  <w:tcBorders>
                    <w:left w:val="nil"/>
                  </w:tcBorders>
                  <w:shd w:val="clear" w:color="auto" w:fill="FFFFFF" w:themeFill="background1"/>
                  <w:vAlign w:val="center"/>
                </w:tcPr>
                <w:p w:rsidR="00271DC3" w:rsidRDefault="009F03D5" w:rsidP="009F03D5">
                  <w:pPr>
                    <w:pStyle w:val="TableBodyText"/>
                    <w:rPr>
                      <w:b/>
                      <w:bCs/>
                    </w:rPr>
                  </w:pPr>
                  <w:r>
                    <w:rPr>
                      <w:b/>
                      <w:bCs/>
                    </w:rPr>
                    <w:t>7 849</w:t>
                  </w:r>
                </w:p>
              </w:tc>
              <w:tc>
                <w:tcPr>
                  <w:tcW w:w="709" w:type="dxa"/>
                  <w:shd w:val="clear" w:color="auto" w:fill="FFFFFF" w:themeFill="background1"/>
                  <w:vAlign w:val="center"/>
                </w:tcPr>
                <w:p w:rsidR="00271DC3" w:rsidRDefault="00271DC3" w:rsidP="009F03D5">
                  <w:pPr>
                    <w:pStyle w:val="TableBodyText"/>
                    <w:rPr>
                      <w:b/>
                      <w:bCs/>
                    </w:rPr>
                  </w:pPr>
                  <w:r>
                    <w:rPr>
                      <w:b/>
                      <w:bCs/>
                    </w:rPr>
                    <w:t>4 71</w:t>
                  </w:r>
                  <w:r w:rsidR="009F03D5">
                    <w:rPr>
                      <w:b/>
                      <w:bCs/>
                    </w:rPr>
                    <w:t>4</w:t>
                  </w:r>
                </w:p>
              </w:tc>
              <w:tc>
                <w:tcPr>
                  <w:tcW w:w="709" w:type="dxa"/>
                  <w:shd w:val="clear" w:color="auto" w:fill="FFFFFF" w:themeFill="background1"/>
                  <w:vAlign w:val="center"/>
                </w:tcPr>
                <w:p w:rsidR="00271DC3" w:rsidRDefault="00271DC3" w:rsidP="009F03D5">
                  <w:pPr>
                    <w:pStyle w:val="TableBodyText"/>
                    <w:rPr>
                      <w:b/>
                      <w:bCs/>
                    </w:rPr>
                  </w:pPr>
                  <w:r>
                    <w:rPr>
                      <w:b/>
                      <w:bCs/>
                    </w:rPr>
                    <w:t>2 70</w:t>
                  </w:r>
                  <w:r w:rsidR="009F03D5">
                    <w:rPr>
                      <w:b/>
                      <w:bCs/>
                    </w:rPr>
                    <w:t>5</w:t>
                  </w:r>
                </w:p>
              </w:tc>
              <w:tc>
                <w:tcPr>
                  <w:tcW w:w="686" w:type="dxa"/>
                  <w:shd w:val="clear" w:color="auto" w:fill="FFFFFF" w:themeFill="background1"/>
                  <w:vAlign w:val="center"/>
                </w:tcPr>
                <w:p w:rsidR="00271DC3" w:rsidRDefault="00271DC3" w:rsidP="009F03D5">
                  <w:pPr>
                    <w:pStyle w:val="TableBodyText"/>
                    <w:rPr>
                      <w:b/>
                      <w:bCs/>
                    </w:rPr>
                  </w:pPr>
                  <w:r>
                    <w:rPr>
                      <w:b/>
                      <w:bCs/>
                    </w:rPr>
                    <w:t xml:space="preserve"> 92</w:t>
                  </w:r>
                  <w:r w:rsidR="009F03D5">
                    <w:rPr>
                      <w:b/>
                      <w:bCs/>
                    </w:rPr>
                    <w:t>6</w:t>
                  </w:r>
                </w:p>
              </w:tc>
              <w:tc>
                <w:tcPr>
                  <w:tcW w:w="584" w:type="dxa"/>
                  <w:shd w:val="clear" w:color="auto" w:fill="FFFFFF" w:themeFill="background1"/>
                  <w:vAlign w:val="center"/>
                </w:tcPr>
                <w:p w:rsidR="00271DC3" w:rsidRDefault="009F03D5" w:rsidP="009F03D5">
                  <w:pPr>
                    <w:pStyle w:val="TableBodyText"/>
                    <w:rPr>
                      <w:b/>
                      <w:bCs/>
                    </w:rPr>
                  </w:pPr>
                  <w:r>
                    <w:rPr>
                      <w:b/>
                      <w:bCs/>
                    </w:rPr>
                    <w:t xml:space="preserve"> 758</w:t>
                  </w:r>
                </w:p>
              </w:tc>
              <w:tc>
                <w:tcPr>
                  <w:tcW w:w="572" w:type="dxa"/>
                  <w:shd w:val="clear" w:color="auto" w:fill="FFFFFF" w:themeFill="background1"/>
                  <w:vAlign w:val="center"/>
                </w:tcPr>
                <w:p w:rsidR="00271DC3" w:rsidRDefault="009F03D5" w:rsidP="009F03D5">
                  <w:pPr>
                    <w:pStyle w:val="TableBodyText"/>
                    <w:rPr>
                      <w:b/>
                      <w:bCs/>
                    </w:rPr>
                  </w:pPr>
                  <w:r>
                    <w:rPr>
                      <w:b/>
                      <w:bCs/>
                    </w:rPr>
                    <w:t xml:space="preserve"> 729</w:t>
                  </w:r>
                </w:p>
              </w:tc>
              <w:tc>
                <w:tcPr>
                  <w:tcW w:w="852" w:type="dxa"/>
                  <w:shd w:val="clear" w:color="auto" w:fill="FFFFFF" w:themeFill="background1"/>
                  <w:vAlign w:val="center"/>
                </w:tcPr>
                <w:p w:rsidR="00271DC3" w:rsidRDefault="00271DC3" w:rsidP="009F03D5">
                  <w:pPr>
                    <w:pStyle w:val="TableBodyText"/>
                    <w:rPr>
                      <w:b/>
                      <w:bCs/>
                    </w:rPr>
                  </w:pPr>
                  <w:r>
                    <w:rPr>
                      <w:b/>
                      <w:bCs/>
                    </w:rPr>
                    <w:t>36 85</w:t>
                  </w:r>
                  <w:r w:rsidR="009F03D5">
                    <w:rPr>
                      <w:b/>
                      <w:bCs/>
                    </w:rPr>
                    <w:t>3</w:t>
                  </w:r>
                </w:p>
              </w:tc>
            </w:tr>
            <w:tr w:rsidR="00271DC3" w:rsidRPr="00EB256F" w:rsidTr="0078036C">
              <w:tc>
                <w:tcPr>
                  <w:tcW w:w="3119" w:type="dxa"/>
                  <w:gridSpan w:val="2"/>
                  <w:shd w:val="clear" w:color="auto" w:fill="FFFFFF" w:themeFill="background1"/>
                </w:tcPr>
                <w:p w:rsidR="00271DC3" w:rsidRPr="00EF378C" w:rsidRDefault="00271DC3" w:rsidP="00EF378C">
                  <w:pPr>
                    <w:pStyle w:val="TableUnitsRow"/>
                    <w:jc w:val="left"/>
                    <w:rPr>
                      <w:b/>
                    </w:rPr>
                  </w:pPr>
                  <w:r w:rsidRPr="00EF378C">
                    <w:rPr>
                      <w:b/>
                    </w:rPr>
                    <w:t>Non-government schools</w:t>
                  </w:r>
                </w:p>
              </w:tc>
              <w:tc>
                <w:tcPr>
                  <w:tcW w:w="828" w:type="dxa"/>
                  <w:shd w:val="clear" w:color="auto" w:fill="FFFFFF" w:themeFill="background1"/>
                </w:tcPr>
                <w:p w:rsidR="00271DC3" w:rsidRPr="009A52FC" w:rsidRDefault="00271DC3" w:rsidP="00525589">
                  <w:pPr>
                    <w:pStyle w:val="TableBodyText"/>
                  </w:pPr>
                </w:p>
              </w:tc>
              <w:tc>
                <w:tcPr>
                  <w:tcW w:w="731" w:type="dxa"/>
                  <w:shd w:val="clear" w:color="auto" w:fill="FFFFFF" w:themeFill="background1"/>
                </w:tcPr>
                <w:p w:rsidR="00271DC3" w:rsidRPr="009A52FC" w:rsidRDefault="00271DC3" w:rsidP="00525589">
                  <w:pPr>
                    <w:pStyle w:val="TableBodyText"/>
                  </w:pPr>
                </w:p>
              </w:tc>
              <w:tc>
                <w:tcPr>
                  <w:tcW w:w="709" w:type="dxa"/>
                  <w:shd w:val="clear" w:color="auto" w:fill="FFFFFF" w:themeFill="background1"/>
                </w:tcPr>
                <w:p w:rsidR="00271DC3" w:rsidRPr="009A52FC" w:rsidRDefault="00271DC3" w:rsidP="00525589">
                  <w:pPr>
                    <w:pStyle w:val="TableBodyText"/>
                  </w:pPr>
                </w:p>
              </w:tc>
              <w:tc>
                <w:tcPr>
                  <w:tcW w:w="709" w:type="dxa"/>
                  <w:shd w:val="clear" w:color="auto" w:fill="FFFFFF" w:themeFill="background1"/>
                </w:tcPr>
                <w:p w:rsidR="00271DC3" w:rsidRPr="009A52FC" w:rsidRDefault="00271DC3" w:rsidP="00525589">
                  <w:pPr>
                    <w:pStyle w:val="TableBodyText"/>
                  </w:pPr>
                </w:p>
              </w:tc>
              <w:tc>
                <w:tcPr>
                  <w:tcW w:w="686" w:type="dxa"/>
                  <w:shd w:val="clear" w:color="auto" w:fill="FFFFFF" w:themeFill="background1"/>
                </w:tcPr>
                <w:p w:rsidR="00271DC3" w:rsidRPr="009A52FC" w:rsidRDefault="00271DC3" w:rsidP="00525589">
                  <w:pPr>
                    <w:pStyle w:val="TableBodyText"/>
                  </w:pPr>
                </w:p>
              </w:tc>
              <w:tc>
                <w:tcPr>
                  <w:tcW w:w="584" w:type="dxa"/>
                  <w:shd w:val="clear" w:color="auto" w:fill="FFFFFF" w:themeFill="background1"/>
                </w:tcPr>
                <w:p w:rsidR="00271DC3" w:rsidRPr="009A52FC" w:rsidRDefault="00271DC3" w:rsidP="00525589">
                  <w:pPr>
                    <w:pStyle w:val="TableBodyText"/>
                  </w:pPr>
                </w:p>
              </w:tc>
              <w:tc>
                <w:tcPr>
                  <w:tcW w:w="572" w:type="dxa"/>
                  <w:shd w:val="clear" w:color="auto" w:fill="FFFFFF" w:themeFill="background1"/>
                </w:tcPr>
                <w:p w:rsidR="00271DC3" w:rsidRPr="009A52FC" w:rsidRDefault="00271DC3" w:rsidP="00525589">
                  <w:pPr>
                    <w:pStyle w:val="TableBodyText"/>
                  </w:pPr>
                </w:p>
              </w:tc>
              <w:tc>
                <w:tcPr>
                  <w:tcW w:w="852" w:type="dxa"/>
                  <w:shd w:val="clear" w:color="auto" w:fill="FFFFFF" w:themeFill="background1"/>
                </w:tcPr>
                <w:p w:rsidR="00271DC3" w:rsidRPr="009A52FC" w:rsidRDefault="00271DC3" w:rsidP="00525589">
                  <w:pPr>
                    <w:pStyle w:val="TableBodyText"/>
                  </w:pPr>
                </w:p>
              </w:tc>
            </w:tr>
            <w:tr w:rsidR="009F03D5" w:rsidRPr="00EB256F" w:rsidTr="0078036C">
              <w:tc>
                <w:tcPr>
                  <w:tcW w:w="2268" w:type="dxa"/>
                  <w:shd w:val="clear" w:color="auto" w:fill="FFFFFF" w:themeFill="background1"/>
                </w:tcPr>
                <w:p w:rsidR="009F03D5" w:rsidRPr="00D612DE" w:rsidRDefault="009F03D5" w:rsidP="00EF378C">
                  <w:pPr>
                    <w:pStyle w:val="TableUnitsRow"/>
                    <w:jc w:val="left"/>
                  </w:pPr>
                  <w:r w:rsidRPr="00D612DE">
                    <w:t>Australian Government</w:t>
                  </w:r>
                </w:p>
              </w:tc>
              <w:tc>
                <w:tcPr>
                  <w:tcW w:w="851" w:type="dxa"/>
                  <w:shd w:val="clear" w:color="auto" w:fill="FFFFFF" w:themeFill="background1"/>
                  <w:vAlign w:val="center"/>
                </w:tcPr>
                <w:p w:rsidR="009F03D5" w:rsidRDefault="009F03D5" w:rsidP="009F03D5">
                  <w:pPr>
                    <w:pStyle w:val="TableBodyText"/>
                  </w:pPr>
                  <w:r>
                    <w:t>2 521</w:t>
                  </w:r>
                </w:p>
              </w:tc>
              <w:tc>
                <w:tcPr>
                  <w:tcW w:w="828" w:type="dxa"/>
                  <w:shd w:val="clear" w:color="auto" w:fill="FFFFFF" w:themeFill="background1"/>
                  <w:vAlign w:val="center"/>
                </w:tcPr>
                <w:p w:rsidR="009F03D5" w:rsidRDefault="009F03D5" w:rsidP="009F03D5">
                  <w:pPr>
                    <w:pStyle w:val="TableBodyText"/>
                  </w:pPr>
                  <w:r>
                    <w:t>2 073</w:t>
                  </w:r>
                </w:p>
              </w:tc>
              <w:tc>
                <w:tcPr>
                  <w:tcW w:w="731" w:type="dxa"/>
                  <w:shd w:val="clear" w:color="auto" w:fill="FFFFFF" w:themeFill="background1"/>
                  <w:vAlign w:val="center"/>
                </w:tcPr>
                <w:p w:rsidR="009F03D5" w:rsidRDefault="009F03D5" w:rsidP="009F03D5">
                  <w:pPr>
                    <w:pStyle w:val="TableBodyText"/>
                  </w:pPr>
                  <w:r>
                    <w:t>1 650</w:t>
                  </w:r>
                </w:p>
              </w:tc>
              <w:tc>
                <w:tcPr>
                  <w:tcW w:w="709" w:type="dxa"/>
                  <w:shd w:val="clear" w:color="auto" w:fill="FFFFFF" w:themeFill="background1"/>
                  <w:vAlign w:val="center"/>
                </w:tcPr>
                <w:p w:rsidR="009F03D5" w:rsidRDefault="009F03D5" w:rsidP="0078036C">
                  <w:pPr>
                    <w:pStyle w:val="TableBodyText"/>
                  </w:pPr>
                  <w:r>
                    <w:t xml:space="preserve"> 81</w:t>
                  </w:r>
                  <w:r w:rsidR="0078036C">
                    <w:t>9</w:t>
                  </w:r>
                </w:p>
              </w:tc>
              <w:tc>
                <w:tcPr>
                  <w:tcW w:w="709" w:type="dxa"/>
                  <w:shd w:val="clear" w:color="auto" w:fill="FFFFFF" w:themeFill="background1"/>
                  <w:vAlign w:val="center"/>
                </w:tcPr>
                <w:p w:rsidR="009F03D5" w:rsidRDefault="009F03D5" w:rsidP="009F03D5">
                  <w:pPr>
                    <w:pStyle w:val="TableBodyText"/>
                  </w:pPr>
                  <w:r>
                    <w:t xml:space="preserve"> 639</w:t>
                  </w:r>
                </w:p>
              </w:tc>
              <w:tc>
                <w:tcPr>
                  <w:tcW w:w="686" w:type="dxa"/>
                  <w:shd w:val="clear" w:color="auto" w:fill="FFFFFF" w:themeFill="background1"/>
                  <w:vAlign w:val="center"/>
                </w:tcPr>
                <w:p w:rsidR="009F03D5" w:rsidRDefault="009F03D5" w:rsidP="009F03D5">
                  <w:pPr>
                    <w:pStyle w:val="TableBodyText"/>
                  </w:pPr>
                  <w:r>
                    <w:t xml:space="preserve"> 163</w:t>
                  </w:r>
                </w:p>
              </w:tc>
              <w:tc>
                <w:tcPr>
                  <w:tcW w:w="584" w:type="dxa"/>
                  <w:shd w:val="clear" w:color="auto" w:fill="FFFFFF" w:themeFill="background1"/>
                  <w:vAlign w:val="center"/>
                </w:tcPr>
                <w:p w:rsidR="009F03D5" w:rsidRDefault="009F03D5" w:rsidP="009F03D5">
                  <w:pPr>
                    <w:pStyle w:val="TableBodyText"/>
                  </w:pPr>
                  <w:r>
                    <w:t xml:space="preserve"> 143</w:t>
                  </w:r>
                </w:p>
              </w:tc>
              <w:tc>
                <w:tcPr>
                  <w:tcW w:w="572" w:type="dxa"/>
                  <w:shd w:val="clear" w:color="auto" w:fill="FFFFFF" w:themeFill="background1"/>
                  <w:vAlign w:val="center"/>
                </w:tcPr>
                <w:p w:rsidR="009F03D5" w:rsidRDefault="009F03D5" w:rsidP="009F03D5">
                  <w:pPr>
                    <w:pStyle w:val="TableBodyText"/>
                  </w:pPr>
                  <w:r>
                    <w:t xml:space="preserve"> 87</w:t>
                  </w:r>
                </w:p>
              </w:tc>
              <w:tc>
                <w:tcPr>
                  <w:tcW w:w="852" w:type="dxa"/>
                  <w:shd w:val="clear" w:color="auto" w:fill="FFFFFF" w:themeFill="background1"/>
                  <w:vAlign w:val="center"/>
                </w:tcPr>
                <w:p w:rsidR="009F03D5" w:rsidRDefault="009F03D5" w:rsidP="0078036C">
                  <w:pPr>
                    <w:pStyle w:val="TableBodyText"/>
                  </w:pPr>
                  <w:r>
                    <w:t>8 0</w:t>
                  </w:r>
                  <w:r w:rsidR="0078036C">
                    <w:t>96</w:t>
                  </w:r>
                </w:p>
              </w:tc>
            </w:tr>
            <w:tr w:rsidR="009F03D5" w:rsidRPr="00EB256F" w:rsidTr="0078036C">
              <w:tc>
                <w:tcPr>
                  <w:tcW w:w="2268" w:type="dxa"/>
                  <w:shd w:val="clear" w:color="auto" w:fill="FFFFFF" w:themeFill="background1"/>
                </w:tcPr>
                <w:p w:rsidR="009F03D5" w:rsidRPr="00D612DE" w:rsidRDefault="009F03D5" w:rsidP="00EF378C">
                  <w:pPr>
                    <w:pStyle w:val="TableUnitsRow"/>
                    <w:jc w:val="left"/>
                    <w:rPr>
                      <w:rFonts w:cs="Arial"/>
                    </w:rPr>
                  </w:pPr>
                  <w:r w:rsidRPr="00D612DE">
                    <w:t>State and Territory governments</w:t>
                  </w:r>
                </w:p>
              </w:tc>
              <w:tc>
                <w:tcPr>
                  <w:tcW w:w="851" w:type="dxa"/>
                  <w:shd w:val="clear" w:color="auto" w:fill="FFFFFF" w:themeFill="background1"/>
                  <w:vAlign w:val="center"/>
                </w:tcPr>
                <w:p w:rsidR="009F03D5" w:rsidRDefault="009F03D5" w:rsidP="009F03D5">
                  <w:pPr>
                    <w:pStyle w:val="TableBodyText"/>
                  </w:pPr>
                  <w:r>
                    <w:t xml:space="preserve"> 935</w:t>
                  </w:r>
                </w:p>
              </w:tc>
              <w:tc>
                <w:tcPr>
                  <w:tcW w:w="828" w:type="dxa"/>
                  <w:shd w:val="clear" w:color="auto" w:fill="FFFFFF" w:themeFill="background1"/>
                  <w:vAlign w:val="center"/>
                </w:tcPr>
                <w:p w:rsidR="009F03D5" w:rsidRDefault="009F03D5" w:rsidP="009F03D5">
                  <w:pPr>
                    <w:pStyle w:val="TableBodyText"/>
                  </w:pPr>
                  <w:r>
                    <w:t xml:space="preserve"> 631</w:t>
                  </w:r>
                </w:p>
              </w:tc>
              <w:tc>
                <w:tcPr>
                  <w:tcW w:w="731" w:type="dxa"/>
                  <w:shd w:val="clear" w:color="auto" w:fill="FFFFFF" w:themeFill="background1"/>
                  <w:vAlign w:val="center"/>
                </w:tcPr>
                <w:p w:rsidR="009F03D5" w:rsidRDefault="009F03D5" w:rsidP="009F03D5">
                  <w:pPr>
                    <w:pStyle w:val="TableBodyText"/>
                  </w:pPr>
                  <w:r>
                    <w:t xml:space="preserve"> 638</w:t>
                  </w:r>
                </w:p>
              </w:tc>
              <w:tc>
                <w:tcPr>
                  <w:tcW w:w="709" w:type="dxa"/>
                  <w:shd w:val="clear" w:color="auto" w:fill="FFFFFF" w:themeFill="background1"/>
                  <w:vAlign w:val="center"/>
                </w:tcPr>
                <w:p w:rsidR="009F03D5" w:rsidRDefault="0078036C" w:rsidP="009F03D5">
                  <w:pPr>
                    <w:pStyle w:val="TableBodyText"/>
                  </w:pPr>
                  <w:r>
                    <w:t>446</w:t>
                  </w:r>
                </w:p>
              </w:tc>
              <w:tc>
                <w:tcPr>
                  <w:tcW w:w="709" w:type="dxa"/>
                  <w:shd w:val="clear" w:color="auto" w:fill="FFFFFF" w:themeFill="background1"/>
                  <w:vAlign w:val="center"/>
                </w:tcPr>
                <w:p w:rsidR="009F03D5" w:rsidRDefault="009F03D5" w:rsidP="009F03D5">
                  <w:pPr>
                    <w:pStyle w:val="TableBodyText"/>
                  </w:pPr>
                  <w:r>
                    <w:t xml:space="preserve"> 170</w:t>
                  </w:r>
                </w:p>
              </w:tc>
              <w:tc>
                <w:tcPr>
                  <w:tcW w:w="686" w:type="dxa"/>
                  <w:shd w:val="clear" w:color="auto" w:fill="FFFFFF" w:themeFill="background1"/>
                  <w:vAlign w:val="center"/>
                </w:tcPr>
                <w:p w:rsidR="009F03D5" w:rsidRDefault="009F03D5" w:rsidP="009F03D5">
                  <w:pPr>
                    <w:pStyle w:val="TableBodyText"/>
                  </w:pPr>
                  <w:r>
                    <w:t xml:space="preserve"> 55</w:t>
                  </w:r>
                </w:p>
              </w:tc>
              <w:tc>
                <w:tcPr>
                  <w:tcW w:w="584" w:type="dxa"/>
                  <w:shd w:val="clear" w:color="auto" w:fill="FFFFFF" w:themeFill="background1"/>
                  <w:vAlign w:val="center"/>
                </w:tcPr>
                <w:p w:rsidR="009F03D5" w:rsidRDefault="009F03D5" w:rsidP="009F03D5">
                  <w:pPr>
                    <w:pStyle w:val="TableBodyText"/>
                  </w:pPr>
                  <w:r>
                    <w:t xml:space="preserve"> 53</w:t>
                  </w:r>
                </w:p>
              </w:tc>
              <w:tc>
                <w:tcPr>
                  <w:tcW w:w="572" w:type="dxa"/>
                  <w:shd w:val="clear" w:color="auto" w:fill="FFFFFF" w:themeFill="background1"/>
                  <w:vAlign w:val="center"/>
                </w:tcPr>
                <w:p w:rsidR="009F03D5" w:rsidRDefault="009F03D5" w:rsidP="009F03D5">
                  <w:pPr>
                    <w:pStyle w:val="TableBodyText"/>
                  </w:pPr>
                  <w:r>
                    <w:t xml:space="preserve"> 63</w:t>
                  </w:r>
                </w:p>
              </w:tc>
              <w:tc>
                <w:tcPr>
                  <w:tcW w:w="852" w:type="dxa"/>
                  <w:shd w:val="clear" w:color="auto" w:fill="FFFFFF" w:themeFill="background1"/>
                  <w:vAlign w:val="center"/>
                </w:tcPr>
                <w:p w:rsidR="009F03D5" w:rsidRDefault="0078036C" w:rsidP="009F03D5">
                  <w:pPr>
                    <w:pStyle w:val="TableBodyText"/>
                  </w:pPr>
                  <w:r>
                    <w:t>2 992</w:t>
                  </w:r>
                  <w:r w:rsidR="009F03D5">
                    <w:t xml:space="preserve"> </w:t>
                  </w:r>
                </w:p>
              </w:tc>
            </w:tr>
            <w:tr w:rsidR="009F03D5" w:rsidRPr="00EB256F" w:rsidTr="0078036C">
              <w:tc>
                <w:tcPr>
                  <w:tcW w:w="2268" w:type="dxa"/>
                  <w:shd w:val="clear" w:color="auto" w:fill="FFFFFF" w:themeFill="background1"/>
                </w:tcPr>
                <w:p w:rsidR="009F03D5" w:rsidRPr="00D612DE" w:rsidRDefault="009F03D5" w:rsidP="00EF378C">
                  <w:pPr>
                    <w:pStyle w:val="TableUnitsRow"/>
                    <w:jc w:val="left"/>
                    <w:rPr>
                      <w:b/>
                    </w:rPr>
                  </w:pPr>
                  <w:r w:rsidRPr="00D612DE">
                    <w:rPr>
                      <w:b/>
                    </w:rPr>
                    <w:t>Total</w:t>
                  </w:r>
                </w:p>
              </w:tc>
              <w:tc>
                <w:tcPr>
                  <w:tcW w:w="851" w:type="dxa"/>
                  <w:shd w:val="clear" w:color="auto" w:fill="FFFFFF" w:themeFill="background1"/>
                  <w:vAlign w:val="center"/>
                </w:tcPr>
                <w:p w:rsidR="009F03D5" w:rsidRDefault="009F03D5" w:rsidP="009F03D5">
                  <w:pPr>
                    <w:pStyle w:val="TableBodyText"/>
                    <w:rPr>
                      <w:b/>
                      <w:bCs/>
                    </w:rPr>
                  </w:pPr>
                  <w:r>
                    <w:rPr>
                      <w:b/>
                      <w:bCs/>
                    </w:rPr>
                    <w:t>3 456</w:t>
                  </w:r>
                </w:p>
              </w:tc>
              <w:tc>
                <w:tcPr>
                  <w:tcW w:w="828" w:type="dxa"/>
                  <w:shd w:val="clear" w:color="auto" w:fill="FFFFFF" w:themeFill="background1"/>
                  <w:vAlign w:val="center"/>
                </w:tcPr>
                <w:p w:rsidR="009F03D5" w:rsidRDefault="009F03D5" w:rsidP="009F03D5">
                  <w:pPr>
                    <w:pStyle w:val="TableBodyText"/>
                    <w:rPr>
                      <w:b/>
                      <w:bCs/>
                    </w:rPr>
                  </w:pPr>
                  <w:r>
                    <w:rPr>
                      <w:b/>
                      <w:bCs/>
                    </w:rPr>
                    <w:t>2 704</w:t>
                  </w:r>
                </w:p>
              </w:tc>
              <w:tc>
                <w:tcPr>
                  <w:tcW w:w="731" w:type="dxa"/>
                  <w:shd w:val="clear" w:color="auto" w:fill="FFFFFF" w:themeFill="background1"/>
                  <w:vAlign w:val="center"/>
                </w:tcPr>
                <w:p w:rsidR="009F03D5" w:rsidRDefault="009F03D5" w:rsidP="009F03D5">
                  <w:pPr>
                    <w:pStyle w:val="TableBodyText"/>
                    <w:rPr>
                      <w:b/>
                      <w:bCs/>
                    </w:rPr>
                  </w:pPr>
                  <w:r>
                    <w:rPr>
                      <w:b/>
                      <w:bCs/>
                    </w:rPr>
                    <w:t>2 288</w:t>
                  </w:r>
                </w:p>
              </w:tc>
              <w:tc>
                <w:tcPr>
                  <w:tcW w:w="709" w:type="dxa"/>
                  <w:shd w:val="clear" w:color="auto" w:fill="FFFFFF" w:themeFill="background1"/>
                  <w:vAlign w:val="center"/>
                </w:tcPr>
                <w:p w:rsidR="009F03D5" w:rsidRDefault="0078036C" w:rsidP="0078036C">
                  <w:pPr>
                    <w:pStyle w:val="TableBodyText"/>
                    <w:rPr>
                      <w:b/>
                      <w:bCs/>
                    </w:rPr>
                  </w:pPr>
                  <w:r>
                    <w:rPr>
                      <w:b/>
                      <w:bCs/>
                    </w:rPr>
                    <w:t>1 264</w:t>
                  </w:r>
                </w:p>
              </w:tc>
              <w:tc>
                <w:tcPr>
                  <w:tcW w:w="709" w:type="dxa"/>
                  <w:shd w:val="clear" w:color="auto" w:fill="FFFFFF" w:themeFill="background1"/>
                  <w:vAlign w:val="center"/>
                </w:tcPr>
                <w:p w:rsidR="009F03D5" w:rsidRDefault="009F03D5" w:rsidP="009F03D5">
                  <w:pPr>
                    <w:pStyle w:val="TableBodyText"/>
                    <w:rPr>
                      <w:b/>
                      <w:bCs/>
                    </w:rPr>
                  </w:pPr>
                  <w:r>
                    <w:rPr>
                      <w:b/>
                      <w:bCs/>
                    </w:rPr>
                    <w:t xml:space="preserve"> 810</w:t>
                  </w:r>
                </w:p>
              </w:tc>
              <w:tc>
                <w:tcPr>
                  <w:tcW w:w="686" w:type="dxa"/>
                  <w:shd w:val="clear" w:color="auto" w:fill="FFFFFF" w:themeFill="background1"/>
                  <w:vAlign w:val="center"/>
                </w:tcPr>
                <w:p w:rsidR="009F03D5" w:rsidRDefault="009F03D5" w:rsidP="009F03D5">
                  <w:pPr>
                    <w:pStyle w:val="TableBodyText"/>
                    <w:rPr>
                      <w:b/>
                      <w:bCs/>
                    </w:rPr>
                  </w:pPr>
                  <w:r>
                    <w:rPr>
                      <w:b/>
                      <w:bCs/>
                    </w:rPr>
                    <w:t xml:space="preserve"> 219</w:t>
                  </w:r>
                </w:p>
              </w:tc>
              <w:tc>
                <w:tcPr>
                  <w:tcW w:w="584" w:type="dxa"/>
                  <w:shd w:val="clear" w:color="auto" w:fill="FFFFFF" w:themeFill="background1"/>
                  <w:vAlign w:val="center"/>
                </w:tcPr>
                <w:p w:rsidR="009F03D5" w:rsidRDefault="009F03D5" w:rsidP="009F03D5">
                  <w:pPr>
                    <w:pStyle w:val="TableBodyText"/>
                    <w:rPr>
                      <w:b/>
                      <w:bCs/>
                    </w:rPr>
                  </w:pPr>
                  <w:r>
                    <w:rPr>
                      <w:b/>
                      <w:bCs/>
                    </w:rPr>
                    <w:t xml:space="preserve"> 197</w:t>
                  </w:r>
                </w:p>
              </w:tc>
              <w:tc>
                <w:tcPr>
                  <w:tcW w:w="572" w:type="dxa"/>
                  <w:shd w:val="clear" w:color="auto" w:fill="FFFFFF" w:themeFill="background1"/>
                  <w:vAlign w:val="center"/>
                </w:tcPr>
                <w:p w:rsidR="009F03D5" w:rsidRDefault="009F03D5" w:rsidP="009F03D5">
                  <w:pPr>
                    <w:pStyle w:val="TableBodyText"/>
                    <w:rPr>
                      <w:b/>
                      <w:bCs/>
                    </w:rPr>
                  </w:pPr>
                  <w:r>
                    <w:rPr>
                      <w:b/>
                      <w:bCs/>
                    </w:rPr>
                    <w:t xml:space="preserve"> 150</w:t>
                  </w:r>
                </w:p>
              </w:tc>
              <w:tc>
                <w:tcPr>
                  <w:tcW w:w="852" w:type="dxa"/>
                  <w:shd w:val="clear" w:color="auto" w:fill="FFFFFF" w:themeFill="background1"/>
                  <w:vAlign w:val="center"/>
                </w:tcPr>
                <w:p w:rsidR="009F03D5" w:rsidRDefault="009F03D5" w:rsidP="0078036C">
                  <w:pPr>
                    <w:pStyle w:val="TableBodyText"/>
                    <w:rPr>
                      <w:b/>
                      <w:bCs/>
                    </w:rPr>
                  </w:pPr>
                  <w:r>
                    <w:rPr>
                      <w:b/>
                      <w:bCs/>
                    </w:rPr>
                    <w:t>1</w:t>
                  </w:r>
                  <w:r w:rsidR="0078036C">
                    <w:rPr>
                      <w:b/>
                      <w:bCs/>
                    </w:rPr>
                    <w:t>1</w:t>
                  </w:r>
                  <w:r>
                    <w:rPr>
                      <w:b/>
                      <w:bCs/>
                    </w:rPr>
                    <w:t xml:space="preserve"> </w:t>
                  </w:r>
                  <w:r w:rsidR="0078036C">
                    <w:rPr>
                      <w:b/>
                      <w:bCs/>
                    </w:rPr>
                    <w:t>088</w:t>
                  </w:r>
                </w:p>
              </w:tc>
            </w:tr>
            <w:tr w:rsidR="00271DC3" w:rsidRPr="00EB256F" w:rsidTr="0078036C">
              <w:tc>
                <w:tcPr>
                  <w:tcW w:w="2268" w:type="dxa"/>
                  <w:shd w:val="clear" w:color="auto" w:fill="FFFFFF" w:themeFill="background1"/>
                </w:tcPr>
                <w:p w:rsidR="00271DC3" w:rsidRPr="00EF378C" w:rsidRDefault="00271DC3" w:rsidP="00EF378C">
                  <w:pPr>
                    <w:pStyle w:val="TableUnitsRow"/>
                    <w:jc w:val="left"/>
                    <w:rPr>
                      <w:b/>
                    </w:rPr>
                  </w:pPr>
                  <w:r w:rsidRPr="00EF378C">
                    <w:rPr>
                      <w:b/>
                    </w:rPr>
                    <w:t>All schools</w:t>
                  </w:r>
                </w:p>
              </w:tc>
              <w:tc>
                <w:tcPr>
                  <w:tcW w:w="851" w:type="dxa"/>
                  <w:shd w:val="clear" w:color="auto" w:fill="FFFFFF" w:themeFill="background1"/>
                </w:tcPr>
                <w:p w:rsidR="00271DC3" w:rsidRPr="009A52FC" w:rsidRDefault="00271DC3" w:rsidP="00525589">
                  <w:pPr>
                    <w:pStyle w:val="TableBodyText"/>
                  </w:pPr>
                </w:p>
              </w:tc>
              <w:tc>
                <w:tcPr>
                  <w:tcW w:w="828" w:type="dxa"/>
                  <w:shd w:val="clear" w:color="auto" w:fill="FFFFFF" w:themeFill="background1"/>
                </w:tcPr>
                <w:p w:rsidR="00271DC3" w:rsidRPr="009A52FC" w:rsidRDefault="00271DC3" w:rsidP="00525589">
                  <w:pPr>
                    <w:pStyle w:val="TableBodyText"/>
                  </w:pPr>
                </w:p>
              </w:tc>
              <w:tc>
                <w:tcPr>
                  <w:tcW w:w="731" w:type="dxa"/>
                  <w:shd w:val="clear" w:color="auto" w:fill="FFFFFF" w:themeFill="background1"/>
                </w:tcPr>
                <w:p w:rsidR="00271DC3" w:rsidRPr="009A52FC" w:rsidRDefault="00271DC3" w:rsidP="00525589">
                  <w:pPr>
                    <w:pStyle w:val="TableBodyText"/>
                  </w:pPr>
                </w:p>
              </w:tc>
              <w:tc>
                <w:tcPr>
                  <w:tcW w:w="709" w:type="dxa"/>
                  <w:shd w:val="clear" w:color="auto" w:fill="FFFFFF" w:themeFill="background1"/>
                </w:tcPr>
                <w:p w:rsidR="00271DC3" w:rsidRPr="009A52FC" w:rsidRDefault="00271DC3" w:rsidP="00525589">
                  <w:pPr>
                    <w:pStyle w:val="TableBodyText"/>
                  </w:pPr>
                </w:p>
              </w:tc>
              <w:tc>
                <w:tcPr>
                  <w:tcW w:w="709" w:type="dxa"/>
                  <w:shd w:val="clear" w:color="auto" w:fill="FFFFFF" w:themeFill="background1"/>
                </w:tcPr>
                <w:p w:rsidR="00271DC3" w:rsidRPr="009A52FC" w:rsidRDefault="00271DC3" w:rsidP="00525589">
                  <w:pPr>
                    <w:pStyle w:val="TableBodyText"/>
                  </w:pPr>
                </w:p>
              </w:tc>
              <w:tc>
                <w:tcPr>
                  <w:tcW w:w="686" w:type="dxa"/>
                  <w:shd w:val="clear" w:color="auto" w:fill="FFFFFF" w:themeFill="background1"/>
                </w:tcPr>
                <w:p w:rsidR="00271DC3" w:rsidRPr="009A52FC" w:rsidRDefault="00271DC3" w:rsidP="00525589">
                  <w:pPr>
                    <w:pStyle w:val="TableBodyText"/>
                  </w:pPr>
                </w:p>
              </w:tc>
              <w:tc>
                <w:tcPr>
                  <w:tcW w:w="584" w:type="dxa"/>
                  <w:shd w:val="clear" w:color="auto" w:fill="FFFFFF" w:themeFill="background1"/>
                </w:tcPr>
                <w:p w:rsidR="00271DC3" w:rsidRPr="009A52FC" w:rsidRDefault="00271DC3" w:rsidP="00525589">
                  <w:pPr>
                    <w:pStyle w:val="TableBodyText"/>
                  </w:pPr>
                </w:p>
              </w:tc>
              <w:tc>
                <w:tcPr>
                  <w:tcW w:w="572" w:type="dxa"/>
                  <w:shd w:val="clear" w:color="auto" w:fill="FFFFFF" w:themeFill="background1"/>
                </w:tcPr>
                <w:p w:rsidR="00271DC3" w:rsidRPr="009A52FC" w:rsidRDefault="00271DC3" w:rsidP="00525589">
                  <w:pPr>
                    <w:pStyle w:val="TableBodyText"/>
                  </w:pPr>
                </w:p>
              </w:tc>
              <w:tc>
                <w:tcPr>
                  <w:tcW w:w="852" w:type="dxa"/>
                  <w:shd w:val="clear" w:color="auto" w:fill="FFFFFF" w:themeFill="background1"/>
                </w:tcPr>
                <w:p w:rsidR="00271DC3" w:rsidRPr="009A52FC" w:rsidRDefault="00271DC3" w:rsidP="00525589">
                  <w:pPr>
                    <w:pStyle w:val="TableBodyText"/>
                  </w:pPr>
                </w:p>
              </w:tc>
            </w:tr>
            <w:tr w:rsidR="009F03D5" w:rsidRPr="00EB256F" w:rsidTr="0078036C">
              <w:tc>
                <w:tcPr>
                  <w:tcW w:w="2268" w:type="dxa"/>
                  <w:shd w:val="clear" w:color="auto" w:fill="FFFFFF" w:themeFill="background1"/>
                </w:tcPr>
                <w:p w:rsidR="009F03D5" w:rsidRPr="00D612DE" w:rsidRDefault="009F03D5" w:rsidP="00EF378C">
                  <w:pPr>
                    <w:pStyle w:val="TableUnitsRow"/>
                    <w:jc w:val="left"/>
                  </w:pPr>
                  <w:r w:rsidRPr="00D612DE">
                    <w:t>Australian Government</w:t>
                  </w:r>
                </w:p>
              </w:tc>
              <w:tc>
                <w:tcPr>
                  <w:tcW w:w="851" w:type="dxa"/>
                  <w:shd w:val="clear" w:color="auto" w:fill="FFFFFF" w:themeFill="background1"/>
                  <w:vAlign w:val="center"/>
                </w:tcPr>
                <w:p w:rsidR="009F03D5" w:rsidRDefault="009F03D5" w:rsidP="009F03D5">
                  <w:pPr>
                    <w:pStyle w:val="TableBodyText"/>
                  </w:pPr>
                  <w:r>
                    <w:t>4 002</w:t>
                  </w:r>
                </w:p>
              </w:tc>
              <w:tc>
                <w:tcPr>
                  <w:tcW w:w="828" w:type="dxa"/>
                  <w:shd w:val="clear" w:color="auto" w:fill="FFFFFF" w:themeFill="background1"/>
                  <w:vAlign w:val="center"/>
                </w:tcPr>
                <w:p w:rsidR="009F03D5" w:rsidRDefault="009F03D5" w:rsidP="009F03D5">
                  <w:pPr>
                    <w:pStyle w:val="TableBodyText"/>
                  </w:pPr>
                  <w:r>
                    <w:t>3 084</w:t>
                  </w:r>
                </w:p>
              </w:tc>
              <w:tc>
                <w:tcPr>
                  <w:tcW w:w="731" w:type="dxa"/>
                  <w:shd w:val="clear" w:color="auto" w:fill="FFFFFF" w:themeFill="background1"/>
                  <w:vAlign w:val="center"/>
                </w:tcPr>
                <w:p w:rsidR="009F03D5" w:rsidRDefault="009F03D5" w:rsidP="009F03D5">
                  <w:pPr>
                    <w:pStyle w:val="TableBodyText"/>
                  </w:pPr>
                  <w:r>
                    <w:t>2 565</w:t>
                  </w:r>
                </w:p>
              </w:tc>
              <w:tc>
                <w:tcPr>
                  <w:tcW w:w="709" w:type="dxa"/>
                  <w:shd w:val="clear" w:color="auto" w:fill="FFFFFF" w:themeFill="background1"/>
                  <w:vAlign w:val="center"/>
                </w:tcPr>
                <w:p w:rsidR="009F03D5" w:rsidRDefault="009F03D5" w:rsidP="0078036C">
                  <w:pPr>
                    <w:pStyle w:val="TableBodyText"/>
                  </w:pPr>
                  <w:r>
                    <w:t>1 2</w:t>
                  </w:r>
                  <w:r w:rsidR="0078036C">
                    <w:t>65</w:t>
                  </w:r>
                </w:p>
              </w:tc>
              <w:tc>
                <w:tcPr>
                  <w:tcW w:w="709" w:type="dxa"/>
                  <w:shd w:val="clear" w:color="auto" w:fill="FFFFFF" w:themeFill="background1"/>
                  <w:vAlign w:val="center"/>
                </w:tcPr>
                <w:p w:rsidR="009F03D5" w:rsidRDefault="009F03D5" w:rsidP="009F03D5">
                  <w:pPr>
                    <w:pStyle w:val="TableBodyText"/>
                  </w:pPr>
                  <w:r>
                    <w:t xml:space="preserve"> 981</w:t>
                  </w:r>
                </w:p>
              </w:tc>
              <w:tc>
                <w:tcPr>
                  <w:tcW w:w="686" w:type="dxa"/>
                  <w:shd w:val="clear" w:color="auto" w:fill="FFFFFF" w:themeFill="background1"/>
                  <w:vAlign w:val="center"/>
                </w:tcPr>
                <w:p w:rsidR="009F03D5" w:rsidRDefault="009F03D5" w:rsidP="009F03D5">
                  <w:pPr>
                    <w:pStyle w:val="TableBodyText"/>
                  </w:pPr>
                  <w:r>
                    <w:t xml:space="preserve"> 287</w:t>
                  </w:r>
                </w:p>
              </w:tc>
              <w:tc>
                <w:tcPr>
                  <w:tcW w:w="584" w:type="dxa"/>
                  <w:shd w:val="clear" w:color="auto" w:fill="FFFFFF" w:themeFill="background1"/>
                  <w:vAlign w:val="center"/>
                </w:tcPr>
                <w:p w:rsidR="009F03D5" w:rsidRDefault="009F03D5" w:rsidP="009F03D5">
                  <w:pPr>
                    <w:pStyle w:val="TableBodyText"/>
                  </w:pPr>
                  <w:r>
                    <w:t xml:space="preserve"> 206</w:t>
                  </w:r>
                </w:p>
              </w:tc>
              <w:tc>
                <w:tcPr>
                  <w:tcW w:w="572" w:type="dxa"/>
                  <w:shd w:val="clear" w:color="auto" w:fill="FFFFFF" w:themeFill="background1"/>
                  <w:vAlign w:val="center"/>
                </w:tcPr>
                <w:p w:rsidR="009F03D5" w:rsidRDefault="009F03D5" w:rsidP="009F03D5">
                  <w:pPr>
                    <w:pStyle w:val="TableBodyText"/>
                  </w:pPr>
                  <w:r>
                    <w:t xml:space="preserve"> 201</w:t>
                  </w:r>
                </w:p>
              </w:tc>
              <w:tc>
                <w:tcPr>
                  <w:tcW w:w="852" w:type="dxa"/>
                  <w:shd w:val="clear" w:color="auto" w:fill="FFFFFF" w:themeFill="background1"/>
                  <w:vAlign w:val="center"/>
                </w:tcPr>
                <w:p w:rsidR="009F03D5" w:rsidRDefault="009F03D5" w:rsidP="0078036C">
                  <w:pPr>
                    <w:pStyle w:val="TableBodyText"/>
                  </w:pPr>
                  <w:r>
                    <w:t xml:space="preserve">12 </w:t>
                  </w:r>
                  <w:r w:rsidR="0078036C">
                    <w:t>592</w:t>
                  </w:r>
                </w:p>
              </w:tc>
            </w:tr>
            <w:tr w:rsidR="009F03D5" w:rsidRPr="00EB256F" w:rsidTr="0078036C">
              <w:tc>
                <w:tcPr>
                  <w:tcW w:w="2268" w:type="dxa"/>
                  <w:shd w:val="clear" w:color="auto" w:fill="FFFFFF" w:themeFill="background1"/>
                </w:tcPr>
                <w:p w:rsidR="009F03D5" w:rsidRPr="00D612DE" w:rsidRDefault="009F03D5" w:rsidP="00EF378C">
                  <w:pPr>
                    <w:pStyle w:val="TableUnitsRow"/>
                    <w:jc w:val="left"/>
                  </w:pPr>
                  <w:r w:rsidRPr="00D612DE">
                    <w:t>State and Territory governments</w:t>
                  </w:r>
                </w:p>
              </w:tc>
              <w:tc>
                <w:tcPr>
                  <w:tcW w:w="851" w:type="dxa"/>
                  <w:shd w:val="clear" w:color="auto" w:fill="FFFFFF" w:themeFill="background1"/>
                  <w:vAlign w:val="center"/>
                </w:tcPr>
                <w:p w:rsidR="009F03D5" w:rsidRDefault="009F03D5" w:rsidP="009F03D5">
                  <w:pPr>
                    <w:pStyle w:val="TableBodyText"/>
                  </w:pPr>
                  <w:r>
                    <w:t>11 035</w:t>
                  </w:r>
                </w:p>
              </w:tc>
              <w:tc>
                <w:tcPr>
                  <w:tcW w:w="828" w:type="dxa"/>
                  <w:shd w:val="clear" w:color="auto" w:fill="FFFFFF" w:themeFill="background1"/>
                  <w:vAlign w:val="center"/>
                </w:tcPr>
                <w:p w:rsidR="009F03D5" w:rsidRDefault="009F03D5" w:rsidP="009F03D5">
                  <w:pPr>
                    <w:pStyle w:val="TableBodyText"/>
                  </w:pPr>
                  <w:r>
                    <w:t>7 211</w:t>
                  </w:r>
                </w:p>
              </w:tc>
              <w:tc>
                <w:tcPr>
                  <w:tcW w:w="731" w:type="dxa"/>
                  <w:shd w:val="clear" w:color="auto" w:fill="FFFFFF" w:themeFill="background1"/>
                  <w:vAlign w:val="center"/>
                </w:tcPr>
                <w:p w:rsidR="009F03D5" w:rsidRDefault="009F03D5" w:rsidP="009F03D5">
                  <w:pPr>
                    <w:pStyle w:val="TableBodyText"/>
                  </w:pPr>
                  <w:r>
                    <w:t>7 572</w:t>
                  </w:r>
                </w:p>
              </w:tc>
              <w:tc>
                <w:tcPr>
                  <w:tcW w:w="709" w:type="dxa"/>
                  <w:shd w:val="clear" w:color="auto" w:fill="FFFFFF" w:themeFill="background1"/>
                  <w:vAlign w:val="center"/>
                </w:tcPr>
                <w:p w:rsidR="009F03D5" w:rsidRDefault="009F03D5" w:rsidP="0078036C">
                  <w:pPr>
                    <w:pStyle w:val="TableBodyText"/>
                  </w:pPr>
                  <w:r>
                    <w:t xml:space="preserve">4 </w:t>
                  </w:r>
                  <w:r w:rsidR="0078036C">
                    <w:t>713</w:t>
                  </w:r>
                </w:p>
              </w:tc>
              <w:tc>
                <w:tcPr>
                  <w:tcW w:w="709" w:type="dxa"/>
                  <w:shd w:val="clear" w:color="auto" w:fill="FFFFFF" w:themeFill="background1"/>
                  <w:vAlign w:val="center"/>
                </w:tcPr>
                <w:p w:rsidR="009F03D5" w:rsidRDefault="009F03D5" w:rsidP="009F03D5">
                  <w:pPr>
                    <w:pStyle w:val="TableBodyText"/>
                  </w:pPr>
                  <w:r>
                    <w:t>2 533</w:t>
                  </w:r>
                </w:p>
              </w:tc>
              <w:tc>
                <w:tcPr>
                  <w:tcW w:w="686" w:type="dxa"/>
                  <w:shd w:val="clear" w:color="auto" w:fill="FFFFFF" w:themeFill="background1"/>
                  <w:vAlign w:val="center"/>
                </w:tcPr>
                <w:p w:rsidR="009F03D5" w:rsidRDefault="009F03D5" w:rsidP="009F03D5">
                  <w:pPr>
                    <w:pStyle w:val="TableBodyText"/>
                  </w:pPr>
                  <w:r>
                    <w:t xml:space="preserve"> 858</w:t>
                  </w:r>
                </w:p>
              </w:tc>
              <w:tc>
                <w:tcPr>
                  <w:tcW w:w="584" w:type="dxa"/>
                  <w:shd w:val="clear" w:color="auto" w:fill="FFFFFF" w:themeFill="background1"/>
                  <w:vAlign w:val="center"/>
                </w:tcPr>
                <w:p w:rsidR="009F03D5" w:rsidRDefault="009F03D5" w:rsidP="009F03D5">
                  <w:pPr>
                    <w:pStyle w:val="TableBodyText"/>
                  </w:pPr>
                  <w:r>
                    <w:t xml:space="preserve"> 749</w:t>
                  </w:r>
                </w:p>
              </w:tc>
              <w:tc>
                <w:tcPr>
                  <w:tcW w:w="572" w:type="dxa"/>
                  <w:shd w:val="clear" w:color="auto" w:fill="FFFFFF" w:themeFill="background1"/>
                  <w:vAlign w:val="center"/>
                </w:tcPr>
                <w:p w:rsidR="009F03D5" w:rsidRDefault="009F03D5" w:rsidP="00525589">
                  <w:pPr>
                    <w:pStyle w:val="TableBodyText"/>
                  </w:pPr>
                  <w:r>
                    <w:t xml:space="preserve"> 67</w:t>
                  </w:r>
                  <w:r w:rsidR="00525589">
                    <w:t>8</w:t>
                  </w:r>
                </w:p>
              </w:tc>
              <w:tc>
                <w:tcPr>
                  <w:tcW w:w="852" w:type="dxa"/>
                  <w:shd w:val="clear" w:color="auto" w:fill="FFFFFF" w:themeFill="background1"/>
                  <w:vAlign w:val="center"/>
                </w:tcPr>
                <w:p w:rsidR="009F03D5" w:rsidRDefault="0078036C" w:rsidP="009F03D5">
                  <w:pPr>
                    <w:pStyle w:val="TableBodyText"/>
                  </w:pPr>
                  <w:r>
                    <w:t>35 350</w:t>
                  </w:r>
                </w:p>
              </w:tc>
            </w:tr>
            <w:tr w:rsidR="009F03D5" w:rsidRPr="00EB256F" w:rsidTr="0078036C">
              <w:tc>
                <w:tcPr>
                  <w:tcW w:w="2268" w:type="dxa"/>
                  <w:tcBorders>
                    <w:bottom w:val="single" w:sz="6" w:space="0" w:color="BFBFBF" w:themeColor="background2"/>
                  </w:tcBorders>
                  <w:shd w:val="clear" w:color="auto" w:fill="FFFFFF" w:themeFill="background1"/>
                </w:tcPr>
                <w:p w:rsidR="009F03D5" w:rsidRPr="00D612DE" w:rsidRDefault="009F03D5" w:rsidP="00EF378C">
                  <w:pPr>
                    <w:pStyle w:val="TableUnitsRow"/>
                    <w:jc w:val="left"/>
                    <w:rPr>
                      <w:b/>
                    </w:rPr>
                  </w:pPr>
                  <w:r w:rsidRPr="00D612DE">
                    <w:rPr>
                      <w:b/>
                    </w:rPr>
                    <w:t>Total</w:t>
                  </w:r>
                </w:p>
              </w:tc>
              <w:tc>
                <w:tcPr>
                  <w:tcW w:w="851" w:type="dxa"/>
                  <w:tcBorders>
                    <w:bottom w:val="single" w:sz="6" w:space="0" w:color="BFBFBF" w:themeColor="background2"/>
                  </w:tcBorders>
                  <w:shd w:val="clear" w:color="auto" w:fill="FFFFFF" w:themeFill="background1"/>
                  <w:vAlign w:val="center"/>
                </w:tcPr>
                <w:p w:rsidR="009F03D5" w:rsidRPr="009F03D5" w:rsidRDefault="009F03D5" w:rsidP="009F03D5">
                  <w:pPr>
                    <w:pStyle w:val="TableBodyText"/>
                    <w:rPr>
                      <w:b/>
                    </w:rPr>
                  </w:pPr>
                  <w:r w:rsidRPr="009F03D5">
                    <w:rPr>
                      <w:b/>
                    </w:rPr>
                    <w:t>15 038</w:t>
                  </w:r>
                </w:p>
              </w:tc>
              <w:tc>
                <w:tcPr>
                  <w:tcW w:w="828" w:type="dxa"/>
                  <w:tcBorders>
                    <w:bottom w:val="single" w:sz="6" w:space="0" w:color="BFBFBF" w:themeColor="background2"/>
                  </w:tcBorders>
                  <w:shd w:val="clear" w:color="auto" w:fill="FFFFFF" w:themeFill="background1"/>
                  <w:vAlign w:val="center"/>
                </w:tcPr>
                <w:p w:rsidR="009F03D5" w:rsidRPr="009F03D5" w:rsidRDefault="009F03D5" w:rsidP="009F03D5">
                  <w:pPr>
                    <w:pStyle w:val="TableBodyText"/>
                    <w:rPr>
                      <w:b/>
                    </w:rPr>
                  </w:pPr>
                  <w:r w:rsidRPr="009F03D5">
                    <w:rPr>
                      <w:b/>
                    </w:rPr>
                    <w:t>10 295</w:t>
                  </w:r>
                </w:p>
              </w:tc>
              <w:tc>
                <w:tcPr>
                  <w:tcW w:w="731" w:type="dxa"/>
                  <w:tcBorders>
                    <w:bottom w:val="single" w:sz="6" w:space="0" w:color="BFBFBF" w:themeColor="background2"/>
                  </w:tcBorders>
                  <w:shd w:val="clear" w:color="auto" w:fill="FFFFFF" w:themeFill="background1"/>
                  <w:vAlign w:val="center"/>
                </w:tcPr>
                <w:p w:rsidR="009F03D5" w:rsidRPr="009F03D5" w:rsidRDefault="009F03D5" w:rsidP="009F03D5">
                  <w:pPr>
                    <w:pStyle w:val="TableBodyText"/>
                    <w:rPr>
                      <w:b/>
                    </w:rPr>
                  </w:pPr>
                  <w:r w:rsidRPr="009F03D5">
                    <w:rPr>
                      <w:b/>
                    </w:rPr>
                    <w:t>10 137</w:t>
                  </w:r>
                </w:p>
              </w:tc>
              <w:tc>
                <w:tcPr>
                  <w:tcW w:w="709" w:type="dxa"/>
                  <w:tcBorders>
                    <w:bottom w:val="single" w:sz="6" w:space="0" w:color="BFBFBF" w:themeColor="background2"/>
                  </w:tcBorders>
                  <w:shd w:val="clear" w:color="auto" w:fill="FFFFFF" w:themeFill="background1"/>
                  <w:vAlign w:val="center"/>
                </w:tcPr>
                <w:p w:rsidR="009F03D5" w:rsidRPr="009F03D5" w:rsidRDefault="009F03D5" w:rsidP="0078036C">
                  <w:pPr>
                    <w:pStyle w:val="TableBodyText"/>
                    <w:rPr>
                      <w:b/>
                    </w:rPr>
                  </w:pPr>
                  <w:r w:rsidRPr="009F03D5">
                    <w:rPr>
                      <w:b/>
                    </w:rPr>
                    <w:t xml:space="preserve">5 </w:t>
                  </w:r>
                  <w:r w:rsidR="0078036C">
                    <w:rPr>
                      <w:b/>
                    </w:rPr>
                    <w:t>978</w:t>
                  </w:r>
                </w:p>
              </w:tc>
              <w:tc>
                <w:tcPr>
                  <w:tcW w:w="709" w:type="dxa"/>
                  <w:tcBorders>
                    <w:bottom w:val="single" w:sz="6" w:space="0" w:color="BFBFBF" w:themeColor="background2"/>
                  </w:tcBorders>
                  <w:shd w:val="clear" w:color="auto" w:fill="FFFFFF" w:themeFill="background1"/>
                  <w:vAlign w:val="center"/>
                </w:tcPr>
                <w:p w:rsidR="009F03D5" w:rsidRPr="009F03D5" w:rsidRDefault="009F03D5" w:rsidP="009F03D5">
                  <w:pPr>
                    <w:pStyle w:val="TableBodyText"/>
                    <w:rPr>
                      <w:b/>
                    </w:rPr>
                  </w:pPr>
                  <w:r w:rsidRPr="009F03D5">
                    <w:rPr>
                      <w:b/>
                    </w:rPr>
                    <w:t>3 514</w:t>
                  </w:r>
                </w:p>
              </w:tc>
              <w:tc>
                <w:tcPr>
                  <w:tcW w:w="686" w:type="dxa"/>
                  <w:tcBorders>
                    <w:bottom w:val="single" w:sz="6" w:space="0" w:color="BFBFBF" w:themeColor="background2"/>
                  </w:tcBorders>
                  <w:shd w:val="clear" w:color="auto" w:fill="FFFFFF" w:themeFill="background1"/>
                  <w:vAlign w:val="center"/>
                </w:tcPr>
                <w:p w:rsidR="009F03D5" w:rsidRPr="009F03D5" w:rsidRDefault="009F03D5" w:rsidP="009F03D5">
                  <w:pPr>
                    <w:pStyle w:val="TableBodyText"/>
                    <w:rPr>
                      <w:b/>
                    </w:rPr>
                  </w:pPr>
                  <w:r w:rsidRPr="009F03D5">
                    <w:rPr>
                      <w:b/>
                    </w:rPr>
                    <w:t>1 145</w:t>
                  </w:r>
                </w:p>
              </w:tc>
              <w:tc>
                <w:tcPr>
                  <w:tcW w:w="584" w:type="dxa"/>
                  <w:tcBorders>
                    <w:bottom w:val="single" w:sz="6" w:space="0" w:color="BFBFBF" w:themeColor="background2"/>
                  </w:tcBorders>
                  <w:shd w:val="clear" w:color="auto" w:fill="FFFFFF" w:themeFill="background1"/>
                  <w:vAlign w:val="center"/>
                </w:tcPr>
                <w:p w:rsidR="009F03D5" w:rsidRPr="009F03D5" w:rsidRDefault="009F03D5" w:rsidP="009F03D5">
                  <w:pPr>
                    <w:pStyle w:val="TableBodyText"/>
                    <w:rPr>
                      <w:b/>
                    </w:rPr>
                  </w:pPr>
                  <w:r w:rsidRPr="009F03D5">
                    <w:rPr>
                      <w:b/>
                    </w:rPr>
                    <w:t xml:space="preserve"> 955</w:t>
                  </w:r>
                </w:p>
              </w:tc>
              <w:tc>
                <w:tcPr>
                  <w:tcW w:w="572" w:type="dxa"/>
                  <w:tcBorders>
                    <w:bottom w:val="single" w:sz="6" w:space="0" w:color="BFBFBF" w:themeColor="background2"/>
                  </w:tcBorders>
                  <w:shd w:val="clear" w:color="auto" w:fill="FFFFFF" w:themeFill="background1"/>
                  <w:vAlign w:val="center"/>
                </w:tcPr>
                <w:p w:rsidR="009F03D5" w:rsidRPr="009F03D5" w:rsidRDefault="009F03D5" w:rsidP="009F03D5">
                  <w:pPr>
                    <w:pStyle w:val="TableBodyText"/>
                    <w:rPr>
                      <w:b/>
                    </w:rPr>
                  </w:pPr>
                  <w:r w:rsidRPr="009F03D5">
                    <w:rPr>
                      <w:b/>
                    </w:rPr>
                    <w:t xml:space="preserve"> 880</w:t>
                  </w:r>
                </w:p>
              </w:tc>
              <w:tc>
                <w:tcPr>
                  <w:tcW w:w="852" w:type="dxa"/>
                  <w:tcBorders>
                    <w:bottom w:val="single" w:sz="6" w:space="0" w:color="BFBFBF" w:themeColor="background2"/>
                  </w:tcBorders>
                  <w:shd w:val="clear" w:color="auto" w:fill="FFFFFF" w:themeFill="background1"/>
                  <w:vAlign w:val="center"/>
                </w:tcPr>
                <w:p w:rsidR="009F03D5" w:rsidRPr="009F03D5" w:rsidRDefault="009F03D5" w:rsidP="0078036C">
                  <w:pPr>
                    <w:pStyle w:val="TableBodyText"/>
                    <w:rPr>
                      <w:b/>
                    </w:rPr>
                  </w:pPr>
                  <w:r w:rsidRPr="009F03D5">
                    <w:rPr>
                      <w:b/>
                    </w:rPr>
                    <w:t xml:space="preserve">47 </w:t>
                  </w:r>
                  <w:r w:rsidR="0078036C">
                    <w:rPr>
                      <w:b/>
                    </w:rPr>
                    <w:t>941</w:t>
                  </w:r>
                </w:p>
              </w:tc>
            </w:tr>
          </w:tbl>
          <w:p w:rsidR="00271DC3" w:rsidRDefault="00271DC3" w:rsidP="00525589">
            <w:pPr>
              <w:pStyle w:val="Box"/>
            </w:pPr>
          </w:p>
        </w:tc>
      </w:tr>
      <w:tr w:rsidR="00271DC3" w:rsidTr="00525589">
        <w:trPr>
          <w:cantSplit/>
        </w:trPr>
        <w:tc>
          <w:tcPr>
            <w:tcW w:w="8771" w:type="dxa"/>
            <w:tcBorders>
              <w:top w:val="nil"/>
              <w:left w:val="nil"/>
              <w:bottom w:val="nil"/>
              <w:right w:val="nil"/>
            </w:tcBorders>
            <w:shd w:val="clear" w:color="auto" w:fill="auto"/>
          </w:tcPr>
          <w:p w:rsidR="00271DC3" w:rsidRDefault="00271DC3" w:rsidP="00EF378C">
            <w:pPr>
              <w:pStyle w:val="Note"/>
              <w:rPr>
                <w:i/>
              </w:rPr>
            </w:pPr>
            <w:r w:rsidRPr="008E77FE">
              <w:rPr>
                <w:rStyle w:val="NoteLabel"/>
              </w:rPr>
              <w:t>a</w:t>
            </w:r>
            <w:r>
              <w:t xml:space="preserve"> </w:t>
            </w:r>
            <w:r w:rsidR="00EF378C" w:rsidRPr="00EF378C">
              <w:t xml:space="preserve">See notes to table </w:t>
            </w:r>
            <w:proofErr w:type="spellStart"/>
            <w:r w:rsidR="00EF378C" w:rsidRPr="00EF378C">
              <w:t>4A.7</w:t>
            </w:r>
            <w:proofErr w:type="spellEnd"/>
            <w:r w:rsidR="00EF378C" w:rsidRPr="00EF378C">
              <w:t xml:space="preserve"> for definitions and other data caveats. Data presented here include notional user cost of capital (</w:t>
            </w:r>
            <w:proofErr w:type="spellStart"/>
            <w:r w:rsidR="00EF378C" w:rsidRPr="00EF378C">
              <w:t>UCC</w:t>
            </w:r>
            <w:proofErr w:type="spellEnd"/>
            <w:r w:rsidR="00EF378C" w:rsidRPr="00EF378C">
              <w:t xml:space="preserve">) and exclude capital grants. </w:t>
            </w:r>
            <w:r w:rsidR="00EF378C" w:rsidRPr="002532CC">
              <w:rPr>
                <w:rStyle w:val="NoteLabel"/>
              </w:rPr>
              <w:t>b</w:t>
            </w:r>
            <w:r w:rsidR="00EF378C" w:rsidRPr="00EF378C">
              <w:t xml:space="preserve"> Based on accrual accounting. </w:t>
            </w:r>
            <w:r w:rsidR="00EF378C" w:rsidRPr="002532CC">
              <w:rPr>
                <w:rStyle w:val="NoteLabel"/>
              </w:rPr>
              <w:t>c</w:t>
            </w:r>
            <w:r w:rsidR="00EF378C" w:rsidRPr="00EF378C">
              <w:t xml:space="preserve"> Totals may not add due to rounding. </w:t>
            </w:r>
            <w:r w:rsidR="00EF378C" w:rsidRPr="00820CF9">
              <w:rPr>
                <w:rStyle w:val="NoteLabel"/>
              </w:rPr>
              <w:t>d</w:t>
            </w:r>
            <w:r w:rsidR="00EF378C" w:rsidRPr="00EF378C">
              <w:t xml:space="preserve"> Depreciation and user cost of capital expenses relating to government schools have been attributed to states/territories based on ownership of the underlying assets. A portion of these assets will have been acquired through Australian Government capital contributions, with states and territories responsible for maintenance costs. Australian Government expenditure data in this table include only Australian Government specific purpose payments. Other Australian Government funding for schools and students is not included.</w:t>
            </w:r>
          </w:p>
        </w:tc>
      </w:tr>
      <w:tr w:rsidR="00271DC3" w:rsidTr="00525589">
        <w:trPr>
          <w:cantSplit/>
        </w:trPr>
        <w:tc>
          <w:tcPr>
            <w:tcW w:w="8771" w:type="dxa"/>
            <w:tcBorders>
              <w:top w:val="nil"/>
              <w:left w:val="nil"/>
              <w:bottom w:val="nil"/>
              <w:right w:val="nil"/>
            </w:tcBorders>
            <w:shd w:val="clear" w:color="auto" w:fill="auto"/>
          </w:tcPr>
          <w:p w:rsidR="00271DC3" w:rsidRDefault="00271DC3" w:rsidP="00EF378C">
            <w:pPr>
              <w:pStyle w:val="Source"/>
            </w:pPr>
            <w:r>
              <w:rPr>
                <w:i/>
              </w:rPr>
              <w:t>Source(s)</w:t>
            </w:r>
            <w:r w:rsidRPr="00167F06">
              <w:t xml:space="preserve">: </w:t>
            </w:r>
            <w:r w:rsidR="00EF378C" w:rsidRPr="00EF378C">
              <w:t xml:space="preserve">Education Council (unpublished) </w:t>
            </w:r>
            <w:r w:rsidR="00EF378C" w:rsidRPr="00EF378C">
              <w:rPr>
                <w:i/>
              </w:rPr>
              <w:t>National Schools Statistics Collection</w:t>
            </w:r>
            <w:r w:rsidR="00EF378C" w:rsidRPr="00EF378C">
              <w:t xml:space="preserve"> (</w:t>
            </w:r>
            <w:proofErr w:type="spellStart"/>
            <w:r w:rsidR="00EF378C" w:rsidRPr="00EF378C">
              <w:t>NSSC</w:t>
            </w:r>
            <w:proofErr w:type="spellEnd"/>
            <w:r w:rsidR="00EF378C" w:rsidRPr="00EF378C">
              <w:t>); Australian Government Department of Education (unpublished); Australian, State and Territory governments (unpublished); table </w:t>
            </w:r>
            <w:proofErr w:type="spellStart"/>
            <w:r w:rsidR="00EF378C" w:rsidRPr="00EF378C">
              <w:t>4A.7</w:t>
            </w:r>
            <w:proofErr w:type="spellEnd"/>
            <w:r w:rsidR="00EF378C" w:rsidRPr="00EF378C">
              <w:t>.</w:t>
            </w:r>
          </w:p>
        </w:tc>
      </w:tr>
      <w:tr w:rsidR="00271DC3" w:rsidTr="00525589">
        <w:trPr>
          <w:cantSplit/>
        </w:trPr>
        <w:tc>
          <w:tcPr>
            <w:tcW w:w="8771" w:type="dxa"/>
            <w:tcBorders>
              <w:top w:val="nil"/>
              <w:left w:val="nil"/>
              <w:bottom w:val="single" w:sz="6" w:space="0" w:color="78A22F"/>
              <w:right w:val="nil"/>
            </w:tcBorders>
            <w:shd w:val="clear" w:color="auto" w:fill="auto"/>
          </w:tcPr>
          <w:p w:rsidR="00271DC3" w:rsidRDefault="00271DC3" w:rsidP="00525589">
            <w:pPr>
              <w:pStyle w:val="Box"/>
              <w:spacing w:before="0" w:line="120" w:lineRule="exact"/>
            </w:pPr>
          </w:p>
        </w:tc>
      </w:tr>
      <w:tr w:rsidR="00271DC3" w:rsidRPr="000863A5" w:rsidTr="00525589">
        <w:tc>
          <w:tcPr>
            <w:tcW w:w="8771" w:type="dxa"/>
            <w:tcBorders>
              <w:top w:val="single" w:sz="6" w:space="0" w:color="78A22F"/>
              <w:left w:val="nil"/>
              <w:bottom w:val="nil"/>
              <w:right w:val="nil"/>
            </w:tcBorders>
          </w:tcPr>
          <w:p w:rsidR="00271DC3" w:rsidRPr="00626D32" w:rsidRDefault="00271DC3" w:rsidP="00525589">
            <w:pPr>
              <w:pStyle w:val="BoxSpaceBelow"/>
            </w:pPr>
          </w:p>
        </w:tc>
      </w:tr>
    </w:tbl>
    <w:p w:rsidR="00666ECE" w:rsidRPr="00607118" w:rsidRDefault="00666ECE" w:rsidP="00280A69">
      <w:pPr>
        <w:pStyle w:val="BodyText"/>
        <w:spacing w:before="0"/>
      </w:pPr>
      <w:r w:rsidRPr="00F670A8">
        <w:t>This chapt</w:t>
      </w:r>
      <w:r w:rsidRPr="00F670A8">
        <w:rPr>
          <w:shd w:val="clear" w:color="auto" w:fill="FFFFFF" w:themeFill="background1"/>
        </w:rPr>
        <w:t xml:space="preserve">er </w:t>
      </w:r>
      <w:r w:rsidR="00E81B3E" w:rsidRPr="00F670A8">
        <w:rPr>
          <w:shd w:val="clear" w:color="auto" w:fill="FFFFFF" w:themeFill="background1"/>
        </w:rPr>
        <w:t xml:space="preserve">also </w:t>
      </w:r>
      <w:r w:rsidRPr="00F670A8">
        <w:rPr>
          <w:shd w:val="clear" w:color="auto" w:fill="FFFFFF" w:themeFill="background1"/>
        </w:rPr>
        <w:t xml:space="preserve">reports on government funding of non-government schools. Caution </w:t>
      </w:r>
      <w:r w:rsidR="00635573" w:rsidRPr="00F670A8">
        <w:rPr>
          <w:shd w:val="clear" w:color="auto" w:fill="FFFFFF" w:themeFill="background1"/>
        </w:rPr>
        <w:t>should</w:t>
      </w:r>
      <w:r w:rsidRPr="00F670A8">
        <w:rPr>
          <w:shd w:val="clear" w:color="auto" w:fill="FFFFFF" w:themeFill="background1"/>
        </w:rPr>
        <w:t xml:space="preserve"> be taken when comparing data on the relative efficiency of government and non</w:t>
      </w:r>
      <w:r w:rsidR="00490911">
        <w:rPr>
          <w:shd w:val="clear" w:color="auto" w:fill="FFFFFF" w:themeFill="background1"/>
        </w:rPr>
        <w:noBreakHyphen/>
      </w:r>
      <w:r w:rsidRPr="00F670A8">
        <w:rPr>
          <w:shd w:val="clear" w:color="auto" w:fill="FFFFFF" w:themeFill="background1"/>
        </w:rPr>
        <w:t>government schools, because governments provide only part of the funding for non</w:t>
      </w:r>
      <w:r w:rsidR="00490911">
        <w:rPr>
          <w:shd w:val="clear" w:color="auto" w:fill="FFFFFF" w:themeFill="background1"/>
        </w:rPr>
        <w:noBreakHyphen/>
      </w:r>
      <w:r w:rsidRPr="00F670A8">
        <w:rPr>
          <w:shd w:val="clear" w:color="auto" w:fill="FFFFFF" w:themeFill="background1"/>
        </w:rPr>
        <w:t xml:space="preserve">government schools. Governments </w:t>
      </w:r>
      <w:r w:rsidRPr="001064B9">
        <w:rPr>
          <w:shd w:val="clear" w:color="auto" w:fill="FFFFFF" w:themeFill="background1"/>
        </w:rPr>
        <w:t xml:space="preserve">provided </w:t>
      </w:r>
      <w:r w:rsidR="006B683F" w:rsidRPr="001064B9">
        <w:rPr>
          <w:shd w:val="clear" w:color="auto" w:fill="FFFFFF" w:themeFill="background1"/>
        </w:rPr>
        <w:t>57.</w:t>
      </w:r>
      <w:r w:rsidR="001064B9" w:rsidRPr="001064B9">
        <w:rPr>
          <w:shd w:val="clear" w:color="auto" w:fill="FFFFFF" w:themeFill="background1"/>
        </w:rPr>
        <w:t>2</w:t>
      </w:r>
      <w:r w:rsidRPr="001064B9">
        <w:rPr>
          <w:shd w:val="clear" w:color="auto" w:fill="FFFFFF" w:themeFill="background1"/>
        </w:rPr>
        <w:t xml:space="preserve"> per cent of non-government school funding in 201</w:t>
      </w:r>
      <w:r w:rsidR="009D117F" w:rsidRPr="001064B9">
        <w:rPr>
          <w:shd w:val="clear" w:color="auto" w:fill="FFFFFF" w:themeFill="background1"/>
        </w:rPr>
        <w:t>3</w:t>
      </w:r>
      <w:r w:rsidRPr="001064B9">
        <w:rPr>
          <w:shd w:val="clear" w:color="auto" w:fill="FFFFFF" w:themeFill="background1"/>
        </w:rPr>
        <w:t xml:space="preserve">, with the remaining </w:t>
      </w:r>
      <w:r w:rsidR="006B683F" w:rsidRPr="001064B9">
        <w:rPr>
          <w:shd w:val="clear" w:color="auto" w:fill="FFFFFF" w:themeFill="background1"/>
        </w:rPr>
        <w:t>42.</w:t>
      </w:r>
      <w:r w:rsidR="001064B9" w:rsidRPr="001064B9">
        <w:rPr>
          <w:shd w:val="clear" w:color="auto" w:fill="FFFFFF" w:themeFill="background1"/>
        </w:rPr>
        <w:t>8</w:t>
      </w:r>
      <w:r w:rsidRPr="001064B9">
        <w:rPr>
          <w:shd w:val="clear" w:color="auto" w:fill="FFFFFF" w:themeFill="background1"/>
        </w:rPr>
        <w:t xml:space="preserve"> per cent</w:t>
      </w:r>
      <w:r w:rsidRPr="00F670A8">
        <w:rPr>
          <w:shd w:val="clear" w:color="auto" w:fill="FFFFFF" w:themeFill="background1"/>
        </w:rPr>
        <w:t xml:space="preserve"> sourced from private fees and fundraising (</w:t>
      </w:r>
      <w:r w:rsidR="001D6209" w:rsidRPr="001D6209">
        <w:rPr>
          <w:shd w:val="clear" w:color="auto" w:fill="FFFFFF" w:themeFill="background1"/>
        </w:rPr>
        <w:t xml:space="preserve">Australian Government </w:t>
      </w:r>
      <w:r w:rsidR="007D2D50">
        <w:rPr>
          <w:shd w:val="clear" w:color="auto" w:fill="FFFFFF" w:themeFill="background1"/>
        </w:rPr>
        <w:t>Department of Education</w:t>
      </w:r>
      <w:r w:rsidRPr="00F670A8">
        <w:rPr>
          <w:shd w:val="clear" w:color="auto" w:fill="FFFFFF" w:themeFill="background1"/>
        </w:rPr>
        <w:t xml:space="preserve"> unpublished). </w:t>
      </w:r>
      <w:bookmarkEnd w:id="7"/>
      <w:bookmarkEnd w:id="8"/>
      <w:bookmarkEnd w:id="9"/>
      <w:r w:rsidRPr="00F670A8">
        <w:rPr>
          <w:shd w:val="clear" w:color="auto" w:fill="FFFFFF" w:themeFill="background1"/>
        </w:rPr>
        <w:t>Section</w:t>
      </w:r>
      <w:r w:rsidR="00031DF6">
        <w:rPr>
          <w:shd w:val="clear" w:color="auto" w:fill="FFFFFF" w:themeFill="background1"/>
        </w:rPr>
        <w:t xml:space="preserve"> </w:t>
      </w:r>
      <w:r w:rsidRPr="00F670A8">
        <w:rPr>
          <w:shd w:val="clear" w:color="auto" w:fill="FFFFFF" w:themeFill="background1"/>
        </w:rPr>
        <w:t>4.3 contains additional information on government expenditure per student.</w:t>
      </w:r>
      <w:r w:rsidR="00EB256F" w:rsidRPr="00F670A8">
        <w:rPr>
          <w:shd w:val="clear" w:color="auto" w:fill="FFFFFF" w:themeFill="background1"/>
        </w:rPr>
        <w:t xml:space="preserve"> </w:t>
      </w:r>
      <w:r w:rsidR="007D2D50" w:rsidRPr="007D2D50">
        <w:rPr>
          <w:shd w:val="clear" w:color="auto" w:fill="FFFFFF" w:themeFill="background1"/>
        </w:rPr>
        <w:t>In 201</w:t>
      </w:r>
      <w:r w:rsidR="009D117F">
        <w:rPr>
          <w:shd w:val="clear" w:color="auto" w:fill="FFFFFF" w:themeFill="background1"/>
        </w:rPr>
        <w:t>2</w:t>
      </w:r>
      <w:r w:rsidR="007D2D50" w:rsidRPr="007D2D50">
        <w:rPr>
          <w:shd w:val="clear" w:color="auto" w:fill="FFFFFF" w:themeFill="background1"/>
        </w:rPr>
        <w:t>-1</w:t>
      </w:r>
      <w:r w:rsidR="009D117F">
        <w:rPr>
          <w:shd w:val="clear" w:color="auto" w:fill="FFFFFF" w:themeFill="background1"/>
        </w:rPr>
        <w:t>3</w:t>
      </w:r>
      <w:r w:rsidR="007D2D50" w:rsidRPr="007D2D50">
        <w:rPr>
          <w:shd w:val="clear" w:color="auto" w:fill="FFFFFF" w:themeFill="background1"/>
        </w:rPr>
        <w:t xml:space="preserve">, State and </w:t>
      </w:r>
      <w:r w:rsidR="001B6514">
        <w:rPr>
          <w:shd w:val="clear" w:color="auto" w:fill="FFFFFF" w:themeFill="background1"/>
        </w:rPr>
        <w:t>T</w:t>
      </w:r>
      <w:r w:rsidR="007D2D50" w:rsidRPr="007D2D50">
        <w:rPr>
          <w:shd w:val="clear" w:color="auto" w:fill="FFFFFF" w:themeFill="background1"/>
        </w:rPr>
        <w:t xml:space="preserve">erritory governments’ capital expenditure in government schools </w:t>
      </w:r>
      <w:r w:rsidR="007D2D50" w:rsidRPr="00547B02">
        <w:rPr>
          <w:shd w:val="clear" w:color="auto" w:fill="FFFFFF" w:themeFill="background1"/>
        </w:rPr>
        <w:t>was $</w:t>
      </w:r>
      <w:r w:rsidR="008F46A2" w:rsidRPr="00547B02">
        <w:rPr>
          <w:shd w:val="clear" w:color="auto" w:fill="FFFFFF" w:themeFill="background1"/>
        </w:rPr>
        <w:t>1.9</w:t>
      </w:r>
      <w:r w:rsidR="007D2D50" w:rsidRPr="00547B02">
        <w:rPr>
          <w:shd w:val="clear" w:color="auto" w:fill="FFFFFF" w:themeFill="background1"/>
        </w:rPr>
        <w:t xml:space="preserve"> billion</w:t>
      </w:r>
      <w:r w:rsidR="007D2D50" w:rsidRPr="007D2D50">
        <w:rPr>
          <w:shd w:val="clear" w:color="auto" w:fill="FFFFFF" w:themeFill="background1"/>
        </w:rPr>
        <w:t xml:space="preserve"> (</w:t>
      </w:r>
      <w:r w:rsidR="00490911">
        <w:rPr>
          <w:shd w:val="clear" w:color="auto" w:fill="FFFFFF" w:themeFill="background1"/>
        </w:rPr>
        <w:t>Education Council</w:t>
      </w:r>
      <w:r w:rsidR="007D2D50" w:rsidRPr="007D2D50">
        <w:rPr>
          <w:shd w:val="clear" w:color="auto" w:fill="FFFFFF" w:themeFill="background1"/>
        </w:rPr>
        <w:t xml:space="preserve"> unpublished). This includes funding from the Australian Government and </w:t>
      </w:r>
      <w:r w:rsidR="001B6514">
        <w:rPr>
          <w:shd w:val="clear" w:color="auto" w:fill="FFFFFF" w:themeFill="background1"/>
        </w:rPr>
        <w:t>S</w:t>
      </w:r>
      <w:r w:rsidR="007D2D50" w:rsidRPr="007D2D50">
        <w:rPr>
          <w:shd w:val="clear" w:color="auto" w:fill="FFFFFF" w:themeFill="background1"/>
        </w:rPr>
        <w:t xml:space="preserve">tate and </w:t>
      </w:r>
      <w:r w:rsidR="001B6514">
        <w:rPr>
          <w:shd w:val="clear" w:color="auto" w:fill="FFFFFF" w:themeFill="background1"/>
        </w:rPr>
        <w:t>T</w:t>
      </w:r>
      <w:r w:rsidR="007D2D50" w:rsidRPr="007D2D50">
        <w:rPr>
          <w:shd w:val="clear" w:color="auto" w:fill="FFFFFF" w:themeFill="background1"/>
        </w:rPr>
        <w:t>erritory governments.</w:t>
      </w:r>
    </w:p>
    <w:p w:rsidR="00666ECE" w:rsidRPr="007B0AE2" w:rsidRDefault="00666ECE" w:rsidP="007B0AE2">
      <w:pPr>
        <w:pStyle w:val="Heading3"/>
      </w:pPr>
      <w:r w:rsidRPr="007B0AE2">
        <w:t>Size and scope</w:t>
      </w:r>
    </w:p>
    <w:p w:rsidR="00666ECE" w:rsidRPr="00666ECE" w:rsidRDefault="00666ECE" w:rsidP="004145D6">
      <w:pPr>
        <w:pStyle w:val="BodyText"/>
      </w:pPr>
      <w:r w:rsidRPr="00666ECE">
        <w:t xml:space="preserve">Descriptive information on the numbers of students, staff and schools can be found in tables </w:t>
      </w:r>
      <w:proofErr w:type="spellStart"/>
      <w:r w:rsidRPr="00666ECE">
        <w:t>4A.1</w:t>
      </w:r>
      <w:proofErr w:type="spellEnd"/>
      <w:r w:rsidRPr="00666ECE">
        <w:t>–6.</w:t>
      </w:r>
    </w:p>
    <w:p w:rsidR="00666ECE" w:rsidRPr="007B0AE2" w:rsidRDefault="00666ECE" w:rsidP="007B0AE2">
      <w:pPr>
        <w:pStyle w:val="Heading3"/>
      </w:pPr>
      <w:r w:rsidRPr="007B0AE2">
        <w:t>Structure</w:t>
      </w:r>
    </w:p>
    <w:p w:rsidR="00666ECE" w:rsidRPr="004145D6" w:rsidRDefault="00666ECE" w:rsidP="004145D6">
      <w:pPr>
        <w:pStyle w:val="BodyText"/>
      </w:pPr>
      <w:r w:rsidRPr="004145D6">
        <w:t>The structure of school education varies across states and territories. These differences can influence the comparability and interpretation of data presented under common classifications. Formal schooling consists of six to eight years of primary school education followed by five to six years of secondary school education, depending on the State or Territory (figure 4.</w:t>
      </w:r>
      <w:r w:rsidR="00D51826">
        <w:t>2</w:t>
      </w:r>
      <w:r w:rsidRPr="004145D6">
        <w:t>). All states and territories divide school education into compulsory and non-compulsory components based primarily on age. Schooling is generally full time, although an increasing proportion of part time study occurs in more senior years.</w:t>
      </w:r>
    </w:p>
    <w:p w:rsidR="00666ECE" w:rsidRPr="004145D6" w:rsidRDefault="00666ECE" w:rsidP="004145D6">
      <w:pPr>
        <w:pStyle w:val="BodyText"/>
      </w:pPr>
      <w:r w:rsidRPr="004145D6">
        <w:t>In 201</w:t>
      </w:r>
      <w:r w:rsidR="009D117F" w:rsidRPr="004145D6">
        <w:t>3</w:t>
      </w:r>
      <w:r w:rsidRPr="004145D6">
        <w:t xml:space="preserve">, the age at which a child’s attendance in school education became compulsory </w:t>
      </w:r>
      <w:r w:rsidR="00653F56" w:rsidRPr="004145D6">
        <w:t xml:space="preserve">was </w:t>
      </w:r>
      <w:r w:rsidR="00D612DE" w:rsidRPr="004145D6">
        <w:t>5 years of age</w:t>
      </w:r>
      <w:r w:rsidR="00653F56" w:rsidRPr="004145D6">
        <w:t xml:space="preserve"> in Tasmania and </w:t>
      </w:r>
      <w:r w:rsidRPr="004145D6">
        <w:t xml:space="preserve">6 years of age </w:t>
      </w:r>
      <w:r w:rsidR="00653F56" w:rsidRPr="004145D6">
        <w:t>in all other states and territories</w:t>
      </w:r>
      <w:r w:rsidRPr="004145D6">
        <w:t xml:space="preserve"> (ABS 201</w:t>
      </w:r>
      <w:r w:rsidR="008F46A2" w:rsidRPr="004145D6">
        <w:t>4</w:t>
      </w:r>
      <w:r w:rsidRPr="004145D6">
        <w:t>).</w:t>
      </w:r>
    </w:p>
    <w:p w:rsidR="00666ECE" w:rsidRPr="004145D6" w:rsidRDefault="00666ECE" w:rsidP="004145D6">
      <w:pPr>
        <w:pStyle w:val="BodyText"/>
      </w:pPr>
      <w:r w:rsidRPr="004145D6">
        <w:t>Children may commence school at an age younger than the statutory age at which they are required to attend school. Most children commence full</w:t>
      </w:r>
      <w:r w:rsidR="00CA4833" w:rsidRPr="004145D6">
        <w:t xml:space="preserve"> </w:t>
      </w:r>
      <w:r w:rsidRPr="004145D6">
        <w:t>time schooling in the year preceding Year 1 (pre-year 1) (figure 4.</w:t>
      </w:r>
      <w:r w:rsidR="007275F7">
        <w:t>2</w:t>
      </w:r>
      <w:r w:rsidRPr="004145D6">
        <w:t>).</w:t>
      </w:r>
      <w:r w:rsidR="00653F56" w:rsidRPr="004145D6">
        <w:t xml:space="preserve"> Generally, minimum starting ages restrict enrolment to children aged between four and a half and five years at the beginning of the </w:t>
      </w:r>
      <w:r w:rsidR="00C16695" w:rsidRPr="004145D6">
        <w:t xml:space="preserve">pre-year 1 commencement year </w:t>
      </w:r>
      <w:r w:rsidR="00653F56" w:rsidRPr="004145D6">
        <w:t>(ABS 201</w:t>
      </w:r>
      <w:r w:rsidR="003D5991" w:rsidRPr="004145D6">
        <w:t>4</w:t>
      </w:r>
      <w:r w:rsidR="00653F56" w:rsidRPr="004145D6">
        <w:t>).</w:t>
      </w:r>
    </w:p>
    <w:p w:rsidR="00666ECE" w:rsidRPr="004145D6" w:rsidRDefault="00666ECE" w:rsidP="004145D6">
      <w:pPr>
        <w:pStyle w:val="BodyText"/>
      </w:pPr>
      <w:r w:rsidRPr="004145D6">
        <w:t>As part of the Compact with Young Australians</w:t>
      </w:r>
      <w:r w:rsidR="00635573" w:rsidRPr="004145D6">
        <w:t>,</w:t>
      </w:r>
      <w:r w:rsidRPr="004145D6">
        <w:t xml:space="preserve"> </w:t>
      </w:r>
      <w:proofErr w:type="spellStart"/>
      <w:r w:rsidRPr="004145D6">
        <w:t>COAG</w:t>
      </w:r>
      <w:proofErr w:type="spellEnd"/>
      <w:r w:rsidRPr="004145D6">
        <w:t xml:space="preserve"> implemented a National Youth Participation Requirement (</w:t>
      </w:r>
      <w:proofErr w:type="spellStart"/>
      <w:r w:rsidRPr="004145D6">
        <w:t>NYPR</w:t>
      </w:r>
      <w:proofErr w:type="spellEnd"/>
      <w:r w:rsidRPr="004145D6">
        <w:t xml:space="preserve">) (which commenced on 1 January 2010). The </w:t>
      </w:r>
      <w:proofErr w:type="spellStart"/>
      <w:r w:rsidRPr="004145D6">
        <w:t>NYPR</w:t>
      </w:r>
      <w:proofErr w:type="spellEnd"/>
      <w:r w:rsidRPr="004145D6">
        <w:t xml:space="preserve"> includes:</w:t>
      </w:r>
    </w:p>
    <w:p w:rsidR="001B6514" w:rsidRPr="004145D6" w:rsidRDefault="00666ECE" w:rsidP="004145D6">
      <w:pPr>
        <w:pStyle w:val="ListBullet"/>
      </w:pPr>
      <w:r w:rsidRPr="00666ECE">
        <w:t xml:space="preserve">a mandatory requirement for all young people to participate in schooling (in </w:t>
      </w:r>
      <w:r w:rsidRPr="004145D6">
        <w:t>school or an approved equivalent) until they complete Year 10</w:t>
      </w:r>
    </w:p>
    <w:p w:rsidR="00666ECE" w:rsidRPr="004145D6" w:rsidRDefault="00666ECE" w:rsidP="00F47AB8">
      <w:pPr>
        <w:pStyle w:val="ListBullet"/>
      </w:pPr>
      <w:r w:rsidRPr="004145D6">
        <w:lastRenderedPageBreak/>
        <w:t xml:space="preserve">a mandatory requirement for all young people </w:t>
      </w:r>
      <w:r w:rsidR="00635573" w:rsidRPr="004145D6">
        <w:t>who</w:t>
      </w:r>
      <w:r w:rsidRPr="004145D6">
        <w:t xml:space="preserve"> have completed Year 10 to participate full</w:t>
      </w:r>
      <w:r w:rsidR="00CA4833" w:rsidRPr="004145D6">
        <w:t xml:space="preserve"> </w:t>
      </w:r>
      <w:r w:rsidRPr="004145D6">
        <w:t xml:space="preserve">time in education, training or employment, or a combination of these activities, until 17 </w:t>
      </w:r>
      <w:r w:rsidR="000B2CA3" w:rsidRPr="004145D6">
        <w:t xml:space="preserve">years of age </w:t>
      </w:r>
      <w:r w:rsidRPr="004145D6">
        <w:t>(</w:t>
      </w:r>
      <w:r w:rsidR="00FC2FA2" w:rsidRPr="004145D6">
        <w:t>ABS 2014</w:t>
      </w:r>
      <w:r w:rsidRPr="004145D6">
        <w:t>).</w:t>
      </w:r>
    </w:p>
    <w:p w:rsidR="00666ECE" w:rsidRPr="00666ECE" w:rsidRDefault="00666ECE" w:rsidP="004145D6">
      <w:pPr>
        <w:pStyle w:val="BodyText"/>
      </w:pPr>
      <w:r w:rsidRPr="00666ECE">
        <w:t xml:space="preserve">For the purpose of the </w:t>
      </w:r>
      <w:proofErr w:type="spellStart"/>
      <w:r w:rsidRPr="00666ECE">
        <w:t>NYPR</w:t>
      </w:r>
      <w:proofErr w:type="spellEnd"/>
      <w:r w:rsidRPr="00666ECE">
        <w:t xml:space="preserve">, education or training </w:t>
      </w:r>
      <w:r w:rsidR="00D51826">
        <w:t>is</w:t>
      </w:r>
      <w:r w:rsidR="000B2CA3">
        <w:t xml:space="preserve"> considered full </w:t>
      </w:r>
      <w:r w:rsidRPr="00666ECE">
        <w:t>time if the provider considers the course to be full</w:t>
      </w:r>
      <w:r w:rsidR="000B2CA3">
        <w:t xml:space="preserve"> </w:t>
      </w:r>
      <w:r w:rsidRPr="00666ECE">
        <w:t>time or if it includes 25 hours per week of formal course requirements.</w:t>
      </w:r>
    </w:p>
    <w:p w:rsidR="00666ECE" w:rsidRPr="00666ECE" w:rsidRDefault="00666ECE" w:rsidP="004145D6">
      <w:pPr>
        <w:pStyle w:val="BodyText"/>
      </w:pPr>
      <w:r w:rsidRPr="00666ECE">
        <w:t xml:space="preserve">Some exemptions from the </w:t>
      </w:r>
      <w:proofErr w:type="spellStart"/>
      <w:r w:rsidR="00C16695">
        <w:t>NYPR</w:t>
      </w:r>
      <w:proofErr w:type="spellEnd"/>
      <w:r w:rsidRPr="00666ECE">
        <w:t xml:space="preserve"> continue in line with existing State and Territory practice.</w:t>
      </w:r>
    </w:p>
    <w:p w:rsidR="00666ECE" w:rsidRPr="00666ECE" w:rsidRDefault="00666ECE" w:rsidP="00666ECE">
      <w:pPr>
        <w:keepNext/>
        <w:keepLines/>
        <w:spacing w:before="360" w:after="80" w:line="280" w:lineRule="exact"/>
        <w:ind w:left="1474" w:hanging="1474"/>
        <w:rPr>
          <w:rFonts w:ascii="Arial" w:hAnsi="Arial"/>
          <w:b/>
          <w:position w:val="6"/>
          <w:sz w:val="18"/>
        </w:rPr>
      </w:pPr>
      <w:r w:rsidRPr="00666ECE">
        <w:rPr>
          <w:rFonts w:ascii="Arial" w:hAnsi="Arial"/>
        </w:rPr>
        <w:t xml:space="preserve">Figure </w:t>
      </w:r>
      <w:r w:rsidR="00B70781">
        <w:rPr>
          <w:rFonts w:ascii="Arial" w:hAnsi="Arial"/>
        </w:rPr>
        <w:t>4.</w:t>
      </w:r>
      <w:r w:rsidR="005953B6">
        <w:rPr>
          <w:rFonts w:ascii="Arial" w:hAnsi="Arial"/>
          <w:noProof/>
        </w:rPr>
        <w:t>2</w:t>
      </w:r>
      <w:r w:rsidRPr="00666ECE">
        <w:rPr>
          <w:rFonts w:ascii="Arial" w:hAnsi="Arial"/>
          <w:b/>
        </w:rPr>
        <w:tab/>
        <w:t xml:space="preserve">Structure of primary and secondary schooling, </w:t>
      </w:r>
      <w:r w:rsidRPr="000E6F59">
        <w:rPr>
          <w:rFonts w:ascii="Arial" w:hAnsi="Arial"/>
          <w:b/>
        </w:rPr>
        <w:t>201</w:t>
      </w:r>
      <w:r w:rsidR="00FC2FA2">
        <w:rPr>
          <w:rFonts w:ascii="Arial" w:hAnsi="Arial"/>
          <w:b/>
        </w:rPr>
        <w:t>3</w:t>
      </w:r>
      <w:r w:rsidRPr="000E6F59">
        <w:rPr>
          <w:rFonts w:ascii="Arial" w:hAnsi="Arial"/>
          <w:b/>
          <w:position w:val="6"/>
          <w:sz w:val="18"/>
        </w:rPr>
        <w:t>a</w:t>
      </w:r>
      <w:r w:rsidRPr="00666ECE">
        <w:rPr>
          <w:rFonts w:ascii="Arial" w:hAnsi="Arial"/>
          <w:b/>
          <w:position w:val="6"/>
          <w:sz w:val="18"/>
        </w:rPr>
        <w:t>, b</w:t>
      </w:r>
    </w:p>
    <w:p w:rsidR="00666ECE" w:rsidRPr="00666ECE" w:rsidRDefault="006B2F36" w:rsidP="009560A8">
      <w:pPr>
        <w:rPr>
          <w:rFonts w:ascii="Arial" w:hAnsi="Arial"/>
          <w:sz w:val="2"/>
          <w:szCs w:val="2"/>
        </w:rPr>
      </w:pPr>
      <w:r w:rsidRPr="00547586">
        <w:rPr>
          <w:noProof/>
        </w:rPr>
        <w:drawing>
          <wp:inline distT="0" distB="0" distL="0" distR="0" wp14:anchorId="4F687CC6" wp14:editId="7687A04D">
            <wp:extent cx="5581015" cy="3554966"/>
            <wp:effectExtent l="0" t="0" r="635" b="7620"/>
            <wp:docPr id="2" name="Picture 2" descr="Figure 4.2 Structure of primary and secondary schooling,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1015" cy="3554966"/>
                    </a:xfrm>
                    <a:prstGeom prst="rect">
                      <a:avLst/>
                    </a:prstGeom>
                    <a:noFill/>
                    <a:ln>
                      <a:noFill/>
                    </a:ln>
                  </pic:spPr>
                </pic:pic>
              </a:graphicData>
            </a:graphic>
          </wp:inline>
        </w:drawing>
      </w:r>
    </w:p>
    <w:p w:rsidR="00666ECE" w:rsidRPr="009613EF" w:rsidRDefault="00666ECE" w:rsidP="00F4596F">
      <w:pPr>
        <w:keepNext/>
        <w:keepLines/>
        <w:tabs>
          <w:tab w:val="left" w:pos="25"/>
          <w:tab w:val="left" w:pos="2131"/>
          <w:tab w:val="left" w:pos="5399"/>
        </w:tabs>
        <w:spacing w:before="80" w:line="220" w:lineRule="exact"/>
        <w:jc w:val="both"/>
        <w:rPr>
          <w:rFonts w:ascii="Arial" w:hAnsi="Arial"/>
          <w:sz w:val="18"/>
          <w:szCs w:val="20"/>
        </w:rPr>
      </w:pPr>
      <w:r w:rsidRPr="00666ECE">
        <w:rPr>
          <w:rFonts w:ascii="Arial" w:hAnsi="Arial"/>
          <w:b/>
          <w:position w:val="6"/>
          <w:sz w:val="18"/>
          <w:szCs w:val="20"/>
        </w:rPr>
        <w:t>a </w:t>
      </w:r>
      <w:r w:rsidRPr="00666ECE">
        <w:rPr>
          <w:rFonts w:ascii="Arial" w:hAnsi="Arial"/>
          <w:sz w:val="18"/>
          <w:szCs w:val="20"/>
        </w:rPr>
        <w:t>Figure 4.</w:t>
      </w:r>
      <w:r w:rsidR="00D51826">
        <w:rPr>
          <w:rFonts w:ascii="Arial" w:hAnsi="Arial"/>
          <w:sz w:val="18"/>
          <w:szCs w:val="20"/>
        </w:rPr>
        <w:t>2</w:t>
      </w:r>
      <w:r w:rsidRPr="00666ECE">
        <w:rPr>
          <w:rFonts w:ascii="Arial" w:hAnsi="Arial"/>
          <w:sz w:val="18"/>
          <w:szCs w:val="20"/>
        </w:rPr>
        <w:t xml:space="preserve"> refers to the structure utilised in </w:t>
      </w:r>
      <w:r w:rsidRPr="00666ECE">
        <w:rPr>
          <w:rFonts w:ascii="Arial" w:hAnsi="Arial"/>
          <w:i/>
          <w:sz w:val="18"/>
          <w:szCs w:val="20"/>
        </w:rPr>
        <w:t xml:space="preserve">Schools </w:t>
      </w:r>
      <w:r w:rsidRPr="000E6F59">
        <w:rPr>
          <w:rFonts w:ascii="Arial" w:hAnsi="Arial"/>
          <w:i/>
          <w:sz w:val="18"/>
          <w:szCs w:val="20"/>
        </w:rPr>
        <w:t>Australia 201</w:t>
      </w:r>
      <w:r w:rsidR="00761473">
        <w:rPr>
          <w:rFonts w:ascii="Arial" w:hAnsi="Arial"/>
          <w:i/>
          <w:sz w:val="18"/>
          <w:szCs w:val="20"/>
        </w:rPr>
        <w:t>3</w:t>
      </w:r>
      <w:r w:rsidR="00F670A8">
        <w:rPr>
          <w:rFonts w:ascii="Arial" w:hAnsi="Arial"/>
          <w:i/>
          <w:sz w:val="18"/>
          <w:szCs w:val="20"/>
        </w:rPr>
        <w:t xml:space="preserve"> </w:t>
      </w:r>
      <w:r w:rsidRPr="000E6F59">
        <w:rPr>
          <w:rFonts w:ascii="Arial" w:hAnsi="Arial"/>
          <w:sz w:val="18"/>
          <w:szCs w:val="20"/>
        </w:rPr>
        <w:t>(ABS 201</w:t>
      </w:r>
      <w:r w:rsidR="00761473">
        <w:rPr>
          <w:rFonts w:ascii="Arial" w:hAnsi="Arial"/>
          <w:sz w:val="18"/>
          <w:szCs w:val="20"/>
        </w:rPr>
        <w:t>4</w:t>
      </w:r>
      <w:r w:rsidRPr="000E6F59">
        <w:rPr>
          <w:rFonts w:ascii="Arial" w:hAnsi="Arial"/>
          <w:sz w:val="18"/>
          <w:szCs w:val="20"/>
        </w:rPr>
        <w:t>),</w:t>
      </w:r>
      <w:r w:rsidRPr="00666ECE">
        <w:rPr>
          <w:rFonts w:ascii="Arial" w:hAnsi="Arial"/>
          <w:sz w:val="18"/>
          <w:szCs w:val="20"/>
        </w:rPr>
        <w:t xml:space="preserve"> which is the source for a range of schools, students, participation and retention data in this chapter. </w:t>
      </w:r>
      <w:r w:rsidRPr="00666ECE">
        <w:rPr>
          <w:rFonts w:ascii="Arial" w:hAnsi="Arial"/>
          <w:b/>
          <w:position w:val="6"/>
          <w:sz w:val="18"/>
          <w:szCs w:val="20"/>
        </w:rPr>
        <w:t>b</w:t>
      </w:r>
      <w:r w:rsidRPr="00666ECE">
        <w:rPr>
          <w:rFonts w:ascii="Arial" w:hAnsi="Arial"/>
          <w:sz w:val="18"/>
          <w:szCs w:val="20"/>
        </w:rPr>
        <w:t> Figure 4.</w:t>
      </w:r>
      <w:r w:rsidR="00D51826">
        <w:rPr>
          <w:rFonts w:ascii="Arial" w:hAnsi="Arial"/>
          <w:sz w:val="18"/>
          <w:szCs w:val="20"/>
        </w:rPr>
        <w:t>2</w:t>
      </w:r>
      <w:r w:rsidRPr="00666ECE">
        <w:rPr>
          <w:rFonts w:ascii="Arial" w:hAnsi="Arial"/>
          <w:sz w:val="18"/>
          <w:szCs w:val="20"/>
        </w:rPr>
        <w:t xml:space="preserve"> does not include pre</w:t>
      </w:r>
      <w:r w:rsidRPr="00666ECE">
        <w:rPr>
          <w:rFonts w:ascii="Arial" w:hAnsi="Arial"/>
          <w:sz w:val="20"/>
          <w:szCs w:val="20"/>
        </w:rPr>
        <w:noBreakHyphen/>
      </w:r>
      <w:r w:rsidRPr="00666ECE">
        <w:rPr>
          <w:rFonts w:ascii="Arial" w:hAnsi="Arial"/>
          <w:sz w:val="18"/>
          <w:szCs w:val="20"/>
        </w:rPr>
        <w:t xml:space="preserve">school programs, otherwise known as Pre-pre-year 1, or Year 1 minus 2, some of which are an integral part of school programs, and some of which are offered by a range of providers in some jurisdictions. </w:t>
      </w:r>
      <w:r w:rsidRPr="009613EF">
        <w:rPr>
          <w:rFonts w:ascii="Arial" w:hAnsi="Arial"/>
          <w:sz w:val="18"/>
          <w:szCs w:val="20"/>
        </w:rPr>
        <w:t xml:space="preserve">Table 3.1 in </w:t>
      </w:r>
      <w:r w:rsidRPr="00666ECE">
        <w:rPr>
          <w:rFonts w:ascii="Arial" w:hAnsi="Arial"/>
          <w:sz w:val="18"/>
          <w:szCs w:val="20"/>
        </w:rPr>
        <w:t xml:space="preserve">the </w:t>
      </w:r>
      <w:r w:rsidR="000E6F59">
        <w:rPr>
          <w:rFonts w:ascii="Arial" w:hAnsi="Arial"/>
          <w:sz w:val="18"/>
          <w:szCs w:val="20"/>
        </w:rPr>
        <w:t>Early childhood education and care</w:t>
      </w:r>
      <w:r w:rsidRPr="00666ECE">
        <w:rPr>
          <w:rFonts w:ascii="Arial" w:hAnsi="Arial"/>
          <w:sz w:val="18"/>
          <w:szCs w:val="20"/>
        </w:rPr>
        <w:t xml:space="preserve"> chapter describes the entry points for the range of part and full time preschool services across states and territories</w:t>
      </w:r>
      <w:r w:rsidRPr="009613EF">
        <w:rPr>
          <w:rFonts w:ascii="Arial" w:hAnsi="Arial"/>
          <w:sz w:val="18"/>
          <w:szCs w:val="20"/>
        </w:rPr>
        <w:t xml:space="preserve">. Box </w:t>
      </w:r>
      <w:proofErr w:type="spellStart"/>
      <w:r w:rsidRPr="009613EF">
        <w:rPr>
          <w:rFonts w:ascii="Arial" w:hAnsi="Arial"/>
          <w:sz w:val="18"/>
          <w:szCs w:val="20"/>
        </w:rPr>
        <w:t>B.3</w:t>
      </w:r>
      <w:proofErr w:type="spellEnd"/>
      <w:r w:rsidRPr="009613EF">
        <w:rPr>
          <w:rFonts w:ascii="Arial" w:hAnsi="Arial"/>
          <w:sz w:val="18"/>
          <w:szCs w:val="20"/>
        </w:rPr>
        <w:t xml:space="preserve"> in the </w:t>
      </w:r>
      <w:r w:rsidR="009D7D07">
        <w:rPr>
          <w:rFonts w:ascii="Arial" w:hAnsi="Arial"/>
          <w:sz w:val="18"/>
          <w:szCs w:val="20"/>
        </w:rPr>
        <w:t>Child care, education and training</w:t>
      </w:r>
      <w:r w:rsidRPr="00666ECE">
        <w:rPr>
          <w:rFonts w:ascii="Arial" w:hAnsi="Arial"/>
          <w:sz w:val="18"/>
          <w:szCs w:val="20"/>
        </w:rPr>
        <w:t xml:space="preserve"> </w:t>
      </w:r>
      <w:r w:rsidR="003932A0">
        <w:rPr>
          <w:rFonts w:ascii="Arial" w:hAnsi="Arial"/>
          <w:sz w:val="18"/>
          <w:szCs w:val="20"/>
        </w:rPr>
        <w:t>sector overview</w:t>
      </w:r>
      <w:r w:rsidRPr="00666ECE">
        <w:rPr>
          <w:rFonts w:ascii="Arial" w:hAnsi="Arial"/>
          <w:sz w:val="18"/>
          <w:szCs w:val="20"/>
        </w:rPr>
        <w:t xml:space="preserve"> describes the structure of education and training more generally</w:t>
      </w:r>
      <w:r w:rsidRPr="00F670A8">
        <w:rPr>
          <w:rFonts w:ascii="Arial" w:hAnsi="Arial"/>
          <w:color w:val="FF0000"/>
          <w:sz w:val="18"/>
          <w:szCs w:val="20"/>
        </w:rPr>
        <w:t xml:space="preserve">. </w:t>
      </w:r>
      <w:r w:rsidRPr="009613EF">
        <w:rPr>
          <w:rFonts w:ascii="Arial" w:hAnsi="Arial"/>
          <w:b/>
          <w:position w:val="6"/>
          <w:sz w:val="18"/>
          <w:szCs w:val="20"/>
        </w:rPr>
        <w:t>c</w:t>
      </w:r>
      <w:r w:rsidRPr="009613EF">
        <w:rPr>
          <w:rFonts w:ascii="Arial" w:hAnsi="Arial"/>
          <w:sz w:val="18"/>
          <w:szCs w:val="20"/>
        </w:rPr>
        <w:t> </w:t>
      </w:r>
      <w:r w:rsidR="00F93345" w:rsidRPr="009613EF">
        <w:rPr>
          <w:rFonts w:ascii="Arial" w:hAnsi="Arial"/>
          <w:sz w:val="18"/>
          <w:szCs w:val="20"/>
        </w:rPr>
        <w:t xml:space="preserve"> </w:t>
      </w:r>
      <w:r w:rsidR="00CA3C60" w:rsidRPr="00031DF6">
        <w:rPr>
          <w:rFonts w:ascii="Arial" w:hAnsi="Arial"/>
          <w:sz w:val="18"/>
          <w:szCs w:val="20"/>
          <w:shd w:val="clear" w:color="auto" w:fill="FFFFFF" w:themeFill="background1"/>
        </w:rPr>
        <w:t xml:space="preserve">Most </w:t>
      </w:r>
      <w:r w:rsidRPr="009613EF">
        <w:rPr>
          <w:rFonts w:ascii="Arial" w:hAnsi="Arial"/>
          <w:sz w:val="18"/>
          <w:szCs w:val="20"/>
        </w:rPr>
        <w:t>ACT students transition to a senior college for years 11 and 12</w:t>
      </w:r>
      <w:r w:rsidR="009613EF">
        <w:rPr>
          <w:rFonts w:ascii="Arial" w:hAnsi="Arial"/>
          <w:sz w:val="18"/>
          <w:szCs w:val="20"/>
        </w:rPr>
        <w:t>.</w:t>
      </w:r>
      <w:r w:rsidR="009A7B9C">
        <w:rPr>
          <w:rFonts w:ascii="Arial" w:hAnsi="Arial"/>
          <w:sz w:val="18"/>
          <w:szCs w:val="20"/>
        </w:rPr>
        <w:t> </w:t>
      </w:r>
      <w:r w:rsidR="0037267A" w:rsidRPr="009613EF">
        <w:rPr>
          <w:rFonts w:ascii="Arial" w:hAnsi="Arial"/>
          <w:b/>
          <w:position w:val="6"/>
          <w:sz w:val="18"/>
          <w:szCs w:val="20"/>
        </w:rPr>
        <w:t>d</w:t>
      </w:r>
      <w:r w:rsidRPr="009613EF">
        <w:rPr>
          <w:rFonts w:ascii="Arial" w:hAnsi="Arial"/>
          <w:b/>
          <w:position w:val="6"/>
          <w:sz w:val="18"/>
          <w:szCs w:val="20"/>
        </w:rPr>
        <w:t> </w:t>
      </w:r>
      <w:r w:rsidR="009613EF" w:rsidRPr="009613EF">
        <w:rPr>
          <w:rFonts w:ascii="Arial" w:hAnsi="Arial"/>
          <w:sz w:val="18"/>
          <w:szCs w:val="20"/>
        </w:rPr>
        <w:t xml:space="preserve">In SA </w:t>
      </w:r>
      <w:r w:rsidR="00FC2FA2">
        <w:rPr>
          <w:rFonts w:ascii="Arial" w:hAnsi="Arial"/>
          <w:sz w:val="18"/>
          <w:szCs w:val="20"/>
        </w:rPr>
        <w:t xml:space="preserve">in 2013 </w:t>
      </w:r>
      <w:r w:rsidR="009613EF" w:rsidRPr="009613EF">
        <w:rPr>
          <w:rFonts w:ascii="Arial" w:hAnsi="Arial"/>
          <w:sz w:val="18"/>
          <w:szCs w:val="20"/>
        </w:rPr>
        <w:t>children generally start school at t</w:t>
      </w:r>
      <w:r w:rsidR="001B6514">
        <w:rPr>
          <w:rFonts w:ascii="Arial" w:hAnsi="Arial"/>
          <w:sz w:val="18"/>
          <w:szCs w:val="20"/>
        </w:rPr>
        <w:t>he beginning of the school term</w:t>
      </w:r>
      <w:r w:rsidR="009613EF" w:rsidRPr="009613EF">
        <w:rPr>
          <w:rFonts w:ascii="Arial" w:hAnsi="Arial"/>
          <w:sz w:val="18"/>
          <w:szCs w:val="20"/>
        </w:rPr>
        <w:t xml:space="preserve"> following their fifth birthday</w:t>
      </w:r>
      <w:r w:rsidRPr="009613EF">
        <w:rPr>
          <w:rFonts w:ascii="Arial" w:hAnsi="Arial"/>
          <w:sz w:val="18"/>
          <w:szCs w:val="20"/>
        </w:rPr>
        <w:t xml:space="preserve">. </w:t>
      </w:r>
    </w:p>
    <w:p w:rsidR="00833807" w:rsidRDefault="00666ECE" w:rsidP="00666ECE">
      <w:pPr>
        <w:keepLines/>
        <w:spacing w:before="80" w:after="120" w:line="220" w:lineRule="exact"/>
        <w:jc w:val="both"/>
        <w:rPr>
          <w:rFonts w:ascii="Arial" w:hAnsi="Arial"/>
          <w:sz w:val="18"/>
          <w:szCs w:val="20"/>
        </w:rPr>
      </w:pPr>
      <w:r w:rsidRPr="000E6F59">
        <w:rPr>
          <w:rFonts w:ascii="Arial" w:hAnsi="Arial"/>
          <w:i/>
          <w:sz w:val="18"/>
          <w:szCs w:val="20"/>
        </w:rPr>
        <w:t>Source</w:t>
      </w:r>
      <w:r w:rsidRPr="000E6F59">
        <w:rPr>
          <w:rFonts w:ascii="Arial" w:hAnsi="Arial"/>
          <w:sz w:val="18"/>
          <w:szCs w:val="20"/>
        </w:rPr>
        <w:t>: Adapted from ABS (201</w:t>
      </w:r>
      <w:r w:rsidR="00761473">
        <w:rPr>
          <w:rFonts w:ascii="Arial" w:hAnsi="Arial"/>
          <w:sz w:val="18"/>
          <w:szCs w:val="20"/>
        </w:rPr>
        <w:t>4</w:t>
      </w:r>
      <w:r w:rsidRPr="000E6F59">
        <w:rPr>
          <w:rFonts w:ascii="Arial" w:hAnsi="Arial"/>
          <w:sz w:val="18"/>
          <w:szCs w:val="20"/>
        </w:rPr>
        <w:t xml:space="preserve">) </w:t>
      </w:r>
      <w:r w:rsidRPr="000E6F59">
        <w:rPr>
          <w:rFonts w:ascii="Arial" w:hAnsi="Arial"/>
          <w:i/>
          <w:sz w:val="18"/>
          <w:szCs w:val="20"/>
        </w:rPr>
        <w:t>Schools Australia 201</w:t>
      </w:r>
      <w:r w:rsidR="00761473">
        <w:rPr>
          <w:rFonts w:ascii="Arial" w:hAnsi="Arial"/>
          <w:i/>
          <w:sz w:val="18"/>
          <w:szCs w:val="20"/>
        </w:rPr>
        <w:t>3</w:t>
      </w:r>
      <w:r w:rsidRPr="000E6F59">
        <w:rPr>
          <w:rFonts w:ascii="Arial" w:hAnsi="Arial"/>
          <w:sz w:val="18"/>
          <w:szCs w:val="20"/>
        </w:rPr>
        <w:t>, Cat. no. 4221.0.</w:t>
      </w:r>
    </w:p>
    <w:p w:rsidR="00666ECE" w:rsidRPr="007B0AE2" w:rsidRDefault="00666ECE" w:rsidP="007B0AE2">
      <w:pPr>
        <w:pStyle w:val="Heading4"/>
      </w:pPr>
      <w:r w:rsidRPr="007B0AE2">
        <w:t>Schools</w:t>
      </w:r>
    </w:p>
    <w:p w:rsidR="00666ECE" w:rsidRPr="00666ECE" w:rsidRDefault="00666ECE" w:rsidP="004145D6">
      <w:pPr>
        <w:pStyle w:val="BodyText"/>
      </w:pPr>
      <w:r w:rsidRPr="009613EF">
        <w:t>At the beginning of August 201</w:t>
      </w:r>
      <w:r w:rsidR="00761473">
        <w:t>3</w:t>
      </w:r>
      <w:r w:rsidRPr="009613EF">
        <w:t xml:space="preserve">, there </w:t>
      </w:r>
      <w:r w:rsidRPr="00761473">
        <w:rPr>
          <w:shd w:val="clear" w:color="auto" w:fill="FFFFFF" w:themeFill="background1"/>
        </w:rPr>
        <w:t xml:space="preserve">were </w:t>
      </w:r>
      <w:r w:rsidR="007A73E8" w:rsidRPr="00761473">
        <w:rPr>
          <w:shd w:val="clear" w:color="auto" w:fill="FFFFFF" w:themeFill="background1"/>
        </w:rPr>
        <w:t>9</w:t>
      </w:r>
      <w:r w:rsidR="00761473" w:rsidRPr="00761473">
        <w:rPr>
          <w:shd w:val="clear" w:color="auto" w:fill="FFFFFF" w:themeFill="background1"/>
        </w:rPr>
        <w:t>393</w:t>
      </w:r>
      <w:r w:rsidRPr="00761473">
        <w:rPr>
          <w:shd w:val="clear" w:color="auto" w:fill="FFFFFF" w:themeFill="background1"/>
        </w:rPr>
        <w:t xml:space="preserve"> schools in Australia (</w:t>
      </w:r>
      <w:r w:rsidR="007A73E8" w:rsidRPr="00761473">
        <w:rPr>
          <w:shd w:val="clear" w:color="auto" w:fill="FFFFFF" w:themeFill="background1"/>
        </w:rPr>
        <w:t>6</w:t>
      </w:r>
      <w:r w:rsidR="009613EF" w:rsidRPr="00761473">
        <w:rPr>
          <w:shd w:val="clear" w:color="auto" w:fill="FFFFFF" w:themeFill="background1"/>
        </w:rPr>
        <w:t>2</w:t>
      </w:r>
      <w:r w:rsidR="00761473" w:rsidRPr="00761473">
        <w:rPr>
          <w:shd w:val="clear" w:color="auto" w:fill="FFFFFF" w:themeFill="background1"/>
        </w:rPr>
        <w:t>56</w:t>
      </w:r>
      <w:r w:rsidR="00635573" w:rsidRPr="00761473">
        <w:rPr>
          <w:shd w:val="clear" w:color="auto" w:fill="FFFFFF" w:themeFill="background1"/>
        </w:rPr>
        <w:t> </w:t>
      </w:r>
      <w:r w:rsidRPr="00761473">
        <w:rPr>
          <w:shd w:val="clear" w:color="auto" w:fill="FFFFFF" w:themeFill="background1"/>
        </w:rPr>
        <w:t>primary</w:t>
      </w:r>
      <w:r w:rsidR="003B149C" w:rsidRPr="00761473">
        <w:rPr>
          <w:shd w:val="clear" w:color="auto" w:fill="FFFFFF" w:themeFill="background1"/>
        </w:rPr>
        <w:t xml:space="preserve"> </w:t>
      </w:r>
      <w:r w:rsidRPr="00761473">
        <w:rPr>
          <w:shd w:val="clear" w:color="auto" w:fill="FFFFFF" w:themeFill="background1"/>
        </w:rPr>
        <w:t xml:space="preserve">schools, </w:t>
      </w:r>
      <w:r w:rsidR="007A73E8" w:rsidRPr="00761473">
        <w:rPr>
          <w:shd w:val="clear" w:color="auto" w:fill="FFFFFF" w:themeFill="background1"/>
        </w:rPr>
        <w:t>13</w:t>
      </w:r>
      <w:r w:rsidR="00761473" w:rsidRPr="00761473">
        <w:rPr>
          <w:shd w:val="clear" w:color="auto" w:fill="FFFFFF" w:themeFill="background1"/>
        </w:rPr>
        <w:t>85</w:t>
      </w:r>
      <w:r w:rsidRPr="00761473">
        <w:rPr>
          <w:shd w:val="clear" w:color="auto" w:fill="FFFFFF" w:themeFill="background1"/>
        </w:rPr>
        <w:t xml:space="preserve"> secondary schools, </w:t>
      </w:r>
      <w:r w:rsidR="007A73E8" w:rsidRPr="00761473">
        <w:rPr>
          <w:shd w:val="clear" w:color="auto" w:fill="FFFFFF" w:themeFill="background1"/>
        </w:rPr>
        <w:t>13</w:t>
      </w:r>
      <w:r w:rsidR="009613EF" w:rsidRPr="00761473">
        <w:rPr>
          <w:shd w:val="clear" w:color="auto" w:fill="FFFFFF" w:themeFill="background1"/>
        </w:rPr>
        <w:t>21</w:t>
      </w:r>
      <w:r w:rsidRPr="00761473">
        <w:rPr>
          <w:shd w:val="clear" w:color="auto" w:fill="FFFFFF" w:themeFill="background1"/>
        </w:rPr>
        <w:t xml:space="preserve"> combined schools and </w:t>
      </w:r>
      <w:r w:rsidR="007A73E8" w:rsidRPr="00761473">
        <w:rPr>
          <w:shd w:val="clear" w:color="auto" w:fill="FFFFFF" w:themeFill="background1"/>
        </w:rPr>
        <w:t>4</w:t>
      </w:r>
      <w:r w:rsidR="00761473" w:rsidRPr="00761473">
        <w:rPr>
          <w:shd w:val="clear" w:color="auto" w:fill="FFFFFF" w:themeFill="background1"/>
        </w:rPr>
        <w:t>31</w:t>
      </w:r>
      <w:r w:rsidR="001B6514" w:rsidRPr="00761473">
        <w:rPr>
          <w:shd w:val="clear" w:color="auto" w:fill="FFFFFF" w:themeFill="background1"/>
        </w:rPr>
        <w:t> </w:t>
      </w:r>
      <w:r w:rsidRPr="00761473">
        <w:rPr>
          <w:shd w:val="clear" w:color="auto" w:fill="FFFFFF" w:themeFill="background1"/>
        </w:rPr>
        <w:t>specia</w:t>
      </w:r>
      <w:r w:rsidRPr="009613EF">
        <w:t xml:space="preserve">l schools). The </w:t>
      </w:r>
      <w:r w:rsidRPr="000E6F59">
        <w:t xml:space="preserve">majority of schools were government owned and managed </w:t>
      </w:r>
      <w:r w:rsidRPr="009613EF">
        <w:t>(</w:t>
      </w:r>
      <w:r w:rsidR="00761473" w:rsidRPr="00761473">
        <w:t>70.9</w:t>
      </w:r>
      <w:r w:rsidR="003B149C" w:rsidRPr="009613EF">
        <w:t> </w:t>
      </w:r>
      <w:r w:rsidRPr="009613EF">
        <w:t>per</w:t>
      </w:r>
      <w:r w:rsidR="003B149C" w:rsidRPr="009613EF">
        <w:t> </w:t>
      </w:r>
      <w:r w:rsidRPr="009613EF">
        <w:t xml:space="preserve">cent) (table 4.2). </w:t>
      </w:r>
      <w:r w:rsidRPr="009613EF">
        <w:lastRenderedPageBreak/>
        <w:t xml:space="preserve">Settlement patterns (population dispersion), the age </w:t>
      </w:r>
      <w:r w:rsidR="001B6514">
        <w:t>distribution of the population</w:t>
      </w:r>
      <w:r w:rsidRPr="00666ECE">
        <w:t xml:space="preserve"> and educational policy influence the distribution of schools by size and level in different jurisdictions. </w:t>
      </w:r>
      <w:r w:rsidRPr="006040C5">
        <w:t>Nationally</w:t>
      </w:r>
      <w:r w:rsidRPr="00E40152">
        <w:rPr>
          <w:shd w:val="clear" w:color="auto" w:fill="FFFFFF" w:themeFill="background1"/>
        </w:rPr>
        <w:t xml:space="preserve">, </w:t>
      </w:r>
      <w:r w:rsidR="00E40152" w:rsidRPr="00E40152">
        <w:rPr>
          <w:shd w:val="clear" w:color="auto" w:fill="FFFFFF" w:themeFill="background1"/>
        </w:rPr>
        <w:t>63.0</w:t>
      </w:r>
      <w:r w:rsidRPr="00E40152">
        <w:rPr>
          <w:shd w:val="clear" w:color="auto" w:fill="FFFFFF" w:themeFill="background1"/>
        </w:rPr>
        <w:t xml:space="preserve"> per</w:t>
      </w:r>
      <w:r w:rsidRPr="006040C5">
        <w:t xml:space="preserve"> cent </w:t>
      </w:r>
      <w:r w:rsidRPr="00666ECE">
        <w:t xml:space="preserve">of all secondary schools enrolled over 600 students (table </w:t>
      </w:r>
      <w:proofErr w:type="spellStart"/>
      <w:r w:rsidRPr="00666ECE">
        <w:t>4A.</w:t>
      </w:r>
      <w:r w:rsidRPr="000E6F59">
        <w:t>2</w:t>
      </w:r>
      <w:r w:rsidR="009807CA">
        <w:t>6</w:t>
      </w:r>
      <w:proofErr w:type="spellEnd"/>
      <w:r w:rsidRPr="000E6F59">
        <w:t xml:space="preserve">). A breakdown of primary and secondary schools by size for government, non-government and all schools is reported in tables </w:t>
      </w:r>
      <w:proofErr w:type="spellStart"/>
      <w:r w:rsidRPr="000E6F59">
        <w:t>4A.2</w:t>
      </w:r>
      <w:r w:rsidR="009807CA">
        <w:t>4</w:t>
      </w:r>
      <w:proofErr w:type="spellEnd"/>
      <w:r w:rsidRPr="000E6F59">
        <w:t>–2</w:t>
      </w:r>
      <w:r w:rsidR="009807CA">
        <w:t>6</w:t>
      </w:r>
      <w:r w:rsidRPr="000E6F59">
        <w:t xml:space="preserve"> respectively.</w:t>
      </w:r>
    </w:p>
    <w:p w:rsidR="003611D5" w:rsidRDefault="003611D5" w:rsidP="00EA54E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909"/>
      </w:tblGrid>
      <w:tr w:rsidR="003611D5" w:rsidTr="00EA54E6">
        <w:tc>
          <w:tcPr>
            <w:tcW w:w="8771" w:type="dxa"/>
            <w:tcBorders>
              <w:top w:val="single" w:sz="6" w:space="0" w:color="78A22F"/>
              <w:left w:val="nil"/>
              <w:bottom w:val="nil"/>
              <w:right w:val="nil"/>
            </w:tcBorders>
            <w:shd w:val="clear" w:color="auto" w:fill="auto"/>
          </w:tcPr>
          <w:p w:rsidR="003611D5" w:rsidRPr="00784A05" w:rsidRDefault="003611D5" w:rsidP="003611D5">
            <w:pPr>
              <w:pStyle w:val="TableTitle"/>
            </w:pPr>
            <w:r>
              <w:rPr>
                <w:b w:val="0"/>
              </w:rPr>
              <w:t xml:space="preserve">Table </w:t>
            </w:r>
            <w:r w:rsidR="00B70781">
              <w:rPr>
                <w:b w:val="0"/>
              </w:rPr>
              <w:t>4.</w:t>
            </w:r>
            <w:r w:rsidR="005953B6">
              <w:rPr>
                <w:b w:val="0"/>
                <w:noProof/>
              </w:rPr>
              <w:t>2</w:t>
            </w:r>
            <w:r>
              <w:tab/>
            </w:r>
            <w:r w:rsidRPr="003611D5">
              <w:t>Summary of school characteristics, August 201</w:t>
            </w:r>
            <w:r>
              <w:t>3</w:t>
            </w:r>
          </w:p>
        </w:tc>
      </w:tr>
      <w:tr w:rsidR="003611D5" w:rsidTr="00EA54E6">
        <w:trPr>
          <w:cantSplit/>
        </w:trPr>
        <w:tc>
          <w:tcPr>
            <w:tcW w:w="8771" w:type="dxa"/>
            <w:tcBorders>
              <w:top w:val="nil"/>
              <w:left w:val="nil"/>
              <w:bottom w:val="nil"/>
              <w:right w:val="nil"/>
            </w:tcBorders>
            <w:shd w:val="clear" w:color="auto" w:fill="auto"/>
          </w:tcPr>
          <w:tbl>
            <w:tblPr>
              <w:tblW w:w="8789" w:type="dxa"/>
              <w:tblCellMar>
                <w:left w:w="0" w:type="dxa"/>
                <w:right w:w="0" w:type="dxa"/>
              </w:tblCellMar>
              <w:tblLook w:val="0000" w:firstRow="0" w:lastRow="0" w:firstColumn="0" w:lastColumn="0" w:noHBand="0" w:noVBand="0"/>
            </w:tblPr>
            <w:tblGrid>
              <w:gridCol w:w="1843"/>
              <w:gridCol w:w="567"/>
              <w:gridCol w:w="708"/>
              <w:gridCol w:w="709"/>
              <w:gridCol w:w="709"/>
              <w:gridCol w:w="709"/>
              <w:gridCol w:w="708"/>
              <w:gridCol w:w="709"/>
              <w:gridCol w:w="426"/>
              <w:gridCol w:w="283"/>
              <w:gridCol w:w="426"/>
              <w:gridCol w:w="283"/>
              <w:gridCol w:w="284"/>
              <w:gridCol w:w="425"/>
            </w:tblGrid>
            <w:tr w:rsidR="003611D5" w:rsidRPr="00666ECE" w:rsidTr="00EA54E6">
              <w:tc>
                <w:tcPr>
                  <w:tcW w:w="1843" w:type="dxa"/>
                  <w:tcBorders>
                    <w:top w:val="single" w:sz="6" w:space="0" w:color="auto"/>
                    <w:bottom w:val="single" w:sz="6" w:space="0" w:color="auto"/>
                  </w:tcBorders>
                  <w:shd w:val="clear" w:color="auto" w:fill="auto"/>
                </w:tcPr>
                <w:p w:rsidR="003611D5" w:rsidRPr="00666ECE" w:rsidRDefault="003611D5" w:rsidP="00EA54E6">
                  <w:pPr>
                    <w:keepNext/>
                    <w:keepLines/>
                    <w:spacing w:before="80" w:after="80" w:line="220" w:lineRule="atLeast"/>
                    <w:ind w:left="6" w:right="113"/>
                    <w:rPr>
                      <w:rFonts w:ascii="Arial" w:hAnsi="Arial"/>
                      <w:i/>
                      <w:sz w:val="20"/>
                      <w:szCs w:val="20"/>
                    </w:rPr>
                  </w:pPr>
                </w:p>
              </w:tc>
              <w:tc>
                <w:tcPr>
                  <w:tcW w:w="567" w:type="dxa"/>
                  <w:tcBorders>
                    <w:top w:val="single" w:sz="6" w:space="0" w:color="auto"/>
                    <w:bottom w:val="single" w:sz="6" w:space="0" w:color="auto"/>
                  </w:tcBorders>
                </w:tcPr>
                <w:p w:rsidR="003611D5" w:rsidRPr="00666ECE" w:rsidRDefault="003611D5" w:rsidP="003611D5">
                  <w:pPr>
                    <w:pStyle w:val="TableColumnHeading"/>
                  </w:pPr>
                  <w:r>
                    <w:t>Unit</w:t>
                  </w:r>
                </w:p>
              </w:tc>
              <w:tc>
                <w:tcPr>
                  <w:tcW w:w="708" w:type="dxa"/>
                  <w:tcBorders>
                    <w:top w:val="single" w:sz="6" w:space="0" w:color="auto"/>
                    <w:bottom w:val="single" w:sz="6" w:space="0" w:color="auto"/>
                  </w:tcBorders>
                  <w:shd w:val="clear" w:color="auto" w:fill="auto"/>
                </w:tcPr>
                <w:p w:rsidR="003611D5" w:rsidRPr="00666ECE" w:rsidRDefault="003611D5" w:rsidP="003611D5">
                  <w:pPr>
                    <w:pStyle w:val="TableColumnHeading"/>
                  </w:pPr>
                  <w:r w:rsidRPr="00666ECE">
                    <w:t>NSW</w:t>
                  </w:r>
                </w:p>
              </w:tc>
              <w:tc>
                <w:tcPr>
                  <w:tcW w:w="709" w:type="dxa"/>
                  <w:tcBorders>
                    <w:top w:val="single" w:sz="6" w:space="0" w:color="auto"/>
                    <w:bottom w:val="single" w:sz="6" w:space="0" w:color="auto"/>
                  </w:tcBorders>
                  <w:shd w:val="clear" w:color="auto" w:fill="auto"/>
                </w:tcPr>
                <w:p w:rsidR="003611D5" w:rsidRPr="00666ECE" w:rsidRDefault="003611D5" w:rsidP="003611D5">
                  <w:pPr>
                    <w:pStyle w:val="TableColumnHeading"/>
                  </w:pPr>
                  <w:r w:rsidRPr="00666ECE">
                    <w:t>Vic</w:t>
                  </w:r>
                </w:p>
              </w:tc>
              <w:tc>
                <w:tcPr>
                  <w:tcW w:w="709" w:type="dxa"/>
                  <w:tcBorders>
                    <w:top w:val="single" w:sz="6" w:space="0" w:color="auto"/>
                    <w:bottom w:val="single" w:sz="6" w:space="0" w:color="auto"/>
                  </w:tcBorders>
                  <w:shd w:val="clear" w:color="auto" w:fill="auto"/>
                </w:tcPr>
                <w:p w:rsidR="003611D5" w:rsidRPr="00666ECE" w:rsidRDefault="003611D5" w:rsidP="003611D5">
                  <w:pPr>
                    <w:pStyle w:val="TableColumnHeading"/>
                  </w:pPr>
                  <w:r w:rsidRPr="00666ECE">
                    <w:t>Qld</w:t>
                  </w:r>
                </w:p>
              </w:tc>
              <w:tc>
                <w:tcPr>
                  <w:tcW w:w="709" w:type="dxa"/>
                  <w:tcBorders>
                    <w:top w:val="single" w:sz="6" w:space="0" w:color="auto"/>
                    <w:bottom w:val="single" w:sz="6" w:space="0" w:color="auto"/>
                  </w:tcBorders>
                  <w:shd w:val="clear" w:color="auto" w:fill="auto"/>
                </w:tcPr>
                <w:p w:rsidR="003611D5" w:rsidRPr="00666ECE" w:rsidRDefault="003611D5" w:rsidP="003611D5">
                  <w:pPr>
                    <w:pStyle w:val="TableColumnHeading"/>
                  </w:pPr>
                  <w:r w:rsidRPr="00666ECE">
                    <w:t>WA</w:t>
                  </w:r>
                </w:p>
              </w:tc>
              <w:tc>
                <w:tcPr>
                  <w:tcW w:w="708" w:type="dxa"/>
                  <w:tcBorders>
                    <w:top w:val="single" w:sz="6" w:space="0" w:color="auto"/>
                    <w:bottom w:val="single" w:sz="6" w:space="0" w:color="auto"/>
                  </w:tcBorders>
                  <w:shd w:val="clear" w:color="auto" w:fill="auto"/>
                </w:tcPr>
                <w:p w:rsidR="003611D5" w:rsidRPr="00666ECE" w:rsidRDefault="003611D5" w:rsidP="003611D5">
                  <w:pPr>
                    <w:pStyle w:val="TableColumnHeading"/>
                  </w:pPr>
                  <w:r w:rsidRPr="00666ECE">
                    <w:t>SA</w:t>
                  </w:r>
                </w:p>
              </w:tc>
              <w:tc>
                <w:tcPr>
                  <w:tcW w:w="709" w:type="dxa"/>
                  <w:tcBorders>
                    <w:top w:val="single" w:sz="6" w:space="0" w:color="auto"/>
                    <w:bottom w:val="single" w:sz="6" w:space="0" w:color="auto"/>
                  </w:tcBorders>
                  <w:shd w:val="clear" w:color="auto" w:fill="auto"/>
                </w:tcPr>
                <w:p w:rsidR="003611D5" w:rsidRPr="00666ECE" w:rsidRDefault="003611D5" w:rsidP="003611D5">
                  <w:pPr>
                    <w:pStyle w:val="TableColumnHeading"/>
                  </w:pPr>
                  <w:r w:rsidRPr="00666ECE">
                    <w:t>Tas</w:t>
                  </w:r>
                </w:p>
              </w:tc>
              <w:tc>
                <w:tcPr>
                  <w:tcW w:w="709" w:type="dxa"/>
                  <w:gridSpan w:val="2"/>
                  <w:tcBorders>
                    <w:top w:val="single" w:sz="6" w:space="0" w:color="auto"/>
                    <w:bottom w:val="single" w:sz="6" w:space="0" w:color="auto"/>
                  </w:tcBorders>
                  <w:shd w:val="clear" w:color="auto" w:fill="auto"/>
                </w:tcPr>
                <w:p w:rsidR="003611D5" w:rsidRPr="00666ECE" w:rsidRDefault="003611D5" w:rsidP="003611D5">
                  <w:pPr>
                    <w:pStyle w:val="TableColumnHeading"/>
                  </w:pPr>
                  <w:r w:rsidRPr="00666ECE">
                    <w:t>ACT</w:t>
                  </w:r>
                </w:p>
              </w:tc>
              <w:tc>
                <w:tcPr>
                  <w:tcW w:w="709" w:type="dxa"/>
                  <w:gridSpan w:val="2"/>
                  <w:tcBorders>
                    <w:top w:val="single" w:sz="6" w:space="0" w:color="auto"/>
                    <w:bottom w:val="single" w:sz="6" w:space="0" w:color="auto"/>
                  </w:tcBorders>
                  <w:shd w:val="clear" w:color="auto" w:fill="auto"/>
                </w:tcPr>
                <w:p w:rsidR="003611D5" w:rsidRPr="00666ECE" w:rsidRDefault="003611D5" w:rsidP="003611D5">
                  <w:pPr>
                    <w:pStyle w:val="TableColumnHeading"/>
                  </w:pPr>
                  <w:r w:rsidRPr="00666ECE">
                    <w:t>NT</w:t>
                  </w:r>
                </w:p>
              </w:tc>
              <w:tc>
                <w:tcPr>
                  <w:tcW w:w="709" w:type="dxa"/>
                  <w:gridSpan w:val="2"/>
                  <w:tcBorders>
                    <w:top w:val="single" w:sz="6" w:space="0" w:color="auto"/>
                    <w:bottom w:val="single" w:sz="6" w:space="0" w:color="auto"/>
                  </w:tcBorders>
                  <w:shd w:val="clear" w:color="auto" w:fill="auto"/>
                </w:tcPr>
                <w:p w:rsidR="003611D5" w:rsidRPr="00666ECE" w:rsidRDefault="003611D5" w:rsidP="003611D5">
                  <w:pPr>
                    <w:pStyle w:val="TableColumnHeading"/>
                  </w:pPr>
                  <w:proofErr w:type="spellStart"/>
                  <w:r w:rsidRPr="00666ECE">
                    <w:t>Aust</w:t>
                  </w:r>
                  <w:proofErr w:type="spellEnd"/>
                </w:p>
              </w:tc>
            </w:tr>
            <w:tr w:rsidR="003611D5" w:rsidRPr="00666ECE" w:rsidTr="00EA54E6">
              <w:tc>
                <w:tcPr>
                  <w:tcW w:w="2410" w:type="dxa"/>
                  <w:gridSpan w:val="2"/>
                </w:tcPr>
                <w:p w:rsidR="003611D5" w:rsidRPr="008F5666" w:rsidRDefault="003611D5" w:rsidP="003611D5">
                  <w:pPr>
                    <w:pStyle w:val="TableUnitsRow"/>
                    <w:jc w:val="left"/>
                    <w:rPr>
                      <w:b/>
                    </w:rPr>
                  </w:pPr>
                  <w:r w:rsidRPr="008F5666">
                    <w:rPr>
                      <w:b/>
                    </w:rPr>
                    <w:t xml:space="preserve">Government schools </w:t>
                  </w:r>
                </w:p>
              </w:tc>
              <w:tc>
                <w:tcPr>
                  <w:tcW w:w="708" w:type="dxa"/>
                </w:tcPr>
                <w:p w:rsidR="003611D5" w:rsidRPr="00666ECE" w:rsidRDefault="003611D5" w:rsidP="00EA54E6">
                  <w:pPr>
                    <w:keepNext/>
                    <w:keepLines/>
                    <w:spacing w:after="40" w:line="220" w:lineRule="atLeast"/>
                    <w:ind w:left="6" w:right="113"/>
                    <w:jc w:val="right"/>
                    <w:rPr>
                      <w:rFonts w:ascii="Arial" w:hAnsi="Arial"/>
                      <w:sz w:val="20"/>
                      <w:szCs w:val="20"/>
                    </w:rPr>
                  </w:pPr>
                </w:p>
              </w:tc>
              <w:tc>
                <w:tcPr>
                  <w:tcW w:w="709" w:type="dxa"/>
                </w:tcPr>
                <w:p w:rsidR="003611D5" w:rsidRPr="00666ECE" w:rsidRDefault="003611D5" w:rsidP="00EA54E6">
                  <w:pPr>
                    <w:keepNext/>
                    <w:keepLines/>
                    <w:spacing w:after="40" w:line="220" w:lineRule="atLeast"/>
                    <w:ind w:left="6" w:right="113"/>
                    <w:jc w:val="right"/>
                    <w:rPr>
                      <w:rFonts w:ascii="Arial" w:hAnsi="Arial"/>
                      <w:sz w:val="20"/>
                      <w:szCs w:val="20"/>
                    </w:rPr>
                  </w:pPr>
                </w:p>
              </w:tc>
              <w:tc>
                <w:tcPr>
                  <w:tcW w:w="709" w:type="dxa"/>
                </w:tcPr>
                <w:p w:rsidR="003611D5" w:rsidRPr="00666ECE" w:rsidRDefault="003611D5" w:rsidP="00EA54E6">
                  <w:pPr>
                    <w:keepNext/>
                    <w:keepLines/>
                    <w:spacing w:after="40" w:line="220" w:lineRule="atLeast"/>
                    <w:ind w:left="6" w:right="113"/>
                    <w:jc w:val="right"/>
                    <w:rPr>
                      <w:rFonts w:ascii="Arial" w:hAnsi="Arial"/>
                      <w:sz w:val="20"/>
                      <w:szCs w:val="20"/>
                    </w:rPr>
                  </w:pPr>
                </w:p>
              </w:tc>
              <w:tc>
                <w:tcPr>
                  <w:tcW w:w="709" w:type="dxa"/>
                </w:tcPr>
                <w:p w:rsidR="003611D5" w:rsidRPr="00666ECE" w:rsidRDefault="003611D5" w:rsidP="00EA54E6">
                  <w:pPr>
                    <w:keepNext/>
                    <w:keepLines/>
                    <w:spacing w:after="40" w:line="220" w:lineRule="atLeast"/>
                    <w:ind w:left="6" w:right="113"/>
                    <w:jc w:val="right"/>
                    <w:rPr>
                      <w:rFonts w:ascii="Arial" w:hAnsi="Arial"/>
                      <w:sz w:val="20"/>
                      <w:szCs w:val="20"/>
                    </w:rPr>
                  </w:pPr>
                </w:p>
              </w:tc>
              <w:tc>
                <w:tcPr>
                  <w:tcW w:w="708" w:type="dxa"/>
                </w:tcPr>
                <w:p w:rsidR="003611D5" w:rsidRPr="00666ECE" w:rsidRDefault="003611D5" w:rsidP="00EA54E6">
                  <w:pPr>
                    <w:keepNext/>
                    <w:keepLines/>
                    <w:spacing w:after="40" w:line="220" w:lineRule="atLeast"/>
                    <w:ind w:left="6" w:right="113"/>
                    <w:jc w:val="right"/>
                    <w:rPr>
                      <w:rFonts w:ascii="Arial" w:hAnsi="Arial"/>
                      <w:sz w:val="20"/>
                      <w:szCs w:val="20"/>
                    </w:rPr>
                  </w:pPr>
                </w:p>
              </w:tc>
              <w:tc>
                <w:tcPr>
                  <w:tcW w:w="709" w:type="dxa"/>
                </w:tcPr>
                <w:p w:rsidR="003611D5" w:rsidRPr="00666ECE" w:rsidRDefault="003611D5" w:rsidP="00EA54E6">
                  <w:pPr>
                    <w:keepNext/>
                    <w:keepLines/>
                    <w:spacing w:after="40" w:line="220" w:lineRule="atLeast"/>
                    <w:ind w:left="6" w:right="113"/>
                    <w:jc w:val="right"/>
                    <w:rPr>
                      <w:rFonts w:ascii="Arial" w:hAnsi="Arial"/>
                      <w:sz w:val="20"/>
                      <w:szCs w:val="20"/>
                    </w:rPr>
                  </w:pPr>
                </w:p>
              </w:tc>
              <w:tc>
                <w:tcPr>
                  <w:tcW w:w="709" w:type="dxa"/>
                  <w:gridSpan w:val="2"/>
                </w:tcPr>
                <w:p w:rsidR="003611D5" w:rsidRPr="00666ECE" w:rsidRDefault="003611D5" w:rsidP="00EA54E6">
                  <w:pPr>
                    <w:keepNext/>
                    <w:keepLines/>
                    <w:spacing w:after="40" w:line="220" w:lineRule="atLeast"/>
                    <w:ind w:left="6" w:right="113"/>
                    <w:jc w:val="right"/>
                    <w:rPr>
                      <w:rFonts w:ascii="Arial" w:hAnsi="Arial"/>
                      <w:sz w:val="20"/>
                      <w:szCs w:val="20"/>
                    </w:rPr>
                  </w:pPr>
                </w:p>
              </w:tc>
              <w:tc>
                <w:tcPr>
                  <w:tcW w:w="709" w:type="dxa"/>
                  <w:gridSpan w:val="2"/>
                </w:tcPr>
                <w:p w:rsidR="003611D5" w:rsidRPr="00666ECE" w:rsidRDefault="003611D5" w:rsidP="00EA54E6">
                  <w:pPr>
                    <w:keepNext/>
                    <w:keepLines/>
                    <w:spacing w:after="40" w:line="220" w:lineRule="atLeast"/>
                    <w:ind w:left="6" w:right="113"/>
                    <w:jc w:val="right"/>
                    <w:rPr>
                      <w:rFonts w:ascii="Arial" w:hAnsi="Arial"/>
                      <w:sz w:val="20"/>
                      <w:szCs w:val="20"/>
                    </w:rPr>
                  </w:pPr>
                </w:p>
              </w:tc>
              <w:tc>
                <w:tcPr>
                  <w:tcW w:w="709" w:type="dxa"/>
                  <w:gridSpan w:val="2"/>
                </w:tcPr>
                <w:p w:rsidR="003611D5" w:rsidRPr="00666ECE" w:rsidRDefault="003611D5" w:rsidP="00EA54E6">
                  <w:pPr>
                    <w:keepNext/>
                    <w:keepLines/>
                    <w:spacing w:after="40" w:line="220" w:lineRule="atLeast"/>
                    <w:ind w:left="6" w:right="113"/>
                    <w:jc w:val="right"/>
                    <w:rPr>
                      <w:rFonts w:ascii="Arial" w:hAnsi="Arial"/>
                      <w:sz w:val="20"/>
                      <w:szCs w:val="20"/>
                    </w:rPr>
                  </w:pPr>
                </w:p>
              </w:tc>
            </w:tr>
            <w:tr w:rsidR="005C44D0" w:rsidRPr="00666ECE" w:rsidTr="00EA54E6">
              <w:tc>
                <w:tcPr>
                  <w:tcW w:w="1843" w:type="dxa"/>
                </w:tcPr>
                <w:p w:rsidR="005C44D0" w:rsidRPr="00666ECE" w:rsidRDefault="005C44D0" w:rsidP="003611D5">
                  <w:pPr>
                    <w:pStyle w:val="TableUnitsRow"/>
                    <w:jc w:val="left"/>
                  </w:pPr>
                  <w:r w:rsidRPr="00666ECE">
                    <w:t>Primary</w:t>
                  </w:r>
                </w:p>
              </w:tc>
              <w:tc>
                <w:tcPr>
                  <w:tcW w:w="567" w:type="dxa"/>
                  <w:vAlign w:val="center"/>
                </w:tcPr>
                <w:p w:rsidR="005C44D0" w:rsidRPr="007E4F60" w:rsidRDefault="005C44D0" w:rsidP="007E4F60">
                  <w:pPr>
                    <w:pStyle w:val="TableBodyText"/>
                  </w:pPr>
                  <w:r w:rsidRPr="007E4F60">
                    <w:t>no.</w:t>
                  </w:r>
                </w:p>
              </w:tc>
              <w:tc>
                <w:tcPr>
                  <w:tcW w:w="708" w:type="dxa"/>
                  <w:vAlign w:val="bottom"/>
                </w:tcPr>
                <w:p w:rsidR="005C44D0" w:rsidRPr="007E4F60" w:rsidRDefault="005C44D0" w:rsidP="007E4F60">
                  <w:pPr>
                    <w:pStyle w:val="TableBodyText"/>
                  </w:pPr>
                  <w:r w:rsidRPr="007E4F60">
                    <w:t>1</w:t>
                  </w:r>
                  <w:r w:rsidR="008F5666" w:rsidRPr="007E4F60">
                    <w:t xml:space="preserve"> </w:t>
                  </w:r>
                  <w:r w:rsidRPr="007E4F60">
                    <w:t>618</w:t>
                  </w:r>
                </w:p>
              </w:tc>
              <w:tc>
                <w:tcPr>
                  <w:tcW w:w="709" w:type="dxa"/>
                  <w:vAlign w:val="bottom"/>
                </w:tcPr>
                <w:p w:rsidR="005C44D0" w:rsidRPr="007E4F60" w:rsidRDefault="005C44D0" w:rsidP="007E4F60">
                  <w:pPr>
                    <w:pStyle w:val="TableBodyText"/>
                  </w:pPr>
                  <w:r w:rsidRPr="007E4F60">
                    <w:t>1130</w:t>
                  </w:r>
                </w:p>
              </w:tc>
              <w:tc>
                <w:tcPr>
                  <w:tcW w:w="709" w:type="dxa"/>
                  <w:vAlign w:val="bottom"/>
                </w:tcPr>
                <w:p w:rsidR="005C44D0" w:rsidRPr="007E4F60" w:rsidRDefault="005C44D0" w:rsidP="007E4F60">
                  <w:pPr>
                    <w:pStyle w:val="TableBodyText"/>
                  </w:pPr>
                  <w:r w:rsidRPr="007E4F60">
                    <w:t>920</w:t>
                  </w:r>
                </w:p>
              </w:tc>
              <w:tc>
                <w:tcPr>
                  <w:tcW w:w="709" w:type="dxa"/>
                  <w:vAlign w:val="bottom"/>
                </w:tcPr>
                <w:p w:rsidR="005C44D0" w:rsidRPr="007E4F60" w:rsidRDefault="005C44D0" w:rsidP="007E4F60">
                  <w:pPr>
                    <w:pStyle w:val="TableBodyText"/>
                  </w:pPr>
                  <w:r w:rsidRPr="007E4F60">
                    <w:t>517</w:t>
                  </w:r>
                </w:p>
              </w:tc>
              <w:tc>
                <w:tcPr>
                  <w:tcW w:w="708" w:type="dxa"/>
                  <w:vAlign w:val="bottom"/>
                </w:tcPr>
                <w:p w:rsidR="005C44D0" w:rsidRPr="007E4F60" w:rsidRDefault="005C44D0" w:rsidP="007E4F60">
                  <w:pPr>
                    <w:pStyle w:val="TableBodyText"/>
                  </w:pPr>
                  <w:r w:rsidRPr="007E4F60">
                    <w:t>368</w:t>
                  </w:r>
                </w:p>
              </w:tc>
              <w:tc>
                <w:tcPr>
                  <w:tcW w:w="709" w:type="dxa"/>
                  <w:vAlign w:val="bottom"/>
                </w:tcPr>
                <w:p w:rsidR="005C44D0" w:rsidRPr="007E4F60" w:rsidRDefault="005C44D0" w:rsidP="007E4F60">
                  <w:pPr>
                    <w:pStyle w:val="TableBodyText"/>
                  </w:pPr>
                  <w:r w:rsidRPr="007E4F60">
                    <w:t>131</w:t>
                  </w:r>
                </w:p>
              </w:tc>
              <w:tc>
                <w:tcPr>
                  <w:tcW w:w="709" w:type="dxa"/>
                  <w:gridSpan w:val="2"/>
                  <w:vAlign w:val="bottom"/>
                </w:tcPr>
                <w:p w:rsidR="005C44D0" w:rsidRPr="007E4F60" w:rsidRDefault="005C44D0" w:rsidP="007E4F60">
                  <w:pPr>
                    <w:pStyle w:val="TableBodyText"/>
                  </w:pPr>
                  <w:r w:rsidRPr="007E4F60">
                    <w:t>55</w:t>
                  </w:r>
                </w:p>
              </w:tc>
              <w:tc>
                <w:tcPr>
                  <w:tcW w:w="709" w:type="dxa"/>
                  <w:gridSpan w:val="2"/>
                  <w:vAlign w:val="bottom"/>
                </w:tcPr>
                <w:p w:rsidR="005C44D0" w:rsidRPr="007E4F60" w:rsidRDefault="005C44D0" w:rsidP="007E4F60">
                  <w:pPr>
                    <w:pStyle w:val="TableBodyText"/>
                  </w:pPr>
                  <w:r w:rsidRPr="007E4F60">
                    <w:t>63</w:t>
                  </w:r>
                </w:p>
              </w:tc>
              <w:tc>
                <w:tcPr>
                  <w:tcW w:w="709" w:type="dxa"/>
                  <w:gridSpan w:val="2"/>
                  <w:vAlign w:val="bottom"/>
                </w:tcPr>
                <w:p w:rsidR="005C44D0" w:rsidRPr="007E4F60" w:rsidRDefault="005C44D0" w:rsidP="007E4F60">
                  <w:pPr>
                    <w:pStyle w:val="TableBodyText"/>
                  </w:pPr>
                  <w:r w:rsidRPr="007E4F60">
                    <w:t>4</w:t>
                  </w:r>
                  <w:r w:rsidR="008F5666" w:rsidRPr="007E4F60">
                    <w:t xml:space="preserve"> </w:t>
                  </w:r>
                  <w:r w:rsidRPr="007E4F60">
                    <w:t>802</w:t>
                  </w:r>
                </w:p>
              </w:tc>
            </w:tr>
            <w:tr w:rsidR="005C44D0" w:rsidRPr="00666ECE" w:rsidTr="00EA54E6">
              <w:tc>
                <w:tcPr>
                  <w:tcW w:w="1843" w:type="dxa"/>
                </w:tcPr>
                <w:p w:rsidR="005C44D0" w:rsidRPr="00666ECE" w:rsidRDefault="005C44D0" w:rsidP="003611D5">
                  <w:pPr>
                    <w:pStyle w:val="TableUnitsRow"/>
                    <w:jc w:val="left"/>
                  </w:pPr>
                  <w:r w:rsidRPr="00666ECE">
                    <w:t>Secondary</w:t>
                  </w:r>
                </w:p>
              </w:tc>
              <w:tc>
                <w:tcPr>
                  <w:tcW w:w="567" w:type="dxa"/>
                  <w:vAlign w:val="center"/>
                </w:tcPr>
                <w:p w:rsidR="005C44D0" w:rsidRPr="007E4F60" w:rsidRDefault="005C44D0" w:rsidP="007E4F60">
                  <w:pPr>
                    <w:pStyle w:val="TableBodyText"/>
                  </w:pPr>
                  <w:r w:rsidRPr="007E4F60">
                    <w:t>no.</w:t>
                  </w:r>
                </w:p>
              </w:tc>
              <w:tc>
                <w:tcPr>
                  <w:tcW w:w="708" w:type="dxa"/>
                  <w:vAlign w:val="bottom"/>
                </w:tcPr>
                <w:p w:rsidR="005C44D0" w:rsidRPr="007E4F60" w:rsidRDefault="005C44D0" w:rsidP="007E4F60">
                  <w:pPr>
                    <w:pStyle w:val="TableBodyText"/>
                  </w:pPr>
                  <w:r w:rsidRPr="007E4F60">
                    <w:t>370</w:t>
                  </w:r>
                </w:p>
              </w:tc>
              <w:tc>
                <w:tcPr>
                  <w:tcW w:w="709" w:type="dxa"/>
                  <w:vAlign w:val="bottom"/>
                </w:tcPr>
                <w:p w:rsidR="005C44D0" w:rsidRPr="007E4F60" w:rsidRDefault="005C44D0" w:rsidP="007E4F60">
                  <w:pPr>
                    <w:pStyle w:val="TableBodyText"/>
                  </w:pPr>
                  <w:r w:rsidRPr="007E4F60">
                    <w:t>239</w:t>
                  </w:r>
                </w:p>
              </w:tc>
              <w:tc>
                <w:tcPr>
                  <w:tcW w:w="709" w:type="dxa"/>
                  <w:vAlign w:val="bottom"/>
                </w:tcPr>
                <w:p w:rsidR="005C44D0" w:rsidRPr="007E4F60" w:rsidRDefault="005C44D0" w:rsidP="007E4F60">
                  <w:pPr>
                    <w:pStyle w:val="TableBodyText"/>
                  </w:pPr>
                  <w:r w:rsidRPr="007E4F60">
                    <w:t>182</w:t>
                  </w:r>
                </w:p>
              </w:tc>
              <w:tc>
                <w:tcPr>
                  <w:tcW w:w="709" w:type="dxa"/>
                  <w:vAlign w:val="bottom"/>
                </w:tcPr>
                <w:p w:rsidR="005C44D0" w:rsidRPr="007E4F60" w:rsidRDefault="005C44D0" w:rsidP="007E4F60">
                  <w:pPr>
                    <w:pStyle w:val="TableBodyText"/>
                  </w:pPr>
                  <w:r w:rsidRPr="007E4F60">
                    <w:t>97</w:t>
                  </w:r>
                </w:p>
              </w:tc>
              <w:tc>
                <w:tcPr>
                  <w:tcW w:w="708" w:type="dxa"/>
                  <w:vAlign w:val="bottom"/>
                </w:tcPr>
                <w:p w:rsidR="005C44D0" w:rsidRPr="007E4F60" w:rsidRDefault="005C44D0" w:rsidP="007E4F60">
                  <w:pPr>
                    <w:pStyle w:val="TableBodyText"/>
                  </w:pPr>
                  <w:r w:rsidRPr="007E4F60">
                    <w:t>66</w:t>
                  </w:r>
                </w:p>
              </w:tc>
              <w:tc>
                <w:tcPr>
                  <w:tcW w:w="709" w:type="dxa"/>
                  <w:vAlign w:val="bottom"/>
                </w:tcPr>
                <w:p w:rsidR="005C44D0" w:rsidRPr="007E4F60" w:rsidRDefault="005C44D0" w:rsidP="007E4F60">
                  <w:pPr>
                    <w:pStyle w:val="TableBodyText"/>
                  </w:pPr>
                  <w:r w:rsidRPr="007E4F60">
                    <w:t>38</w:t>
                  </w:r>
                </w:p>
              </w:tc>
              <w:tc>
                <w:tcPr>
                  <w:tcW w:w="709" w:type="dxa"/>
                  <w:gridSpan w:val="2"/>
                  <w:vAlign w:val="bottom"/>
                </w:tcPr>
                <w:p w:rsidR="005C44D0" w:rsidRPr="007E4F60" w:rsidRDefault="005C44D0" w:rsidP="007E4F60">
                  <w:pPr>
                    <w:pStyle w:val="TableBodyText"/>
                  </w:pPr>
                  <w:r w:rsidRPr="007E4F60">
                    <w:t>18</w:t>
                  </w:r>
                </w:p>
              </w:tc>
              <w:tc>
                <w:tcPr>
                  <w:tcW w:w="709" w:type="dxa"/>
                  <w:gridSpan w:val="2"/>
                  <w:vAlign w:val="bottom"/>
                </w:tcPr>
                <w:p w:rsidR="005C44D0" w:rsidRPr="007E4F60" w:rsidRDefault="005C44D0" w:rsidP="007E4F60">
                  <w:pPr>
                    <w:pStyle w:val="TableBodyText"/>
                  </w:pPr>
                  <w:r w:rsidRPr="007E4F60">
                    <w:t>15</w:t>
                  </w:r>
                </w:p>
              </w:tc>
              <w:tc>
                <w:tcPr>
                  <w:tcW w:w="709" w:type="dxa"/>
                  <w:gridSpan w:val="2"/>
                  <w:vAlign w:val="bottom"/>
                </w:tcPr>
                <w:p w:rsidR="005C44D0" w:rsidRPr="007E4F60" w:rsidRDefault="005C44D0" w:rsidP="007E4F60">
                  <w:pPr>
                    <w:pStyle w:val="TableBodyText"/>
                  </w:pPr>
                  <w:r w:rsidRPr="007E4F60">
                    <w:t>1</w:t>
                  </w:r>
                  <w:r w:rsidR="008F5666" w:rsidRPr="007E4F60">
                    <w:t xml:space="preserve"> </w:t>
                  </w:r>
                  <w:r w:rsidRPr="007E4F60">
                    <w:t>025</w:t>
                  </w:r>
                </w:p>
              </w:tc>
            </w:tr>
            <w:tr w:rsidR="005C44D0" w:rsidRPr="00666ECE" w:rsidTr="00EA54E6">
              <w:tc>
                <w:tcPr>
                  <w:tcW w:w="1843" w:type="dxa"/>
                </w:tcPr>
                <w:p w:rsidR="005C44D0" w:rsidRPr="00666ECE" w:rsidRDefault="005C44D0" w:rsidP="003611D5">
                  <w:pPr>
                    <w:pStyle w:val="TableUnitsRow"/>
                    <w:jc w:val="left"/>
                  </w:pPr>
                  <w:r w:rsidRPr="00666ECE">
                    <w:t>Combined</w:t>
                  </w:r>
                  <w:r w:rsidRPr="00666ECE">
                    <w:rPr>
                      <w:b/>
                      <w:position w:val="6"/>
                    </w:rPr>
                    <w:t>a</w:t>
                  </w:r>
                </w:p>
              </w:tc>
              <w:tc>
                <w:tcPr>
                  <w:tcW w:w="567" w:type="dxa"/>
                  <w:vAlign w:val="center"/>
                </w:tcPr>
                <w:p w:rsidR="005C44D0" w:rsidRPr="007E4F60" w:rsidRDefault="005C44D0" w:rsidP="007E4F60">
                  <w:pPr>
                    <w:pStyle w:val="TableBodyText"/>
                  </w:pPr>
                  <w:r w:rsidRPr="007E4F60">
                    <w:t>no.</w:t>
                  </w:r>
                </w:p>
              </w:tc>
              <w:tc>
                <w:tcPr>
                  <w:tcW w:w="708" w:type="dxa"/>
                  <w:vAlign w:val="bottom"/>
                </w:tcPr>
                <w:p w:rsidR="005C44D0" w:rsidRPr="007E4F60" w:rsidRDefault="005C44D0" w:rsidP="007E4F60">
                  <w:pPr>
                    <w:pStyle w:val="TableBodyText"/>
                  </w:pPr>
                  <w:r w:rsidRPr="007E4F60">
                    <w:t>66</w:t>
                  </w:r>
                </w:p>
              </w:tc>
              <w:tc>
                <w:tcPr>
                  <w:tcW w:w="709" w:type="dxa"/>
                  <w:vAlign w:val="bottom"/>
                </w:tcPr>
                <w:p w:rsidR="005C44D0" w:rsidRPr="007E4F60" w:rsidRDefault="005C44D0" w:rsidP="007E4F60">
                  <w:pPr>
                    <w:pStyle w:val="TableBodyText"/>
                  </w:pPr>
                  <w:r w:rsidRPr="007E4F60">
                    <w:t>79</w:t>
                  </w:r>
                </w:p>
              </w:tc>
              <w:tc>
                <w:tcPr>
                  <w:tcW w:w="709" w:type="dxa"/>
                  <w:vAlign w:val="bottom"/>
                </w:tcPr>
                <w:p w:rsidR="005C44D0" w:rsidRPr="007E4F60" w:rsidRDefault="005C44D0" w:rsidP="007E4F60">
                  <w:pPr>
                    <w:pStyle w:val="TableBodyText"/>
                  </w:pPr>
                  <w:r w:rsidRPr="007E4F60">
                    <w:t>90</w:t>
                  </w:r>
                </w:p>
              </w:tc>
              <w:tc>
                <w:tcPr>
                  <w:tcW w:w="709" w:type="dxa"/>
                  <w:vAlign w:val="bottom"/>
                </w:tcPr>
                <w:p w:rsidR="005C44D0" w:rsidRPr="007E4F60" w:rsidRDefault="005C44D0" w:rsidP="007E4F60">
                  <w:pPr>
                    <w:pStyle w:val="TableBodyText"/>
                  </w:pPr>
                  <w:r w:rsidRPr="007E4F60">
                    <w:t>90</w:t>
                  </w:r>
                </w:p>
              </w:tc>
              <w:tc>
                <w:tcPr>
                  <w:tcW w:w="708" w:type="dxa"/>
                  <w:vAlign w:val="bottom"/>
                </w:tcPr>
                <w:p w:rsidR="005C44D0" w:rsidRPr="007E4F60" w:rsidRDefault="005C44D0" w:rsidP="007E4F60">
                  <w:pPr>
                    <w:pStyle w:val="TableBodyText"/>
                  </w:pPr>
                  <w:r w:rsidRPr="007E4F60">
                    <w:t>75</w:t>
                  </w:r>
                </w:p>
              </w:tc>
              <w:tc>
                <w:tcPr>
                  <w:tcW w:w="709" w:type="dxa"/>
                  <w:vAlign w:val="bottom"/>
                </w:tcPr>
                <w:p w:rsidR="005C44D0" w:rsidRPr="007E4F60" w:rsidRDefault="005C44D0" w:rsidP="007E4F60">
                  <w:pPr>
                    <w:pStyle w:val="TableBodyText"/>
                  </w:pPr>
                  <w:r w:rsidRPr="007E4F60">
                    <w:t>25</w:t>
                  </w:r>
                </w:p>
              </w:tc>
              <w:tc>
                <w:tcPr>
                  <w:tcW w:w="709" w:type="dxa"/>
                  <w:gridSpan w:val="2"/>
                  <w:vAlign w:val="bottom"/>
                </w:tcPr>
                <w:p w:rsidR="005C44D0" w:rsidRPr="007E4F60" w:rsidRDefault="005C44D0" w:rsidP="007E4F60">
                  <w:pPr>
                    <w:pStyle w:val="TableBodyText"/>
                  </w:pPr>
                  <w:r w:rsidRPr="007E4F60">
                    <w:t>9</w:t>
                  </w:r>
                </w:p>
              </w:tc>
              <w:tc>
                <w:tcPr>
                  <w:tcW w:w="709" w:type="dxa"/>
                  <w:gridSpan w:val="2"/>
                  <w:vAlign w:val="bottom"/>
                </w:tcPr>
                <w:p w:rsidR="005C44D0" w:rsidRPr="007E4F60" w:rsidRDefault="005C44D0" w:rsidP="007E4F60">
                  <w:pPr>
                    <w:pStyle w:val="TableBodyText"/>
                  </w:pPr>
                  <w:r w:rsidRPr="007E4F60">
                    <w:t>71</w:t>
                  </w:r>
                </w:p>
              </w:tc>
              <w:tc>
                <w:tcPr>
                  <w:tcW w:w="709" w:type="dxa"/>
                  <w:gridSpan w:val="2"/>
                  <w:vAlign w:val="bottom"/>
                </w:tcPr>
                <w:p w:rsidR="005C44D0" w:rsidRPr="007E4F60" w:rsidRDefault="005C44D0" w:rsidP="007E4F60">
                  <w:pPr>
                    <w:pStyle w:val="TableBodyText"/>
                  </w:pPr>
                  <w:r w:rsidRPr="007E4F60">
                    <w:t>505</w:t>
                  </w:r>
                </w:p>
              </w:tc>
            </w:tr>
            <w:tr w:rsidR="005C44D0" w:rsidRPr="00666ECE" w:rsidTr="00EA54E6">
              <w:tc>
                <w:tcPr>
                  <w:tcW w:w="1843" w:type="dxa"/>
                </w:tcPr>
                <w:p w:rsidR="005C44D0" w:rsidRPr="00666ECE" w:rsidRDefault="005C44D0" w:rsidP="003611D5">
                  <w:pPr>
                    <w:pStyle w:val="TableUnitsRow"/>
                    <w:jc w:val="left"/>
                  </w:pPr>
                  <w:r w:rsidRPr="00666ECE">
                    <w:t>Special schools</w:t>
                  </w:r>
                  <w:r w:rsidRPr="00666ECE">
                    <w:rPr>
                      <w:b/>
                      <w:position w:val="6"/>
                    </w:rPr>
                    <w:t>b</w:t>
                  </w:r>
                </w:p>
              </w:tc>
              <w:tc>
                <w:tcPr>
                  <w:tcW w:w="567" w:type="dxa"/>
                  <w:vAlign w:val="center"/>
                </w:tcPr>
                <w:p w:rsidR="005C44D0" w:rsidRPr="007E4F60" w:rsidRDefault="005C44D0" w:rsidP="007E4F60">
                  <w:pPr>
                    <w:pStyle w:val="TableBodyText"/>
                  </w:pPr>
                  <w:r w:rsidRPr="007E4F60">
                    <w:t>no.</w:t>
                  </w:r>
                </w:p>
              </w:tc>
              <w:tc>
                <w:tcPr>
                  <w:tcW w:w="708" w:type="dxa"/>
                  <w:vAlign w:val="bottom"/>
                </w:tcPr>
                <w:p w:rsidR="005C44D0" w:rsidRPr="007E4F60" w:rsidRDefault="005C44D0" w:rsidP="007E4F60">
                  <w:pPr>
                    <w:pStyle w:val="TableBodyText"/>
                  </w:pPr>
                  <w:r w:rsidRPr="007E4F60">
                    <w:t>110</w:t>
                  </w:r>
                </w:p>
              </w:tc>
              <w:tc>
                <w:tcPr>
                  <w:tcW w:w="709" w:type="dxa"/>
                  <w:vAlign w:val="bottom"/>
                </w:tcPr>
                <w:p w:rsidR="005C44D0" w:rsidRPr="007E4F60" w:rsidRDefault="005C44D0" w:rsidP="007E4F60">
                  <w:pPr>
                    <w:pStyle w:val="TableBodyText"/>
                  </w:pPr>
                  <w:r w:rsidRPr="007E4F60">
                    <w:t>78</w:t>
                  </w:r>
                </w:p>
              </w:tc>
              <w:tc>
                <w:tcPr>
                  <w:tcW w:w="709" w:type="dxa"/>
                  <w:vAlign w:val="bottom"/>
                </w:tcPr>
                <w:p w:rsidR="005C44D0" w:rsidRPr="007E4F60" w:rsidRDefault="005C44D0" w:rsidP="007E4F60">
                  <w:pPr>
                    <w:pStyle w:val="TableBodyText"/>
                  </w:pPr>
                  <w:r w:rsidRPr="007E4F60">
                    <w:t>46</w:t>
                  </w:r>
                </w:p>
              </w:tc>
              <w:tc>
                <w:tcPr>
                  <w:tcW w:w="709" w:type="dxa"/>
                  <w:vAlign w:val="bottom"/>
                </w:tcPr>
                <w:p w:rsidR="005C44D0" w:rsidRPr="007E4F60" w:rsidRDefault="005C44D0" w:rsidP="007E4F60">
                  <w:pPr>
                    <w:pStyle w:val="TableBodyText"/>
                  </w:pPr>
                  <w:r w:rsidRPr="007E4F60">
                    <w:t>64</w:t>
                  </w:r>
                </w:p>
              </w:tc>
              <w:tc>
                <w:tcPr>
                  <w:tcW w:w="708" w:type="dxa"/>
                  <w:vAlign w:val="bottom"/>
                </w:tcPr>
                <w:p w:rsidR="005C44D0" w:rsidRPr="007E4F60" w:rsidRDefault="005C44D0" w:rsidP="007E4F60">
                  <w:pPr>
                    <w:pStyle w:val="TableBodyText"/>
                  </w:pPr>
                  <w:r w:rsidRPr="007E4F60">
                    <w:t>18</w:t>
                  </w:r>
                </w:p>
              </w:tc>
              <w:tc>
                <w:tcPr>
                  <w:tcW w:w="709" w:type="dxa"/>
                  <w:vAlign w:val="bottom"/>
                </w:tcPr>
                <w:p w:rsidR="005C44D0" w:rsidRPr="007E4F60" w:rsidRDefault="005C44D0" w:rsidP="007E4F60">
                  <w:pPr>
                    <w:pStyle w:val="TableBodyText"/>
                  </w:pPr>
                  <w:r w:rsidRPr="007E4F60">
                    <w:t>4</w:t>
                  </w:r>
                </w:p>
              </w:tc>
              <w:tc>
                <w:tcPr>
                  <w:tcW w:w="709" w:type="dxa"/>
                  <w:gridSpan w:val="2"/>
                  <w:vAlign w:val="bottom"/>
                </w:tcPr>
                <w:p w:rsidR="005C44D0" w:rsidRPr="007E4F60" w:rsidRDefault="005C44D0" w:rsidP="007E4F60">
                  <w:pPr>
                    <w:pStyle w:val="TableBodyText"/>
                  </w:pPr>
                  <w:r w:rsidRPr="007E4F60">
                    <w:t>4</w:t>
                  </w:r>
                </w:p>
              </w:tc>
              <w:tc>
                <w:tcPr>
                  <w:tcW w:w="709" w:type="dxa"/>
                  <w:gridSpan w:val="2"/>
                  <w:vAlign w:val="bottom"/>
                </w:tcPr>
                <w:p w:rsidR="005C44D0" w:rsidRPr="007E4F60" w:rsidRDefault="005C44D0" w:rsidP="007E4F60">
                  <w:pPr>
                    <w:pStyle w:val="TableBodyText"/>
                  </w:pPr>
                  <w:r w:rsidRPr="007E4F60">
                    <w:t>5</w:t>
                  </w:r>
                </w:p>
              </w:tc>
              <w:tc>
                <w:tcPr>
                  <w:tcW w:w="709" w:type="dxa"/>
                  <w:gridSpan w:val="2"/>
                  <w:vAlign w:val="bottom"/>
                </w:tcPr>
                <w:p w:rsidR="005C44D0" w:rsidRPr="007E4F60" w:rsidRDefault="005C44D0" w:rsidP="007E4F60">
                  <w:pPr>
                    <w:pStyle w:val="TableBodyText"/>
                  </w:pPr>
                  <w:r w:rsidRPr="007E4F60">
                    <w:t>329</w:t>
                  </w:r>
                </w:p>
              </w:tc>
            </w:tr>
            <w:tr w:rsidR="005C44D0" w:rsidRPr="00666ECE" w:rsidTr="00EA54E6">
              <w:tc>
                <w:tcPr>
                  <w:tcW w:w="1843" w:type="dxa"/>
                </w:tcPr>
                <w:p w:rsidR="005C44D0" w:rsidRPr="00666ECE" w:rsidRDefault="005C44D0" w:rsidP="003611D5">
                  <w:pPr>
                    <w:pStyle w:val="TableUnitsRow"/>
                    <w:jc w:val="left"/>
                    <w:rPr>
                      <w:b/>
                    </w:rPr>
                  </w:pPr>
                  <w:r w:rsidRPr="00666ECE">
                    <w:rPr>
                      <w:b/>
                    </w:rPr>
                    <w:t>Total</w:t>
                  </w:r>
                </w:p>
              </w:tc>
              <w:tc>
                <w:tcPr>
                  <w:tcW w:w="567" w:type="dxa"/>
                  <w:vAlign w:val="center"/>
                </w:tcPr>
                <w:p w:rsidR="005C44D0" w:rsidRPr="007E4F60" w:rsidRDefault="005C44D0" w:rsidP="007E4F60">
                  <w:pPr>
                    <w:pStyle w:val="TableBodyText"/>
                    <w:rPr>
                      <w:b/>
                    </w:rPr>
                  </w:pPr>
                  <w:r w:rsidRPr="007E4F60">
                    <w:rPr>
                      <w:b/>
                    </w:rPr>
                    <w:t>no.</w:t>
                  </w:r>
                </w:p>
              </w:tc>
              <w:tc>
                <w:tcPr>
                  <w:tcW w:w="708" w:type="dxa"/>
                  <w:vAlign w:val="bottom"/>
                </w:tcPr>
                <w:p w:rsidR="005C44D0" w:rsidRPr="007E4F60" w:rsidRDefault="005C44D0" w:rsidP="007E4F60">
                  <w:pPr>
                    <w:pStyle w:val="TableBodyText"/>
                    <w:rPr>
                      <w:b/>
                    </w:rPr>
                  </w:pPr>
                  <w:r w:rsidRPr="007E4F60">
                    <w:rPr>
                      <w:b/>
                    </w:rPr>
                    <w:t>2</w:t>
                  </w:r>
                  <w:r w:rsidR="008F5666" w:rsidRPr="007E4F60">
                    <w:rPr>
                      <w:b/>
                    </w:rPr>
                    <w:t xml:space="preserve"> </w:t>
                  </w:r>
                  <w:r w:rsidRPr="007E4F60">
                    <w:rPr>
                      <w:b/>
                    </w:rPr>
                    <w:t>164</w:t>
                  </w:r>
                </w:p>
              </w:tc>
              <w:tc>
                <w:tcPr>
                  <w:tcW w:w="709" w:type="dxa"/>
                  <w:vAlign w:val="bottom"/>
                </w:tcPr>
                <w:p w:rsidR="005C44D0" w:rsidRPr="007E4F60" w:rsidRDefault="005C44D0" w:rsidP="007E4F60">
                  <w:pPr>
                    <w:pStyle w:val="TableBodyText"/>
                    <w:rPr>
                      <w:b/>
                    </w:rPr>
                  </w:pPr>
                  <w:r w:rsidRPr="007E4F60">
                    <w:rPr>
                      <w:b/>
                    </w:rPr>
                    <w:t>1526</w:t>
                  </w:r>
                </w:p>
              </w:tc>
              <w:tc>
                <w:tcPr>
                  <w:tcW w:w="709" w:type="dxa"/>
                  <w:vAlign w:val="bottom"/>
                </w:tcPr>
                <w:p w:rsidR="005C44D0" w:rsidRPr="007E4F60" w:rsidRDefault="005C44D0" w:rsidP="007E4F60">
                  <w:pPr>
                    <w:pStyle w:val="TableBodyText"/>
                    <w:rPr>
                      <w:b/>
                    </w:rPr>
                  </w:pPr>
                  <w:r w:rsidRPr="007E4F60">
                    <w:rPr>
                      <w:b/>
                    </w:rPr>
                    <w:t>1238</w:t>
                  </w:r>
                </w:p>
              </w:tc>
              <w:tc>
                <w:tcPr>
                  <w:tcW w:w="709" w:type="dxa"/>
                  <w:vAlign w:val="bottom"/>
                </w:tcPr>
                <w:p w:rsidR="005C44D0" w:rsidRPr="007E4F60" w:rsidRDefault="005C44D0" w:rsidP="007E4F60">
                  <w:pPr>
                    <w:pStyle w:val="TableBodyText"/>
                    <w:rPr>
                      <w:b/>
                    </w:rPr>
                  </w:pPr>
                  <w:r w:rsidRPr="007E4F60">
                    <w:rPr>
                      <w:b/>
                    </w:rPr>
                    <w:t>768</w:t>
                  </w:r>
                </w:p>
              </w:tc>
              <w:tc>
                <w:tcPr>
                  <w:tcW w:w="708" w:type="dxa"/>
                  <w:vAlign w:val="bottom"/>
                </w:tcPr>
                <w:p w:rsidR="005C44D0" w:rsidRPr="007E4F60" w:rsidRDefault="005C44D0" w:rsidP="007E4F60">
                  <w:pPr>
                    <w:pStyle w:val="TableBodyText"/>
                    <w:rPr>
                      <w:b/>
                    </w:rPr>
                  </w:pPr>
                  <w:r w:rsidRPr="007E4F60">
                    <w:rPr>
                      <w:b/>
                    </w:rPr>
                    <w:t>527</w:t>
                  </w:r>
                </w:p>
              </w:tc>
              <w:tc>
                <w:tcPr>
                  <w:tcW w:w="709" w:type="dxa"/>
                  <w:vAlign w:val="bottom"/>
                </w:tcPr>
                <w:p w:rsidR="005C44D0" w:rsidRPr="007E4F60" w:rsidRDefault="005C44D0" w:rsidP="007E4F60">
                  <w:pPr>
                    <w:pStyle w:val="TableBodyText"/>
                    <w:rPr>
                      <w:b/>
                    </w:rPr>
                  </w:pPr>
                  <w:r w:rsidRPr="007E4F60">
                    <w:rPr>
                      <w:b/>
                    </w:rPr>
                    <w:t>198</w:t>
                  </w:r>
                </w:p>
              </w:tc>
              <w:tc>
                <w:tcPr>
                  <w:tcW w:w="709" w:type="dxa"/>
                  <w:gridSpan w:val="2"/>
                  <w:vAlign w:val="bottom"/>
                </w:tcPr>
                <w:p w:rsidR="005C44D0" w:rsidRPr="007E4F60" w:rsidRDefault="005C44D0" w:rsidP="007E4F60">
                  <w:pPr>
                    <w:pStyle w:val="TableBodyText"/>
                    <w:rPr>
                      <w:b/>
                    </w:rPr>
                  </w:pPr>
                  <w:r w:rsidRPr="007E4F60">
                    <w:rPr>
                      <w:b/>
                    </w:rPr>
                    <w:t>86</w:t>
                  </w:r>
                </w:p>
              </w:tc>
              <w:tc>
                <w:tcPr>
                  <w:tcW w:w="709" w:type="dxa"/>
                  <w:gridSpan w:val="2"/>
                  <w:vAlign w:val="bottom"/>
                </w:tcPr>
                <w:p w:rsidR="005C44D0" w:rsidRPr="007E4F60" w:rsidRDefault="005C44D0" w:rsidP="007E4F60">
                  <w:pPr>
                    <w:pStyle w:val="TableBodyText"/>
                    <w:rPr>
                      <w:b/>
                    </w:rPr>
                  </w:pPr>
                  <w:r w:rsidRPr="007E4F60">
                    <w:rPr>
                      <w:b/>
                    </w:rPr>
                    <w:t>154</w:t>
                  </w:r>
                </w:p>
              </w:tc>
              <w:tc>
                <w:tcPr>
                  <w:tcW w:w="709" w:type="dxa"/>
                  <w:gridSpan w:val="2"/>
                  <w:vAlign w:val="bottom"/>
                </w:tcPr>
                <w:p w:rsidR="005C44D0" w:rsidRPr="007E4F60" w:rsidRDefault="005C44D0" w:rsidP="007E4F60">
                  <w:pPr>
                    <w:pStyle w:val="TableBodyText"/>
                    <w:rPr>
                      <w:b/>
                    </w:rPr>
                  </w:pPr>
                  <w:r w:rsidRPr="007E4F60">
                    <w:rPr>
                      <w:b/>
                    </w:rPr>
                    <w:t>6</w:t>
                  </w:r>
                  <w:r w:rsidR="008F5666" w:rsidRPr="007E4F60">
                    <w:rPr>
                      <w:b/>
                    </w:rPr>
                    <w:t xml:space="preserve"> </w:t>
                  </w:r>
                  <w:r w:rsidRPr="007E4F60">
                    <w:rPr>
                      <w:b/>
                    </w:rPr>
                    <w:t>661</w:t>
                  </w:r>
                </w:p>
              </w:tc>
            </w:tr>
            <w:tr w:rsidR="008F5666" w:rsidRPr="00D31D27" w:rsidTr="008F5666">
              <w:tc>
                <w:tcPr>
                  <w:tcW w:w="8789" w:type="dxa"/>
                  <w:gridSpan w:val="14"/>
                  <w:vAlign w:val="bottom"/>
                </w:tcPr>
                <w:p w:rsidR="008F5666" w:rsidRPr="008F5666" w:rsidRDefault="008F5666" w:rsidP="008F5666">
                  <w:pPr>
                    <w:pStyle w:val="TableBodyText"/>
                    <w:jc w:val="left"/>
                    <w:rPr>
                      <w:b/>
                    </w:rPr>
                  </w:pPr>
                  <w:r w:rsidRPr="008F5666">
                    <w:rPr>
                      <w:b/>
                    </w:rPr>
                    <w:t>Non-government schools</w:t>
                  </w:r>
                </w:p>
              </w:tc>
            </w:tr>
            <w:tr w:rsidR="005C44D0" w:rsidRPr="00666ECE" w:rsidTr="00EA54E6">
              <w:tc>
                <w:tcPr>
                  <w:tcW w:w="1843" w:type="dxa"/>
                </w:tcPr>
                <w:p w:rsidR="005C44D0" w:rsidRPr="00666ECE" w:rsidRDefault="005C44D0" w:rsidP="007E4F60">
                  <w:pPr>
                    <w:pStyle w:val="TableUnitsRow"/>
                    <w:jc w:val="left"/>
                  </w:pPr>
                  <w:r w:rsidRPr="00666ECE">
                    <w:t>Primary</w:t>
                  </w:r>
                </w:p>
              </w:tc>
              <w:tc>
                <w:tcPr>
                  <w:tcW w:w="567" w:type="dxa"/>
                  <w:vAlign w:val="center"/>
                </w:tcPr>
                <w:p w:rsidR="005C44D0" w:rsidRDefault="005C44D0" w:rsidP="007E4F60">
                  <w:pPr>
                    <w:pStyle w:val="TableBodyText"/>
                  </w:pPr>
                  <w:r w:rsidRPr="00253A4F">
                    <w:t>no.</w:t>
                  </w:r>
                </w:p>
              </w:tc>
              <w:tc>
                <w:tcPr>
                  <w:tcW w:w="708" w:type="dxa"/>
                  <w:vAlign w:val="bottom"/>
                </w:tcPr>
                <w:p w:rsidR="005C44D0" w:rsidRDefault="005C44D0" w:rsidP="007E4F60">
                  <w:pPr>
                    <w:pStyle w:val="TableBodyText"/>
                  </w:pPr>
                  <w:r>
                    <w:t>489</w:t>
                  </w:r>
                </w:p>
              </w:tc>
              <w:tc>
                <w:tcPr>
                  <w:tcW w:w="709" w:type="dxa"/>
                  <w:vAlign w:val="bottom"/>
                </w:tcPr>
                <w:p w:rsidR="005C44D0" w:rsidRDefault="005C44D0" w:rsidP="007E4F60">
                  <w:pPr>
                    <w:pStyle w:val="TableBodyText"/>
                  </w:pPr>
                  <w:r>
                    <w:t>422</w:t>
                  </w:r>
                </w:p>
              </w:tc>
              <w:tc>
                <w:tcPr>
                  <w:tcW w:w="709" w:type="dxa"/>
                  <w:vAlign w:val="bottom"/>
                </w:tcPr>
                <w:p w:rsidR="005C44D0" w:rsidRDefault="005C44D0" w:rsidP="007E4F60">
                  <w:pPr>
                    <w:pStyle w:val="TableBodyText"/>
                  </w:pPr>
                  <w:r>
                    <w:t>230</w:t>
                  </w:r>
                </w:p>
              </w:tc>
              <w:tc>
                <w:tcPr>
                  <w:tcW w:w="709" w:type="dxa"/>
                  <w:vAlign w:val="bottom"/>
                </w:tcPr>
                <w:p w:rsidR="005C44D0" w:rsidRDefault="005C44D0" w:rsidP="007E4F60">
                  <w:pPr>
                    <w:pStyle w:val="TableBodyText"/>
                  </w:pPr>
                  <w:r>
                    <w:t>149</w:t>
                  </w:r>
                </w:p>
              </w:tc>
              <w:tc>
                <w:tcPr>
                  <w:tcW w:w="708" w:type="dxa"/>
                  <w:vAlign w:val="bottom"/>
                </w:tcPr>
                <w:p w:rsidR="005C44D0" w:rsidRDefault="005C44D0" w:rsidP="007E4F60">
                  <w:pPr>
                    <w:pStyle w:val="TableBodyText"/>
                  </w:pPr>
                  <w:r>
                    <w:t>100</w:t>
                  </w:r>
                </w:p>
              </w:tc>
              <w:tc>
                <w:tcPr>
                  <w:tcW w:w="709" w:type="dxa"/>
                  <w:vAlign w:val="bottom"/>
                </w:tcPr>
                <w:p w:rsidR="005C44D0" w:rsidRDefault="005C44D0" w:rsidP="007E4F60">
                  <w:pPr>
                    <w:pStyle w:val="TableBodyText"/>
                  </w:pPr>
                  <w:r>
                    <w:t>28</w:t>
                  </w:r>
                </w:p>
              </w:tc>
              <w:tc>
                <w:tcPr>
                  <w:tcW w:w="709" w:type="dxa"/>
                  <w:gridSpan w:val="2"/>
                  <w:vAlign w:val="bottom"/>
                </w:tcPr>
                <w:p w:rsidR="005C44D0" w:rsidRDefault="005C44D0" w:rsidP="007E4F60">
                  <w:pPr>
                    <w:pStyle w:val="TableBodyText"/>
                  </w:pPr>
                  <w:r>
                    <w:t>25</w:t>
                  </w:r>
                </w:p>
              </w:tc>
              <w:tc>
                <w:tcPr>
                  <w:tcW w:w="709" w:type="dxa"/>
                  <w:gridSpan w:val="2"/>
                  <w:vAlign w:val="bottom"/>
                </w:tcPr>
                <w:p w:rsidR="005C44D0" w:rsidRDefault="005C44D0" w:rsidP="007E4F60">
                  <w:pPr>
                    <w:pStyle w:val="TableBodyText"/>
                  </w:pPr>
                  <w:r>
                    <w:t>11</w:t>
                  </w:r>
                </w:p>
              </w:tc>
              <w:tc>
                <w:tcPr>
                  <w:tcW w:w="709" w:type="dxa"/>
                  <w:gridSpan w:val="2"/>
                  <w:vAlign w:val="bottom"/>
                </w:tcPr>
                <w:p w:rsidR="005C44D0" w:rsidRDefault="005C44D0" w:rsidP="007E4F60">
                  <w:pPr>
                    <w:pStyle w:val="TableBodyText"/>
                  </w:pPr>
                  <w:r>
                    <w:t>1</w:t>
                  </w:r>
                  <w:r w:rsidR="008F5666">
                    <w:t xml:space="preserve"> </w:t>
                  </w:r>
                  <w:r>
                    <w:t>454</w:t>
                  </w:r>
                </w:p>
              </w:tc>
            </w:tr>
            <w:tr w:rsidR="005C44D0" w:rsidRPr="00666ECE" w:rsidTr="00EA54E6">
              <w:tc>
                <w:tcPr>
                  <w:tcW w:w="1843" w:type="dxa"/>
                </w:tcPr>
                <w:p w:rsidR="005C44D0" w:rsidRPr="00666ECE" w:rsidRDefault="005C44D0" w:rsidP="003611D5">
                  <w:pPr>
                    <w:pStyle w:val="TableUnitsRow"/>
                    <w:jc w:val="left"/>
                  </w:pPr>
                  <w:r w:rsidRPr="00666ECE">
                    <w:t>Secondary</w:t>
                  </w:r>
                </w:p>
              </w:tc>
              <w:tc>
                <w:tcPr>
                  <w:tcW w:w="567" w:type="dxa"/>
                  <w:vAlign w:val="center"/>
                </w:tcPr>
                <w:p w:rsidR="005C44D0" w:rsidRDefault="005C44D0" w:rsidP="007E4F60">
                  <w:pPr>
                    <w:pStyle w:val="TableBodyText"/>
                  </w:pPr>
                  <w:r w:rsidRPr="00253A4F">
                    <w:t>no.</w:t>
                  </w:r>
                </w:p>
              </w:tc>
              <w:tc>
                <w:tcPr>
                  <w:tcW w:w="708" w:type="dxa"/>
                  <w:vAlign w:val="bottom"/>
                </w:tcPr>
                <w:p w:rsidR="005C44D0" w:rsidRDefault="005C44D0" w:rsidP="007E4F60">
                  <w:pPr>
                    <w:pStyle w:val="TableBodyText"/>
                  </w:pPr>
                  <w:r>
                    <w:t>145</w:t>
                  </w:r>
                </w:p>
              </w:tc>
              <w:tc>
                <w:tcPr>
                  <w:tcW w:w="709" w:type="dxa"/>
                  <w:vAlign w:val="bottom"/>
                </w:tcPr>
                <w:p w:rsidR="005C44D0" w:rsidRDefault="005C44D0" w:rsidP="007E4F60">
                  <w:pPr>
                    <w:pStyle w:val="TableBodyText"/>
                  </w:pPr>
                  <w:r>
                    <w:t>97</w:t>
                  </w:r>
                </w:p>
              </w:tc>
              <w:tc>
                <w:tcPr>
                  <w:tcW w:w="709" w:type="dxa"/>
                  <w:vAlign w:val="bottom"/>
                </w:tcPr>
                <w:p w:rsidR="005C44D0" w:rsidRDefault="005C44D0" w:rsidP="007E4F60">
                  <w:pPr>
                    <w:pStyle w:val="TableBodyText"/>
                  </w:pPr>
                  <w:r>
                    <w:t>73</w:t>
                  </w:r>
                </w:p>
              </w:tc>
              <w:tc>
                <w:tcPr>
                  <w:tcW w:w="709" w:type="dxa"/>
                  <w:vAlign w:val="bottom"/>
                </w:tcPr>
                <w:p w:rsidR="005C44D0" w:rsidRDefault="005C44D0" w:rsidP="007E4F60">
                  <w:pPr>
                    <w:pStyle w:val="TableBodyText"/>
                  </w:pPr>
                  <w:r>
                    <w:t>7</w:t>
                  </w:r>
                </w:p>
              </w:tc>
              <w:tc>
                <w:tcPr>
                  <w:tcW w:w="708" w:type="dxa"/>
                  <w:vAlign w:val="bottom"/>
                </w:tcPr>
                <w:p w:rsidR="005C44D0" w:rsidRDefault="005C44D0" w:rsidP="007E4F60">
                  <w:pPr>
                    <w:pStyle w:val="TableBodyText"/>
                  </w:pPr>
                  <w:r>
                    <w:t>19</w:t>
                  </w:r>
                </w:p>
              </w:tc>
              <w:tc>
                <w:tcPr>
                  <w:tcW w:w="709" w:type="dxa"/>
                  <w:vAlign w:val="bottom"/>
                </w:tcPr>
                <w:p w:rsidR="005C44D0" w:rsidRDefault="005C44D0" w:rsidP="007E4F60">
                  <w:pPr>
                    <w:pStyle w:val="TableBodyText"/>
                  </w:pPr>
                  <w:r>
                    <w:t>5</w:t>
                  </w:r>
                </w:p>
              </w:tc>
              <w:tc>
                <w:tcPr>
                  <w:tcW w:w="709" w:type="dxa"/>
                  <w:gridSpan w:val="2"/>
                  <w:vAlign w:val="bottom"/>
                </w:tcPr>
                <w:p w:rsidR="005C44D0" w:rsidRDefault="005C44D0" w:rsidP="007E4F60">
                  <w:pPr>
                    <w:pStyle w:val="TableBodyText"/>
                  </w:pPr>
                  <w:r>
                    <w:t>5</w:t>
                  </w:r>
                </w:p>
              </w:tc>
              <w:tc>
                <w:tcPr>
                  <w:tcW w:w="709" w:type="dxa"/>
                  <w:gridSpan w:val="2"/>
                  <w:vAlign w:val="bottom"/>
                </w:tcPr>
                <w:p w:rsidR="005C44D0" w:rsidRDefault="005C44D0" w:rsidP="007E4F60">
                  <w:pPr>
                    <w:pStyle w:val="TableBodyText"/>
                  </w:pPr>
                  <w:r>
                    <w:t>9</w:t>
                  </w:r>
                </w:p>
              </w:tc>
              <w:tc>
                <w:tcPr>
                  <w:tcW w:w="709" w:type="dxa"/>
                  <w:gridSpan w:val="2"/>
                  <w:vAlign w:val="bottom"/>
                </w:tcPr>
                <w:p w:rsidR="005C44D0" w:rsidRDefault="005C44D0" w:rsidP="007E4F60">
                  <w:pPr>
                    <w:pStyle w:val="TableBodyText"/>
                  </w:pPr>
                  <w:r>
                    <w:t>360</w:t>
                  </w:r>
                </w:p>
              </w:tc>
            </w:tr>
            <w:tr w:rsidR="005C44D0" w:rsidRPr="00666ECE" w:rsidTr="00EA54E6">
              <w:tc>
                <w:tcPr>
                  <w:tcW w:w="1843" w:type="dxa"/>
                </w:tcPr>
                <w:p w:rsidR="005C44D0" w:rsidRPr="00666ECE" w:rsidRDefault="005C44D0" w:rsidP="003611D5">
                  <w:pPr>
                    <w:pStyle w:val="TableUnitsRow"/>
                    <w:jc w:val="left"/>
                  </w:pPr>
                  <w:r w:rsidRPr="00666ECE">
                    <w:t>Combined</w:t>
                  </w:r>
                  <w:r w:rsidRPr="00666ECE">
                    <w:rPr>
                      <w:b/>
                      <w:position w:val="6"/>
                    </w:rPr>
                    <w:t>a</w:t>
                  </w:r>
                </w:p>
              </w:tc>
              <w:tc>
                <w:tcPr>
                  <w:tcW w:w="567" w:type="dxa"/>
                  <w:vAlign w:val="center"/>
                </w:tcPr>
                <w:p w:rsidR="005C44D0" w:rsidRDefault="005C44D0" w:rsidP="007E4F60">
                  <w:pPr>
                    <w:pStyle w:val="TableBodyText"/>
                  </w:pPr>
                  <w:r w:rsidRPr="00253A4F">
                    <w:t>no.</w:t>
                  </w:r>
                </w:p>
              </w:tc>
              <w:tc>
                <w:tcPr>
                  <w:tcW w:w="708" w:type="dxa"/>
                  <w:vAlign w:val="bottom"/>
                </w:tcPr>
                <w:p w:rsidR="005C44D0" w:rsidRDefault="005C44D0" w:rsidP="007E4F60">
                  <w:pPr>
                    <w:pStyle w:val="TableBodyText"/>
                  </w:pPr>
                  <w:r>
                    <w:t>238</w:t>
                  </w:r>
                </w:p>
              </w:tc>
              <w:tc>
                <w:tcPr>
                  <w:tcW w:w="709" w:type="dxa"/>
                  <w:vAlign w:val="bottom"/>
                </w:tcPr>
                <w:p w:rsidR="005C44D0" w:rsidRDefault="005C44D0" w:rsidP="007E4F60">
                  <w:pPr>
                    <w:pStyle w:val="TableBodyText"/>
                  </w:pPr>
                  <w:r>
                    <w:t>154</w:t>
                  </w:r>
                </w:p>
              </w:tc>
              <w:tc>
                <w:tcPr>
                  <w:tcW w:w="709" w:type="dxa"/>
                  <w:vAlign w:val="bottom"/>
                </w:tcPr>
                <w:p w:rsidR="005C44D0" w:rsidRDefault="005C44D0" w:rsidP="007E4F60">
                  <w:pPr>
                    <w:pStyle w:val="TableBodyText"/>
                  </w:pPr>
                  <w:r>
                    <w:t>158</w:t>
                  </w:r>
                </w:p>
              </w:tc>
              <w:tc>
                <w:tcPr>
                  <w:tcW w:w="709" w:type="dxa"/>
                  <w:vAlign w:val="bottom"/>
                </w:tcPr>
                <w:p w:rsidR="005C44D0" w:rsidRDefault="005C44D0" w:rsidP="007E4F60">
                  <w:pPr>
                    <w:pStyle w:val="TableBodyText"/>
                  </w:pPr>
                  <w:r>
                    <w:t>132</w:t>
                  </w:r>
                </w:p>
              </w:tc>
              <w:tc>
                <w:tcPr>
                  <w:tcW w:w="708" w:type="dxa"/>
                  <w:vAlign w:val="bottom"/>
                </w:tcPr>
                <w:p w:rsidR="005C44D0" w:rsidRDefault="005C44D0" w:rsidP="007E4F60">
                  <w:pPr>
                    <w:pStyle w:val="TableBodyText"/>
                  </w:pPr>
                  <w:r>
                    <w:t>73</w:t>
                  </w:r>
                </w:p>
              </w:tc>
              <w:tc>
                <w:tcPr>
                  <w:tcW w:w="709" w:type="dxa"/>
                  <w:vAlign w:val="bottom"/>
                </w:tcPr>
                <w:p w:rsidR="005C44D0" w:rsidRDefault="005C44D0" w:rsidP="007E4F60">
                  <w:pPr>
                    <w:pStyle w:val="TableBodyText"/>
                  </w:pPr>
                  <w:r>
                    <w:t>31</w:t>
                  </w:r>
                </w:p>
              </w:tc>
              <w:tc>
                <w:tcPr>
                  <w:tcW w:w="709" w:type="dxa"/>
                  <w:gridSpan w:val="2"/>
                  <w:vAlign w:val="bottom"/>
                </w:tcPr>
                <w:p w:rsidR="005C44D0" w:rsidRDefault="005C44D0" w:rsidP="007E4F60">
                  <w:pPr>
                    <w:pStyle w:val="TableBodyText"/>
                  </w:pPr>
                  <w:r>
                    <w:t>13</w:t>
                  </w:r>
                </w:p>
              </w:tc>
              <w:tc>
                <w:tcPr>
                  <w:tcW w:w="709" w:type="dxa"/>
                  <w:gridSpan w:val="2"/>
                  <w:vAlign w:val="bottom"/>
                </w:tcPr>
                <w:p w:rsidR="005C44D0" w:rsidRDefault="005C44D0" w:rsidP="007E4F60">
                  <w:pPr>
                    <w:pStyle w:val="TableBodyText"/>
                  </w:pPr>
                  <w:r>
                    <w:t>17</w:t>
                  </w:r>
                </w:p>
              </w:tc>
              <w:tc>
                <w:tcPr>
                  <w:tcW w:w="709" w:type="dxa"/>
                  <w:gridSpan w:val="2"/>
                  <w:vAlign w:val="bottom"/>
                </w:tcPr>
                <w:p w:rsidR="005C44D0" w:rsidRDefault="005C44D0" w:rsidP="007E4F60">
                  <w:pPr>
                    <w:pStyle w:val="TableBodyText"/>
                  </w:pPr>
                  <w:r>
                    <w:t>816</w:t>
                  </w:r>
                </w:p>
              </w:tc>
            </w:tr>
            <w:tr w:rsidR="005C44D0" w:rsidRPr="00666ECE" w:rsidTr="00EA54E6">
              <w:tc>
                <w:tcPr>
                  <w:tcW w:w="1843" w:type="dxa"/>
                </w:tcPr>
                <w:p w:rsidR="005C44D0" w:rsidRPr="00666ECE" w:rsidRDefault="005C44D0" w:rsidP="003611D5">
                  <w:pPr>
                    <w:pStyle w:val="TableUnitsRow"/>
                    <w:jc w:val="left"/>
                  </w:pPr>
                  <w:r w:rsidRPr="00666ECE">
                    <w:t>Special schools</w:t>
                  </w:r>
                  <w:r w:rsidRPr="00666ECE">
                    <w:rPr>
                      <w:b/>
                      <w:position w:val="6"/>
                    </w:rPr>
                    <w:t>b</w:t>
                  </w:r>
                </w:p>
              </w:tc>
              <w:tc>
                <w:tcPr>
                  <w:tcW w:w="567" w:type="dxa"/>
                  <w:vAlign w:val="center"/>
                </w:tcPr>
                <w:p w:rsidR="005C44D0" w:rsidRDefault="005C44D0" w:rsidP="007E4F60">
                  <w:pPr>
                    <w:pStyle w:val="TableBodyText"/>
                  </w:pPr>
                  <w:r w:rsidRPr="00253A4F">
                    <w:t>no.</w:t>
                  </w:r>
                </w:p>
              </w:tc>
              <w:tc>
                <w:tcPr>
                  <w:tcW w:w="708" w:type="dxa"/>
                  <w:vAlign w:val="bottom"/>
                </w:tcPr>
                <w:p w:rsidR="005C44D0" w:rsidRDefault="005C44D0" w:rsidP="007E4F60">
                  <w:pPr>
                    <w:pStyle w:val="TableBodyText"/>
                  </w:pPr>
                  <w:r>
                    <w:t>45</w:t>
                  </w:r>
                </w:p>
              </w:tc>
              <w:tc>
                <w:tcPr>
                  <w:tcW w:w="709" w:type="dxa"/>
                  <w:vAlign w:val="bottom"/>
                </w:tcPr>
                <w:p w:rsidR="005C44D0" w:rsidRDefault="005C44D0" w:rsidP="007E4F60">
                  <w:pPr>
                    <w:pStyle w:val="TableBodyText"/>
                  </w:pPr>
                  <w:r>
                    <w:t>20</w:t>
                  </w:r>
                </w:p>
              </w:tc>
              <w:tc>
                <w:tcPr>
                  <w:tcW w:w="709" w:type="dxa"/>
                  <w:vAlign w:val="bottom"/>
                </w:tcPr>
                <w:p w:rsidR="005C44D0" w:rsidRDefault="005C44D0" w:rsidP="007E4F60">
                  <w:pPr>
                    <w:pStyle w:val="TableBodyText"/>
                  </w:pPr>
                  <w:r>
                    <w:t>20</w:t>
                  </w:r>
                </w:p>
              </w:tc>
              <w:tc>
                <w:tcPr>
                  <w:tcW w:w="709" w:type="dxa"/>
                  <w:vAlign w:val="bottom"/>
                </w:tcPr>
                <w:p w:rsidR="005C44D0" w:rsidRDefault="005C44D0" w:rsidP="007E4F60">
                  <w:pPr>
                    <w:pStyle w:val="TableBodyText"/>
                  </w:pPr>
                  <w:r>
                    <w:t>11</w:t>
                  </w:r>
                </w:p>
              </w:tc>
              <w:tc>
                <w:tcPr>
                  <w:tcW w:w="708" w:type="dxa"/>
                  <w:vAlign w:val="bottom"/>
                </w:tcPr>
                <w:p w:rsidR="005C44D0" w:rsidRDefault="005C44D0" w:rsidP="007E4F60">
                  <w:pPr>
                    <w:pStyle w:val="TableBodyText"/>
                  </w:pPr>
                  <w:r>
                    <w:t>3</w:t>
                  </w:r>
                </w:p>
              </w:tc>
              <w:tc>
                <w:tcPr>
                  <w:tcW w:w="709" w:type="dxa"/>
                  <w:vAlign w:val="bottom"/>
                </w:tcPr>
                <w:p w:rsidR="005C44D0" w:rsidRDefault="005C44D0" w:rsidP="007E4F60">
                  <w:pPr>
                    <w:pStyle w:val="TableBodyText"/>
                  </w:pPr>
                  <w:r>
                    <w:t>1</w:t>
                  </w:r>
                </w:p>
              </w:tc>
              <w:tc>
                <w:tcPr>
                  <w:tcW w:w="709" w:type="dxa"/>
                  <w:gridSpan w:val="2"/>
                  <w:vAlign w:val="bottom"/>
                </w:tcPr>
                <w:p w:rsidR="005C44D0" w:rsidRDefault="005C44D0" w:rsidP="007E4F60">
                  <w:pPr>
                    <w:pStyle w:val="TableBodyText"/>
                  </w:pPr>
                  <w:r>
                    <w:t>1</w:t>
                  </w:r>
                </w:p>
              </w:tc>
              <w:tc>
                <w:tcPr>
                  <w:tcW w:w="709" w:type="dxa"/>
                  <w:gridSpan w:val="2"/>
                  <w:vAlign w:val="bottom"/>
                </w:tcPr>
                <w:p w:rsidR="005C44D0" w:rsidRDefault="005C44D0" w:rsidP="007E4F60">
                  <w:pPr>
                    <w:pStyle w:val="TableBodyText"/>
                  </w:pPr>
                  <w:r>
                    <w:t>1</w:t>
                  </w:r>
                </w:p>
              </w:tc>
              <w:tc>
                <w:tcPr>
                  <w:tcW w:w="709" w:type="dxa"/>
                  <w:gridSpan w:val="2"/>
                  <w:vAlign w:val="bottom"/>
                </w:tcPr>
                <w:p w:rsidR="005C44D0" w:rsidRDefault="005C44D0" w:rsidP="007E4F60">
                  <w:pPr>
                    <w:pStyle w:val="TableBodyText"/>
                  </w:pPr>
                  <w:r>
                    <w:t>102</w:t>
                  </w:r>
                </w:p>
              </w:tc>
            </w:tr>
            <w:tr w:rsidR="005C44D0" w:rsidRPr="00666ECE" w:rsidTr="00EA54E6">
              <w:tc>
                <w:tcPr>
                  <w:tcW w:w="1843" w:type="dxa"/>
                </w:tcPr>
                <w:p w:rsidR="005C44D0" w:rsidRPr="00666ECE" w:rsidRDefault="005C44D0" w:rsidP="003611D5">
                  <w:pPr>
                    <w:pStyle w:val="TableUnitsRow"/>
                    <w:jc w:val="left"/>
                    <w:rPr>
                      <w:b/>
                    </w:rPr>
                  </w:pPr>
                  <w:r w:rsidRPr="00666ECE">
                    <w:rPr>
                      <w:b/>
                    </w:rPr>
                    <w:t>Total</w:t>
                  </w:r>
                </w:p>
              </w:tc>
              <w:tc>
                <w:tcPr>
                  <w:tcW w:w="567" w:type="dxa"/>
                  <w:vAlign w:val="center"/>
                </w:tcPr>
                <w:p w:rsidR="005C44D0" w:rsidRPr="00EA54E6" w:rsidRDefault="005C44D0" w:rsidP="007E4F60">
                  <w:pPr>
                    <w:pStyle w:val="TableBodyText"/>
                    <w:rPr>
                      <w:b/>
                    </w:rPr>
                  </w:pPr>
                  <w:r w:rsidRPr="00EA54E6">
                    <w:rPr>
                      <w:b/>
                    </w:rPr>
                    <w:t>no.</w:t>
                  </w:r>
                </w:p>
              </w:tc>
              <w:tc>
                <w:tcPr>
                  <w:tcW w:w="708" w:type="dxa"/>
                  <w:vAlign w:val="bottom"/>
                </w:tcPr>
                <w:p w:rsidR="005C44D0" w:rsidRPr="00EA54E6" w:rsidRDefault="005C44D0" w:rsidP="007E4F60">
                  <w:pPr>
                    <w:pStyle w:val="TableBodyText"/>
                    <w:rPr>
                      <w:b/>
                    </w:rPr>
                  </w:pPr>
                  <w:r w:rsidRPr="00EA54E6">
                    <w:rPr>
                      <w:b/>
                    </w:rPr>
                    <w:t>917</w:t>
                  </w:r>
                </w:p>
              </w:tc>
              <w:tc>
                <w:tcPr>
                  <w:tcW w:w="709" w:type="dxa"/>
                  <w:vAlign w:val="bottom"/>
                </w:tcPr>
                <w:p w:rsidR="005C44D0" w:rsidRPr="00EA54E6" w:rsidRDefault="005C44D0" w:rsidP="007E4F60">
                  <w:pPr>
                    <w:pStyle w:val="TableBodyText"/>
                    <w:rPr>
                      <w:b/>
                    </w:rPr>
                  </w:pPr>
                  <w:r w:rsidRPr="00EA54E6">
                    <w:rPr>
                      <w:b/>
                    </w:rPr>
                    <w:t>693</w:t>
                  </w:r>
                </w:p>
              </w:tc>
              <w:tc>
                <w:tcPr>
                  <w:tcW w:w="709" w:type="dxa"/>
                  <w:vAlign w:val="bottom"/>
                </w:tcPr>
                <w:p w:rsidR="005C44D0" w:rsidRPr="00EA54E6" w:rsidRDefault="005C44D0" w:rsidP="007E4F60">
                  <w:pPr>
                    <w:pStyle w:val="TableBodyText"/>
                    <w:rPr>
                      <w:b/>
                    </w:rPr>
                  </w:pPr>
                  <w:r w:rsidRPr="00EA54E6">
                    <w:rPr>
                      <w:b/>
                    </w:rPr>
                    <w:t>481</w:t>
                  </w:r>
                </w:p>
              </w:tc>
              <w:tc>
                <w:tcPr>
                  <w:tcW w:w="709" w:type="dxa"/>
                  <w:vAlign w:val="bottom"/>
                </w:tcPr>
                <w:p w:rsidR="005C44D0" w:rsidRPr="00EA54E6" w:rsidRDefault="005C44D0" w:rsidP="007E4F60">
                  <w:pPr>
                    <w:pStyle w:val="TableBodyText"/>
                    <w:rPr>
                      <w:b/>
                    </w:rPr>
                  </w:pPr>
                  <w:r w:rsidRPr="00EA54E6">
                    <w:rPr>
                      <w:b/>
                    </w:rPr>
                    <w:t>299</w:t>
                  </w:r>
                </w:p>
              </w:tc>
              <w:tc>
                <w:tcPr>
                  <w:tcW w:w="708" w:type="dxa"/>
                  <w:vAlign w:val="bottom"/>
                </w:tcPr>
                <w:p w:rsidR="005C44D0" w:rsidRPr="00EA54E6" w:rsidRDefault="005C44D0" w:rsidP="007E4F60">
                  <w:pPr>
                    <w:pStyle w:val="TableBodyText"/>
                    <w:rPr>
                      <w:b/>
                    </w:rPr>
                  </w:pPr>
                  <w:r w:rsidRPr="00EA54E6">
                    <w:rPr>
                      <w:b/>
                    </w:rPr>
                    <w:t>195</w:t>
                  </w:r>
                </w:p>
              </w:tc>
              <w:tc>
                <w:tcPr>
                  <w:tcW w:w="709" w:type="dxa"/>
                  <w:vAlign w:val="bottom"/>
                </w:tcPr>
                <w:p w:rsidR="005C44D0" w:rsidRPr="00EA54E6" w:rsidRDefault="005C44D0" w:rsidP="007E4F60">
                  <w:pPr>
                    <w:pStyle w:val="TableBodyText"/>
                    <w:rPr>
                      <w:b/>
                    </w:rPr>
                  </w:pPr>
                  <w:r w:rsidRPr="00EA54E6">
                    <w:rPr>
                      <w:b/>
                    </w:rPr>
                    <w:t>65</w:t>
                  </w:r>
                </w:p>
              </w:tc>
              <w:tc>
                <w:tcPr>
                  <w:tcW w:w="709" w:type="dxa"/>
                  <w:gridSpan w:val="2"/>
                  <w:vAlign w:val="bottom"/>
                </w:tcPr>
                <w:p w:rsidR="005C44D0" w:rsidRPr="00EA54E6" w:rsidRDefault="005C44D0" w:rsidP="007E4F60">
                  <w:pPr>
                    <w:pStyle w:val="TableBodyText"/>
                    <w:rPr>
                      <w:b/>
                    </w:rPr>
                  </w:pPr>
                  <w:r w:rsidRPr="00EA54E6">
                    <w:rPr>
                      <w:b/>
                    </w:rPr>
                    <w:t>44</w:t>
                  </w:r>
                </w:p>
              </w:tc>
              <w:tc>
                <w:tcPr>
                  <w:tcW w:w="709" w:type="dxa"/>
                  <w:gridSpan w:val="2"/>
                  <w:vAlign w:val="bottom"/>
                </w:tcPr>
                <w:p w:rsidR="005C44D0" w:rsidRPr="00EA54E6" w:rsidRDefault="005C44D0" w:rsidP="007E4F60">
                  <w:pPr>
                    <w:pStyle w:val="TableBodyText"/>
                    <w:rPr>
                      <w:b/>
                    </w:rPr>
                  </w:pPr>
                  <w:r w:rsidRPr="00EA54E6">
                    <w:rPr>
                      <w:b/>
                    </w:rPr>
                    <w:t>38</w:t>
                  </w:r>
                </w:p>
              </w:tc>
              <w:tc>
                <w:tcPr>
                  <w:tcW w:w="709" w:type="dxa"/>
                  <w:gridSpan w:val="2"/>
                  <w:vAlign w:val="bottom"/>
                </w:tcPr>
                <w:p w:rsidR="005C44D0" w:rsidRPr="00EA54E6" w:rsidRDefault="005C44D0" w:rsidP="007E4F60">
                  <w:pPr>
                    <w:pStyle w:val="TableBodyText"/>
                    <w:rPr>
                      <w:b/>
                    </w:rPr>
                  </w:pPr>
                  <w:r w:rsidRPr="00EA54E6">
                    <w:rPr>
                      <w:b/>
                    </w:rPr>
                    <w:t>2</w:t>
                  </w:r>
                  <w:r w:rsidR="008F5666">
                    <w:rPr>
                      <w:b/>
                    </w:rPr>
                    <w:t xml:space="preserve"> </w:t>
                  </w:r>
                  <w:r w:rsidRPr="00EA54E6">
                    <w:rPr>
                      <w:b/>
                    </w:rPr>
                    <w:t>732</w:t>
                  </w:r>
                </w:p>
              </w:tc>
            </w:tr>
            <w:tr w:rsidR="005C44D0" w:rsidRPr="00666ECE" w:rsidTr="00EA54E6">
              <w:tc>
                <w:tcPr>
                  <w:tcW w:w="1843" w:type="dxa"/>
                </w:tcPr>
                <w:p w:rsidR="005C44D0" w:rsidRPr="008F5666" w:rsidRDefault="005C44D0" w:rsidP="003611D5">
                  <w:pPr>
                    <w:pStyle w:val="TableUnitsRow"/>
                    <w:jc w:val="left"/>
                    <w:rPr>
                      <w:b/>
                    </w:rPr>
                  </w:pPr>
                  <w:r w:rsidRPr="008F5666">
                    <w:rPr>
                      <w:b/>
                    </w:rPr>
                    <w:t>All schools</w:t>
                  </w:r>
                </w:p>
              </w:tc>
              <w:tc>
                <w:tcPr>
                  <w:tcW w:w="567" w:type="dxa"/>
                  <w:vAlign w:val="center"/>
                </w:tcPr>
                <w:p w:rsidR="005C44D0" w:rsidRPr="00D31D27" w:rsidRDefault="005C44D0" w:rsidP="00EA54E6">
                  <w:pPr>
                    <w:pStyle w:val="TableBodyText"/>
                  </w:pPr>
                </w:p>
              </w:tc>
              <w:tc>
                <w:tcPr>
                  <w:tcW w:w="708" w:type="dxa"/>
                </w:tcPr>
                <w:p w:rsidR="005C44D0" w:rsidRPr="00D31D27" w:rsidRDefault="005C44D0" w:rsidP="00EA54E6">
                  <w:pPr>
                    <w:pStyle w:val="TableBodyText"/>
                  </w:pPr>
                </w:p>
              </w:tc>
              <w:tc>
                <w:tcPr>
                  <w:tcW w:w="709" w:type="dxa"/>
                </w:tcPr>
                <w:p w:rsidR="005C44D0" w:rsidRPr="00D31D27" w:rsidRDefault="005C44D0" w:rsidP="00EA54E6">
                  <w:pPr>
                    <w:pStyle w:val="TableBodyText"/>
                  </w:pPr>
                </w:p>
              </w:tc>
              <w:tc>
                <w:tcPr>
                  <w:tcW w:w="709" w:type="dxa"/>
                </w:tcPr>
                <w:p w:rsidR="005C44D0" w:rsidRPr="00D31D27" w:rsidRDefault="005C44D0" w:rsidP="00EA54E6">
                  <w:pPr>
                    <w:pStyle w:val="TableBodyText"/>
                  </w:pPr>
                </w:p>
              </w:tc>
              <w:tc>
                <w:tcPr>
                  <w:tcW w:w="709" w:type="dxa"/>
                </w:tcPr>
                <w:p w:rsidR="005C44D0" w:rsidRPr="00D31D27" w:rsidRDefault="005C44D0" w:rsidP="00EA54E6">
                  <w:pPr>
                    <w:pStyle w:val="TableBodyText"/>
                  </w:pPr>
                </w:p>
              </w:tc>
              <w:tc>
                <w:tcPr>
                  <w:tcW w:w="708" w:type="dxa"/>
                </w:tcPr>
                <w:p w:rsidR="005C44D0" w:rsidRPr="00D31D27" w:rsidRDefault="005C44D0" w:rsidP="00EA54E6">
                  <w:pPr>
                    <w:pStyle w:val="TableBodyText"/>
                  </w:pPr>
                </w:p>
              </w:tc>
              <w:tc>
                <w:tcPr>
                  <w:tcW w:w="709" w:type="dxa"/>
                </w:tcPr>
                <w:p w:rsidR="005C44D0" w:rsidRPr="00D31D27" w:rsidRDefault="005C44D0" w:rsidP="00EA54E6">
                  <w:pPr>
                    <w:pStyle w:val="TableBodyText"/>
                  </w:pPr>
                </w:p>
              </w:tc>
              <w:tc>
                <w:tcPr>
                  <w:tcW w:w="709" w:type="dxa"/>
                  <w:gridSpan w:val="2"/>
                </w:tcPr>
                <w:p w:rsidR="005C44D0" w:rsidRPr="00D31D27" w:rsidRDefault="005C44D0" w:rsidP="00EA54E6">
                  <w:pPr>
                    <w:pStyle w:val="TableBodyText"/>
                  </w:pPr>
                </w:p>
              </w:tc>
              <w:tc>
                <w:tcPr>
                  <w:tcW w:w="709" w:type="dxa"/>
                  <w:gridSpan w:val="2"/>
                </w:tcPr>
                <w:p w:rsidR="005C44D0" w:rsidRPr="00D31D27" w:rsidRDefault="005C44D0" w:rsidP="00EA54E6">
                  <w:pPr>
                    <w:pStyle w:val="TableBodyText"/>
                  </w:pPr>
                </w:p>
              </w:tc>
              <w:tc>
                <w:tcPr>
                  <w:tcW w:w="709" w:type="dxa"/>
                  <w:gridSpan w:val="2"/>
                </w:tcPr>
                <w:p w:rsidR="005C44D0" w:rsidRPr="00D31D27" w:rsidRDefault="005C44D0" w:rsidP="00EA54E6">
                  <w:pPr>
                    <w:pStyle w:val="TableBodyText"/>
                  </w:pPr>
                </w:p>
              </w:tc>
            </w:tr>
            <w:tr w:rsidR="005C44D0" w:rsidRPr="00666ECE" w:rsidTr="00EA54E6">
              <w:tc>
                <w:tcPr>
                  <w:tcW w:w="1843" w:type="dxa"/>
                </w:tcPr>
                <w:p w:rsidR="005C44D0" w:rsidRPr="00666ECE" w:rsidRDefault="005C44D0" w:rsidP="003611D5">
                  <w:pPr>
                    <w:pStyle w:val="TableUnitsRow"/>
                    <w:jc w:val="left"/>
                  </w:pPr>
                  <w:r w:rsidRPr="00666ECE">
                    <w:t>Primary</w:t>
                  </w:r>
                </w:p>
              </w:tc>
              <w:tc>
                <w:tcPr>
                  <w:tcW w:w="567" w:type="dxa"/>
                  <w:vAlign w:val="center"/>
                </w:tcPr>
                <w:p w:rsidR="005C44D0" w:rsidRDefault="005C44D0" w:rsidP="007E4F60">
                  <w:pPr>
                    <w:pStyle w:val="TableBodyText"/>
                  </w:pPr>
                  <w:r w:rsidRPr="00085423">
                    <w:t>no.</w:t>
                  </w:r>
                </w:p>
              </w:tc>
              <w:tc>
                <w:tcPr>
                  <w:tcW w:w="708" w:type="dxa"/>
                  <w:vAlign w:val="bottom"/>
                </w:tcPr>
                <w:p w:rsidR="005C44D0" w:rsidRPr="008F5666" w:rsidRDefault="005C44D0" w:rsidP="007E4F60">
                  <w:pPr>
                    <w:pStyle w:val="TableBodyText"/>
                  </w:pPr>
                  <w:r w:rsidRPr="008F5666">
                    <w:t xml:space="preserve"> 2 107</w:t>
                  </w:r>
                </w:p>
              </w:tc>
              <w:tc>
                <w:tcPr>
                  <w:tcW w:w="709" w:type="dxa"/>
                  <w:vAlign w:val="bottom"/>
                </w:tcPr>
                <w:p w:rsidR="005C44D0" w:rsidRPr="008F5666" w:rsidRDefault="005C44D0" w:rsidP="007E4F60">
                  <w:pPr>
                    <w:pStyle w:val="TableBodyText"/>
                  </w:pPr>
                  <w:r w:rsidRPr="008F5666">
                    <w:t xml:space="preserve"> 1 552</w:t>
                  </w:r>
                </w:p>
              </w:tc>
              <w:tc>
                <w:tcPr>
                  <w:tcW w:w="709" w:type="dxa"/>
                  <w:vAlign w:val="bottom"/>
                </w:tcPr>
                <w:p w:rsidR="005C44D0" w:rsidRPr="008F5666" w:rsidRDefault="005C44D0" w:rsidP="007E4F60">
                  <w:pPr>
                    <w:pStyle w:val="TableBodyText"/>
                  </w:pPr>
                  <w:r w:rsidRPr="008F5666">
                    <w:t xml:space="preserve"> 1 150</w:t>
                  </w:r>
                </w:p>
              </w:tc>
              <w:tc>
                <w:tcPr>
                  <w:tcW w:w="709" w:type="dxa"/>
                  <w:vAlign w:val="bottom"/>
                </w:tcPr>
                <w:p w:rsidR="005C44D0" w:rsidRPr="008F5666" w:rsidRDefault="005C44D0" w:rsidP="007E4F60">
                  <w:pPr>
                    <w:pStyle w:val="TableBodyText"/>
                  </w:pPr>
                  <w:r w:rsidRPr="008F5666">
                    <w:t xml:space="preserve">  666</w:t>
                  </w:r>
                </w:p>
              </w:tc>
              <w:tc>
                <w:tcPr>
                  <w:tcW w:w="708" w:type="dxa"/>
                  <w:vAlign w:val="bottom"/>
                </w:tcPr>
                <w:p w:rsidR="005C44D0" w:rsidRPr="008F5666" w:rsidRDefault="005C44D0" w:rsidP="007E4F60">
                  <w:pPr>
                    <w:pStyle w:val="TableBodyText"/>
                  </w:pPr>
                  <w:r w:rsidRPr="008F5666">
                    <w:t xml:space="preserve">  468</w:t>
                  </w:r>
                </w:p>
              </w:tc>
              <w:tc>
                <w:tcPr>
                  <w:tcW w:w="709" w:type="dxa"/>
                  <w:vAlign w:val="bottom"/>
                </w:tcPr>
                <w:p w:rsidR="005C44D0" w:rsidRPr="008F5666" w:rsidRDefault="005C44D0" w:rsidP="007E4F60">
                  <w:pPr>
                    <w:pStyle w:val="TableBodyText"/>
                  </w:pPr>
                  <w:r w:rsidRPr="008F5666">
                    <w:t xml:space="preserve">  159</w:t>
                  </w:r>
                </w:p>
              </w:tc>
              <w:tc>
                <w:tcPr>
                  <w:tcW w:w="709" w:type="dxa"/>
                  <w:gridSpan w:val="2"/>
                  <w:vAlign w:val="bottom"/>
                </w:tcPr>
                <w:p w:rsidR="005C44D0" w:rsidRPr="008F5666" w:rsidRDefault="005C44D0" w:rsidP="007E4F60">
                  <w:pPr>
                    <w:pStyle w:val="TableBodyText"/>
                  </w:pPr>
                  <w:r w:rsidRPr="008F5666">
                    <w:t xml:space="preserve">  80</w:t>
                  </w:r>
                </w:p>
              </w:tc>
              <w:tc>
                <w:tcPr>
                  <w:tcW w:w="709" w:type="dxa"/>
                  <w:gridSpan w:val="2"/>
                  <w:vAlign w:val="bottom"/>
                </w:tcPr>
                <w:p w:rsidR="005C44D0" w:rsidRPr="008F5666" w:rsidRDefault="005C44D0" w:rsidP="007E4F60">
                  <w:pPr>
                    <w:pStyle w:val="TableBodyText"/>
                  </w:pPr>
                  <w:r w:rsidRPr="008F5666">
                    <w:t xml:space="preserve">  74</w:t>
                  </w:r>
                </w:p>
              </w:tc>
              <w:tc>
                <w:tcPr>
                  <w:tcW w:w="709" w:type="dxa"/>
                  <w:gridSpan w:val="2"/>
                  <w:vAlign w:val="bottom"/>
                </w:tcPr>
                <w:p w:rsidR="005C44D0" w:rsidRPr="008F5666" w:rsidRDefault="005C44D0" w:rsidP="007E4F60">
                  <w:pPr>
                    <w:pStyle w:val="TableBodyText"/>
                  </w:pPr>
                  <w:r w:rsidRPr="008F5666">
                    <w:t xml:space="preserve"> 6 256</w:t>
                  </w:r>
                </w:p>
              </w:tc>
            </w:tr>
            <w:tr w:rsidR="005C44D0" w:rsidRPr="00666ECE" w:rsidTr="00EA54E6">
              <w:tc>
                <w:tcPr>
                  <w:tcW w:w="1843" w:type="dxa"/>
                </w:tcPr>
                <w:p w:rsidR="005C44D0" w:rsidRPr="00666ECE" w:rsidRDefault="005C44D0" w:rsidP="003611D5">
                  <w:pPr>
                    <w:pStyle w:val="TableUnitsRow"/>
                    <w:jc w:val="left"/>
                  </w:pPr>
                  <w:r w:rsidRPr="00666ECE">
                    <w:t>Secondary</w:t>
                  </w:r>
                </w:p>
              </w:tc>
              <w:tc>
                <w:tcPr>
                  <w:tcW w:w="567" w:type="dxa"/>
                  <w:vAlign w:val="center"/>
                </w:tcPr>
                <w:p w:rsidR="005C44D0" w:rsidRDefault="005C44D0" w:rsidP="007E4F60">
                  <w:pPr>
                    <w:pStyle w:val="TableBodyText"/>
                  </w:pPr>
                  <w:r w:rsidRPr="00085423">
                    <w:t>no.</w:t>
                  </w:r>
                </w:p>
              </w:tc>
              <w:tc>
                <w:tcPr>
                  <w:tcW w:w="708" w:type="dxa"/>
                  <w:vAlign w:val="bottom"/>
                </w:tcPr>
                <w:p w:rsidR="005C44D0" w:rsidRPr="008F5666" w:rsidRDefault="005C44D0" w:rsidP="007E4F60">
                  <w:pPr>
                    <w:pStyle w:val="TableBodyText"/>
                  </w:pPr>
                  <w:r w:rsidRPr="008F5666">
                    <w:t xml:space="preserve">  515</w:t>
                  </w:r>
                </w:p>
              </w:tc>
              <w:tc>
                <w:tcPr>
                  <w:tcW w:w="709" w:type="dxa"/>
                  <w:vAlign w:val="bottom"/>
                </w:tcPr>
                <w:p w:rsidR="005C44D0" w:rsidRPr="008F5666" w:rsidRDefault="005C44D0" w:rsidP="007E4F60">
                  <w:pPr>
                    <w:pStyle w:val="TableBodyText"/>
                  </w:pPr>
                  <w:r w:rsidRPr="008F5666">
                    <w:t xml:space="preserve">  336</w:t>
                  </w:r>
                </w:p>
              </w:tc>
              <w:tc>
                <w:tcPr>
                  <w:tcW w:w="709" w:type="dxa"/>
                  <w:vAlign w:val="bottom"/>
                </w:tcPr>
                <w:p w:rsidR="005C44D0" w:rsidRPr="008F5666" w:rsidRDefault="005C44D0" w:rsidP="007E4F60">
                  <w:pPr>
                    <w:pStyle w:val="TableBodyText"/>
                  </w:pPr>
                  <w:r w:rsidRPr="008F5666">
                    <w:t xml:space="preserve">  255</w:t>
                  </w:r>
                </w:p>
              </w:tc>
              <w:tc>
                <w:tcPr>
                  <w:tcW w:w="709" w:type="dxa"/>
                  <w:vAlign w:val="bottom"/>
                </w:tcPr>
                <w:p w:rsidR="005C44D0" w:rsidRPr="008F5666" w:rsidRDefault="005C44D0" w:rsidP="007E4F60">
                  <w:pPr>
                    <w:pStyle w:val="TableBodyText"/>
                  </w:pPr>
                  <w:r w:rsidRPr="008F5666">
                    <w:t xml:space="preserve">  104</w:t>
                  </w:r>
                </w:p>
              </w:tc>
              <w:tc>
                <w:tcPr>
                  <w:tcW w:w="708" w:type="dxa"/>
                  <w:vAlign w:val="bottom"/>
                </w:tcPr>
                <w:p w:rsidR="005C44D0" w:rsidRPr="008F5666" w:rsidRDefault="005C44D0" w:rsidP="007E4F60">
                  <w:pPr>
                    <w:pStyle w:val="TableBodyText"/>
                  </w:pPr>
                  <w:r w:rsidRPr="008F5666">
                    <w:t xml:space="preserve">  85</w:t>
                  </w:r>
                </w:p>
              </w:tc>
              <w:tc>
                <w:tcPr>
                  <w:tcW w:w="709" w:type="dxa"/>
                  <w:vAlign w:val="bottom"/>
                </w:tcPr>
                <w:p w:rsidR="005C44D0" w:rsidRPr="008F5666" w:rsidRDefault="005C44D0" w:rsidP="007E4F60">
                  <w:pPr>
                    <w:pStyle w:val="TableBodyText"/>
                  </w:pPr>
                  <w:r w:rsidRPr="008F5666">
                    <w:t xml:space="preserve">  43</w:t>
                  </w:r>
                </w:p>
              </w:tc>
              <w:tc>
                <w:tcPr>
                  <w:tcW w:w="709" w:type="dxa"/>
                  <w:gridSpan w:val="2"/>
                  <w:vAlign w:val="bottom"/>
                </w:tcPr>
                <w:p w:rsidR="005C44D0" w:rsidRPr="008F5666" w:rsidRDefault="005C44D0" w:rsidP="007E4F60">
                  <w:pPr>
                    <w:pStyle w:val="TableBodyText"/>
                  </w:pPr>
                  <w:r w:rsidRPr="008F5666">
                    <w:t xml:space="preserve">  23</w:t>
                  </w:r>
                </w:p>
              </w:tc>
              <w:tc>
                <w:tcPr>
                  <w:tcW w:w="709" w:type="dxa"/>
                  <w:gridSpan w:val="2"/>
                  <w:vAlign w:val="bottom"/>
                </w:tcPr>
                <w:p w:rsidR="005C44D0" w:rsidRPr="008F5666" w:rsidRDefault="005C44D0" w:rsidP="007E4F60">
                  <w:pPr>
                    <w:pStyle w:val="TableBodyText"/>
                  </w:pPr>
                  <w:r w:rsidRPr="008F5666">
                    <w:t xml:space="preserve">  24</w:t>
                  </w:r>
                </w:p>
              </w:tc>
              <w:tc>
                <w:tcPr>
                  <w:tcW w:w="709" w:type="dxa"/>
                  <w:gridSpan w:val="2"/>
                  <w:vAlign w:val="bottom"/>
                </w:tcPr>
                <w:p w:rsidR="005C44D0" w:rsidRPr="008F5666" w:rsidRDefault="005C44D0" w:rsidP="007E4F60">
                  <w:pPr>
                    <w:pStyle w:val="TableBodyText"/>
                  </w:pPr>
                  <w:r w:rsidRPr="008F5666">
                    <w:t xml:space="preserve"> 1 385</w:t>
                  </w:r>
                </w:p>
              </w:tc>
            </w:tr>
            <w:tr w:rsidR="005C44D0" w:rsidRPr="00666ECE" w:rsidTr="00EA54E6">
              <w:tc>
                <w:tcPr>
                  <w:tcW w:w="1843" w:type="dxa"/>
                </w:tcPr>
                <w:p w:rsidR="005C44D0" w:rsidRPr="00666ECE" w:rsidRDefault="005C44D0" w:rsidP="003611D5">
                  <w:pPr>
                    <w:pStyle w:val="TableUnitsRow"/>
                    <w:jc w:val="left"/>
                  </w:pPr>
                  <w:r w:rsidRPr="00666ECE">
                    <w:t>Combined</w:t>
                  </w:r>
                  <w:r w:rsidRPr="00666ECE">
                    <w:rPr>
                      <w:b/>
                      <w:position w:val="6"/>
                    </w:rPr>
                    <w:t>a</w:t>
                  </w:r>
                </w:p>
              </w:tc>
              <w:tc>
                <w:tcPr>
                  <w:tcW w:w="567" w:type="dxa"/>
                  <w:vAlign w:val="center"/>
                </w:tcPr>
                <w:p w:rsidR="005C44D0" w:rsidRDefault="005C44D0" w:rsidP="007E4F60">
                  <w:pPr>
                    <w:pStyle w:val="TableBodyText"/>
                  </w:pPr>
                  <w:r w:rsidRPr="00085423">
                    <w:t>no.</w:t>
                  </w:r>
                </w:p>
              </w:tc>
              <w:tc>
                <w:tcPr>
                  <w:tcW w:w="708" w:type="dxa"/>
                  <w:vAlign w:val="bottom"/>
                </w:tcPr>
                <w:p w:rsidR="005C44D0" w:rsidRPr="008F5666" w:rsidRDefault="005C44D0" w:rsidP="007E4F60">
                  <w:pPr>
                    <w:pStyle w:val="TableBodyText"/>
                  </w:pPr>
                  <w:r w:rsidRPr="008F5666">
                    <w:t xml:space="preserve">  304</w:t>
                  </w:r>
                </w:p>
              </w:tc>
              <w:tc>
                <w:tcPr>
                  <w:tcW w:w="709" w:type="dxa"/>
                  <w:vAlign w:val="bottom"/>
                </w:tcPr>
                <w:p w:rsidR="005C44D0" w:rsidRPr="008F5666" w:rsidRDefault="005C44D0" w:rsidP="007E4F60">
                  <w:pPr>
                    <w:pStyle w:val="TableBodyText"/>
                  </w:pPr>
                  <w:r w:rsidRPr="008F5666">
                    <w:t xml:space="preserve">  233</w:t>
                  </w:r>
                </w:p>
              </w:tc>
              <w:tc>
                <w:tcPr>
                  <w:tcW w:w="709" w:type="dxa"/>
                  <w:vAlign w:val="bottom"/>
                </w:tcPr>
                <w:p w:rsidR="005C44D0" w:rsidRPr="008F5666" w:rsidRDefault="005C44D0" w:rsidP="007E4F60">
                  <w:pPr>
                    <w:pStyle w:val="TableBodyText"/>
                  </w:pPr>
                  <w:r w:rsidRPr="008F5666">
                    <w:t xml:space="preserve">  248</w:t>
                  </w:r>
                </w:p>
              </w:tc>
              <w:tc>
                <w:tcPr>
                  <w:tcW w:w="709" w:type="dxa"/>
                  <w:vAlign w:val="bottom"/>
                </w:tcPr>
                <w:p w:rsidR="005C44D0" w:rsidRPr="008F5666" w:rsidRDefault="005C44D0" w:rsidP="007E4F60">
                  <w:pPr>
                    <w:pStyle w:val="TableBodyText"/>
                  </w:pPr>
                  <w:r w:rsidRPr="008F5666">
                    <w:t xml:space="preserve">  222</w:t>
                  </w:r>
                </w:p>
              </w:tc>
              <w:tc>
                <w:tcPr>
                  <w:tcW w:w="708" w:type="dxa"/>
                  <w:vAlign w:val="bottom"/>
                </w:tcPr>
                <w:p w:rsidR="005C44D0" w:rsidRPr="008F5666" w:rsidRDefault="005C44D0" w:rsidP="007E4F60">
                  <w:pPr>
                    <w:pStyle w:val="TableBodyText"/>
                  </w:pPr>
                  <w:r w:rsidRPr="008F5666">
                    <w:t xml:space="preserve">  148</w:t>
                  </w:r>
                </w:p>
              </w:tc>
              <w:tc>
                <w:tcPr>
                  <w:tcW w:w="709" w:type="dxa"/>
                  <w:vAlign w:val="bottom"/>
                </w:tcPr>
                <w:p w:rsidR="005C44D0" w:rsidRPr="008F5666" w:rsidRDefault="005C44D0" w:rsidP="007E4F60">
                  <w:pPr>
                    <w:pStyle w:val="TableBodyText"/>
                  </w:pPr>
                  <w:r w:rsidRPr="008F5666">
                    <w:t xml:space="preserve">  56</w:t>
                  </w:r>
                </w:p>
              </w:tc>
              <w:tc>
                <w:tcPr>
                  <w:tcW w:w="709" w:type="dxa"/>
                  <w:gridSpan w:val="2"/>
                  <w:vAlign w:val="bottom"/>
                </w:tcPr>
                <w:p w:rsidR="005C44D0" w:rsidRPr="008F5666" w:rsidRDefault="005C44D0" w:rsidP="007E4F60">
                  <w:pPr>
                    <w:pStyle w:val="TableBodyText"/>
                  </w:pPr>
                  <w:r w:rsidRPr="008F5666">
                    <w:t xml:space="preserve">  22</w:t>
                  </w:r>
                </w:p>
              </w:tc>
              <w:tc>
                <w:tcPr>
                  <w:tcW w:w="709" w:type="dxa"/>
                  <w:gridSpan w:val="2"/>
                  <w:vAlign w:val="bottom"/>
                </w:tcPr>
                <w:p w:rsidR="005C44D0" w:rsidRPr="008F5666" w:rsidRDefault="005C44D0" w:rsidP="007E4F60">
                  <w:pPr>
                    <w:pStyle w:val="TableBodyText"/>
                  </w:pPr>
                  <w:r w:rsidRPr="008F5666">
                    <w:t xml:space="preserve">  88</w:t>
                  </w:r>
                </w:p>
              </w:tc>
              <w:tc>
                <w:tcPr>
                  <w:tcW w:w="709" w:type="dxa"/>
                  <w:gridSpan w:val="2"/>
                  <w:vAlign w:val="bottom"/>
                </w:tcPr>
                <w:p w:rsidR="005C44D0" w:rsidRPr="008F5666" w:rsidRDefault="005C44D0" w:rsidP="007E4F60">
                  <w:pPr>
                    <w:pStyle w:val="TableBodyText"/>
                  </w:pPr>
                  <w:r w:rsidRPr="008F5666">
                    <w:t xml:space="preserve"> 1 321</w:t>
                  </w:r>
                </w:p>
              </w:tc>
            </w:tr>
            <w:tr w:rsidR="005C44D0" w:rsidRPr="00666ECE" w:rsidTr="00EA54E6">
              <w:tc>
                <w:tcPr>
                  <w:tcW w:w="1843" w:type="dxa"/>
                </w:tcPr>
                <w:p w:rsidR="005C44D0" w:rsidRPr="00666ECE" w:rsidRDefault="005C44D0" w:rsidP="003611D5">
                  <w:pPr>
                    <w:pStyle w:val="TableUnitsRow"/>
                    <w:jc w:val="left"/>
                  </w:pPr>
                  <w:r w:rsidRPr="00666ECE">
                    <w:t>Special schools</w:t>
                  </w:r>
                  <w:r w:rsidRPr="00666ECE">
                    <w:rPr>
                      <w:b/>
                      <w:position w:val="6"/>
                    </w:rPr>
                    <w:t>b</w:t>
                  </w:r>
                </w:p>
              </w:tc>
              <w:tc>
                <w:tcPr>
                  <w:tcW w:w="567" w:type="dxa"/>
                  <w:vAlign w:val="center"/>
                </w:tcPr>
                <w:p w:rsidR="005C44D0" w:rsidRDefault="005C44D0" w:rsidP="007E4F60">
                  <w:pPr>
                    <w:pStyle w:val="TableBodyText"/>
                  </w:pPr>
                  <w:r w:rsidRPr="00085423">
                    <w:t>no.</w:t>
                  </w:r>
                </w:p>
              </w:tc>
              <w:tc>
                <w:tcPr>
                  <w:tcW w:w="708" w:type="dxa"/>
                  <w:vAlign w:val="bottom"/>
                </w:tcPr>
                <w:p w:rsidR="005C44D0" w:rsidRPr="008F5666" w:rsidRDefault="005C44D0" w:rsidP="007E4F60">
                  <w:pPr>
                    <w:pStyle w:val="TableBodyText"/>
                  </w:pPr>
                  <w:r w:rsidRPr="008F5666">
                    <w:t xml:space="preserve">  155</w:t>
                  </w:r>
                </w:p>
              </w:tc>
              <w:tc>
                <w:tcPr>
                  <w:tcW w:w="709" w:type="dxa"/>
                  <w:vAlign w:val="bottom"/>
                </w:tcPr>
                <w:p w:rsidR="005C44D0" w:rsidRPr="008F5666" w:rsidRDefault="005C44D0" w:rsidP="007E4F60">
                  <w:pPr>
                    <w:pStyle w:val="TableBodyText"/>
                  </w:pPr>
                  <w:r w:rsidRPr="008F5666">
                    <w:t xml:space="preserve">  98</w:t>
                  </w:r>
                </w:p>
              </w:tc>
              <w:tc>
                <w:tcPr>
                  <w:tcW w:w="709" w:type="dxa"/>
                  <w:vAlign w:val="bottom"/>
                </w:tcPr>
                <w:p w:rsidR="005C44D0" w:rsidRPr="008F5666" w:rsidRDefault="005C44D0" w:rsidP="007E4F60">
                  <w:pPr>
                    <w:pStyle w:val="TableBodyText"/>
                  </w:pPr>
                  <w:r w:rsidRPr="008F5666">
                    <w:t xml:space="preserve">  66</w:t>
                  </w:r>
                </w:p>
              </w:tc>
              <w:tc>
                <w:tcPr>
                  <w:tcW w:w="709" w:type="dxa"/>
                  <w:vAlign w:val="bottom"/>
                </w:tcPr>
                <w:p w:rsidR="005C44D0" w:rsidRPr="008F5666" w:rsidRDefault="005C44D0" w:rsidP="007E4F60">
                  <w:pPr>
                    <w:pStyle w:val="TableBodyText"/>
                  </w:pPr>
                  <w:r w:rsidRPr="008F5666">
                    <w:t xml:space="preserve">  75</w:t>
                  </w:r>
                </w:p>
              </w:tc>
              <w:tc>
                <w:tcPr>
                  <w:tcW w:w="708" w:type="dxa"/>
                  <w:vAlign w:val="bottom"/>
                </w:tcPr>
                <w:p w:rsidR="005C44D0" w:rsidRPr="008F5666" w:rsidRDefault="005C44D0" w:rsidP="007E4F60">
                  <w:pPr>
                    <w:pStyle w:val="TableBodyText"/>
                  </w:pPr>
                  <w:r w:rsidRPr="008F5666">
                    <w:t xml:space="preserve">  21</w:t>
                  </w:r>
                </w:p>
              </w:tc>
              <w:tc>
                <w:tcPr>
                  <w:tcW w:w="709" w:type="dxa"/>
                  <w:vAlign w:val="bottom"/>
                </w:tcPr>
                <w:p w:rsidR="005C44D0" w:rsidRPr="008F5666" w:rsidRDefault="005C44D0" w:rsidP="007E4F60">
                  <w:pPr>
                    <w:pStyle w:val="TableBodyText"/>
                  </w:pPr>
                  <w:r w:rsidRPr="008F5666">
                    <w:t xml:space="preserve">  5</w:t>
                  </w:r>
                </w:p>
              </w:tc>
              <w:tc>
                <w:tcPr>
                  <w:tcW w:w="709" w:type="dxa"/>
                  <w:gridSpan w:val="2"/>
                  <w:vAlign w:val="bottom"/>
                </w:tcPr>
                <w:p w:rsidR="005C44D0" w:rsidRPr="008F5666" w:rsidRDefault="005C44D0" w:rsidP="007E4F60">
                  <w:pPr>
                    <w:pStyle w:val="TableBodyText"/>
                  </w:pPr>
                  <w:r w:rsidRPr="008F5666">
                    <w:t xml:space="preserve">  5</w:t>
                  </w:r>
                </w:p>
              </w:tc>
              <w:tc>
                <w:tcPr>
                  <w:tcW w:w="709" w:type="dxa"/>
                  <w:gridSpan w:val="2"/>
                  <w:vAlign w:val="bottom"/>
                </w:tcPr>
                <w:p w:rsidR="005C44D0" w:rsidRPr="008F5666" w:rsidRDefault="005C44D0" w:rsidP="007E4F60">
                  <w:pPr>
                    <w:pStyle w:val="TableBodyText"/>
                  </w:pPr>
                  <w:r w:rsidRPr="008F5666">
                    <w:t xml:space="preserve">  6</w:t>
                  </w:r>
                </w:p>
              </w:tc>
              <w:tc>
                <w:tcPr>
                  <w:tcW w:w="709" w:type="dxa"/>
                  <w:gridSpan w:val="2"/>
                  <w:vAlign w:val="bottom"/>
                </w:tcPr>
                <w:p w:rsidR="005C44D0" w:rsidRPr="008F5666" w:rsidRDefault="005C44D0" w:rsidP="007E4F60">
                  <w:pPr>
                    <w:pStyle w:val="TableBodyText"/>
                  </w:pPr>
                  <w:r w:rsidRPr="008F5666">
                    <w:t xml:space="preserve">  431</w:t>
                  </w:r>
                </w:p>
              </w:tc>
            </w:tr>
            <w:tr w:rsidR="005C44D0" w:rsidRPr="00666ECE" w:rsidTr="00EA54E6">
              <w:tc>
                <w:tcPr>
                  <w:tcW w:w="1843" w:type="dxa"/>
                </w:tcPr>
                <w:p w:rsidR="005C44D0" w:rsidRPr="00666ECE" w:rsidRDefault="005C44D0" w:rsidP="003611D5">
                  <w:pPr>
                    <w:pStyle w:val="TableUnitsRow"/>
                    <w:jc w:val="left"/>
                    <w:rPr>
                      <w:b/>
                    </w:rPr>
                  </w:pPr>
                  <w:r w:rsidRPr="00666ECE">
                    <w:rPr>
                      <w:b/>
                    </w:rPr>
                    <w:t>Total</w:t>
                  </w:r>
                </w:p>
              </w:tc>
              <w:tc>
                <w:tcPr>
                  <w:tcW w:w="567" w:type="dxa"/>
                  <w:vAlign w:val="center"/>
                </w:tcPr>
                <w:p w:rsidR="005C44D0" w:rsidRPr="00EA54E6" w:rsidRDefault="005C44D0" w:rsidP="007E4F60">
                  <w:pPr>
                    <w:pStyle w:val="TableBodyText"/>
                    <w:rPr>
                      <w:b/>
                    </w:rPr>
                  </w:pPr>
                  <w:r w:rsidRPr="00EA54E6">
                    <w:rPr>
                      <w:b/>
                    </w:rPr>
                    <w:t>no.</w:t>
                  </w:r>
                </w:p>
              </w:tc>
              <w:tc>
                <w:tcPr>
                  <w:tcW w:w="708" w:type="dxa"/>
                  <w:vAlign w:val="bottom"/>
                </w:tcPr>
                <w:p w:rsidR="005C44D0" w:rsidRPr="007E4F60" w:rsidRDefault="005C44D0" w:rsidP="007E4F60">
                  <w:pPr>
                    <w:pStyle w:val="TableBodyText"/>
                    <w:rPr>
                      <w:b/>
                    </w:rPr>
                  </w:pPr>
                  <w:r w:rsidRPr="007E4F60">
                    <w:rPr>
                      <w:b/>
                    </w:rPr>
                    <w:t xml:space="preserve"> 3 081</w:t>
                  </w:r>
                </w:p>
              </w:tc>
              <w:tc>
                <w:tcPr>
                  <w:tcW w:w="709" w:type="dxa"/>
                  <w:vAlign w:val="bottom"/>
                </w:tcPr>
                <w:p w:rsidR="005C44D0" w:rsidRPr="007E4F60" w:rsidRDefault="005C44D0" w:rsidP="007E4F60">
                  <w:pPr>
                    <w:pStyle w:val="TableBodyText"/>
                    <w:rPr>
                      <w:b/>
                    </w:rPr>
                  </w:pPr>
                  <w:r w:rsidRPr="007E4F60">
                    <w:rPr>
                      <w:b/>
                    </w:rPr>
                    <w:t xml:space="preserve"> 2 219</w:t>
                  </w:r>
                </w:p>
              </w:tc>
              <w:tc>
                <w:tcPr>
                  <w:tcW w:w="709" w:type="dxa"/>
                  <w:vAlign w:val="bottom"/>
                </w:tcPr>
                <w:p w:rsidR="005C44D0" w:rsidRPr="007E4F60" w:rsidRDefault="005C44D0" w:rsidP="007E4F60">
                  <w:pPr>
                    <w:pStyle w:val="TableBodyText"/>
                    <w:rPr>
                      <w:b/>
                    </w:rPr>
                  </w:pPr>
                  <w:r w:rsidRPr="007E4F60">
                    <w:rPr>
                      <w:b/>
                    </w:rPr>
                    <w:t xml:space="preserve"> 1 719</w:t>
                  </w:r>
                </w:p>
              </w:tc>
              <w:tc>
                <w:tcPr>
                  <w:tcW w:w="709" w:type="dxa"/>
                  <w:vAlign w:val="bottom"/>
                </w:tcPr>
                <w:p w:rsidR="005C44D0" w:rsidRPr="007E4F60" w:rsidRDefault="005C44D0" w:rsidP="007E4F60">
                  <w:pPr>
                    <w:pStyle w:val="TableBodyText"/>
                    <w:rPr>
                      <w:b/>
                    </w:rPr>
                  </w:pPr>
                  <w:r w:rsidRPr="007E4F60">
                    <w:rPr>
                      <w:b/>
                    </w:rPr>
                    <w:t xml:space="preserve"> 1 067</w:t>
                  </w:r>
                </w:p>
              </w:tc>
              <w:tc>
                <w:tcPr>
                  <w:tcW w:w="708" w:type="dxa"/>
                  <w:vAlign w:val="bottom"/>
                </w:tcPr>
                <w:p w:rsidR="005C44D0" w:rsidRPr="007E4F60" w:rsidRDefault="005C44D0" w:rsidP="007E4F60">
                  <w:pPr>
                    <w:pStyle w:val="TableBodyText"/>
                    <w:rPr>
                      <w:b/>
                    </w:rPr>
                  </w:pPr>
                  <w:r w:rsidRPr="007E4F60">
                    <w:rPr>
                      <w:b/>
                    </w:rPr>
                    <w:t xml:space="preserve">  722</w:t>
                  </w:r>
                </w:p>
              </w:tc>
              <w:tc>
                <w:tcPr>
                  <w:tcW w:w="709" w:type="dxa"/>
                  <w:vAlign w:val="bottom"/>
                </w:tcPr>
                <w:p w:rsidR="005C44D0" w:rsidRPr="007E4F60" w:rsidRDefault="005C44D0" w:rsidP="007E4F60">
                  <w:pPr>
                    <w:pStyle w:val="TableBodyText"/>
                    <w:rPr>
                      <w:b/>
                    </w:rPr>
                  </w:pPr>
                  <w:r w:rsidRPr="007E4F60">
                    <w:rPr>
                      <w:b/>
                    </w:rPr>
                    <w:t xml:space="preserve">  263</w:t>
                  </w:r>
                </w:p>
              </w:tc>
              <w:tc>
                <w:tcPr>
                  <w:tcW w:w="709" w:type="dxa"/>
                  <w:gridSpan w:val="2"/>
                  <w:vAlign w:val="bottom"/>
                </w:tcPr>
                <w:p w:rsidR="005C44D0" w:rsidRPr="007E4F60" w:rsidRDefault="005C44D0" w:rsidP="007E4F60">
                  <w:pPr>
                    <w:pStyle w:val="TableBodyText"/>
                    <w:rPr>
                      <w:b/>
                    </w:rPr>
                  </w:pPr>
                  <w:r w:rsidRPr="007E4F60">
                    <w:rPr>
                      <w:b/>
                    </w:rPr>
                    <w:t xml:space="preserve">  130</w:t>
                  </w:r>
                </w:p>
              </w:tc>
              <w:tc>
                <w:tcPr>
                  <w:tcW w:w="709" w:type="dxa"/>
                  <w:gridSpan w:val="2"/>
                  <w:vAlign w:val="bottom"/>
                </w:tcPr>
                <w:p w:rsidR="005C44D0" w:rsidRPr="007E4F60" w:rsidRDefault="005C44D0" w:rsidP="007E4F60">
                  <w:pPr>
                    <w:pStyle w:val="TableBodyText"/>
                    <w:rPr>
                      <w:b/>
                    </w:rPr>
                  </w:pPr>
                  <w:r w:rsidRPr="007E4F60">
                    <w:rPr>
                      <w:b/>
                    </w:rPr>
                    <w:t xml:space="preserve">  192</w:t>
                  </w:r>
                </w:p>
              </w:tc>
              <w:tc>
                <w:tcPr>
                  <w:tcW w:w="709" w:type="dxa"/>
                  <w:gridSpan w:val="2"/>
                  <w:vAlign w:val="bottom"/>
                </w:tcPr>
                <w:p w:rsidR="005C44D0" w:rsidRPr="007E4F60" w:rsidRDefault="005C44D0" w:rsidP="007E4F60">
                  <w:pPr>
                    <w:pStyle w:val="TableBodyText"/>
                    <w:rPr>
                      <w:b/>
                    </w:rPr>
                  </w:pPr>
                  <w:r w:rsidRPr="007E4F60">
                    <w:rPr>
                      <w:b/>
                    </w:rPr>
                    <w:t xml:space="preserve"> 9 393</w:t>
                  </w:r>
                </w:p>
              </w:tc>
            </w:tr>
            <w:tr w:rsidR="005C44D0" w:rsidRPr="00666ECE" w:rsidTr="00EA54E6">
              <w:tc>
                <w:tcPr>
                  <w:tcW w:w="7088" w:type="dxa"/>
                  <w:gridSpan w:val="9"/>
                </w:tcPr>
                <w:p w:rsidR="005C44D0" w:rsidRPr="008F5666" w:rsidRDefault="005C44D0" w:rsidP="003611D5">
                  <w:pPr>
                    <w:pStyle w:val="TableUnitsRow"/>
                    <w:jc w:val="left"/>
                    <w:rPr>
                      <w:b/>
                    </w:rPr>
                  </w:pPr>
                  <w:r w:rsidRPr="008F5666">
                    <w:rPr>
                      <w:b/>
                    </w:rPr>
                    <w:t>Proportion of schools that are government schools</w:t>
                  </w:r>
                </w:p>
              </w:tc>
              <w:tc>
                <w:tcPr>
                  <w:tcW w:w="709" w:type="dxa"/>
                  <w:gridSpan w:val="2"/>
                </w:tcPr>
                <w:p w:rsidR="005C44D0" w:rsidRPr="00D31D27" w:rsidRDefault="005C44D0" w:rsidP="00EA54E6">
                  <w:pPr>
                    <w:pStyle w:val="TableBodyText"/>
                  </w:pPr>
                </w:p>
              </w:tc>
              <w:tc>
                <w:tcPr>
                  <w:tcW w:w="567" w:type="dxa"/>
                  <w:gridSpan w:val="2"/>
                </w:tcPr>
                <w:p w:rsidR="005C44D0" w:rsidRPr="00D31D27" w:rsidRDefault="005C44D0" w:rsidP="00EA54E6">
                  <w:pPr>
                    <w:pStyle w:val="TableBodyText"/>
                  </w:pPr>
                </w:p>
              </w:tc>
              <w:tc>
                <w:tcPr>
                  <w:tcW w:w="425" w:type="dxa"/>
                </w:tcPr>
                <w:p w:rsidR="005C44D0" w:rsidRPr="00D31D27" w:rsidRDefault="005C44D0" w:rsidP="00EA54E6">
                  <w:pPr>
                    <w:pStyle w:val="TableBodyText"/>
                  </w:pPr>
                </w:p>
              </w:tc>
            </w:tr>
            <w:tr w:rsidR="005C44D0" w:rsidRPr="00666ECE" w:rsidTr="00EA54E6">
              <w:tc>
                <w:tcPr>
                  <w:tcW w:w="1843" w:type="dxa"/>
                </w:tcPr>
                <w:p w:rsidR="005C44D0" w:rsidRPr="00666ECE" w:rsidRDefault="005C44D0" w:rsidP="003611D5">
                  <w:pPr>
                    <w:pStyle w:val="TableUnitsRow"/>
                    <w:jc w:val="left"/>
                  </w:pPr>
                  <w:r w:rsidRPr="00666ECE">
                    <w:t>Primary</w:t>
                  </w:r>
                </w:p>
              </w:tc>
              <w:tc>
                <w:tcPr>
                  <w:tcW w:w="567" w:type="dxa"/>
                  <w:vAlign w:val="center"/>
                </w:tcPr>
                <w:p w:rsidR="005C44D0" w:rsidRPr="00D31D27" w:rsidRDefault="005C44D0" w:rsidP="007E4F60">
                  <w:pPr>
                    <w:pStyle w:val="TableBodyText"/>
                  </w:pPr>
                  <w:r>
                    <w:t>%</w:t>
                  </w:r>
                </w:p>
              </w:tc>
              <w:tc>
                <w:tcPr>
                  <w:tcW w:w="708" w:type="dxa"/>
                  <w:vAlign w:val="center"/>
                </w:tcPr>
                <w:p w:rsidR="005C44D0" w:rsidRDefault="005C44D0" w:rsidP="007E4F60">
                  <w:pPr>
                    <w:pStyle w:val="TableBodyText"/>
                  </w:pPr>
                  <w:r>
                    <w:t>76.8</w:t>
                  </w:r>
                </w:p>
              </w:tc>
              <w:tc>
                <w:tcPr>
                  <w:tcW w:w="709" w:type="dxa"/>
                  <w:vAlign w:val="center"/>
                </w:tcPr>
                <w:p w:rsidR="005C44D0" w:rsidRDefault="005C44D0" w:rsidP="007E4F60">
                  <w:pPr>
                    <w:pStyle w:val="TableBodyText"/>
                  </w:pPr>
                  <w:r>
                    <w:t>72.8</w:t>
                  </w:r>
                </w:p>
              </w:tc>
              <w:tc>
                <w:tcPr>
                  <w:tcW w:w="709" w:type="dxa"/>
                  <w:vAlign w:val="center"/>
                </w:tcPr>
                <w:p w:rsidR="005C44D0" w:rsidRDefault="005C44D0" w:rsidP="007E4F60">
                  <w:pPr>
                    <w:pStyle w:val="TableBodyText"/>
                  </w:pPr>
                  <w:r>
                    <w:t>80.0</w:t>
                  </w:r>
                </w:p>
              </w:tc>
              <w:tc>
                <w:tcPr>
                  <w:tcW w:w="709" w:type="dxa"/>
                  <w:vAlign w:val="center"/>
                </w:tcPr>
                <w:p w:rsidR="005C44D0" w:rsidRDefault="005C44D0" w:rsidP="007E4F60">
                  <w:pPr>
                    <w:pStyle w:val="TableBodyText"/>
                  </w:pPr>
                  <w:r>
                    <w:t>77.6</w:t>
                  </w:r>
                </w:p>
              </w:tc>
              <w:tc>
                <w:tcPr>
                  <w:tcW w:w="708" w:type="dxa"/>
                  <w:vAlign w:val="center"/>
                </w:tcPr>
                <w:p w:rsidR="005C44D0" w:rsidRDefault="005C44D0" w:rsidP="007E4F60">
                  <w:pPr>
                    <w:pStyle w:val="TableBodyText"/>
                  </w:pPr>
                  <w:r>
                    <w:t>78.6</w:t>
                  </w:r>
                </w:p>
              </w:tc>
              <w:tc>
                <w:tcPr>
                  <w:tcW w:w="709" w:type="dxa"/>
                  <w:vAlign w:val="center"/>
                </w:tcPr>
                <w:p w:rsidR="005C44D0" w:rsidRDefault="005C44D0" w:rsidP="007E4F60">
                  <w:pPr>
                    <w:pStyle w:val="TableBodyText"/>
                  </w:pPr>
                  <w:r>
                    <w:t>82.4</w:t>
                  </w:r>
                </w:p>
              </w:tc>
              <w:tc>
                <w:tcPr>
                  <w:tcW w:w="709" w:type="dxa"/>
                  <w:gridSpan w:val="2"/>
                  <w:vAlign w:val="center"/>
                </w:tcPr>
                <w:p w:rsidR="005C44D0" w:rsidRDefault="005C44D0" w:rsidP="007E4F60">
                  <w:pPr>
                    <w:pStyle w:val="TableBodyText"/>
                  </w:pPr>
                  <w:r>
                    <w:t>68.8</w:t>
                  </w:r>
                </w:p>
              </w:tc>
              <w:tc>
                <w:tcPr>
                  <w:tcW w:w="709" w:type="dxa"/>
                  <w:gridSpan w:val="2"/>
                  <w:vAlign w:val="center"/>
                </w:tcPr>
                <w:p w:rsidR="005C44D0" w:rsidRDefault="005C44D0" w:rsidP="007E4F60">
                  <w:pPr>
                    <w:pStyle w:val="TableBodyText"/>
                  </w:pPr>
                  <w:r>
                    <w:t>85.1</w:t>
                  </w:r>
                </w:p>
              </w:tc>
              <w:tc>
                <w:tcPr>
                  <w:tcW w:w="709" w:type="dxa"/>
                  <w:gridSpan w:val="2"/>
                  <w:vAlign w:val="center"/>
                </w:tcPr>
                <w:p w:rsidR="005C44D0" w:rsidRDefault="005C44D0" w:rsidP="007E4F60">
                  <w:pPr>
                    <w:pStyle w:val="TableBodyText"/>
                  </w:pPr>
                  <w:r>
                    <w:t>76.8</w:t>
                  </w:r>
                </w:p>
              </w:tc>
            </w:tr>
            <w:tr w:rsidR="005C44D0" w:rsidRPr="00666ECE" w:rsidTr="00EA54E6">
              <w:tc>
                <w:tcPr>
                  <w:tcW w:w="1843" w:type="dxa"/>
                </w:tcPr>
                <w:p w:rsidR="005C44D0" w:rsidRPr="00666ECE" w:rsidRDefault="005C44D0" w:rsidP="003611D5">
                  <w:pPr>
                    <w:pStyle w:val="TableUnitsRow"/>
                    <w:jc w:val="left"/>
                  </w:pPr>
                  <w:r w:rsidRPr="00666ECE">
                    <w:t>Secondary</w:t>
                  </w:r>
                </w:p>
              </w:tc>
              <w:tc>
                <w:tcPr>
                  <w:tcW w:w="567" w:type="dxa"/>
                  <w:vAlign w:val="center"/>
                </w:tcPr>
                <w:p w:rsidR="005C44D0" w:rsidRDefault="005C44D0" w:rsidP="007E4F60">
                  <w:pPr>
                    <w:pStyle w:val="TableBodyText"/>
                  </w:pPr>
                  <w:r w:rsidRPr="00F03FF1">
                    <w:t>%</w:t>
                  </w:r>
                </w:p>
              </w:tc>
              <w:tc>
                <w:tcPr>
                  <w:tcW w:w="708" w:type="dxa"/>
                  <w:vAlign w:val="center"/>
                </w:tcPr>
                <w:p w:rsidR="005C44D0" w:rsidRDefault="005C44D0" w:rsidP="007E4F60">
                  <w:pPr>
                    <w:pStyle w:val="TableBodyText"/>
                  </w:pPr>
                  <w:r>
                    <w:t>71.8</w:t>
                  </w:r>
                </w:p>
              </w:tc>
              <w:tc>
                <w:tcPr>
                  <w:tcW w:w="709" w:type="dxa"/>
                  <w:vAlign w:val="center"/>
                </w:tcPr>
                <w:p w:rsidR="005C44D0" w:rsidRDefault="005C44D0" w:rsidP="007E4F60">
                  <w:pPr>
                    <w:pStyle w:val="TableBodyText"/>
                  </w:pPr>
                  <w:r>
                    <w:t>71.1</w:t>
                  </w:r>
                </w:p>
              </w:tc>
              <w:tc>
                <w:tcPr>
                  <w:tcW w:w="709" w:type="dxa"/>
                  <w:vAlign w:val="center"/>
                </w:tcPr>
                <w:p w:rsidR="005C44D0" w:rsidRDefault="005C44D0" w:rsidP="007E4F60">
                  <w:pPr>
                    <w:pStyle w:val="TableBodyText"/>
                  </w:pPr>
                  <w:r>
                    <w:t>71.4</w:t>
                  </w:r>
                </w:p>
              </w:tc>
              <w:tc>
                <w:tcPr>
                  <w:tcW w:w="709" w:type="dxa"/>
                  <w:vAlign w:val="center"/>
                </w:tcPr>
                <w:p w:rsidR="005C44D0" w:rsidRDefault="005C44D0" w:rsidP="007E4F60">
                  <w:pPr>
                    <w:pStyle w:val="TableBodyText"/>
                  </w:pPr>
                  <w:r>
                    <w:t>93.3</w:t>
                  </w:r>
                </w:p>
              </w:tc>
              <w:tc>
                <w:tcPr>
                  <w:tcW w:w="708" w:type="dxa"/>
                  <w:vAlign w:val="center"/>
                </w:tcPr>
                <w:p w:rsidR="005C44D0" w:rsidRDefault="005C44D0" w:rsidP="007E4F60">
                  <w:pPr>
                    <w:pStyle w:val="TableBodyText"/>
                  </w:pPr>
                  <w:r>
                    <w:t>77.6</w:t>
                  </w:r>
                </w:p>
              </w:tc>
              <w:tc>
                <w:tcPr>
                  <w:tcW w:w="709" w:type="dxa"/>
                  <w:vAlign w:val="center"/>
                </w:tcPr>
                <w:p w:rsidR="005C44D0" w:rsidRDefault="005C44D0" w:rsidP="007E4F60">
                  <w:pPr>
                    <w:pStyle w:val="TableBodyText"/>
                  </w:pPr>
                  <w:r>
                    <w:t>88.4</w:t>
                  </w:r>
                </w:p>
              </w:tc>
              <w:tc>
                <w:tcPr>
                  <w:tcW w:w="709" w:type="dxa"/>
                  <w:gridSpan w:val="2"/>
                  <w:vAlign w:val="center"/>
                </w:tcPr>
                <w:p w:rsidR="005C44D0" w:rsidRDefault="005C44D0" w:rsidP="007E4F60">
                  <w:pPr>
                    <w:pStyle w:val="TableBodyText"/>
                  </w:pPr>
                  <w:r>
                    <w:t>78.3</w:t>
                  </w:r>
                </w:p>
              </w:tc>
              <w:tc>
                <w:tcPr>
                  <w:tcW w:w="709" w:type="dxa"/>
                  <w:gridSpan w:val="2"/>
                  <w:vAlign w:val="center"/>
                </w:tcPr>
                <w:p w:rsidR="005C44D0" w:rsidRDefault="005C44D0" w:rsidP="007E4F60">
                  <w:pPr>
                    <w:pStyle w:val="TableBodyText"/>
                  </w:pPr>
                  <w:r>
                    <w:t>62.5</w:t>
                  </w:r>
                </w:p>
              </w:tc>
              <w:tc>
                <w:tcPr>
                  <w:tcW w:w="709" w:type="dxa"/>
                  <w:gridSpan w:val="2"/>
                  <w:vAlign w:val="center"/>
                </w:tcPr>
                <w:p w:rsidR="005C44D0" w:rsidRDefault="005C44D0" w:rsidP="007E4F60">
                  <w:pPr>
                    <w:pStyle w:val="TableBodyText"/>
                  </w:pPr>
                  <w:r>
                    <w:t>74.0</w:t>
                  </w:r>
                </w:p>
              </w:tc>
            </w:tr>
            <w:tr w:rsidR="005C44D0" w:rsidRPr="00666ECE" w:rsidTr="00EA54E6">
              <w:tc>
                <w:tcPr>
                  <w:tcW w:w="1843" w:type="dxa"/>
                </w:tcPr>
                <w:p w:rsidR="005C44D0" w:rsidRPr="00666ECE" w:rsidRDefault="005C44D0" w:rsidP="003611D5">
                  <w:pPr>
                    <w:pStyle w:val="TableUnitsRow"/>
                    <w:jc w:val="left"/>
                  </w:pPr>
                  <w:r w:rsidRPr="00666ECE">
                    <w:t>Combined</w:t>
                  </w:r>
                  <w:r w:rsidRPr="00666ECE">
                    <w:rPr>
                      <w:b/>
                      <w:position w:val="6"/>
                    </w:rPr>
                    <w:t>a</w:t>
                  </w:r>
                </w:p>
              </w:tc>
              <w:tc>
                <w:tcPr>
                  <w:tcW w:w="567" w:type="dxa"/>
                  <w:vAlign w:val="center"/>
                </w:tcPr>
                <w:p w:rsidR="005C44D0" w:rsidRDefault="005C44D0" w:rsidP="007E4F60">
                  <w:pPr>
                    <w:pStyle w:val="TableBodyText"/>
                  </w:pPr>
                  <w:r w:rsidRPr="00F03FF1">
                    <w:t>%</w:t>
                  </w:r>
                </w:p>
              </w:tc>
              <w:tc>
                <w:tcPr>
                  <w:tcW w:w="708" w:type="dxa"/>
                  <w:vAlign w:val="center"/>
                </w:tcPr>
                <w:p w:rsidR="005C44D0" w:rsidRDefault="005C44D0" w:rsidP="007E4F60">
                  <w:pPr>
                    <w:pStyle w:val="TableBodyText"/>
                  </w:pPr>
                  <w:r>
                    <w:t>21.7</w:t>
                  </w:r>
                </w:p>
              </w:tc>
              <w:tc>
                <w:tcPr>
                  <w:tcW w:w="709" w:type="dxa"/>
                  <w:vAlign w:val="center"/>
                </w:tcPr>
                <w:p w:rsidR="005C44D0" w:rsidRDefault="005C44D0" w:rsidP="007E4F60">
                  <w:pPr>
                    <w:pStyle w:val="TableBodyText"/>
                  </w:pPr>
                  <w:r>
                    <w:t>33.9</w:t>
                  </w:r>
                </w:p>
              </w:tc>
              <w:tc>
                <w:tcPr>
                  <w:tcW w:w="709" w:type="dxa"/>
                  <w:vAlign w:val="center"/>
                </w:tcPr>
                <w:p w:rsidR="005C44D0" w:rsidRDefault="005C44D0" w:rsidP="007E4F60">
                  <w:pPr>
                    <w:pStyle w:val="TableBodyText"/>
                  </w:pPr>
                  <w:r>
                    <w:t>36.3</w:t>
                  </w:r>
                </w:p>
              </w:tc>
              <w:tc>
                <w:tcPr>
                  <w:tcW w:w="709" w:type="dxa"/>
                  <w:vAlign w:val="center"/>
                </w:tcPr>
                <w:p w:rsidR="005C44D0" w:rsidRDefault="005C44D0" w:rsidP="007E4F60">
                  <w:pPr>
                    <w:pStyle w:val="TableBodyText"/>
                  </w:pPr>
                  <w:r>
                    <w:t>40.5</w:t>
                  </w:r>
                </w:p>
              </w:tc>
              <w:tc>
                <w:tcPr>
                  <w:tcW w:w="708" w:type="dxa"/>
                  <w:vAlign w:val="center"/>
                </w:tcPr>
                <w:p w:rsidR="005C44D0" w:rsidRDefault="005C44D0" w:rsidP="007E4F60">
                  <w:pPr>
                    <w:pStyle w:val="TableBodyText"/>
                  </w:pPr>
                  <w:r>
                    <w:t>50.7</w:t>
                  </w:r>
                </w:p>
              </w:tc>
              <w:tc>
                <w:tcPr>
                  <w:tcW w:w="709" w:type="dxa"/>
                  <w:vAlign w:val="center"/>
                </w:tcPr>
                <w:p w:rsidR="005C44D0" w:rsidRDefault="005C44D0" w:rsidP="007E4F60">
                  <w:pPr>
                    <w:pStyle w:val="TableBodyText"/>
                  </w:pPr>
                  <w:r>
                    <w:t>44.6</w:t>
                  </w:r>
                </w:p>
              </w:tc>
              <w:tc>
                <w:tcPr>
                  <w:tcW w:w="709" w:type="dxa"/>
                  <w:gridSpan w:val="2"/>
                  <w:vAlign w:val="center"/>
                </w:tcPr>
                <w:p w:rsidR="005C44D0" w:rsidRDefault="005C44D0" w:rsidP="007E4F60">
                  <w:pPr>
                    <w:pStyle w:val="TableBodyText"/>
                  </w:pPr>
                  <w:r>
                    <w:t>40.9</w:t>
                  </w:r>
                </w:p>
              </w:tc>
              <w:tc>
                <w:tcPr>
                  <w:tcW w:w="709" w:type="dxa"/>
                  <w:gridSpan w:val="2"/>
                  <w:vAlign w:val="center"/>
                </w:tcPr>
                <w:p w:rsidR="005C44D0" w:rsidRDefault="005C44D0" w:rsidP="007E4F60">
                  <w:pPr>
                    <w:pStyle w:val="TableBodyText"/>
                  </w:pPr>
                  <w:r>
                    <w:t>80.7</w:t>
                  </w:r>
                </w:p>
              </w:tc>
              <w:tc>
                <w:tcPr>
                  <w:tcW w:w="709" w:type="dxa"/>
                  <w:gridSpan w:val="2"/>
                  <w:vAlign w:val="center"/>
                </w:tcPr>
                <w:p w:rsidR="005C44D0" w:rsidRDefault="005C44D0" w:rsidP="007E4F60">
                  <w:pPr>
                    <w:pStyle w:val="TableBodyText"/>
                  </w:pPr>
                  <w:r>
                    <w:t>38.2</w:t>
                  </w:r>
                </w:p>
              </w:tc>
            </w:tr>
            <w:tr w:rsidR="005C44D0" w:rsidRPr="00666ECE" w:rsidTr="00EA54E6">
              <w:tc>
                <w:tcPr>
                  <w:tcW w:w="1843" w:type="dxa"/>
                </w:tcPr>
                <w:p w:rsidR="005C44D0" w:rsidRPr="00666ECE" w:rsidRDefault="005C44D0" w:rsidP="003611D5">
                  <w:pPr>
                    <w:pStyle w:val="TableUnitsRow"/>
                    <w:jc w:val="left"/>
                  </w:pPr>
                  <w:r w:rsidRPr="00666ECE">
                    <w:t>Special schools</w:t>
                  </w:r>
                  <w:r w:rsidRPr="00666ECE">
                    <w:rPr>
                      <w:b/>
                      <w:position w:val="6"/>
                    </w:rPr>
                    <w:t>b</w:t>
                  </w:r>
                </w:p>
              </w:tc>
              <w:tc>
                <w:tcPr>
                  <w:tcW w:w="567" w:type="dxa"/>
                  <w:vAlign w:val="center"/>
                </w:tcPr>
                <w:p w:rsidR="005C44D0" w:rsidRDefault="005C44D0" w:rsidP="007E4F60">
                  <w:pPr>
                    <w:pStyle w:val="TableBodyText"/>
                  </w:pPr>
                  <w:r w:rsidRPr="00F03FF1">
                    <w:t>%</w:t>
                  </w:r>
                </w:p>
              </w:tc>
              <w:tc>
                <w:tcPr>
                  <w:tcW w:w="708" w:type="dxa"/>
                  <w:vAlign w:val="center"/>
                </w:tcPr>
                <w:p w:rsidR="005C44D0" w:rsidRDefault="005C44D0" w:rsidP="007E4F60">
                  <w:pPr>
                    <w:pStyle w:val="TableBodyText"/>
                  </w:pPr>
                  <w:r>
                    <w:t>71.0</w:t>
                  </w:r>
                </w:p>
              </w:tc>
              <w:tc>
                <w:tcPr>
                  <w:tcW w:w="709" w:type="dxa"/>
                  <w:vAlign w:val="center"/>
                </w:tcPr>
                <w:p w:rsidR="005C44D0" w:rsidRDefault="005C44D0" w:rsidP="007E4F60">
                  <w:pPr>
                    <w:pStyle w:val="TableBodyText"/>
                  </w:pPr>
                  <w:r>
                    <w:t>79.6</w:t>
                  </w:r>
                </w:p>
              </w:tc>
              <w:tc>
                <w:tcPr>
                  <w:tcW w:w="709" w:type="dxa"/>
                  <w:vAlign w:val="center"/>
                </w:tcPr>
                <w:p w:rsidR="005C44D0" w:rsidRDefault="005C44D0" w:rsidP="007E4F60">
                  <w:pPr>
                    <w:pStyle w:val="TableBodyText"/>
                  </w:pPr>
                  <w:r>
                    <w:t>69.7</w:t>
                  </w:r>
                </w:p>
              </w:tc>
              <w:tc>
                <w:tcPr>
                  <w:tcW w:w="709" w:type="dxa"/>
                  <w:vAlign w:val="center"/>
                </w:tcPr>
                <w:p w:rsidR="005C44D0" w:rsidRDefault="005C44D0" w:rsidP="007E4F60">
                  <w:pPr>
                    <w:pStyle w:val="TableBodyText"/>
                  </w:pPr>
                  <w:r>
                    <w:t>85.3</w:t>
                  </w:r>
                </w:p>
              </w:tc>
              <w:tc>
                <w:tcPr>
                  <w:tcW w:w="708" w:type="dxa"/>
                  <w:vAlign w:val="center"/>
                </w:tcPr>
                <w:p w:rsidR="005C44D0" w:rsidRDefault="005C44D0" w:rsidP="007E4F60">
                  <w:pPr>
                    <w:pStyle w:val="TableBodyText"/>
                  </w:pPr>
                  <w:r>
                    <w:t>85.7</w:t>
                  </w:r>
                </w:p>
              </w:tc>
              <w:tc>
                <w:tcPr>
                  <w:tcW w:w="709" w:type="dxa"/>
                  <w:vAlign w:val="center"/>
                </w:tcPr>
                <w:p w:rsidR="005C44D0" w:rsidRDefault="005C44D0" w:rsidP="007E4F60">
                  <w:pPr>
                    <w:pStyle w:val="TableBodyText"/>
                  </w:pPr>
                  <w:r>
                    <w:t>80.0</w:t>
                  </w:r>
                </w:p>
              </w:tc>
              <w:tc>
                <w:tcPr>
                  <w:tcW w:w="709" w:type="dxa"/>
                  <w:gridSpan w:val="2"/>
                  <w:vAlign w:val="center"/>
                </w:tcPr>
                <w:p w:rsidR="005C44D0" w:rsidRDefault="005C44D0" w:rsidP="007E4F60">
                  <w:pPr>
                    <w:pStyle w:val="TableBodyText"/>
                  </w:pPr>
                  <w:r>
                    <w:t>80.0</w:t>
                  </w:r>
                </w:p>
              </w:tc>
              <w:tc>
                <w:tcPr>
                  <w:tcW w:w="709" w:type="dxa"/>
                  <w:gridSpan w:val="2"/>
                  <w:vAlign w:val="center"/>
                </w:tcPr>
                <w:p w:rsidR="005C44D0" w:rsidRDefault="005C44D0" w:rsidP="007E4F60">
                  <w:pPr>
                    <w:pStyle w:val="TableBodyText"/>
                  </w:pPr>
                  <w:r>
                    <w:t>83.3</w:t>
                  </w:r>
                </w:p>
              </w:tc>
              <w:tc>
                <w:tcPr>
                  <w:tcW w:w="709" w:type="dxa"/>
                  <w:gridSpan w:val="2"/>
                  <w:vAlign w:val="center"/>
                </w:tcPr>
                <w:p w:rsidR="005C44D0" w:rsidRDefault="005C44D0" w:rsidP="007E4F60">
                  <w:pPr>
                    <w:pStyle w:val="TableBodyText"/>
                  </w:pPr>
                  <w:r>
                    <w:t>76.3</w:t>
                  </w:r>
                </w:p>
              </w:tc>
            </w:tr>
            <w:tr w:rsidR="005C44D0" w:rsidRPr="00666ECE" w:rsidTr="00EA54E6">
              <w:tc>
                <w:tcPr>
                  <w:tcW w:w="1843" w:type="dxa"/>
                </w:tcPr>
                <w:p w:rsidR="005C44D0" w:rsidRPr="00666ECE" w:rsidRDefault="005C44D0" w:rsidP="003611D5">
                  <w:pPr>
                    <w:pStyle w:val="TableUnitsRow"/>
                    <w:jc w:val="left"/>
                    <w:rPr>
                      <w:b/>
                    </w:rPr>
                  </w:pPr>
                  <w:r w:rsidRPr="00666ECE">
                    <w:rPr>
                      <w:b/>
                    </w:rPr>
                    <w:t>All schools</w:t>
                  </w:r>
                </w:p>
              </w:tc>
              <w:tc>
                <w:tcPr>
                  <w:tcW w:w="567" w:type="dxa"/>
                  <w:vAlign w:val="center"/>
                </w:tcPr>
                <w:p w:rsidR="005C44D0" w:rsidRPr="00EA54E6" w:rsidRDefault="005C44D0" w:rsidP="007E4F60">
                  <w:pPr>
                    <w:pStyle w:val="TableBodyText"/>
                    <w:rPr>
                      <w:b/>
                    </w:rPr>
                  </w:pPr>
                  <w:r w:rsidRPr="00EA54E6">
                    <w:rPr>
                      <w:b/>
                    </w:rPr>
                    <w:t>%</w:t>
                  </w:r>
                </w:p>
              </w:tc>
              <w:tc>
                <w:tcPr>
                  <w:tcW w:w="708" w:type="dxa"/>
                  <w:vAlign w:val="center"/>
                </w:tcPr>
                <w:p w:rsidR="005C44D0" w:rsidRPr="00EA54E6" w:rsidRDefault="005C44D0" w:rsidP="007E4F60">
                  <w:pPr>
                    <w:pStyle w:val="TableBodyText"/>
                    <w:rPr>
                      <w:b/>
                    </w:rPr>
                  </w:pPr>
                  <w:r w:rsidRPr="00EA54E6">
                    <w:rPr>
                      <w:b/>
                    </w:rPr>
                    <w:t>70.2</w:t>
                  </w:r>
                </w:p>
              </w:tc>
              <w:tc>
                <w:tcPr>
                  <w:tcW w:w="709" w:type="dxa"/>
                  <w:vAlign w:val="center"/>
                </w:tcPr>
                <w:p w:rsidR="005C44D0" w:rsidRPr="00EA54E6" w:rsidRDefault="005C44D0" w:rsidP="007E4F60">
                  <w:pPr>
                    <w:pStyle w:val="TableBodyText"/>
                    <w:rPr>
                      <w:b/>
                    </w:rPr>
                  </w:pPr>
                  <w:r w:rsidRPr="00EA54E6">
                    <w:rPr>
                      <w:b/>
                    </w:rPr>
                    <w:t>68.8</w:t>
                  </w:r>
                </w:p>
              </w:tc>
              <w:tc>
                <w:tcPr>
                  <w:tcW w:w="709" w:type="dxa"/>
                  <w:vAlign w:val="center"/>
                </w:tcPr>
                <w:p w:rsidR="005C44D0" w:rsidRPr="00EA54E6" w:rsidRDefault="005C44D0" w:rsidP="007E4F60">
                  <w:pPr>
                    <w:pStyle w:val="TableBodyText"/>
                    <w:rPr>
                      <w:b/>
                    </w:rPr>
                  </w:pPr>
                  <w:r w:rsidRPr="00EA54E6">
                    <w:rPr>
                      <w:b/>
                    </w:rPr>
                    <w:t>72.0</w:t>
                  </w:r>
                </w:p>
              </w:tc>
              <w:tc>
                <w:tcPr>
                  <w:tcW w:w="709" w:type="dxa"/>
                  <w:vAlign w:val="center"/>
                </w:tcPr>
                <w:p w:rsidR="005C44D0" w:rsidRPr="00EA54E6" w:rsidRDefault="005C44D0" w:rsidP="007E4F60">
                  <w:pPr>
                    <w:pStyle w:val="TableBodyText"/>
                    <w:rPr>
                      <w:b/>
                    </w:rPr>
                  </w:pPr>
                  <w:r w:rsidRPr="00EA54E6">
                    <w:rPr>
                      <w:b/>
                    </w:rPr>
                    <w:t>72.0</w:t>
                  </w:r>
                </w:p>
              </w:tc>
              <w:tc>
                <w:tcPr>
                  <w:tcW w:w="708" w:type="dxa"/>
                  <w:vAlign w:val="center"/>
                </w:tcPr>
                <w:p w:rsidR="005C44D0" w:rsidRPr="00EA54E6" w:rsidRDefault="005C44D0" w:rsidP="007E4F60">
                  <w:pPr>
                    <w:pStyle w:val="TableBodyText"/>
                    <w:rPr>
                      <w:b/>
                    </w:rPr>
                  </w:pPr>
                  <w:r w:rsidRPr="00EA54E6">
                    <w:rPr>
                      <w:b/>
                    </w:rPr>
                    <w:t>73.0</w:t>
                  </w:r>
                </w:p>
              </w:tc>
              <w:tc>
                <w:tcPr>
                  <w:tcW w:w="709" w:type="dxa"/>
                  <w:vAlign w:val="center"/>
                </w:tcPr>
                <w:p w:rsidR="005C44D0" w:rsidRPr="00EA54E6" w:rsidRDefault="005C44D0" w:rsidP="007E4F60">
                  <w:pPr>
                    <w:pStyle w:val="TableBodyText"/>
                    <w:rPr>
                      <w:b/>
                    </w:rPr>
                  </w:pPr>
                  <w:r w:rsidRPr="00EA54E6">
                    <w:rPr>
                      <w:b/>
                    </w:rPr>
                    <w:t>75.3</w:t>
                  </w:r>
                </w:p>
              </w:tc>
              <w:tc>
                <w:tcPr>
                  <w:tcW w:w="709" w:type="dxa"/>
                  <w:gridSpan w:val="2"/>
                  <w:vAlign w:val="center"/>
                </w:tcPr>
                <w:p w:rsidR="005C44D0" w:rsidRPr="00EA54E6" w:rsidRDefault="005C44D0" w:rsidP="007E4F60">
                  <w:pPr>
                    <w:pStyle w:val="TableBodyText"/>
                    <w:rPr>
                      <w:b/>
                    </w:rPr>
                  </w:pPr>
                  <w:r w:rsidRPr="00EA54E6">
                    <w:rPr>
                      <w:b/>
                    </w:rPr>
                    <w:t>66.2</w:t>
                  </w:r>
                </w:p>
              </w:tc>
              <w:tc>
                <w:tcPr>
                  <w:tcW w:w="709" w:type="dxa"/>
                  <w:gridSpan w:val="2"/>
                  <w:vAlign w:val="center"/>
                </w:tcPr>
                <w:p w:rsidR="005C44D0" w:rsidRPr="00EA54E6" w:rsidRDefault="005C44D0" w:rsidP="007E4F60">
                  <w:pPr>
                    <w:pStyle w:val="TableBodyText"/>
                    <w:rPr>
                      <w:b/>
                    </w:rPr>
                  </w:pPr>
                  <w:r w:rsidRPr="00EA54E6">
                    <w:rPr>
                      <w:b/>
                    </w:rPr>
                    <w:t>80.2</w:t>
                  </w:r>
                </w:p>
              </w:tc>
              <w:tc>
                <w:tcPr>
                  <w:tcW w:w="709" w:type="dxa"/>
                  <w:gridSpan w:val="2"/>
                  <w:vAlign w:val="center"/>
                </w:tcPr>
                <w:p w:rsidR="005C44D0" w:rsidRPr="00EA54E6" w:rsidRDefault="005C44D0" w:rsidP="007E4F60">
                  <w:pPr>
                    <w:pStyle w:val="TableBodyText"/>
                    <w:rPr>
                      <w:b/>
                    </w:rPr>
                  </w:pPr>
                  <w:r w:rsidRPr="00EA54E6">
                    <w:rPr>
                      <w:b/>
                    </w:rPr>
                    <w:t>70.9</w:t>
                  </w:r>
                </w:p>
              </w:tc>
            </w:tr>
            <w:tr w:rsidR="005C44D0" w:rsidRPr="00666ECE" w:rsidTr="00EA54E6">
              <w:tc>
                <w:tcPr>
                  <w:tcW w:w="8789" w:type="dxa"/>
                  <w:gridSpan w:val="14"/>
                </w:tcPr>
                <w:p w:rsidR="005C44D0" w:rsidRPr="008F5666" w:rsidRDefault="005C44D0" w:rsidP="003611D5">
                  <w:pPr>
                    <w:pStyle w:val="TableUnitsRow"/>
                    <w:jc w:val="left"/>
                    <w:rPr>
                      <w:b/>
                    </w:rPr>
                  </w:pPr>
                  <w:r w:rsidRPr="008F5666">
                    <w:rPr>
                      <w:b/>
                    </w:rPr>
                    <w:t>Proportion of schools that are primary schools</w:t>
                  </w:r>
                </w:p>
              </w:tc>
            </w:tr>
            <w:tr w:rsidR="005C44D0" w:rsidRPr="00666ECE" w:rsidTr="00EA54E6">
              <w:tc>
                <w:tcPr>
                  <w:tcW w:w="1843" w:type="dxa"/>
                </w:tcPr>
                <w:p w:rsidR="005C44D0" w:rsidRPr="00666ECE" w:rsidRDefault="005C44D0" w:rsidP="003611D5">
                  <w:pPr>
                    <w:pStyle w:val="TableUnitsRow"/>
                    <w:jc w:val="left"/>
                    <w:rPr>
                      <w:sz w:val="20"/>
                    </w:rPr>
                  </w:pPr>
                  <w:r w:rsidRPr="00666ECE">
                    <w:rPr>
                      <w:sz w:val="20"/>
                    </w:rPr>
                    <w:t>Government</w:t>
                  </w:r>
                </w:p>
              </w:tc>
              <w:tc>
                <w:tcPr>
                  <w:tcW w:w="567" w:type="dxa"/>
                  <w:vAlign w:val="center"/>
                </w:tcPr>
                <w:p w:rsidR="005C44D0" w:rsidRPr="007E4F60" w:rsidRDefault="005C44D0" w:rsidP="007E4F60">
                  <w:pPr>
                    <w:pStyle w:val="TableBodyText"/>
                  </w:pPr>
                  <w:r w:rsidRPr="007E4F60">
                    <w:t>%</w:t>
                  </w:r>
                </w:p>
              </w:tc>
              <w:tc>
                <w:tcPr>
                  <w:tcW w:w="708" w:type="dxa"/>
                  <w:vAlign w:val="center"/>
                </w:tcPr>
                <w:p w:rsidR="005C44D0" w:rsidRPr="007E4F60" w:rsidRDefault="005C44D0" w:rsidP="007E4F60">
                  <w:pPr>
                    <w:pStyle w:val="TableBodyText"/>
                  </w:pPr>
                  <w:r w:rsidRPr="007E4F60">
                    <w:t>74.8</w:t>
                  </w:r>
                </w:p>
              </w:tc>
              <w:tc>
                <w:tcPr>
                  <w:tcW w:w="709" w:type="dxa"/>
                  <w:vAlign w:val="center"/>
                </w:tcPr>
                <w:p w:rsidR="005C44D0" w:rsidRPr="007E4F60" w:rsidRDefault="005C44D0" w:rsidP="007E4F60">
                  <w:pPr>
                    <w:pStyle w:val="TableBodyText"/>
                  </w:pPr>
                  <w:r w:rsidRPr="007E4F60">
                    <w:t>74.0</w:t>
                  </w:r>
                </w:p>
              </w:tc>
              <w:tc>
                <w:tcPr>
                  <w:tcW w:w="709" w:type="dxa"/>
                  <w:vAlign w:val="center"/>
                </w:tcPr>
                <w:p w:rsidR="005C44D0" w:rsidRPr="007E4F60" w:rsidRDefault="005C44D0" w:rsidP="007E4F60">
                  <w:pPr>
                    <w:pStyle w:val="TableBodyText"/>
                  </w:pPr>
                  <w:r w:rsidRPr="007E4F60">
                    <w:t>74.3</w:t>
                  </w:r>
                </w:p>
              </w:tc>
              <w:tc>
                <w:tcPr>
                  <w:tcW w:w="709" w:type="dxa"/>
                  <w:vAlign w:val="center"/>
                </w:tcPr>
                <w:p w:rsidR="005C44D0" w:rsidRPr="007E4F60" w:rsidRDefault="005C44D0" w:rsidP="007E4F60">
                  <w:pPr>
                    <w:pStyle w:val="TableBodyText"/>
                  </w:pPr>
                  <w:r w:rsidRPr="007E4F60">
                    <w:t>67.3</w:t>
                  </w:r>
                </w:p>
              </w:tc>
              <w:tc>
                <w:tcPr>
                  <w:tcW w:w="708" w:type="dxa"/>
                  <w:vAlign w:val="center"/>
                </w:tcPr>
                <w:p w:rsidR="005C44D0" w:rsidRPr="007E4F60" w:rsidRDefault="005C44D0" w:rsidP="007E4F60">
                  <w:pPr>
                    <w:pStyle w:val="TableBodyText"/>
                  </w:pPr>
                  <w:r w:rsidRPr="007E4F60">
                    <w:t>69.8</w:t>
                  </w:r>
                </w:p>
              </w:tc>
              <w:tc>
                <w:tcPr>
                  <w:tcW w:w="709" w:type="dxa"/>
                  <w:vAlign w:val="center"/>
                </w:tcPr>
                <w:p w:rsidR="005C44D0" w:rsidRPr="007E4F60" w:rsidRDefault="005C44D0" w:rsidP="007E4F60">
                  <w:pPr>
                    <w:pStyle w:val="TableBodyText"/>
                  </w:pPr>
                  <w:r w:rsidRPr="007E4F60">
                    <w:t>66.2</w:t>
                  </w:r>
                </w:p>
              </w:tc>
              <w:tc>
                <w:tcPr>
                  <w:tcW w:w="709" w:type="dxa"/>
                  <w:gridSpan w:val="2"/>
                  <w:vAlign w:val="center"/>
                </w:tcPr>
                <w:p w:rsidR="005C44D0" w:rsidRPr="007E4F60" w:rsidRDefault="005C44D0" w:rsidP="007E4F60">
                  <w:pPr>
                    <w:pStyle w:val="TableBodyText"/>
                  </w:pPr>
                  <w:r w:rsidRPr="007E4F60">
                    <w:t>64.0</w:t>
                  </w:r>
                </w:p>
              </w:tc>
              <w:tc>
                <w:tcPr>
                  <w:tcW w:w="709" w:type="dxa"/>
                  <w:gridSpan w:val="2"/>
                  <w:vAlign w:val="center"/>
                </w:tcPr>
                <w:p w:rsidR="005C44D0" w:rsidRPr="007E4F60" w:rsidRDefault="005C44D0" w:rsidP="007E4F60">
                  <w:pPr>
                    <w:pStyle w:val="TableBodyText"/>
                  </w:pPr>
                  <w:r w:rsidRPr="007E4F60">
                    <w:t>40.9</w:t>
                  </w:r>
                </w:p>
              </w:tc>
              <w:tc>
                <w:tcPr>
                  <w:tcW w:w="709" w:type="dxa"/>
                  <w:gridSpan w:val="2"/>
                  <w:vAlign w:val="center"/>
                </w:tcPr>
                <w:p w:rsidR="005C44D0" w:rsidRPr="007E4F60" w:rsidRDefault="005C44D0" w:rsidP="007E4F60">
                  <w:pPr>
                    <w:pStyle w:val="TableBodyText"/>
                  </w:pPr>
                  <w:r w:rsidRPr="007E4F60">
                    <w:t>72.1</w:t>
                  </w:r>
                </w:p>
              </w:tc>
            </w:tr>
            <w:tr w:rsidR="005C44D0" w:rsidRPr="00666ECE" w:rsidTr="00EA54E6">
              <w:tc>
                <w:tcPr>
                  <w:tcW w:w="1843" w:type="dxa"/>
                </w:tcPr>
                <w:p w:rsidR="005C44D0" w:rsidRPr="00666ECE" w:rsidRDefault="005C44D0" w:rsidP="003611D5">
                  <w:pPr>
                    <w:pStyle w:val="TableUnitsRow"/>
                    <w:jc w:val="left"/>
                    <w:rPr>
                      <w:sz w:val="20"/>
                    </w:rPr>
                  </w:pPr>
                  <w:r w:rsidRPr="00666ECE">
                    <w:rPr>
                      <w:sz w:val="20"/>
                    </w:rPr>
                    <w:t>Non-government</w:t>
                  </w:r>
                </w:p>
              </w:tc>
              <w:tc>
                <w:tcPr>
                  <w:tcW w:w="567" w:type="dxa"/>
                  <w:vAlign w:val="center"/>
                </w:tcPr>
                <w:p w:rsidR="005C44D0" w:rsidRPr="007E4F60" w:rsidRDefault="005C44D0" w:rsidP="007E4F60">
                  <w:pPr>
                    <w:pStyle w:val="TableBodyText"/>
                  </w:pPr>
                  <w:r w:rsidRPr="007E4F60">
                    <w:t>%</w:t>
                  </w:r>
                </w:p>
              </w:tc>
              <w:tc>
                <w:tcPr>
                  <w:tcW w:w="708" w:type="dxa"/>
                  <w:vAlign w:val="center"/>
                </w:tcPr>
                <w:p w:rsidR="005C44D0" w:rsidRPr="007E4F60" w:rsidRDefault="005C44D0" w:rsidP="007E4F60">
                  <w:pPr>
                    <w:pStyle w:val="TableBodyText"/>
                  </w:pPr>
                  <w:r w:rsidRPr="007E4F60">
                    <w:t>53.3</w:t>
                  </w:r>
                </w:p>
              </w:tc>
              <w:tc>
                <w:tcPr>
                  <w:tcW w:w="709" w:type="dxa"/>
                  <w:vAlign w:val="center"/>
                </w:tcPr>
                <w:p w:rsidR="005C44D0" w:rsidRPr="007E4F60" w:rsidRDefault="005C44D0" w:rsidP="007E4F60">
                  <w:pPr>
                    <w:pStyle w:val="TableBodyText"/>
                  </w:pPr>
                  <w:r w:rsidRPr="007E4F60">
                    <w:t>60.9</w:t>
                  </w:r>
                </w:p>
              </w:tc>
              <w:tc>
                <w:tcPr>
                  <w:tcW w:w="709" w:type="dxa"/>
                  <w:vAlign w:val="center"/>
                </w:tcPr>
                <w:p w:rsidR="005C44D0" w:rsidRPr="007E4F60" w:rsidRDefault="005C44D0" w:rsidP="007E4F60">
                  <w:pPr>
                    <w:pStyle w:val="TableBodyText"/>
                  </w:pPr>
                  <w:r w:rsidRPr="007E4F60">
                    <w:t>47.8</w:t>
                  </w:r>
                </w:p>
              </w:tc>
              <w:tc>
                <w:tcPr>
                  <w:tcW w:w="709" w:type="dxa"/>
                  <w:vAlign w:val="center"/>
                </w:tcPr>
                <w:p w:rsidR="005C44D0" w:rsidRPr="007E4F60" w:rsidRDefault="005C44D0" w:rsidP="007E4F60">
                  <w:pPr>
                    <w:pStyle w:val="TableBodyText"/>
                  </w:pPr>
                  <w:r w:rsidRPr="007E4F60">
                    <w:t>49.8</w:t>
                  </w:r>
                </w:p>
              </w:tc>
              <w:tc>
                <w:tcPr>
                  <w:tcW w:w="708" w:type="dxa"/>
                  <w:vAlign w:val="center"/>
                </w:tcPr>
                <w:p w:rsidR="005C44D0" w:rsidRPr="007E4F60" w:rsidRDefault="005C44D0" w:rsidP="007E4F60">
                  <w:pPr>
                    <w:pStyle w:val="TableBodyText"/>
                  </w:pPr>
                  <w:r w:rsidRPr="007E4F60">
                    <w:t>51.3</w:t>
                  </w:r>
                </w:p>
              </w:tc>
              <w:tc>
                <w:tcPr>
                  <w:tcW w:w="709" w:type="dxa"/>
                  <w:vAlign w:val="center"/>
                </w:tcPr>
                <w:p w:rsidR="005C44D0" w:rsidRPr="007E4F60" w:rsidRDefault="005C44D0" w:rsidP="007E4F60">
                  <w:pPr>
                    <w:pStyle w:val="TableBodyText"/>
                  </w:pPr>
                  <w:r w:rsidRPr="007E4F60">
                    <w:t>43.1</w:t>
                  </w:r>
                </w:p>
              </w:tc>
              <w:tc>
                <w:tcPr>
                  <w:tcW w:w="709" w:type="dxa"/>
                  <w:gridSpan w:val="2"/>
                  <w:vAlign w:val="center"/>
                </w:tcPr>
                <w:p w:rsidR="005C44D0" w:rsidRPr="007E4F60" w:rsidRDefault="005C44D0" w:rsidP="007E4F60">
                  <w:pPr>
                    <w:pStyle w:val="TableBodyText"/>
                  </w:pPr>
                  <w:r w:rsidRPr="007E4F60">
                    <w:t>56.8</w:t>
                  </w:r>
                </w:p>
              </w:tc>
              <w:tc>
                <w:tcPr>
                  <w:tcW w:w="709" w:type="dxa"/>
                  <w:gridSpan w:val="2"/>
                  <w:vAlign w:val="center"/>
                </w:tcPr>
                <w:p w:rsidR="005C44D0" w:rsidRPr="007E4F60" w:rsidRDefault="005C44D0" w:rsidP="007E4F60">
                  <w:pPr>
                    <w:pStyle w:val="TableBodyText"/>
                  </w:pPr>
                  <w:r w:rsidRPr="007E4F60">
                    <w:t>28.9</w:t>
                  </w:r>
                </w:p>
              </w:tc>
              <w:tc>
                <w:tcPr>
                  <w:tcW w:w="709" w:type="dxa"/>
                  <w:gridSpan w:val="2"/>
                  <w:vAlign w:val="center"/>
                </w:tcPr>
                <w:p w:rsidR="005C44D0" w:rsidRPr="007E4F60" w:rsidRDefault="005C44D0" w:rsidP="007E4F60">
                  <w:pPr>
                    <w:pStyle w:val="TableBodyText"/>
                  </w:pPr>
                  <w:r w:rsidRPr="007E4F60">
                    <w:t>53.2</w:t>
                  </w:r>
                </w:p>
              </w:tc>
            </w:tr>
            <w:tr w:rsidR="005C44D0" w:rsidRPr="00666ECE" w:rsidTr="00EA54E6">
              <w:tc>
                <w:tcPr>
                  <w:tcW w:w="1843" w:type="dxa"/>
                  <w:tcBorders>
                    <w:bottom w:val="single" w:sz="6" w:space="0" w:color="auto"/>
                  </w:tcBorders>
                  <w:shd w:val="clear" w:color="auto" w:fill="auto"/>
                </w:tcPr>
                <w:p w:rsidR="005C44D0" w:rsidRPr="00666ECE" w:rsidRDefault="005C44D0" w:rsidP="003611D5">
                  <w:pPr>
                    <w:pStyle w:val="TableUnitsRow"/>
                    <w:jc w:val="left"/>
                    <w:rPr>
                      <w:b/>
                      <w:sz w:val="20"/>
                    </w:rPr>
                  </w:pPr>
                  <w:r w:rsidRPr="00666ECE">
                    <w:rPr>
                      <w:b/>
                      <w:sz w:val="20"/>
                    </w:rPr>
                    <w:t>All schools</w:t>
                  </w:r>
                </w:p>
              </w:tc>
              <w:tc>
                <w:tcPr>
                  <w:tcW w:w="567" w:type="dxa"/>
                  <w:tcBorders>
                    <w:bottom w:val="single" w:sz="6" w:space="0" w:color="auto"/>
                  </w:tcBorders>
                  <w:vAlign w:val="center"/>
                </w:tcPr>
                <w:p w:rsidR="005C44D0" w:rsidRPr="007E4F60" w:rsidRDefault="005C44D0" w:rsidP="007E4F60">
                  <w:pPr>
                    <w:pStyle w:val="TableBodyText"/>
                  </w:pPr>
                  <w:r w:rsidRPr="007E4F60">
                    <w:t>%</w:t>
                  </w:r>
                </w:p>
              </w:tc>
              <w:tc>
                <w:tcPr>
                  <w:tcW w:w="708" w:type="dxa"/>
                  <w:tcBorders>
                    <w:bottom w:val="single" w:sz="6" w:space="0" w:color="auto"/>
                  </w:tcBorders>
                  <w:shd w:val="clear" w:color="auto" w:fill="auto"/>
                  <w:vAlign w:val="center"/>
                </w:tcPr>
                <w:p w:rsidR="005C44D0" w:rsidRPr="007E4F60" w:rsidRDefault="005C44D0" w:rsidP="007E4F60">
                  <w:pPr>
                    <w:pStyle w:val="TableBodyText"/>
                  </w:pPr>
                  <w:r w:rsidRPr="007E4F60">
                    <w:t>68.4</w:t>
                  </w:r>
                </w:p>
              </w:tc>
              <w:tc>
                <w:tcPr>
                  <w:tcW w:w="709" w:type="dxa"/>
                  <w:tcBorders>
                    <w:bottom w:val="single" w:sz="6" w:space="0" w:color="auto"/>
                  </w:tcBorders>
                  <w:shd w:val="clear" w:color="auto" w:fill="auto"/>
                  <w:vAlign w:val="center"/>
                </w:tcPr>
                <w:p w:rsidR="005C44D0" w:rsidRPr="007E4F60" w:rsidRDefault="005C44D0" w:rsidP="007E4F60">
                  <w:pPr>
                    <w:pStyle w:val="TableBodyText"/>
                  </w:pPr>
                  <w:r w:rsidRPr="007E4F60">
                    <w:t>69.9</w:t>
                  </w:r>
                </w:p>
              </w:tc>
              <w:tc>
                <w:tcPr>
                  <w:tcW w:w="709" w:type="dxa"/>
                  <w:tcBorders>
                    <w:bottom w:val="single" w:sz="6" w:space="0" w:color="auto"/>
                  </w:tcBorders>
                  <w:shd w:val="clear" w:color="auto" w:fill="auto"/>
                  <w:vAlign w:val="center"/>
                </w:tcPr>
                <w:p w:rsidR="005C44D0" w:rsidRPr="007E4F60" w:rsidRDefault="005C44D0" w:rsidP="007E4F60">
                  <w:pPr>
                    <w:pStyle w:val="TableBodyText"/>
                  </w:pPr>
                  <w:r w:rsidRPr="007E4F60">
                    <w:t>66.9</w:t>
                  </w:r>
                </w:p>
              </w:tc>
              <w:tc>
                <w:tcPr>
                  <w:tcW w:w="709" w:type="dxa"/>
                  <w:tcBorders>
                    <w:bottom w:val="single" w:sz="6" w:space="0" w:color="auto"/>
                  </w:tcBorders>
                  <w:shd w:val="clear" w:color="auto" w:fill="auto"/>
                  <w:vAlign w:val="center"/>
                </w:tcPr>
                <w:p w:rsidR="005C44D0" w:rsidRPr="007E4F60" w:rsidRDefault="005C44D0" w:rsidP="007E4F60">
                  <w:pPr>
                    <w:pStyle w:val="TableBodyText"/>
                  </w:pPr>
                  <w:r w:rsidRPr="007E4F60">
                    <w:t>62.4</w:t>
                  </w:r>
                </w:p>
              </w:tc>
              <w:tc>
                <w:tcPr>
                  <w:tcW w:w="708" w:type="dxa"/>
                  <w:tcBorders>
                    <w:bottom w:val="single" w:sz="6" w:space="0" w:color="auto"/>
                  </w:tcBorders>
                  <w:shd w:val="clear" w:color="auto" w:fill="auto"/>
                  <w:vAlign w:val="center"/>
                </w:tcPr>
                <w:p w:rsidR="005C44D0" w:rsidRPr="007E4F60" w:rsidRDefault="005C44D0" w:rsidP="007E4F60">
                  <w:pPr>
                    <w:pStyle w:val="TableBodyText"/>
                  </w:pPr>
                  <w:r w:rsidRPr="007E4F60">
                    <w:t>64.8</w:t>
                  </w:r>
                </w:p>
              </w:tc>
              <w:tc>
                <w:tcPr>
                  <w:tcW w:w="709" w:type="dxa"/>
                  <w:tcBorders>
                    <w:bottom w:val="single" w:sz="6" w:space="0" w:color="auto"/>
                  </w:tcBorders>
                  <w:shd w:val="clear" w:color="auto" w:fill="auto"/>
                  <w:vAlign w:val="center"/>
                </w:tcPr>
                <w:p w:rsidR="005C44D0" w:rsidRPr="007E4F60" w:rsidRDefault="005C44D0" w:rsidP="007E4F60">
                  <w:pPr>
                    <w:pStyle w:val="TableBodyText"/>
                  </w:pPr>
                  <w:r w:rsidRPr="007E4F60">
                    <w:t>60.5</w:t>
                  </w:r>
                </w:p>
              </w:tc>
              <w:tc>
                <w:tcPr>
                  <w:tcW w:w="709" w:type="dxa"/>
                  <w:gridSpan w:val="2"/>
                  <w:tcBorders>
                    <w:bottom w:val="single" w:sz="6" w:space="0" w:color="auto"/>
                  </w:tcBorders>
                  <w:shd w:val="clear" w:color="auto" w:fill="auto"/>
                  <w:vAlign w:val="center"/>
                </w:tcPr>
                <w:p w:rsidR="005C44D0" w:rsidRPr="007E4F60" w:rsidRDefault="005C44D0" w:rsidP="007E4F60">
                  <w:pPr>
                    <w:pStyle w:val="TableBodyText"/>
                  </w:pPr>
                  <w:r w:rsidRPr="007E4F60">
                    <w:t>61.5</w:t>
                  </w:r>
                </w:p>
              </w:tc>
              <w:tc>
                <w:tcPr>
                  <w:tcW w:w="709" w:type="dxa"/>
                  <w:gridSpan w:val="2"/>
                  <w:tcBorders>
                    <w:bottom w:val="single" w:sz="6" w:space="0" w:color="auto"/>
                  </w:tcBorders>
                  <w:shd w:val="clear" w:color="auto" w:fill="auto"/>
                  <w:vAlign w:val="center"/>
                </w:tcPr>
                <w:p w:rsidR="005C44D0" w:rsidRPr="007E4F60" w:rsidRDefault="005C44D0" w:rsidP="007E4F60">
                  <w:pPr>
                    <w:pStyle w:val="TableBodyText"/>
                  </w:pPr>
                  <w:r w:rsidRPr="007E4F60">
                    <w:t>38.5</w:t>
                  </w:r>
                </w:p>
              </w:tc>
              <w:tc>
                <w:tcPr>
                  <w:tcW w:w="709" w:type="dxa"/>
                  <w:gridSpan w:val="2"/>
                  <w:tcBorders>
                    <w:bottom w:val="single" w:sz="6" w:space="0" w:color="auto"/>
                  </w:tcBorders>
                  <w:shd w:val="clear" w:color="auto" w:fill="auto"/>
                  <w:vAlign w:val="center"/>
                </w:tcPr>
                <w:p w:rsidR="005C44D0" w:rsidRPr="007E4F60" w:rsidRDefault="005C44D0" w:rsidP="007E4F60">
                  <w:pPr>
                    <w:pStyle w:val="TableBodyText"/>
                  </w:pPr>
                  <w:r w:rsidRPr="007E4F60">
                    <w:t>66.6</w:t>
                  </w:r>
                </w:p>
              </w:tc>
            </w:tr>
          </w:tbl>
          <w:p w:rsidR="003611D5" w:rsidRDefault="003611D5" w:rsidP="00EA54E6">
            <w:pPr>
              <w:pStyle w:val="Box"/>
            </w:pPr>
          </w:p>
        </w:tc>
      </w:tr>
      <w:tr w:rsidR="003611D5" w:rsidTr="00EA54E6">
        <w:trPr>
          <w:cantSplit/>
        </w:trPr>
        <w:tc>
          <w:tcPr>
            <w:tcW w:w="8771" w:type="dxa"/>
            <w:tcBorders>
              <w:top w:val="nil"/>
              <w:left w:val="nil"/>
              <w:bottom w:val="nil"/>
              <w:right w:val="nil"/>
            </w:tcBorders>
            <w:shd w:val="clear" w:color="auto" w:fill="auto"/>
          </w:tcPr>
          <w:p w:rsidR="003611D5" w:rsidRPr="003611D5" w:rsidRDefault="003611D5" w:rsidP="00EA54E6">
            <w:pPr>
              <w:pStyle w:val="Note"/>
            </w:pPr>
            <w:r w:rsidRPr="008E77FE">
              <w:rPr>
                <w:rStyle w:val="NoteLabel"/>
              </w:rPr>
              <w:t>a</w:t>
            </w:r>
            <w:r w:rsidRPr="003611D5">
              <w:t xml:space="preserve"> Combined primary and secondary schools. </w:t>
            </w:r>
            <w:r w:rsidRPr="003611D5">
              <w:rPr>
                <w:rStyle w:val="NoteLabel"/>
              </w:rPr>
              <w:t>b</w:t>
            </w:r>
            <w:r w:rsidRPr="003611D5">
              <w:t> Special schools provide special instruction for students with a physical and/or mental disability/impairment, or with social problems. Students must exhibit one or more of the following characteristics before enrolment is allowed: mental or physical disability or impairment, slow learning ability, social or emotional problems, and in custody, on remand or in hospital.</w:t>
            </w:r>
          </w:p>
        </w:tc>
      </w:tr>
      <w:tr w:rsidR="003611D5" w:rsidTr="00EA54E6">
        <w:trPr>
          <w:cantSplit/>
        </w:trPr>
        <w:tc>
          <w:tcPr>
            <w:tcW w:w="8771" w:type="dxa"/>
            <w:tcBorders>
              <w:top w:val="nil"/>
              <w:left w:val="nil"/>
              <w:bottom w:val="nil"/>
              <w:right w:val="nil"/>
            </w:tcBorders>
            <w:shd w:val="clear" w:color="auto" w:fill="auto"/>
          </w:tcPr>
          <w:p w:rsidR="003611D5" w:rsidRDefault="003611D5" w:rsidP="00EA54E6">
            <w:pPr>
              <w:pStyle w:val="Source"/>
            </w:pPr>
            <w:r>
              <w:rPr>
                <w:i/>
              </w:rPr>
              <w:t>Source</w:t>
            </w:r>
            <w:r w:rsidRPr="00167F06">
              <w:t xml:space="preserve">: </w:t>
            </w:r>
            <w:r w:rsidRPr="003611D5">
              <w:t>ABS (201</w:t>
            </w:r>
            <w:r>
              <w:t>4</w:t>
            </w:r>
            <w:r w:rsidRPr="003611D5">
              <w:t xml:space="preserve"> and unpublished) </w:t>
            </w:r>
            <w:r w:rsidRPr="003611D5">
              <w:rPr>
                <w:i/>
              </w:rPr>
              <w:t>Schools Australia 201</w:t>
            </w:r>
            <w:r>
              <w:rPr>
                <w:i/>
              </w:rPr>
              <w:t>3</w:t>
            </w:r>
            <w:r w:rsidRPr="003611D5">
              <w:rPr>
                <w:i/>
              </w:rPr>
              <w:t xml:space="preserve">, </w:t>
            </w:r>
            <w:r w:rsidRPr="003611D5">
              <w:t>Ca</w:t>
            </w:r>
            <w:r>
              <w:t xml:space="preserve">t. no. 4221.0; tables </w:t>
            </w:r>
            <w:proofErr w:type="spellStart"/>
            <w:r>
              <w:t>4A.1</w:t>
            </w:r>
            <w:proofErr w:type="spellEnd"/>
            <w:r>
              <w:t>–3.</w:t>
            </w:r>
          </w:p>
        </w:tc>
      </w:tr>
      <w:tr w:rsidR="003611D5" w:rsidTr="00EA54E6">
        <w:trPr>
          <w:cantSplit/>
        </w:trPr>
        <w:tc>
          <w:tcPr>
            <w:tcW w:w="8771" w:type="dxa"/>
            <w:tcBorders>
              <w:top w:val="nil"/>
              <w:left w:val="nil"/>
              <w:bottom w:val="single" w:sz="6" w:space="0" w:color="78A22F"/>
              <w:right w:val="nil"/>
            </w:tcBorders>
            <w:shd w:val="clear" w:color="auto" w:fill="auto"/>
          </w:tcPr>
          <w:p w:rsidR="003611D5" w:rsidRDefault="003611D5" w:rsidP="00EA54E6">
            <w:pPr>
              <w:pStyle w:val="Box"/>
              <w:spacing w:before="0" w:line="120" w:lineRule="exact"/>
            </w:pPr>
          </w:p>
        </w:tc>
      </w:tr>
      <w:tr w:rsidR="003611D5" w:rsidRPr="000863A5" w:rsidTr="00EA54E6">
        <w:tc>
          <w:tcPr>
            <w:tcW w:w="8771" w:type="dxa"/>
            <w:tcBorders>
              <w:top w:val="single" w:sz="6" w:space="0" w:color="78A22F"/>
              <w:left w:val="nil"/>
              <w:bottom w:val="nil"/>
              <w:right w:val="nil"/>
            </w:tcBorders>
          </w:tcPr>
          <w:p w:rsidR="003611D5" w:rsidRPr="00626D32" w:rsidRDefault="003611D5" w:rsidP="00EA54E6">
            <w:pPr>
              <w:pStyle w:val="BoxSpaceBelow"/>
            </w:pPr>
          </w:p>
        </w:tc>
      </w:tr>
    </w:tbl>
    <w:p w:rsidR="00666ECE" w:rsidRPr="000E6F59" w:rsidRDefault="00666ECE" w:rsidP="004145D6">
      <w:pPr>
        <w:pStyle w:val="Heading4"/>
      </w:pPr>
      <w:r w:rsidRPr="000E6F59">
        <w:lastRenderedPageBreak/>
        <w:t>Student body</w:t>
      </w:r>
    </w:p>
    <w:p w:rsidR="00666ECE" w:rsidRDefault="00666ECE" w:rsidP="004145D6">
      <w:pPr>
        <w:pStyle w:val="BodyText"/>
      </w:pPr>
      <w:r w:rsidRPr="000E6F59">
        <w:t xml:space="preserve">There </w:t>
      </w:r>
      <w:r w:rsidRPr="00FC28FD">
        <w:t xml:space="preserve">were </w:t>
      </w:r>
      <w:r w:rsidR="00587845" w:rsidRPr="00FC28FD">
        <w:t>3.</w:t>
      </w:r>
      <w:r w:rsidR="00FC28FD" w:rsidRPr="00FC28FD">
        <w:t>6</w:t>
      </w:r>
      <w:r w:rsidRPr="00FC28FD">
        <w:t xml:space="preserve"> million </w:t>
      </w:r>
      <w:r w:rsidRPr="000E6F59">
        <w:t>full time equivalent (FTE) student enrolments in primary and secondary schools in August 201</w:t>
      </w:r>
      <w:r w:rsidR="00F86622">
        <w:t>3</w:t>
      </w:r>
      <w:r w:rsidRPr="000E6F59">
        <w:t xml:space="preserve"> (see section 4.6 for a definition of FTE</w:t>
      </w:r>
      <w:r w:rsidRPr="00666ECE">
        <w:t xml:space="preserve"> student). </w:t>
      </w:r>
      <w:r w:rsidRPr="00C30F35">
        <w:t xml:space="preserve">Nationally, </w:t>
      </w:r>
      <w:r w:rsidR="00C30F35" w:rsidRPr="00C30F35">
        <w:t>48.9</w:t>
      </w:r>
      <w:r w:rsidRPr="00C30F35">
        <w:t xml:space="preserve"> per </w:t>
      </w:r>
      <w:r w:rsidRPr="00666ECE">
        <w:t>cent of FTE students in all schools were female (table 4.3).</w:t>
      </w:r>
    </w:p>
    <w:p w:rsidR="00666ECE" w:rsidRPr="00666ECE" w:rsidRDefault="00666ECE" w:rsidP="004145D6">
      <w:pPr>
        <w:pStyle w:val="BodyText"/>
      </w:pPr>
      <w:r w:rsidRPr="00666ECE">
        <w:t xml:space="preserve">A higher proportion of FTE students was enrolled in primary </w:t>
      </w:r>
      <w:r w:rsidRPr="00547B02">
        <w:rPr>
          <w:shd w:val="clear" w:color="auto" w:fill="FFFFFF" w:themeFill="background1"/>
        </w:rPr>
        <w:t>schools (</w:t>
      </w:r>
      <w:r w:rsidR="00C30F35" w:rsidRPr="00547B02">
        <w:rPr>
          <w:shd w:val="clear" w:color="auto" w:fill="FFFFFF" w:themeFill="background1"/>
        </w:rPr>
        <w:t>58.</w:t>
      </w:r>
      <w:r w:rsidR="00547B02" w:rsidRPr="00547B02">
        <w:rPr>
          <w:shd w:val="clear" w:color="auto" w:fill="FFFFFF" w:themeFill="background1"/>
        </w:rPr>
        <w:t>5</w:t>
      </w:r>
      <w:r w:rsidR="00587845" w:rsidRPr="00547B02">
        <w:rPr>
          <w:shd w:val="clear" w:color="auto" w:fill="FFFFFF" w:themeFill="background1"/>
        </w:rPr>
        <w:t xml:space="preserve"> </w:t>
      </w:r>
      <w:r w:rsidRPr="00547B02">
        <w:rPr>
          <w:shd w:val="clear" w:color="auto" w:fill="FFFFFF" w:themeFill="background1"/>
        </w:rPr>
        <w:t>per cent) than in secondary schools (</w:t>
      </w:r>
      <w:r w:rsidR="00587845" w:rsidRPr="00547B02">
        <w:rPr>
          <w:shd w:val="clear" w:color="auto" w:fill="FFFFFF" w:themeFill="background1"/>
        </w:rPr>
        <w:t>4</w:t>
      </w:r>
      <w:r w:rsidR="00C30F35" w:rsidRPr="00547B02">
        <w:rPr>
          <w:shd w:val="clear" w:color="auto" w:fill="FFFFFF" w:themeFill="background1"/>
        </w:rPr>
        <w:t>1.</w:t>
      </w:r>
      <w:r w:rsidR="00547B02" w:rsidRPr="00547B02">
        <w:rPr>
          <w:shd w:val="clear" w:color="auto" w:fill="FFFFFF" w:themeFill="background1"/>
        </w:rPr>
        <w:t>5</w:t>
      </w:r>
      <w:r w:rsidRPr="00547B02">
        <w:rPr>
          <w:shd w:val="clear" w:color="auto" w:fill="FFFFFF" w:themeFill="background1"/>
        </w:rPr>
        <w:t xml:space="preserve"> per cent) (table 4.3). Differences</w:t>
      </w:r>
      <w:r w:rsidRPr="00666ECE">
        <w:t xml:space="preserve"> in schooling structures influence enrolment patterns. Primary school education in Queensland, WA and SA, for example, includes year 7, whereas all other jurisdictions include year 7 in secondary school (figure 4.</w:t>
      </w:r>
      <w:r w:rsidR="00D51826">
        <w:t>2</w:t>
      </w:r>
      <w:r w:rsidRPr="00666ECE">
        <w:t xml:space="preserve">). The proportion of students enrolled in primary school education </w:t>
      </w:r>
      <w:r w:rsidR="00EF142D">
        <w:t>can</w:t>
      </w:r>
      <w:r w:rsidRPr="00666ECE">
        <w:t xml:space="preserve"> be expected to be higher in jurisdictions that include year 7 in primary school (table 4.3).</w:t>
      </w:r>
    </w:p>
    <w:p w:rsidR="00666ECE" w:rsidRPr="00FC28FD" w:rsidRDefault="00666ECE" w:rsidP="004145D6">
      <w:pPr>
        <w:pStyle w:val="BodyText"/>
        <w:rPr>
          <w:b/>
          <w:u w:val="dotted"/>
        </w:rPr>
      </w:pPr>
      <w:r w:rsidRPr="00FC28FD">
        <w:t xml:space="preserve">Nationally, the proportion of FTE </w:t>
      </w:r>
      <w:r w:rsidRPr="00547B02">
        <w:rPr>
          <w:shd w:val="clear" w:color="auto" w:fill="FFFFFF" w:themeFill="background1"/>
        </w:rPr>
        <w:t xml:space="preserve">students enrolled in government schools was </w:t>
      </w:r>
      <w:r w:rsidR="00587845" w:rsidRPr="00547B02">
        <w:rPr>
          <w:shd w:val="clear" w:color="auto" w:fill="FFFFFF" w:themeFill="background1"/>
        </w:rPr>
        <w:t>65.</w:t>
      </w:r>
      <w:r w:rsidR="00FC28FD" w:rsidRPr="00547B02">
        <w:rPr>
          <w:shd w:val="clear" w:color="auto" w:fill="FFFFFF" w:themeFill="background1"/>
        </w:rPr>
        <w:t>1</w:t>
      </w:r>
      <w:r w:rsidRPr="00547B02">
        <w:rPr>
          <w:shd w:val="clear" w:color="auto" w:fill="FFFFFF" w:themeFill="background1"/>
        </w:rPr>
        <w:t> per</w:t>
      </w:r>
      <w:r w:rsidR="008F5666">
        <w:rPr>
          <w:shd w:val="clear" w:color="auto" w:fill="FFFFFF" w:themeFill="background1"/>
        </w:rPr>
        <w:t> </w:t>
      </w:r>
      <w:r w:rsidRPr="00547B02">
        <w:rPr>
          <w:shd w:val="clear" w:color="auto" w:fill="FFFFFF" w:themeFill="background1"/>
        </w:rPr>
        <w:t>cent. A higher proportion of FTE students was enrolled in government schools at primary level (</w:t>
      </w:r>
      <w:r w:rsidR="00587845" w:rsidRPr="00547B02">
        <w:rPr>
          <w:shd w:val="clear" w:color="auto" w:fill="FFFFFF" w:themeFill="background1"/>
        </w:rPr>
        <w:t>68.9</w:t>
      </w:r>
      <w:r w:rsidRPr="00547B02">
        <w:rPr>
          <w:shd w:val="clear" w:color="auto" w:fill="FFFFFF" w:themeFill="background1"/>
        </w:rPr>
        <w:t xml:space="preserve"> per cent) than at secondary level (</w:t>
      </w:r>
      <w:r w:rsidR="00547B02" w:rsidRPr="00547B02">
        <w:rPr>
          <w:shd w:val="clear" w:color="auto" w:fill="FFFFFF" w:themeFill="background1"/>
        </w:rPr>
        <w:t>59.6</w:t>
      </w:r>
      <w:r w:rsidRPr="00547B02">
        <w:rPr>
          <w:shd w:val="clear" w:color="auto" w:fill="FFFFFF" w:themeFill="background1"/>
        </w:rPr>
        <w:t xml:space="preserve"> per cent)</w:t>
      </w:r>
      <w:r w:rsidRPr="00FC28FD">
        <w:t xml:space="preserve"> (table 4.3).</w:t>
      </w:r>
    </w:p>
    <w:p w:rsidR="003611D5" w:rsidRDefault="003611D5" w:rsidP="00EA54E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909"/>
      </w:tblGrid>
      <w:tr w:rsidR="003611D5" w:rsidTr="00EA54E6">
        <w:tc>
          <w:tcPr>
            <w:tcW w:w="8771" w:type="dxa"/>
            <w:tcBorders>
              <w:top w:val="single" w:sz="6" w:space="0" w:color="78A22F"/>
              <w:left w:val="nil"/>
              <w:bottom w:val="nil"/>
              <w:right w:val="nil"/>
            </w:tcBorders>
            <w:shd w:val="clear" w:color="auto" w:fill="auto"/>
          </w:tcPr>
          <w:p w:rsidR="003611D5" w:rsidRPr="00784A05" w:rsidRDefault="003611D5" w:rsidP="005C44D0">
            <w:pPr>
              <w:pStyle w:val="TableTitle"/>
            </w:pPr>
            <w:r>
              <w:rPr>
                <w:b w:val="0"/>
              </w:rPr>
              <w:t xml:space="preserve">Table </w:t>
            </w:r>
            <w:r w:rsidR="00B70781">
              <w:rPr>
                <w:b w:val="0"/>
              </w:rPr>
              <w:t>4.</w:t>
            </w:r>
            <w:r w:rsidR="005953B6">
              <w:rPr>
                <w:b w:val="0"/>
                <w:noProof/>
              </w:rPr>
              <w:t>3</w:t>
            </w:r>
            <w:r>
              <w:tab/>
            </w:r>
            <w:r w:rsidRPr="003611D5">
              <w:t>FTE student enrolments, August 201</w:t>
            </w:r>
            <w:r w:rsidR="005C44D0">
              <w:t>3</w:t>
            </w:r>
            <w:r w:rsidRPr="003611D5">
              <w:rPr>
                <w:rStyle w:val="NoteLabel"/>
                <w:b/>
              </w:rPr>
              <w:t>a, b</w:t>
            </w:r>
          </w:p>
        </w:tc>
      </w:tr>
      <w:tr w:rsidR="003611D5" w:rsidTr="00EA54E6">
        <w:trPr>
          <w:cantSplit/>
        </w:trPr>
        <w:tc>
          <w:tcPr>
            <w:tcW w:w="8771" w:type="dxa"/>
            <w:tcBorders>
              <w:top w:val="nil"/>
              <w:left w:val="nil"/>
              <w:bottom w:val="nil"/>
              <w:right w:val="nil"/>
            </w:tcBorders>
            <w:shd w:val="clear" w:color="auto" w:fill="auto"/>
          </w:tcPr>
          <w:tbl>
            <w:tblPr>
              <w:tblW w:w="8767" w:type="dxa"/>
              <w:tblCellMar>
                <w:left w:w="0" w:type="dxa"/>
                <w:right w:w="0" w:type="dxa"/>
              </w:tblCellMar>
              <w:tblLook w:val="0000" w:firstRow="0" w:lastRow="0" w:firstColumn="0" w:lastColumn="0" w:noHBand="0" w:noVBand="0"/>
            </w:tblPr>
            <w:tblGrid>
              <w:gridCol w:w="1821"/>
              <w:gridCol w:w="709"/>
              <w:gridCol w:w="850"/>
              <w:gridCol w:w="709"/>
              <w:gridCol w:w="709"/>
              <w:gridCol w:w="709"/>
              <w:gridCol w:w="708"/>
              <w:gridCol w:w="567"/>
              <w:gridCol w:w="567"/>
              <w:gridCol w:w="567"/>
              <w:gridCol w:w="851"/>
            </w:tblGrid>
            <w:tr w:rsidR="003611D5" w:rsidRPr="00666ECE" w:rsidTr="00425D7B">
              <w:tc>
                <w:tcPr>
                  <w:tcW w:w="1821" w:type="dxa"/>
                  <w:tcBorders>
                    <w:top w:val="single" w:sz="6" w:space="0" w:color="auto"/>
                    <w:bottom w:val="single" w:sz="6" w:space="0" w:color="auto"/>
                  </w:tcBorders>
                  <w:shd w:val="clear" w:color="auto" w:fill="auto"/>
                </w:tcPr>
                <w:p w:rsidR="003611D5" w:rsidRPr="00666ECE" w:rsidRDefault="003611D5" w:rsidP="00EA54E6">
                  <w:pPr>
                    <w:keepNext/>
                    <w:keepLines/>
                    <w:spacing w:before="80" w:after="80" w:line="220" w:lineRule="atLeast"/>
                    <w:ind w:left="6" w:right="113"/>
                    <w:rPr>
                      <w:rFonts w:ascii="Arial" w:hAnsi="Arial"/>
                      <w:i/>
                      <w:sz w:val="20"/>
                      <w:szCs w:val="20"/>
                    </w:rPr>
                  </w:pPr>
                </w:p>
              </w:tc>
              <w:tc>
                <w:tcPr>
                  <w:tcW w:w="709" w:type="dxa"/>
                  <w:tcBorders>
                    <w:top w:val="single" w:sz="6" w:space="0" w:color="auto"/>
                    <w:bottom w:val="single" w:sz="6" w:space="0" w:color="auto"/>
                  </w:tcBorders>
                </w:tcPr>
                <w:p w:rsidR="003611D5" w:rsidRPr="00666ECE" w:rsidRDefault="003611D5" w:rsidP="005C44D0">
                  <w:pPr>
                    <w:pStyle w:val="TableColumnHeading"/>
                  </w:pPr>
                  <w:r>
                    <w:t>Unit</w:t>
                  </w:r>
                </w:p>
              </w:tc>
              <w:tc>
                <w:tcPr>
                  <w:tcW w:w="850" w:type="dxa"/>
                  <w:tcBorders>
                    <w:top w:val="single" w:sz="6" w:space="0" w:color="auto"/>
                    <w:bottom w:val="single" w:sz="6" w:space="0" w:color="auto"/>
                  </w:tcBorders>
                  <w:shd w:val="clear" w:color="auto" w:fill="auto"/>
                </w:tcPr>
                <w:p w:rsidR="003611D5" w:rsidRPr="00666ECE" w:rsidRDefault="003611D5" w:rsidP="005C44D0">
                  <w:pPr>
                    <w:pStyle w:val="TableColumnHeading"/>
                  </w:pPr>
                  <w:r w:rsidRPr="00666ECE">
                    <w:t>NSW</w:t>
                  </w:r>
                </w:p>
              </w:tc>
              <w:tc>
                <w:tcPr>
                  <w:tcW w:w="709" w:type="dxa"/>
                  <w:tcBorders>
                    <w:top w:val="single" w:sz="6" w:space="0" w:color="auto"/>
                    <w:bottom w:val="single" w:sz="6" w:space="0" w:color="auto"/>
                  </w:tcBorders>
                  <w:shd w:val="clear" w:color="auto" w:fill="auto"/>
                </w:tcPr>
                <w:p w:rsidR="003611D5" w:rsidRPr="00666ECE" w:rsidRDefault="003611D5" w:rsidP="005C44D0">
                  <w:pPr>
                    <w:pStyle w:val="TableColumnHeading"/>
                  </w:pPr>
                  <w:r w:rsidRPr="00666ECE">
                    <w:t>Vic</w:t>
                  </w:r>
                </w:p>
              </w:tc>
              <w:tc>
                <w:tcPr>
                  <w:tcW w:w="709" w:type="dxa"/>
                  <w:tcBorders>
                    <w:top w:val="single" w:sz="6" w:space="0" w:color="auto"/>
                    <w:bottom w:val="single" w:sz="6" w:space="0" w:color="auto"/>
                  </w:tcBorders>
                  <w:shd w:val="clear" w:color="auto" w:fill="auto"/>
                </w:tcPr>
                <w:p w:rsidR="003611D5" w:rsidRPr="00666ECE" w:rsidRDefault="003611D5" w:rsidP="005C44D0">
                  <w:pPr>
                    <w:pStyle w:val="TableColumnHeading"/>
                  </w:pPr>
                  <w:r w:rsidRPr="00666ECE">
                    <w:t>Qld</w:t>
                  </w:r>
                </w:p>
              </w:tc>
              <w:tc>
                <w:tcPr>
                  <w:tcW w:w="709" w:type="dxa"/>
                  <w:tcBorders>
                    <w:top w:val="single" w:sz="6" w:space="0" w:color="auto"/>
                    <w:bottom w:val="single" w:sz="6" w:space="0" w:color="auto"/>
                  </w:tcBorders>
                  <w:shd w:val="clear" w:color="auto" w:fill="auto"/>
                </w:tcPr>
                <w:p w:rsidR="003611D5" w:rsidRPr="00666ECE" w:rsidRDefault="003611D5" w:rsidP="005C44D0">
                  <w:pPr>
                    <w:pStyle w:val="TableColumnHeading"/>
                  </w:pPr>
                  <w:r w:rsidRPr="00666ECE">
                    <w:t>WA</w:t>
                  </w:r>
                </w:p>
              </w:tc>
              <w:tc>
                <w:tcPr>
                  <w:tcW w:w="708" w:type="dxa"/>
                  <w:tcBorders>
                    <w:top w:val="single" w:sz="6" w:space="0" w:color="auto"/>
                    <w:bottom w:val="single" w:sz="6" w:space="0" w:color="auto"/>
                  </w:tcBorders>
                  <w:shd w:val="clear" w:color="auto" w:fill="auto"/>
                </w:tcPr>
                <w:p w:rsidR="003611D5" w:rsidRPr="00666ECE" w:rsidRDefault="003611D5" w:rsidP="005C44D0">
                  <w:pPr>
                    <w:pStyle w:val="TableColumnHeading"/>
                  </w:pPr>
                  <w:r w:rsidRPr="00666ECE">
                    <w:t>SA</w:t>
                  </w:r>
                </w:p>
              </w:tc>
              <w:tc>
                <w:tcPr>
                  <w:tcW w:w="567" w:type="dxa"/>
                  <w:tcBorders>
                    <w:top w:val="single" w:sz="6" w:space="0" w:color="auto"/>
                    <w:bottom w:val="single" w:sz="6" w:space="0" w:color="auto"/>
                  </w:tcBorders>
                  <w:shd w:val="clear" w:color="auto" w:fill="auto"/>
                </w:tcPr>
                <w:p w:rsidR="003611D5" w:rsidRPr="00666ECE" w:rsidRDefault="003611D5" w:rsidP="005C44D0">
                  <w:pPr>
                    <w:pStyle w:val="TableColumnHeading"/>
                  </w:pPr>
                  <w:r w:rsidRPr="00666ECE">
                    <w:t>Tas</w:t>
                  </w:r>
                </w:p>
              </w:tc>
              <w:tc>
                <w:tcPr>
                  <w:tcW w:w="567" w:type="dxa"/>
                  <w:tcBorders>
                    <w:top w:val="single" w:sz="6" w:space="0" w:color="auto"/>
                    <w:bottom w:val="single" w:sz="6" w:space="0" w:color="auto"/>
                  </w:tcBorders>
                  <w:shd w:val="clear" w:color="auto" w:fill="auto"/>
                </w:tcPr>
                <w:p w:rsidR="003611D5" w:rsidRPr="00666ECE" w:rsidRDefault="003611D5" w:rsidP="005C44D0">
                  <w:pPr>
                    <w:pStyle w:val="TableColumnHeading"/>
                  </w:pPr>
                  <w:r w:rsidRPr="00666ECE">
                    <w:t>ACT</w:t>
                  </w:r>
                </w:p>
              </w:tc>
              <w:tc>
                <w:tcPr>
                  <w:tcW w:w="567" w:type="dxa"/>
                  <w:tcBorders>
                    <w:top w:val="single" w:sz="6" w:space="0" w:color="auto"/>
                    <w:bottom w:val="single" w:sz="6" w:space="0" w:color="auto"/>
                  </w:tcBorders>
                  <w:shd w:val="clear" w:color="auto" w:fill="auto"/>
                </w:tcPr>
                <w:p w:rsidR="003611D5" w:rsidRPr="00666ECE" w:rsidRDefault="003611D5" w:rsidP="005C44D0">
                  <w:pPr>
                    <w:pStyle w:val="TableColumnHeading"/>
                  </w:pPr>
                  <w:r w:rsidRPr="00666ECE">
                    <w:t>NT</w:t>
                  </w:r>
                </w:p>
              </w:tc>
              <w:tc>
                <w:tcPr>
                  <w:tcW w:w="851" w:type="dxa"/>
                  <w:tcBorders>
                    <w:top w:val="single" w:sz="6" w:space="0" w:color="auto"/>
                    <w:bottom w:val="single" w:sz="6" w:space="0" w:color="auto"/>
                  </w:tcBorders>
                  <w:shd w:val="clear" w:color="auto" w:fill="auto"/>
                </w:tcPr>
                <w:p w:rsidR="003611D5" w:rsidRPr="00666ECE" w:rsidRDefault="003611D5" w:rsidP="005C44D0">
                  <w:pPr>
                    <w:pStyle w:val="TableColumnHeading"/>
                  </w:pPr>
                  <w:proofErr w:type="spellStart"/>
                  <w:r w:rsidRPr="00666ECE">
                    <w:t>Aust</w:t>
                  </w:r>
                  <w:proofErr w:type="spellEnd"/>
                </w:p>
              </w:tc>
            </w:tr>
            <w:tr w:rsidR="003611D5" w:rsidRPr="00666ECE" w:rsidTr="00425D7B">
              <w:tc>
                <w:tcPr>
                  <w:tcW w:w="7916" w:type="dxa"/>
                  <w:gridSpan w:val="10"/>
                </w:tcPr>
                <w:p w:rsidR="003611D5" w:rsidRPr="00666ECE" w:rsidRDefault="003611D5" w:rsidP="0013664B">
                  <w:pPr>
                    <w:pStyle w:val="TableUnitsRow"/>
                    <w:jc w:val="left"/>
                  </w:pPr>
                  <w:r w:rsidRPr="00666ECE">
                    <w:t>Total FTE student enrolme</w:t>
                  </w:r>
                  <w:r>
                    <w:t xml:space="preserve">nts at level of education </w:t>
                  </w:r>
                </w:p>
              </w:tc>
              <w:tc>
                <w:tcPr>
                  <w:tcW w:w="851" w:type="dxa"/>
                </w:tcPr>
                <w:p w:rsidR="003611D5" w:rsidRPr="00666ECE" w:rsidRDefault="003611D5" w:rsidP="00EA54E6">
                  <w:pPr>
                    <w:keepNext/>
                    <w:keepLines/>
                    <w:spacing w:after="40" w:line="220" w:lineRule="atLeast"/>
                    <w:ind w:left="6" w:right="28"/>
                    <w:jc w:val="right"/>
                    <w:rPr>
                      <w:rFonts w:ascii="Arial" w:hAnsi="Arial"/>
                      <w:sz w:val="20"/>
                      <w:szCs w:val="20"/>
                    </w:rPr>
                  </w:pPr>
                </w:p>
              </w:tc>
            </w:tr>
            <w:tr w:rsidR="00EA54E6" w:rsidRPr="00666ECE" w:rsidTr="00425D7B">
              <w:tc>
                <w:tcPr>
                  <w:tcW w:w="1821" w:type="dxa"/>
                </w:tcPr>
                <w:p w:rsidR="00EA54E6" w:rsidRPr="00666ECE" w:rsidRDefault="00425D7B" w:rsidP="0013664B">
                  <w:pPr>
                    <w:pStyle w:val="TableUnitsRow"/>
                    <w:jc w:val="left"/>
                  </w:pPr>
                  <w:r>
                    <w:t xml:space="preserve"> </w:t>
                  </w:r>
                  <w:r w:rsidR="00EA54E6" w:rsidRPr="00666ECE">
                    <w:t>Primary schools</w:t>
                  </w:r>
                </w:p>
              </w:tc>
              <w:tc>
                <w:tcPr>
                  <w:tcW w:w="709" w:type="dxa"/>
                </w:tcPr>
                <w:p w:rsidR="00EA54E6" w:rsidRDefault="00EA54E6" w:rsidP="0013664B">
                  <w:pPr>
                    <w:pStyle w:val="TableBodyText"/>
                  </w:pPr>
                  <w:r>
                    <w:t>(‘000)</w:t>
                  </w:r>
                </w:p>
              </w:tc>
              <w:tc>
                <w:tcPr>
                  <w:tcW w:w="850" w:type="dxa"/>
                  <w:vAlign w:val="center"/>
                </w:tcPr>
                <w:p w:rsidR="00EA54E6" w:rsidRPr="0013664B" w:rsidRDefault="00EA54E6" w:rsidP="0013664B">
                  <w:pPr>
                    <w:pStyle w:val="TableBodyText"/>
                  </w:pPr>
                  <w:r w:rsidRPr="0013664B">
                    <w:t>647.2</w:t>
                  </w:r>
                </w:p>
              </w:tc>
              <w:tc>
                <w:tcPr>
                  <w:tcW w:w="709" w:type="dxa"/>
                  <w:vAlign w:val="center"/>
                </w:tcPr>
                <w:p w:rsidR="00EA54E6" w:rsidRPr="0013664B" w:rsidRDefault="00EA54E6" w:rsidP="0013664B">
                  <w:pPr>
                    <w:pStyle w:val="TableBodyText"/>
                  </w:pPr>
                  <w:r w:rsidRPr="0013664B">
                    <w:t>490.1</w:t>
                  </w:r>
                </w:p>
              </w:tc>
              <w:tc>
                <w:tcPr>
                  <w:tcW w:w="709" w:type="dxa"/>
                  <w:vAlign w:val="center"/>
                </w:tcPr>
                <w:p w:rsidR="00EA54E6" w:rsidRPr="0013664B" w:rsidRDefault="00EA54E6" w:rsidP="0013664B">
                  <w:pPr>
                    <w:pStyle w:val="TableBodyText"/>
                  </w:pPr>
                  <w:r w:rsidRPr="0013664B">
                    <w:t>473.3</w:t>
                  </w:r>
                </w:p>
              </w:tc>
              <w:tc>
                <w:tcPr>
                  <w:tcW w:w="709" w:type="dxa"/>
                  <w:vAlign w:val="center"/>
                </w:tcPr>
                <w:p w:rsidR="00EA54E6" w:rsidRPr="0013664B" w:rsidRDefault="00EA54E6" w:rsidP="0013664B">
                  <w:pPr>
                    <w:pStyle w:val="TableBodyText"/>
                  </w:pPr>
                  <w:r w:rsidRPr="0013664B">
                    <w:t>251.0</w:t>
                  </w:r>
                </w:p>
              </w:tc>
              <w:tc>
                <w:tcPr>
                  <w:tcW w:w="708" w:type="dxa"/>
                  <w:vAlign w:val="center"/>
                </w:tcPr>
                <w:p w:rsidR="00EA54E6" w:rsidRPr="0013664B" w:rsidRDefault="00EA54E6" w:rsidP="0013664B">
                  <w:pPr>
                    <w:pStyle w:val="TableBodyText"/>
                  </w:pPr>
                  <w:r w:rsidRPr="0013664B">
                    <w:t>160.5</w:t>
                  </w:r>
                </w:p>
              </w:tc>
              <w:tc>
                <w:tcPr>
                  <w:tcW w:w="567" w:type="dxa"/>
                  <w:vAlign w:val="center"/>
                </w:tcPr>
                <w:p w:rsidR="00EA54E6" w:rsidRPr="0013664B" w:rsidRDefault="00EA54E6" w:rsidP="0013664B">
                  <w:pPr>
                    <w:pStyle w:val="TableBodyText"/>
                  </w:pPr>
                  <w:r w:rsidRPr="0013664B">
                    <w:t>43.6</w:t>
                  </w:r>
                </w:p>
              </w:tc>
              <w:tc>
                <w:tcPr>
                  <w:tcW w:w="567" w:type="dxa"/>
                  <w:vAlign w:val="center"/>
                </w:tcPr>
                <w:p w:rsidR="00EA54E6" w:rsidRPr="0013664B" w:rsidRDefault="00EA54E6" w:rsidP="0013664B">
                  <w:pPr>
                    <w:pStyle w:val="TableBodyText"/>
                  </w:pPr>
                  <w:r w:rsidRPr="0013664B">
                    <w:t>34.0</w:t>
                  </w:r>
                </w:p>
              </w:tc>
              <w:tc>
                <w:tcPr>
                  <w:tcW w:w="567" w:type="dxa"/>
                  <w:vAlign w:val="center"/>
                </w:tcPr>
                <w:p w:rsidR="00EA54E6" w:rsidRPr="0013664B" w:rsidRDefault="00EA54E6" w:rsidP="0013664B">
                  <w:pPr>
                    <w:pStyle w:val="TableBodyText"/>
                  </w:pPr>
                  <w:r w:rsidRPr="0013664B">
                    <w:t>24.2</w:t>
                  </w:r>
                </w:p>
              </w:tc>
              <w:tc>
                <w:tcPr>
                  <w:tcW w:w="851" w:type="dxa"/>
                  <w:vAlign w:val="center"/>
                </w:tcPr>
                <w:p w:rsidR="00EA54E6" w:rsidRPr="0013664B" w:rsidRDefault="00EA54E6" w:rsidP="0013664B">
                  <w:pPr>
                    <w:pStyle w:val="TableBodyText"/>
                  </w:pPr>
                  <w:r w:rsidRPr="0013664B">
                    <w:t>2123.9</w:t>
                  </w:r>
                </w:p>
              </w:tc>
            </w:tr>
            <w:tr w:rsidR="00EA54E6" w:rsidRPr="00666ECE" w:rsidTr="00425D7B">
              <w:tc>
                <w:tcPr>
                  <w:tcW w:w="1821" w:type="dxa"/>
                </w:tcPr>
                <w:p w:rsidR="00EA54E6" w:rsidRPr="00666ECE" w:rsidRDefault="00425D7B" w:rsidP="0013664B">
                  <w:pPr>
                    <w:pStyle w:val="TableUnitsRow"/>
                    <w:jc w:val="left"/>
                  </w:pPr>
                  <w:r>
                    <w:t xml:space="preserve"> </w:t>
                  </w:r>
                  <w:r w:rsidR="00EA54E6" w:rsidRPr="00666ECE">
                    <w:t>Secondary schools</w:t>
                  </w:r>
                </w:p>
              </w:tc>
              <w:tc>
                <w:tcPr>
                  <w:tcW w:w="709" w:type="dxa"/>
                </w:tcPr>
                <w:p w:rsidR="00EA54E6" w:rsidRDefault="00EA54E6" w:rsidP="0013664B">
                  <w:pPr>
                    <w:pStyle w:val="TableBodyText"/>
                  </w:pPr>
                  <w:r w:rsidRPr="00C960ED">
                    <w:t>(‘000)</w:t>
                  </w:r>
                </w:p>
              </w:tc>
              <w:tc>
                <w:tcPr>
                  <w:tcW w:w="850" w:type="dxa"/>
                  <w:vAlign w:val="center"/>
                </w:tcPr>
                <w:p w:rsidR="00EA54E6" w:rsidRPr="0013664B" w:rsidRDefault="00EA54E6" w:rsidP="0013664B">
                  <w:pPr>
                    <w:pStyle w:val="TableBodyText"/>
                  </w:pPr>
                  <w:r w:rsidRPr="0013664B">
                    <w:t>507.0</w:t>
                  </w:r>
                </w:p>
              </w:tc>
              <w:tc>
                <w:tcPr>
                  <w:tcW w:w="709" w:type="dxa"/>
                  <w:vAlign w:val="center"/>
                </w:tcPr>
                <w:p w:rsidR="00EA54E6" w:rsidRPr="0013664B" w:rsidRDefault="00EA54E6" w:rsidP="0013664B">
                  <w:pPr>
                    <w:pStyle w:val="TableBodyText"/>
                  </w:pPr>
                  <w:r w:rsidRPr="0013664B">
                    <w:t>392.6</w:t>
                  </w:r>
                </w:p>
              </w:tc>
              <w:tc>
                <w:tcPr>
                  <w:tcW w:w="709" w:type="dxa"/>
                  <w:vAlign w:val="center"/>
                </w:tcPr>
                <w:p w:rsidR="00EA54E6" w:rsidRPr="0013664B" w:rsidRDefault="00EA54E6" w:rsidP="0013664B">
                  <w:pPr>
                    <w:pStyle w:val="TableBodyText"/>
                  </w:pPr>
                  <w:r w:rsidRPr="0013664B">
                    <w:t>291.0</w:t>
                  </w:r>
                </w:p>
              </w:tc>
              <w:tc>
                <w:tcPr>
                  <w:tcW w:w="709" w:type="dxa"/>
                  <w:vAlign w:val="center"/>
                </w:tcPr>
                <w:p w:rsidR="00EA54E6" w:rsidRPr="0013664B" w:rsidRDefault="00EA54E6" w:rsidP="0013664B">
                  <w:pPr>
                    <w:pStyle w:val="TableBodyText"/>
                  </w:pPr>
                  <w:r w:rsidRPr="0013664B">
                    <w:t>134.7</w:t>
                  </w:r>
                </w:p>
              </w:tc>
              <w:tc>
                <w:tcPr>
                  <w:tcW w:w="708" w:type="dxa"/>
                  <w:vAlign w:val="center"/>
                </w:tcPr>
                <w:p w:rsidR="00EA54E6" w:rsidRPr="0013664B" w:rsidRDefault="00EA54E6" w:rsidP="0013664B">
                  <w:pPr>
                    <w:pStyle w:val="TableBodyText"/>
                  </w:pPr>
                  <w:r w:rsidRPr="0013664B">
                    <w:t>101.9</w:t>
                  </w:r>
                </w:p>
              </w:tc>
              <w:tc>
                <w:tcPr>
                  <w:tcW w:w="567" w:type="dxa"/>
                  <w:vAlign w:val="center"/>
                </w:tcPr>
                <w:p w:rsidR="00EA54E6" w:rsidRPr="0013664B" w:rsidRDefault="00EA54E6" w:rsidP="0013664B">
                  <w:pPr>
                    <w:pStyle w:val="TableBodyText"/>
                  </w:pPr>
                  <w:r w:rsidRPr="0013664B">
                    <w:t>36.8</w:t>
                  </w:r>
                </w:p>
              </w:tc>
              <w:tc>
                <w:tcPr>
                  <w:tcW w:w="567" w:type="dxa"/>
                  <w:vAlign w:val="center"/>
                </w:tcPr>
                <w:p w:rsidR="00EA54E6" w:rsidRPr="0013664B" w:rsidRDefault="00EA54E6" w:rsidP="0013664B">
                  <w:pPr>
                    <w:pStyle w:val="TableBodyText"/>
                  </w:pPr>
                  <w:r w:rsidRPr="0013664B">
                    <w:t>29.3</w:t>
                  </w:r>
                </w:p>
              </w:tc>
              <w:tc>
                <w:tcPr>
                  <w:tcW w:w="567" w:type="dxa"/>
                  <w:vAlign w:val="center"/>
                </w:tcPr>
                <w:p w:rsidR="00EA54E6" w:rsidRPr="0013664B" w:rsidRDefault="00EA54E6" w:rsidP="0013664B">
                  <w:pPr>
                    <w:pStyle w:val="TableBodyText"/>
                  </w:pPr>
                  <w:r w:rsidRPr="0013664B">
                    <w:t>16.2</w:t>
                  </w:r>
                </w:p>
              </w:tc>
              <w:tc>
                <w:tcPr>
                  <w:tcW w:w="851" w:type="dxa"/>
                  <w:vAlign w:val="center"/>
                </w:tcPr>
                <w:p w:rsidR="00EA54E6" w:rsidRPr="0013664B" w:rsidRDefault="00EA54E6" w:rsidP="0013664B">
                  <w:pPr>
                    <w:pStyle w:val="TableBodyText"/>
                  </w:pPr>
                  <w:r w:rsidRPr="0013664B">
                    <w:t>1509.6</w:t>
                  </w:r>
                </w:p>
              </w:tc>
            </w:tr>
            <w:tr w:rsidR="00EA54E6" w:rsidRPr="00666ECE" w:rsidTr="00425D7B">
              <w:tc>
                <w:tcPr>
                  <w:tcW w:w="1821" w:type="dxa"/>
                </w:tcPr>
                <w:p w:rsidR="00EA54E6" w:rsidRPr="00666ECE" w:rsidRDefault="00425D7B" w:rsidP="0013664B">
                  <w:pPr>
                    <w:pStyle w:val="TableUnitsRow"/>
                    <w:jc w:val="left"/>
                    <w:rPr>
                      <w:b/>
                    </w:rPr>
                  </w:pPr>
                  <w:r>
                    <w:rPr>
                      <w:b/>
                    </w:rPr>
                    <w:t xml:space="preserve"> </w:t>
                  </w:r>
                  <w:r w:rsidR="00EA54E6" w:rsidRPr="00666ECE">
                    <w:rPr>
                      <w:b/>
                    </w:rPr>
                    <w:t>All schools</w:t>
                  </w:r>
                </w:p>
              </w:tc>
              <w:tc>
                <w:tcPr>
                  <w:tcW w:w="709" w:type="dxa"/>
                </w:tcPr>
                <w:p w:rsidR="00EA54E6" w:rsidRPr="0027264A" w:rsidRDefault="00EA54E6" w:rsidP="0013664B">
                  <w:pPr>
                    <w:pStyle w:val="TableBodyText"/>
                    <w:rPr>
                      <w:b/>
                    </w:rPr>
                  </w:pPr>
                  <w:r w:rsidRPr="0027264A">
                    <w:rPr>
                      <w:b/>
                    </w:rPr>
                    <w:t>(‘000)</w:t>
                  </w:r>
                </w:p>
              </w:tc>
              <w:tc>
                <w:tcPr>
                  <w:tcW w:w="850" w:type="dxa"/>
                  <w:vAlign w:val="center"/>
                </w:tcPr>
                <w:p w:rsidR="00EA54E6" w:rsidRPr="0027264A" w:rsidRDefault="00EA54E6" w:rsidP="0013664B">
                  <w:pPr>
                    <w:pStyle w:val="TableBodyText"/>
                    <w:rPr>
                      <w:b/>
                    </w:rPr>
                  </w:pPr>
                  <w:r w:rsidRPr="0027264A">
                    <w:rPr>
                      <w:b/>
                    </w:rPr>
                    <w:t>1154.2</w:t>
                  </w:r>
                </w:p>
              </w:tc>
              <w:tc>
                <w:tcPr>
                  <w:tcW w:w="709" w:type="dxa"/>
                  <w:vAlign w:val="center"/>
                </w:tcPr>
                <w:p w:rsidR="00EA54E6" w:rsidRPr="0027264A" w:rsidRDefault="00EA54E6" w:rsidP="0013664B">
                  <w:pPr>
                    <w:pStyle w:val="TableBodyText"/>
                    <w:rPr>
                      <w:b/>
                    </w:rPr>
                  </w:pPr>
                  <w:r w:rsidRPr="0027264A">
                    <w:rPr>
                      <w:b/>
                    </w:rPr>
                    <w:t>882.7</w:t>
                  </w:r>
                </w:p>
              </w:tc>
              <w:tc>
                <w:tcPr>
                  <w:tcW w:w="709" w:type="dxa"/>
                  <w:vAlign w:val="center"/>
                </w:tcPr>
                <w:p w:rsidR="00EA54E6" w:rsidRPr="0027264A" w:rsidRDefault="00EA54E6" w:rsidP="0013664B">
                  <w:pPr>
                    <w:pStyle w:val="TableBodyText"/>
                    <w:rPr>
                      <w:b/>
                    </w:rPr>
                  </w:pPr>
                  <w:r w:rsidRPr="0027264A">
                    <w:rPr>
                      <w:b/>
                    </w:rPr>
                    <w:t>764.3</w:t>
                  </w:r>
                </w:p>
              </w:tc>
              <w:tc>
                <w:tcPr>
                  <w:tcW w:w="709" w:type="dxa"/>
                  <w:vAlign w:val="center"/>
                </w:tcPr>
                <w:p w:rsidR="00EA54E6" w:rsidRPr="0027264A" w:rsidRDefault="00EA54E6" w:rsidP="0013664B">
                  <w:pPr>
                    <w:pStyle w:val="TableBodyText"/>
                    <w:rPr>
                      <w:b/>
                    </w:rPr>
                  </w:pPr>
                  <w:r w:rsidRPr="0027264A">
                    <w:rPr>
                      <w:b/>
                    </w:rPr>
                    <w:t>385.7</w:t>
                  </w:r>
                </w:p>
              </w:tc>
              <w:tc>
                <w:tcPr>
                  <w:tcW w:w="708" w:type="dxa"/>
                  <w:vAlign w:val="center"/>
                </w:tcPr>
                <w:p w:rsidR="00EA54E6" w:rsidRPr="0027264A" w:rsidRDefault="00EA54E6" w:rsidP="0013664B">
                  <w:pPr>
                    <w:pStyle w:val="TableBodyText"/>
                    <w:rPr>
                      <w:b/>
                    </w:rPr>
                  </w:pPr>
                  <w:r w:rsidRPr="0027264A">
                    <w:rPr>
                      <w:b/>
                    </w:rPr>
                    <w:t>262.3</w:t>
                  </w:r>
                </w:p>
              </w:tc>
              <w:tc>
                <w:tcPr>
                  <w:tcW w:w="567" w:type="dxa"/>
                  <w:vAlign w:val="center"/>
                </w:tcPr>
                <w:p w:rsidR="00EA54E6" w:rsidRPr="0027264A" w:rsidRDefault="00EA54E6" w:rsidP="0013664B">
                  <w:pPr>
                    <w:pStyle w:val="TableBodyText"/>
                    <w:rPr>
                      <w:b/>
                    </w:rPr>
                  </w:pPr>
                  <w:r w:rsidRPr="0027264A">
                    <w:rPr>
                      <w:b/>
                    </w:rPr>
                    <w:t>80.4</w:t>
                  </w:r>
                </w:p>
              </w:tc>
              <w:tc>
                <w:tcPr>
                  <w:tcW w:w="567" w:type="dxa"/>
                  <w:vAlign w:val="center"/>
                </w:tcPr>
                <w:p w:rsidR="00EA54E6" w:rsidRPr="0027264A" w:rsidRDefault="00EA54E6" w:rsidP="0013664B">
                  <w:pPr>
                    <w:pStyle w:val="TableBodyText"/>
                    <w:rPr>
                      <w:b/>
                    </w:rPr>
                  </w:pPr>
                  <w:r w:rsidRPr="0027264A">
                    <w:rPr>
                      <w:b/>
                    </w:rPr>
                    <w:t>63.3</w:t>
                  </w:r>
                </w:p>
              </w:tc>
              <w:tc>
                <w:tcPr>
                  <w:tcW w:w="567" w:type="dxa"/>
                  <w:vAlign w:val="center"/>
                </w:tcPr>
                <w:p w:rsidR="00EA54E6" w:rsidRPr="0027264A" w:rsidRDefault="00EA54E6" w:rsidP="0013664B">
                  <w:pPr>
                    <w:pStyle w:val="TableBodyText"/>
                    <w:rPr>
                      <w:b/>
                    </w:rPr>
                  </w:pPr>
                  <w:r w:rsidRPr="0027264A">
                    <w:rPr>
                      <w:b/>
                    </w:rPr>
                    <w:t>40.5</w:t>
                  </w:r>
                </w:p>
              </w:tc>
              <w:tc>
                <w:tcPr>
                  <w:tcW w:w="851" w:type="dxa"/>
                  <w:vAlign w:val="center"/>
                </w:tcPr>
                <w:p w:rsidR="00EA54E6" w:rsidRPr="0027264A" w:rsidRDefault="00EA54E6" w:rsidP="0013664B">
                  <w:pPr>
                    <w:pStyle w:val="TableBodyText"/>
                    <w:rPr>
                      <w:b/>
                    </w:rPr>
                  </w:pPr>
                  <w:r w:rsidRPr="0027264A">
                    <w:rPr>
                      <w:b/>
                    </w:rPr>
                    <w:t>3633.4</w:t>
                  </w:r>
                </w:p>
              </w:tc>
            </w:tr>
            <w:tr w:rsidR="003611D5" w:rsidRPr="00666ECE" w:rsidTr="00425D7B">
              <w:tc>
                <w:tcPr>
                  <w:tcW w:w="7349" w:type="dxa"/>
                  <w:gridSpan w:val="9"/>
                </w:tcPr>
                <w:p w:rsidR="003611D5" w:rsidRPr="00666ECE" w:rsidRDefault="003611D5" w:rsidP="0013664B">
                  <w:pPr>
                    <w:pStyle w:val="TableUnitsRow"/>
                    <w:jc w:val="left"/>
                  </w:pPr>
                  <w:r w:rsidRPr="00666ECE">
                    <w:t>Proportion of FTE students who were en</w:t>
                  </w:r>
                  <w:r>
                    <w:t>rolled in government schools</w:t>
                  </w:r>
                </w:p>
              </w:tc>
              <w:tc>
                <w:tcPr>
                  <w:tcW w:w="567" w:type="dxa"/>
                </w:tcPr>
                <w:p w:rsidR="003611D5" w:rsidRPr="00666ECE" w:rsidRDefault="003611D5" w:rsidP="00EA54E6">
                  <w:pPr>
                    <w:pStyle w:val="TableBodyText"/>
                  </w:pPr>
                </w:p>
              </w:tc>
              <w:tc>
                <w:tcPr>
                  <w:tcW w:w="851" w:type="dxa"/>
                </w:tcPr>
                <w:p w:rsidR="003611D5" w:rsidRPr="00666ECE" w:rsidRDefault="003611D5" w:rsidP="00EA54E6">
                  <w:pPr>
                    <w:pStyle w:val="TableBodyText"/>
                  </w:pPr>
                </w:p>
              </w:tc>
            </w:tr>
            <w:tr w:rsidR="00EA54E6" w:rsidRPr="00DF62FE" w:rsidTr="00425D7B">
              <w:tc>
                <w:tcPr>
                  <w:tcW w:w="1821" w:type="dxa"/>
                </w:tcPr>
                <w:p w:rsidR="00EA54E6" w:rsidRPr="00666ECE" w:rsidRDefault="00425D7B" w:rsidP="0013664B">
                  <w:pPr>
                    <w:pStyle w:val="TableUnitsRow"/>
                    <w:jc w:val="left"/>
                  </w:pPr>
                  <w:r>
                    <w:t xml:space="preserve"> </w:t>
                  </w:r>
                  <w:r w:rsidR="00EA54E6" w:rsidRPr="00666ECE">
                    <w:t>Primary schools</w:t>
                  </w:r>
                </w:p>
              </w:tc>
              <w:tc>
                <w:tcPr>
                  <w:tcW w:w="709" w:type="dxa"/>
                </w:tcPr>
                <w:p w:rsidR="00EA54E6" w:rsidRPr="00FC28FD" w:rsidRDefault="00EA54E6" w:rsidP="0013664B">
                  <w:pPr>
                    <w:pStyle w:val="TableBodyText"/>
                  </w:pPr>
                  <w:r>
                    <w:t>%</w:t>
                  </w:r>
                </w:p>
              </w:tc>
              <w:tc>
                <w:tcPr>
                  <w:tcW w:w="850" w:type="dxa"/>
                  <w:vAlign w:val="bottom"/>
                </w:tcPr>
                <w:p w:rsidR="00EA54E6" w:rsidRDefault="00EA54E6" w:rsidP="0013664B">
                  <w:pPr>
                    <w:pStyle w:val="TableBodyText"/>
                  </w:pPr>
                  <w:r>
                    <w:t>69.3</w:t>
                  </w:r>
                </w:p>
              </w:tc>
              <w:tc>
                <w:tcPr>
                  <w:tcW w:w="709" w:type="dxa"/>
                  <w:vAlign w:val="bottom"/>
                </w:tcPr>
                <w:p w:rsidR="00EA54E6" w:rsidRDefault="00EA54E6" w:rsidP="0013664B">
                  <w:pPr>
                    <w:pStyle w:val="TableBodyText"/>
                  </w:pPr>
                  <w:r>
                    <w:t>67.4</w:t>
                  </w:r>
                </w:p>
              </w:tc>
              <w:tc>
                <w:tcPr>
                  <w:tcW w:w="709" w:type="dxa"/>
                  <w:vAlign w:val="bottom"/>
                </w:tcPr>
                <w:p w:rsidR="00EA54E6" w:rsidRDefault="00EA54E6" w:rsidP="0013664B">
                  <w:pPr>
                    <w:pStyle w:val="TableBodyText"/>
                  </w:pPr>
                  <w:r>
                    <w:t>70.0</w:t>
                  </w:r>
                </w:p>
              </w:tc>
              <w:tc>
                <w:tcPr>
                  <w:tcW w:w="709" w:type="dxa"/>
                  <w:vAlign w:val="bottom"/>
                </w:tcPr>
                <w:p w:rsidR="00EA54E6" w:rsidRDefault="00EA54E6" w:rsidP="0013664B">
                  <w:pPr>
                    <w:pStyle w:val="TableBodyText"/>
                  </w:pPr>
                  <w:r>
                    <w:t>70.0</w:t>
                  </w:r>
                </w:p>
              </w:tc>
              <w:tc>
                <w:tcPr>
                  <w:tcW w:w="708" w:type="dxa"/>
                  <w:vAlign w:val="bottom"/>
                </w:tcPr>
                <w:p w:rsidR="00EA54E6" w:rsidRDefault="00EA54E6" w:rsidP="0013664B">
                  <w:pPr>
                    <w:pStyle w:val="TableBodyText"/>
                  </w:pPr>
                  <w:r>
                    <w:t>66.2</w:t>
                  </w:r>
                </w:p>
              </w:tc>
              <w:tc>
                <w:tcPr>
                  <w:tcW w:w="567" w:type="dxa"/>
                  <w:vAlign w:val="bottom"/>
                </w:tcPr>
                <w:p w:rsidR="00EA54E6" w:rsidRDefault="00EA54E6" w:rsidP="0013664B">
                  <w:pPr>
                    <w:pStyle w:val="TableBodyText"/>
                  </w:pPr>
                  <w:r>
                    <w:t>73.0</w:t>
                  </w:r>
                </w:p>
              </w:tc>
              <w:tc>
                <w:tcPr>
                  <w:tcW w:w="567" w:type="dxa"/>
                  <w:vAlign w:val="bottom"/>
                </w:tcPr>
                <w:p w:rsidR="00EA54E6" w:rsidRDefault="00EA54E6" w:rsidP="0013664B">
                  <w:pPr>
                    <w:pStyle w:val="TableBodyText"/>
                  </w:pPr>
                  <w:r>
                    <w:t>60.6</w:t>
                  </w:r>
                </w:p>
              </w:tc>
              <w:tc>
                <w:tcPr>
                  <w:tcW w:w="567" w:type="dxa"/>
                  <w:vAlign w:val="bottom"/>
                </w:tcPr>
                <w:p w:rsidR="00EA54E6" w:rsidRDefault="00EA54E6" w:rsidP="0013664B">
                  <w:pPr>
                    <w:pStyle w:val="TableBodyText"/>
                  </w:pPr>
                  <w:r>
                    <w:t>77.8</w:t>
                  </w:r>
                </w:p>
              </w:tc>
              <w:tc>
                <w:tcPr>
                  <w:tcW w:w="851" w:type="dxa"/>
                  <w:vAlign w:val="bottom"/>
                </w:tcPr>
                <w:p w:rsidR="00EA54E6" w:rsidRDefault="00EA54E6" w:rsidP="0013664B">
                  <w:pPr>
                    <w:pStyle w:val="TableBodyText"/>
                  </w:pPr>
                  <w:r>
                    <w:t>68.9</w:t>
                  </w:r>
                </w:p>
              </w:tc>
            </w:tr>
            <w:tr w:rsidR="00EA54E6" w:rsidRPr="00DF62FE" w:rsidTr="00425D7B">
              <w:tc>
                <w:tcPr>
                  <w:tcW w:w="1821" w:type="dxa"/>
                </w:tcPr>
                <w:p w:rsidR="00EA54E6" w:rsidRPr="00666ECE" w:rsidRDefault="00425D7B" w:rsidP="0013664B">
                  <w:pPr>
                    <w:pStyle w:val="TableUnitsRow"/>
                    <w:jc w:val="left"/>
                  </w:pPr>
                  <w:r>
                    <w:t xml:space="preserve"> </w:t>
                  </w:r>
                  <w:r w:rsidR="00EA54E6" w:rsidRPr="00666ECE">
                    <w:t>Secondary schools</w:t>
                  </w:r>
                </w:p>
              </w:tc>
              <w:tc>
                <w:tcPr>
                  <w:tcW w:w="709" w:type="dxa"/>
                </w:tcPr>
                <w:p w:rsidR="00EA54E6" w:rsidRDefault="00EA54E6" w:rsidP="0013664B">
                  <w:pPr>
                    <w:pStyle w:val="TableBodyText"/>
                  </w:pPr>
                  <w:r w:rsidRPr="000F61EF">
                    <w:t>%</w:t>
                  </w:r>
                </w:p>
              </w:tc>
              <w:tc>
                <w:tcPr>
                  <w:tcW w:w="850" w:type="dxa"/>
                  <w:vAlign w:val="bottom"/>
                </w:tcPr>
                <w:p w:rsidR="00EA54E6" w:rsidRDefault="00EA54E6" w:rsidP="0013664B">
                  <w:pPr>
                    <w:pStyle w:val="TableBodyText"/>
                  </w:pPr>
                  <w:r>
                    <w:t>60.5</w:t>
                  </w:r>
                </w:p>
              </w:tc>
              <w:tc>
                <w:tcPr>
                  <w:tcW w:w="709" w:type="dxa"/>
                  <w:vAlign w:val="bottom"/>
                </w:tcPr>
                <w:p w:rsidR="00EA54E6" w:rsidRDefault="00EA54E6" w:rsidP="0013664B">
                  <w:pPr>
                    <w:pStyle w:val="TableBodyText"/>
                  </w:pPr>
                  <w:r>
                    <w:t>57.1</w:t>
                  </w:r>
                </w:p>
              </w:tc>
              <w:tc>
                <w:tcPr>
                  <w:tcW w:w="709" w:type="dxa"/>
                  <w:vAlign w:val="bottom"/>
                </w:tcPr>
                <w:p w:rsidR="00EA54E6" w:rsidRDefault="00EA54E6" w:rsidP="0013664B">
                  <w:pPr>
                    <w:pStyle w:val="TableBodyText"/>
                  </w:pPr>
                  <w:r>
                    <w:t>61.3</w:t>
                  </w:r>
                </w:p>
              </w:tc>
              <w:tc>
                <w:tcPr>
                  <w:tcW w:w="709" w:type="dxa"/>
                  <w:vAlign w:val="bottom"/>
                </w:tcPr>
                <w:p w:rsidR="00EA54E6" w:rsidRDefault="00EA54E6" w:rsidP="0013664B">
                  <w:pPr>
                    <w:pStyle w:val="TableBodyText"/>
                  </w:pPr>
                  <w:r>
                    <w:t>58.0</w:t>
                  </w:r>
                </w:p>
              </w:tc>
              <w:tc>
                <w:tcPr>
                  <w:tcW w:w="708" w:type="dxa"/>
                  <w:vAlign w:val="bottom"/>
                </w:tcPr>
                <w:p w:rsidR="00EA54E6" w:rsidRDefault="00EA54E6" w:rsidP="0013664B">
                  <w:pPr>
                    <w:pStyle w:val="TableBodyText"/>
                  </w:pPr>
                  <w:r>
                    <w:t>60.3</w:t>
                  </w:r>
                </w:p>
              </w:tc>
              <w:tc>
                <w:tcPr>
                  <w:tcW w:w="567" w:type="dxa"/>
                  <w:vAlign w:val="bottom"/>
                </w:tcPr>
                <w:p w:rsidR="00EA54E6" w:rsidRDefault="00EA54E6" w:rsidP="0013664B">
                  <w:pPr>
                    <w:pStyle w:val="TableBodyText"/>
                  </w:pPr>
                  <w:r>
                    <w:t>67.1</w:t>
                  </w:r>
                </w:p>
              </w:tc>
              <w:tc>
                <w:tcPr>
                  <w:tcW w:w="567" w:type="dxa"/>
                  <w:vAlign w:val="bottom"/>
                </w:tcPr>
                <w:p w:rsidR="00EA54E6" w:rsidRDefault="00EA54E6" w:rsidP="0013664B">
                  <w:pPr>
                    <w:pStyle w:val="TableBodyText"/>
                  </w:pPr>
                  <w:r>
                    <w:t>53.8</w:t>
                  </w:r>
                </w:p>
              </w:tc>
              <w:tc>
                <w:tcPr>
                  <w:tcW w:w="567" w:type="dxa"/>
                  <w:vAlign w:val="bottom"/>
                </w:tcPr>
                <w:p w:rsidR="00EA54E6" w:rsidRDefault="00EA54E6" w:rsidP="0013664B">
                  <w:pPr>
                    <w:pStyle w:val="TableBodyText"/>
                  </w:pPr>
                  <w:r>
                    <w:t>65.2</w:t>
                  </w:r>
                </w:p>
              </w:tc>
              <w:tc>
                <w:tcPr>
                  <w:tcW w:w="851" w:type="dxa"/>
                  <w:vAlign w:val="bottom"/>
                </w:tcPr>
                <w:p w:rsidR="00EA54E6" w:rsidRDefault="00EA54E6" w:rsidP="0013664B">
                  <w:pPr>
                    <w:pStyle w:val="TableBodyText"/>
                  </w:pPr>
                  <w:r>
                    <w:t>59.6</w:t>
                  </w:r>
                </w:p>
              </w:tc>
            </w:tr>
            <w:tr w:rsidR="00EA54E6" w:rsidRPr="00DF62FE" w:rsidTr="00425D7B">
              <w:tc>
                <w:tcPr>
                  <w:tcW w:w="1821" w:type="dxa"/>
                </w:tcPr>
                <w:p w:rsidR="00EA54E6" w:rsidRPr="00666ECE" w:rsidRDefault="00425D7B" w:rsidP="0013664B">
                  <w:pPr>
                    <w:pStyle w:val="TableUnitsRow"/>
                    <w:jc w:val="left"/>
                    <w:rPr>
                      <w:b/>
                    </w:rPr>
                  </w:pPr>
                  <w:r>
                    <w:rPr>
                      <w:b/>
                    </w:rPr>
                    <w:t xml:space="preserve"> </w:t>
                  </w:r>
                  <w:r w:rsidR="00EA54E6" w:rsidRPr="00666ECE">
                    <w:rPr>
                      <w:b/>
                    </w:rPr>
                    <w:t>All schools</w:t>
                  </w:r>
                </w:p>
              </w:tc>
              <w:tc>
                <w:tcPr>
                  <w:tcW w:w="709" w:type="dxa"/>
                </w:tcPr>
                <w:p w:rsidR="00EA54E6" w:rsidRPr="0027264A" w:rsidRDefault="00EA54E6" w:rsidP="0013664B">
                  <w:pPr>
                    <w:pStyle w:val="TableBodyText"/>
                    <w:rPr>
                      <w:b/>
                    </w:rPr>
                  </w:pPr>
                  <w:r w:rsidRPr="0027264A">
                    <w:rPr>
                      <w:b/>
                    </w:rPr>
                    <w:t>%</w:t>
                  </w:r>
                </w:p>
              </w:tc>
              <w:tc>
                <w:tcPr>
                  <w:tcW w:w="850" w:type="dxa"/>
                  <w:vAlign w:val="bottom"/>
                </w:tcPr>
                <w:p w:rsidR="00EA54E6" w:rsidRPr="0027264A" w:rsidRDefault="00EA54E6" w:rsidP="0013664B">
                  <w:pPr>
                    <w:pStyle w:val="TableBodyText"/>
                    <w:rPr>
                      <w:b/>
                    </w:rPr>
                  </w:pPr>
                  <w:r w:rsidRPr="0027264A">
                    <w:rPr>
                      <w:b/>
                    </w:rPr>
                    <w:t>65.4</w:t>
                  </w:r>
                </w:p>
              </w:tc>
              <w:tc>
                <w:tcPr>
                  <w:tcW w:w="709" w:type="dxa"/>
                  <w:vAlign w:val="bottom"/>
                </w:tcPr>
                <w:p w:rsidR="00EA54E6" w:rsidRPr="0027264A" w:rsidRDefault="00EA54E6" w:rsidP="0013664B">
                  <w:pPr>
                    <w:pStyle w:val="TableBodyText"/>
                    <w:rPr>
                      <w:b/>
                    </w:rPr>
                  </w:pPr>
                  <w:r w:rsidRPr="0027264A">
                    <w:rPr>
                      <w:b/>
                    </w:rPr>
                    <w:t>62.9</w:t>
                  </w:r>
                </w:p>
              </w:tc>
              <w:tc>
                <w:tcPr>
                  <w:tcW w:w="709" w:type="dxa"/>
                  <w:vAlign w:val="bottom"/>
                </w:tcPr>
                <w:p w:rsidR="00EA54E6" w:rsidRPr="0027264A" w:rsidRDefault="00EA54E6" w:rsidP="0013664B">
                  <w:pPr>
                    <w:pStyle w:val="TableBodyText"/>
                    <w:rPr>
                      <w:b/>
                    </w:rPr>
                  </w:pPr>
                  <w:r w:rsidRPr="0027264A">
                    <w:rPr>
                      <w:b/>
                    </w:rPr>
                    <w:t>66.7</w:t>
                  </w:r>
                </w:p>
              </w:tc>
              <w:tc>
                <w:tcPr>
                  <w:tcW w:w="709" w:type="dxa"/>
                  <w:vAlign w:val="bottom"/>
                </w:tcPr>
                <w:p w:rsidR="00EA54E6" w:rsidRPr="0027264A" w:rsidRDefault="00EA54E6" w:rsidP="0013664B">
                  <w:pPr>
                    <w:pStyle w:val="TableBodyText"/>
                    <w:rPr>
                      <w:b/>
                    </w:rPr>
                  </w:pPr>
                  <w:r w:rsidRPr="0027264A">
                    <w:rPr>
                      <w:b/>
                    </w:rPr>
                    <w:t>65.8</w:t>
                  </w:r>
                </w:p>
              </w:tc>
              <w:tc>
                <w:tcPr>
                  <w:tcW w:w="708" w:type="dxa"/>
                  <w:vAlign w:val="bottom"/>
                </w:tcPr>
                <w:p w:rsidR="00EA54E6" w:rsidRPr="0027264A" w:rsidRDefault="00EA54E6" w:rsidP="0013664B">
                  <w:pPr>
                    <w:pStyle w:val="TableBodyText"/>
                    <w:rPr>
                      <w:b/>
                    </w:rPr>
                  </w:pPr>
                  <w:r w:rsidRPr="0027264A">
                    <w:rPr>
                      <w:b/>
                    </w:rPr>
                    <w:t>63.9</w:t>
                  </w:r>
                </w:p>
              </w:tc>
              <w:tc>
                <w:tcPr>
                  <w:tcW w:w="567" w:type="dxa"/>
                  <w:vAlign w:val="bottom"/>
                </w:tcPr>
                <w:p w:rsidR="00EA54E6" w:rsidRPr="0027264A" w:rsidRDefault="00EA54E6" w:rsidP="0013664B">
                  <w:pPr>
                    <w:pStyle w:val="TableBodyText"/>
                    <w:rPr>
                      <w:b/>
                    </w:rPr>
                  </w:pPr>
                  <w:r w:rsidRPr="0027264A">
                    <w:rPr>
                      <w:b/>
                    </w:rPr>
                    <w:t>70.3</w:t>
                  </w:r>
                </w:p>
              </w:tc>
              <w:tc>
                <w:tcPr>
                  <w:tcW w:w="567" w:type="dxa"/>
                  <w:vAlign w:val="bottom"/>
                </w:tcPr>
                <w:p w:rsidR="00EA54E6" w:rsidRPr="0027264A" w:rsidRDefault="00EA54E6" w:rsidP="0013664B">
                  <w:pPr>
                    <w:pStyle w:val="TableBodyText"/>
                    <w:rPr>
                      <w:b/>
                    </w:rPr>
                  </w:pPr>
                  <w:r w:rsidRPr="0027264A">
                    <w:rPr>
                      <w:b/>
                    </w:rPr>
                    <w:t>57.4</w:t>
                  </w:r>
                </w:p>
              </w:tc>
              <w:tc>
                <w:tcPr>
                  <w:tcW w:w="567" w:type="dxa"/>
                  <w:vAlign w:val="bottom"/>
                </w:tcPr>
                <w:p w:rsidR="00EA54E6" w:rsidRPr="0027264A" w:rsidRDefault="00EA54E6" w:rsidP="0013664B">
                  <w:pPr>
                    <w:pStyle w:val="TableBodyText"/>
                    <w:rPr>
                      <w:b/>
                    </w:rPr>
                  </w:pPr>
                  <w:r w:rsidRPr="0027264A">
                    <w:rPr>
                      <w:b/>
                    </w:rPr>
                    <w:t>72.7</w:t>
                  </w:r>
                </w:p>
              </w:tc>
              <w:tc>
                <w:tcPr>
                  <w:tcW w:w="851" w:type="dxa"/>
                  <w:vAlign w:val="bottom"/>
                </w:tcPr>
                <w:p w:rsidR="00EA54E6" w:rsidRPr="0027264A" w:rsidRDefault="00EA54E6" w:rsidP="0013664B">
                  <w:pPr>
                    <w:pStyle w:val="TableBodyText"/>
                    <w:rPr>
                      <w:b/>
                    </w:rPr>
                  </w:pPr>
                  <w:r w:rsidRPr="0027264A">
                    <w:rPr>
                      <w:b/>
                    </w:rPr>
                    <w:t>65.1</w:t>
                  </w:r>
                </w:p>
              </w:tc>
            </w:tr>
            <w:tr w:rsidR="003611D5" w:rsidRPr="00666ECE" w:rsidTr="00425D7B">
              <w:tc>
                <w:tcPr>
                  <w:tcW w:w="7349" w:type="dxa"/>
                  <w:gridSpan w:val="9"/>
                </w:tcPr>
                <w:p w:rsidR="003611D5" w:rsidRPr="00666ECE" w:rsidRDefault="003611D5" w:rsidP="0013664B">
                  <w:pPr>
                    <w:pStyle w:val="TableUnitsRow"/>
                    <w:jc w:val="left"/>
                  </w:pPr>
                  <w:r w:rsidRPr="00666ECE">
                    <w:t>Proportion of FTE students w</w:t>
                  </w:r>
                  <w:r>
                    <w:t>ho were female (all schools)</w:t>
                  </w:r>
                </w:p>
              </w:tc>
              <w:tc>
                <w:tcPr>
                  <w:tcW w:w="567" w:type="dxa"/>
                </w:tcPr>
                <w:p w:rsidR="003611D5" w:rsidRPr="00666ECE" w:rsidRDefault="003611D5" w:rsidP="00EA54E6">
                  <w:pPr>
                    <w:keepNext/>
                    <w:keepLines/>
                    <w:spacing w:after="40" w:line="220" w:lineRule="atLeast"/>
                    <w:ind w:left="6" w:right="113"/>
                    <w:jc w:val="right"/>
                    <w:rPr>
                      <w:rFonts w:ascii="Arial" w:hAnsi="Arial"/>
                      <w:sz w:val="20"/>
                      <w:szCs w:val="20"/>
                    </w:rPr>
                  </w:pPr>
                </w:p>
              </w:tc>
              <w:tc>
                <w:tcPr>
                  <w:tcW w:w="851" w:type="dxa"/>
                </w:tcPr>
                <w:p w:rsidR="003611D5" w:rsidRPr="00666ECE" w:rsidRDefault="003611D5" w:rsidP="00EA54E6">
                  <w:pPr>
                    <w:keepNext/>
                    <w:keepLines/>
                    <w:spacing w:after="40" w:line="220" w:lineRule="atLeast"/>
                    <w:ind w:left="6" w:right="28"/>
                    <w:jc w:val="right"/>
                    <w:rPr>
                      <w:rFonts w:ascii="Arial" w:hAnsi="Arial"/>
                      <w:sz w:val="20"/>
                      <w:szCs w:val="20"/>
                    </w:rPr>
                  </w:pPr>
                </w:p>
              </w:tc>
            </w:tr>
            <w:tr w:rsidR="00EA54E6" w:rsidRPr="00666ECE" w:rsidTr="00425D7B">
              <w:tc>
                <w:tcPr>
                  <w:tcW w:w="1821" w:type="dxa"/>
                </w:tcPr>
                <w:p w:rsidR="00EA54E6" w:rsidRPr="00666ECE" w:rsidRDefault="00425D7B" w:rsidP="0013664B">
                  <w:pPr>
                    <w:pStyle w:val="TableUnitsRow"/>
                    <w:jc w:val="left"/>
                  </w:pPr>
                  <w:r>
                    <w:t xml:space="preserve"> </w:t>
                  </w:r>
                  <w:r w:rsidR="00EA54E6" w:rsidRPr="00666ECE">
                    <w:t>Primary schools</w:t>
                  </w:r>
                </w:p>
              </w:tc>
              <w:tc>
                <w:tcPr>
                  <w:tcW w:w="709" w:type="dxa"/>
                </w:tcPr>
                <w:p w:rsidR="00EA54E6" w:rsidRDefault="00EA54E6" w:rsidP="0013664B">
                  <w:pPr>
                    <w:pStyle w:val="TableBodyText"/>
                  </w:pPr>
                  <w:r w:rsidRPr="007E2D7F">
                    <w:t>%</w:t>
                  </w:r>
                </w:p>
              </w:tc>
              <w:tc>
                <w:tcPr>
                  <w:tcW w:w="850" w:type="dxa"/>
                  <w:vAlign w:val="bottom"/>
                </w:tcPr>
                <w:p w:rsidR="00EA54E6" w:rsidRDefault="00EA54E6" w:rsidP="0013664B">
                  <w:pPr>
                    <w:pStyle w:val="TableBodyText"/>
                  </w:pPr>
                  <w:r>
                    <w:t>48.6</w:t>
                  </w:r>
                </w:p>
              </w:tc>
              <w:tc>
                <w:tcPr>
                  <w:tcW w:w="709" w:type="dxa"/>
                  <w:vAlign w:val="bottom"/>
                </w:tcPr>
                <w:p w:rsidR="00EA54E6" w:rsidRDefault="00EA54E6" w:rsidP="0013664B">
                  <w:pPr>
                    <w:pStyle w:val="TableBodyText"/>
                  </w:pPr>
                  <w:r>
                    <w:t>48.7</w:t>
                  </w:r>
                </w:p>
              </w:tc>
              <w:tc>
                <w:tcPr>
                  <w:tcW w:w="709" w:type="dxa"/>
                  <w:vAlign w:val="bottom"/>
                </w:tcPr>
                <w:p w:rsidR="00EA54E6" w:rsidRDefault="00EA54E6" w:rsidP="0013664B">
                  <w:pPr>
                    <w:pStyle w:val="TableBodyText"/>
                  </w:pPr>
                  <w:r>
                    <w:t>48.4</w:t>
                  </w:r>
                </w:p>
              </w:tc>
              <w:tc>
                <w:tcPr>
                  <w:tcW w:w="709" w:type="dxa"/>
                  <w:vAlign w:val="bottom"/>
                </w:tcPr>
                <w:p w:rsidR="00EA54E6" w:rsidRDefault="00EA54E6" w:rsidP="0013664B">
                  <w:pPr>
                    <w:pStyle w:val="TableBodyText"/>
                  </w:pPr>
                  <w:r>
                    <w:t>48.7</w:t>
                  </w:r>
                </w:p>
              </w:tc>
              <w:tc>
                <w:tcPr>
                  <w:tcW w:w="708" w:type="dxa"/>
                  <w:vAlign w:val="bottom"/>
                </w:tcPr>
                <w:p w:rsidR="00EA54E6" w:rsidRDefault="00EA54E6" w:rsidP="0013664B">
                  <w:pPr>
                    <w:pStyle w:val="TableBodyText"/>
                  </w:pPr>
                  <w:r>
                    <w:t>48.7</w:t>
                  </w:r>
                </w:p>
              </w:tc>
              <w:tc>
                <w:tcPr>
                  <w:tcW w:w="567" w:type="dxa"/>
                  <w:vAlign w:val="bottom"/>
                </w:tcPr>
                <w:p w:rsidR="00EA54E6" w:rsidRDefault="00EA54E6" w:rsidP="0013664B">
                  <w:pPr>
                    <w:pStyle w:val="TableBodyText"/>
                  </w:pPr>
                  <w:r>
                    <w:t>48.8</w:t>
                  </w:r>
                </w:p>
              </w:tc>
              <w:tc>
                <w:tcPr>
                  <w:tcW w:w="567" w:type="dxa"/>
                  <w:vAlign w:val="bottom"/>
                </w:tcPr>
                <w:p w:rsidR="00EA54E6" w:rsidRDefault="00EA54E6" w:rsidP="0013664B">
                  <w:pPr>
                    <w:pStyle w:val="TableBodyText"/>
                  </w:pPr>
                  <w:r>
                    <w:t>48.6</w:t>
                  </w:r>
                </w:p>
              </w:tc>
              <w:tc>
                <w:tcPr>
                  <w:tcW w:w="567" w:type="dxa"/>
                  <w:vAlign w:val="bottom"/>
                </w:tcPr>
                <w:p w:rsidR="00EA54E6" w:rsidRDefault="00EA54E6" w:rsidP="0013664B">
                  <w:pPr>
                    <w:pStyle w:val="TableBodyText"/>
                  </w:pPr>
                  <w:r>
                    <w:t>48.9</w:t>
                  </w:r>
                </w:p>
              </w:tc>
              <w:tc>
                <w:tcPr>
                  <w:tcW w:w="851" w:type="dxa"/>
                  <w:vAlign w:val="bottom"/>
                </w:tcPr>
                <w:p w:rsidR="00EA54E6" w:rsidRDefault="00EA54E6" w:rsidP="0013664B">
                  <w:pPr>
                    <w:pStyle w:val="TableBodyText"/>
                  </w:pPr>
                  <w:r>
                    <w:t>48.6</w:t>
                  </w:r>
                </w:p>
              </w:tc>
            </w:tr>
            <w:tr w:rsidR="00EA54E6" w:rsidRPr="00666ECE" w:rsidTr="00425D7B">
              <w:tc>
                <w:tcPr>
                  <w:tcW w:w="1821" w:type="dxa"/>
                </w:tcPr>
                <w:p w:rsidR="00EA54E6" w:rsidRPr="00666ECE" w:rsidRDefault="00425D7B" w:rsidP="0013664B">
                  <w:pPr>
                    <w:pStyle w:val="TableUnitsRow"/>
                    <w:jc w:val="left"/>
                  </w:pPr>
                  <w:r>
                    <w:t xml:space="preserve"> </w:t>
                  </w:r>
                  <w:r w:rsidR="00EA54E6" w:rsidRPr="00666ECE">
                    <w:t>Secondary schools</w:t>
                  </w:r>
                </w:p>
              </w:tc>
              <w:tc>
                <w:tcPr>
                  <w:tcW w:w="709" w:type="dxa"/>
                </w:tcPr>
                <w:p w:rsidR="00EA54E6" w:rsidRDefault="00EA54E6" w:rsidP="0013664B">
                  <w:pPr>
                    <w:pStyle w:val="TableBodyText"/>
                  </w:pPr>
                  <w:r w:rsidRPr="007E2D7F">
                    <w:t>%</w:t>
                  </w:r>
                </w:p>
              </w:tc>
              <w:tc>
                <w:tcPr>
                  <w:tcW w:w="850" w:type="dxa"/>
                  <w:vAlign w:val="bottom"/>
                </w:tcPr>
                <w:p w:rsidR="00EA54E6" w:rsidRDefault="00EA54E6" w:rsidP="0013664B">
                  <w:pPr>
                    <w:pStyle w:val="TableBodyText"/>
                  </w:pPr>
                  <w:r>
                    <w:t>49.3</w:t>
                  </w:r>
                </w:p>
              </w:tc>
              <w:tc>
                <w:tcPr>
                  <w:tcW w:w="709" w:type="dxa"/>
                  <w:vAlign w:val="bottom"/>
                </w:tcPr>
                <w:p w:rsidR="00EA54E6" w:rsidRDefault="00EA54E6" w:rsidP="0013664B">
                  <w:pPr>
                    <w:pStyle w:val="TableBodyText"/>
                  </w:pPr>
                  <w:r>
                    <w:t>49.3</w:t>
                  </w:r>
                </w:p>
              </w:tc>
              <w:tc>
                <w:tcPr>
                  <w:tcW w:w="709" w:type="dxa"/>
                  <w:vAlign w:val="bottom"/>
                </w:tcPr>
                <w:p w:rsidR="00EA54E6" w:rsidRDefault="00EA54E6" w:rsidP="0013664B">
                  <w:pPr>
                    <w:pStyle w:val="TableBodyText"/>
                  </w:pPr>
                  <w:r>
                    <w:t>49.4</w:t>
                  </w:r>
                </w:p>
              </w:tc>
              <w:tc>
                <w:tcPr>
                  <w:tcW w:w="709" w:type="dxa"/>
                  <w:vAlign w:val="bottom"/>
                </w:tcPr>
                <w:p w:rsidR="00EA54E6" w:rsidRDefault="00EA54E6" w:rsidP="0013664B">
                  <w:pPr>
                    <w:pStyle w:val="TableBodyText"/>
                  </w:pPr>
                  <w:r>
                    <w:t>48.9</w:t>
                  </w:r>
                </w:p>
              </w:tc>
              <w:tc>
                <w:tcPr>
                  <w:tcW w:w="708" w:type="dxa"/>
                  <w:vAlign w:val="bottom"/>
                </w:tcPr>
                <w:p w:rsidR="00EA54E6" w:rsidRDefault="00EA54E6" w:rsidP="0013664B">
                  <w:pPr>
                    <w:pStyle w:val="TableBodyText"/>
                  </w:pPr>
                  <w:r>
                    <w:t>49.4</w:t>
                  </w:r>
                </w:p>
              </w:tc>
              <w:tc>
                <w:tcPr>
                  <w:tcW w:w="567" w:type="dxa"/>
                  <w:vAlign w:val="bottom"/>
                </w:tcPr>
                <w:p w:rsidR="00EA54E6" w:rsidRDefault="00EA54E6" w:rsidP="0013664B">
                  <w:pPr>
                    <w:pStyle w:val="TableBodyText"/>
                  </w:pPr>
                  <w:r>
                    <w:t>49.2</w:t>
                  </w:r>
                </w:p>
              </w:tc>
              <w:tc>
                <w:tcPr>
                  <w:tcW w:w="567" w:type="dxa"/>
                  <w:vAlign w:val="bottom"/>
                </w:tcPr>
                <w:p w:rsidR="00EA54E6" w:rsidRDefault="00EA54E6" w:rsidP="0013664B">
                  <w:pPr>
                    <w:pStyle w:val="TableBodyText"/>
                  </w:pPr>
                  <w:r>
                    <w:t>49.6</w:t>
                  </w:r>
                </w:p>
              </w:tc>
              <w:tc>
                <w:tcPr>
                  <w:tcW w:w="567" w:type="dxa"/>
                  <w:vAlign w:val="bottom"/>
                </w:tcPr>
                <w:p w:rsidR="00EA54E6" w:rsidRDefault="00EA54E6" w:rsidP="0013664B">
                  <w:pPr>
                    <w:pStyle w:val="TableBodyText"/>
                  </w:pPr>
                  <w:r>
                    <w:t>48.6</w:t>
                  </w:r>
                </w:p>
              </w:tc>
              <w:tc>
                <w:tcPr>
                  <w:tcW w:w="851" w:type="dxa"/>
                  <w:vAlign w:val="bottom"/>
                </w:tcPr>
                <w:p w:rsidR="00EA54E6" w:rsidRDefault="00EA54E6" w:rsidP="0013664B">
                  <w:pPr>
                    <w:pStyle w:val="TableBodyText"/>
                  </w:pPr>
                  <w:r>
                    <w:t>49.3</w:t>
                  </w:r>
                </w:p>
              </w:tc>
            </w:tr>
            <w:tr w:rsidR="00EA54E6" w:rsidRPr="00666ECE" w:rsidTr="00425D7B">
              <w:tc>
                <w:tcPr>
                  <w:tcW w:w="1821" w:type="dxa"/>
                </w:tcPr>
                <w:p w:rsidR="00EA54E6" w:rsidRPr="00666ECE" w:rsidRDefault="00425D7B" w:rsidP="0013664B">
                  <w:pPr>
                    <w:pStyle w:val="TableUnitsRow"/>
                    <w:jc w:val="left"/>
                    <w:rPr>
                      <w:b/>
                    </w:rPr>
                  </w:pPr>
                  <w:r>
                    <w:rPr>
                      <w:b/>
                    </w:rPr>
                    <w:t xml:space="preserve"> </w:t>
                  </w:r>
                  <w:r w:rsidR="00EA54E6" w:rsidRPr="00666ECE">
                    <w:rPr>
                      <w:b/>
                    </w:rPr>
                    <w:t>All schools</w:t>
                  </w:r>
                </w:p>
              </w:tc>
              <w:tc>
                <w:tcPr>
                  <w:tcW w:w="709" w:type="dxa"/>
                </w:tcPr>
                <w:p w:rsidR="00EA54E6" w:rsidRPr="0027264A" w:rsidRDefault="00EA54E6" w:rsidP="0027264A">
                  <w:pPr>
                    <w:pStyle w:val="TableBodyText"/>
                    <w:rPr>
                      <w:b/>
                    </w:rPr>
                  </w:pPr>
                  <w:r w:rsidRPr="0027264A">
                    <w:rPr>
                      <w:b/>
                    </w:rPr>
                    <w:t>%</w:t>
                  </w:r>
                </w:p>
              </w:tc>
              <w:tc>
                <w:tcPr>
                  <w:tcW w:w="850" w:type="dxa"/>
                  <w:vAlign w:val="bottom"/>
                </w:tcPr>
                <w:p w:rsidR="00EA54E6" w:rsidRPr="0027264A" w:rsidRDefault="00EA54E6" w:rsidP="0027264A">
                  <w:pPr>
                    <w:pStyle w:val="TableBodyText"/>
                    <w:rPr>
                      <w:b/>
                    </w:rPr>
                  </w:pPr>
                  <w:r w:rsidRPr="0027264A">
                    <w:rPr>
                      <w:b/>
                    </w:rPr>
                    <w:t>48.9</w:t>
                  </w:r>
                </w:p>
              </w:tc>
              <w:tc>
                <w:tcPr>
                  <w:tcW w:w="709" w:type="dxa"/>
                  <w:vAlign w:val="bottom"/>
                </w:tcPr>
                <w:p w:rsidR="00EA54E6" w:rsidRPr="0027264A" w:rsidRDefault="00EA54E6" w:rsidP="0027264A">
                  <w:pPr>
                    <w:pStyle w:val="TableBodyText"/>
                    <w:rPr>
                      <w:b/>
                    </w:rPr>
                  </w:pPr>
                  <w:r w:rsidRPr="0027264A">
                    <w:rPr>
                      <w:b/>
                    </w:rPr>
                    <w:t>48.9</w:t>
                  </w:r>
                </w:p>
              </w:tc>
              <w:tc>
                <w:tcPr>
                  <w:tcW w:w="709" w:type="dxa"/>
                  <w:vAlign w:val="bottom"/>
                </w:tcPr>
                <w:p w:rsidR="00EA54E6" w:rsidRPr="0027264A" w:rsidRDefault="00EA54E6" w:rsidP="0027264A">
                  <w:pPr>
                    <w:pStyle w:val="TableBodyText"/>
                    <w:rPr>
                      <w:b/>
                    </w:rPr>
                  </w:pPr>
                  <w:r w:rsidRPr="0027264A">
                    <w:rPr>
                      <w:b/>
                    </w:rPr>
                    <w:t>48.8</w:t>
                  </w:r>
                </w:p>
              </w:tc>
              <w:tc>
                <w:tcPr>
                  <w:tcW w:w="709" w:type="dxa"/>
                  <w:vAlign w:val="bottom"/>
                </w:tcPr>
                <w:p w:rsidR="00EA54E6" w:rsidRPr="0027264A" w:rsidRDefault="00EA54E6" w:rsidP="0027264A">
                  <w:pPr>
                    <w:pStyle w:val="TableBodyText"/>
                    <w:rPr>
                      <w:b/>
                    </w:rPr>
                  </w:pPr>
                  <w:r w:rsidRPr="0027264A">
                    <w:rPr>
                      <w:b/>
                    </w:rPr>
                    <w:t>48.8</w:t>
                  </w:r>
                </w:p>
              </w:tc>
              <w:tc>
                <w:tcPr>
                  <w:tcW w:w="708" w:type="dxa"/>
                  <w:vAlign w:val="bottom"/>
                </w:tcPr>
                <w:p w:rsidR="00EA54E6" w:rsidRPr="0027264A" w:rsidRDefault="00EA54E6" w:rsidP="0027264A">
                  <w:pPr>
                    <w:pStyle w:val="TableBodyText"/>
                    <w:rPr>
                      <w:b/>
                    </w:rPr>
                  </w:pPr>
                  <w:r w:rsidRPr="0027264A">
                    <w:rPr>
                      <w:b/>
                    </w:rPr>
                    <w:t>49.0</w:t>
                  </w:r>
                </w:p>
              </w:tc>
              <w:tc>
                <w:tcPr>
                  <w:tcW w:w="567" w:type="dxa"/>
                  <w:vAlign w:val="bottom"/>
                </w:tcPr>
                <w:p w:rsidR="00EA54E6" w:rsidRPr="0027264A" w:rsidRDefault="00EA54E6" w:rsidP="0027264A">
                  <w:pPr>
                    <w:pStyle w:val="TableBodyText"/>
                    <w:rPr>
                      <w:b/>
                    </w:rPr>
                  </w:pPr>
                  <w:r w:rsidRPr="0027264A">
                    <w:rPr>
                      <w:b/>
                    </w:rPr>
                    <w:t>49.0</w:t>
                  </w:r>
                </w:p>
              </w:tc>
              <w:tc>
                <w:tcPr>
                  <w:tcW w:w="567" w:type="dxa"/>
                  <w:vAlign w:val="bottom"/>
                </w:tcPr>
                <w:p w:rsidR="00EA54E6" w:rsidRPr="0027264A" w:rsidRDefault="00EA54E6" w:rsidP="0027264A">
                  <w:pPr>
                    <w:pStyle w:val="TableBodyText"/>
                    <w:rPr>
                      <w:b/>
                    </w:rPr>
                  </w:pPr>
                  <w:r w:rsidRPr="0027264A">
                    <w:rPr>
                      <w:b/>
                    </w:rPr>
                    <w:t>49.1</w:t>
                  </w:r>
                </w:p>
              </w:tc>
              <w:tc>
                <w:tcPr>
                  <w:tcW w:w="567" w:type="dxa"/>
                  <w:vAlign w:val="bottom"/>
                </w:tcPr>
                <w:p w:rsidR="00EA54E6" w:rsidRPr="0027264A" w:rsidRDefault="00EA54E6" w:rsidP="0027264A">
                  <w:pPr>
                    <w:pStyle w:val="TableBodyText"/>
                    <w:rPr>
                      <w:b/>
                    </w:rPr>
                  </w:pPr>
                  <w:r w:rsidRPr="0027264A">
                    <w:rPr>
                      <w:b/>
                    </w:rPr>
                    <w:t>48.8</w:t>
                  </w:r>
                </w:p>
              </w:tc>
              <w:tc>
                <w:tcPr>
                  <w:tcW w:w="851" w:type="dxa"/>
                  <w:vAlign w:val="bottom"/>
                </w:tcPr>
                <w:p w:rsidR="00EA54E6" w:rsidRPr="0027264A" w:rsidRDefault="00EA54E6" w:rsidP="0027264A">
                  <w:pPr>
                    <w:pStyle w:val="TableBodyText"/>
                    <w:rPr>
                      <w:b/>
                    </w:rPr>
                  </w:pPr>
                  <w:r w:rsidRPr="0027264A">
                    <w:rPr>
                      <w:b/>
                    </w:rPr>
                    <w:t>48.9</w:t>
                  </w:r>
                </w:p>
              </w:tc>
            </w:tr>
            <w:tr w:rsidR="003611D5" w:rsidRPr="00666ECE" w:rsidTr="00425D7B">
              <w:tc>
                <w:tcPr>
                  <w:tcW w:w="7916" w:type="dxa"/>
                  <w:gridSpan w:val="10"/>
                </w:tcPr>
                <w:p w:rsidR="003611D5" w:rsidRPr="00666ECE" w:rsidRDefault="003611D5" w:rsidP="0013664B">
                  <w:pPr>
                    <w:pStyle w:val="TableUnitsRow"/>
                    <w:jc w:val="left"/>
                  </w:pPr>
                  <w:r w:rsidRPr="00666ECE">
                    <w:t xml:space="preserve">Proportion of FTE students who were enrolled in </w:t>
                  </w:r>
                  <w:r>
                    <w:t>primary education, by sector</w:t>
                  </w:r>
                </w:p>
              </w:tc>
              <w:tc>
                <w:tcPr>
                  <w:tcW w:w="851" w:type="dxa"/>
                </w:tcPr>
                <w:p w:rsidR="003611D5" w:rsidRPr="00666ECE" w:rsidRDefault="003611D5" w:rsidP="00EA54E6">
                  <w:pPr>
                    <w:pStyle w:val="TableBodyText"/>
                  </w:pPr>
                </w:p>
              </w:tc>
            </w:tr>
            <w:tr w:rsidR="00EA54E6" w:rsidRPr="00666ECE" w:rsidTr="00425D7B">
              <w:tc>
                <w:tcPr>
                  <w:tcW w:w="1821" w:type="dxa"/>
                </w:tcPr>
                <w:p w:rsidR="00EA54E6" w:rsidRPr="00666ECE" w:rsidRDefault="00425D7B" w:rsidP="0013664B">
                  <w:pPr>
                    <w:pStyle w:val="TableUnitsRow"/>
                    <w:jc w:val="left"/>
                  </w:pPr>
                  <w:r>
                    <w:t xml:space="preserve"> </w:t>
                  </w:r>
                  <w:r w:rsidR="00EA54E6" w:rsidRPr="00666ECE">
                    <w:t>Government schools</w:t>
                  </w:r>
                </w:p>
              </w:tc>
              <w:tc>
                <w:tcPr>
                  <w:tcW w:w="709" w:type="dxa"/>
                  <w:vAlign w:val="bottom"/>
                </w:tcPr>
                <w:p w:rsidR="00EA54E6" w:rsidRDefault="00EA54E6" w:rsidP="0013664B">
                  <w:pPr>
                    <w:pStyle w:val="TableBodyText"/>
                  </w:pPr>
                  <w:r w:rsidRPr="00462C33">
                    <w:t>%</w:t>
                  </w:r>
                </w:p>
              </w:tc>
              <w:tc>
                <w:tcPr>
                  <w:tcW w:w="850" w:type="dxa"/>
                  <w:vAlign w:val="bottom"/>
                </w:tcPr>
                <w:p w:rsidR="00EA54E6" w:rsidRDefault="00EA54E6" w:rsidP="0013664B">
                  <w:pPr>
                    <w:pStyle w:val="TableBodyText"/>
                  </w:pPr>
                  <w:r>
                    <w:t>59.4</w:t>
                  </w:r>
                </w:p>
              </w:tc>
              <w:tc>
                <w:tcPr>
                  <w:tcW w:w="709" w:type="dxa"/>
                  <w:vAlign w:val="bottom"/>
                </w:tcPr>
                <w:p w:rsidR="00EA54E6" w:rsidRDefault="00EA54E6" w:rsidP="0013664B">
                  <w:pPr>
                    <w:pStyle w:val="TableBodyText"/>
                  </w:pPr>
                  <w:r>
                    <w:t>59.6</w:t>
                  </w:r>
                </w:p>
              </w:tc>
              <w:tc>
                <w:tcPr>
                  <w:tcW w:w="709" w:type="dxa"/>
                  <w:vAlign w:val="bottom"/>
                </w:tcPr>
                <w:p w:rsidR="00EA54E6" w:rsidRDefault="00EA54E6" w:rsidP="0013664B">
                  <w:pPr>
                    <w:pStyle w:val="TableBodyText"/>
                  </w:pPr>
                  <w:r>
                    <w:t>65.0</w:t>
                  </w:r>
                </w:p>
              </w:tc>
              <w:tc>
                <w:tcPr>
                  <w:tcW w:w="709" w:type="dxa"/>
                  <w:vAlign w:val="bottom"/>
                </w:tcPr>
                <w:p w:rsidR="00EA54E6" w:rsidRDefault="00EA54E6" w:rsidP="0013664B">
                  <w:pPr>
                    <w:pStyle w:val="TableBodyText"/>
                  </w:pPr>
                  <w:r>
                    <w:t>69.2</w:t>
                  </w:r>
                </w:p>
              </w:tc>
              <w:tc>
                <w:tcPr>
                  <w:tcW w:w="708" w:type="dxa"/>
                  <w:vAlign w:val="bottom"/>
                </w:tcPr>
                <w:p w:rsidR="00EA54E6" w:rsidRDefault="00EA54E6" w:rsidP="0013664B">
                  <w:pPr>
                    <w:pStyle w:val="TableBodyText"/>
                  </w:pPr>
                  <w:r>
                    <w:t>63.3</w:t>
                  </w:r>
                </w:p>
              </w:tc>
              <w:tc>
                <w:tcPr>
                  <w:tcW w:w="567" w:type="dxa"/>
                  <w:vAlign w:val="bottom"/>
                </w:tcPr>
                <w:p w:rsidR="00EA54E6" w:rsidRDefault="00EA54E6" w:rsidP="0013664B">
                  <w:pPr>
                    <w:pStyle w:val="TableBodyText"/>
                  </w:pPr>
                  <w:r>
                    <w:t>56.3</w:t>
                  </w:r>
                </w:p>
              </w:tc>
              <w:tc>
                <w:tcPr>
                  <w:tcW w:w="567" w:type="dxa"/>
                  <w:vAlign w:val="bottom"/>
                </w:tcPr>
                <w:p w:rsidR="00EA54E6" w:rsidRDefault="00EA54E6" w:rsidP="0013664B">
                  <w:pPr>
                    <w:pStyle w:val="TableBodyText"/>
                  </w:pPr>
                  <w:r>
                    <w:t>56.6</w:t>
                  </w:r>
                </w:p>
              </w:tc>
              <w:tc>
                <w:tcPr>
                  <w:tcW w:w="567" w:type="dxa"/>
                  <w:vAlign w:val="bottom"/>
                </w:tcPr>
                <w:p w:rsidR="00EA54E6" w:rsidRDefault="00EA54E6" w:rsidP="0013664B">
                  <w:pPr>
                    <w:pStyle w:val="TableBodyText"/>
                  </w:pPr>
                  <w:r>
                    <w:t>64.0</w:t>
                  </w:r>
                </w:p>
              </w:tc>
              <w:tc>
                <w:tcPr>
                  <w:tcW w:w="851" w:type="dxa"/>
                  <w:vAlign w:val="bottom"/>
                </w:tcPr>
                <w:p w:rsidR="00EA54E6" w:rsidRDefault="00EA54E6" w:rsidP="0013664B">
                  <w:pPr>
                    <w:pStyle w:val="TableBodyText"/>
                  </w:pPr>
                  <w:r>
                    <w:t>61.9</w:t>
                  </w:r>
                </w:p>
              </w:tc>
            </w:tr>
            <w:tr w:rsidR="00EA54E6" w:rsidRPr="00666ECE" w:rsidTr="00425D7B">
              <w:tc>
                <w:tcPr>
                  <w:tcW w:w="1821" w:type="dxa"/>
                  <w:shd w:val="clear" w:color="auto" w:fill="auto"/>
                </w:tcPr>
                <w:p w:rsidR="00EA54E6" w:rsidRPr="00666ECE" w:rsidRDefault="00425D7B" w:rsidP="0013664B">
                  <w:pPr>
                    <w:pStyle w:val="TableUnitsRow"/>
                    <w:jc w:val="left"/>
                  </w:pPr>
                  <w:r>
                    <w:t xml:space="preserve"> </w:t>
                  </w:r>
                  <w:r w:rsidR="00EA54E6" w:rsidRPr="00666ECE">
                    <w:t xml:space="preserve">Non-government </w:t>
                  </w:r>
                  <w:r>
                    <w:br/>
                    <w:t xml:space="preserve"> </w:t>
                  </w:r>
                  <w:r w:rsidR="00EA54E6" w:rsidRPr="00666ECE">
                    <w:t>schools</w:t>
                  </w:r>
                </w:p>
              </w:tc>
              <w:tc>
                <w:tcPr>
                  <w:tcW w:w="709" w:type="dxa"/>
                  <w:vAlign w:val="bottom"/>
                </w:tcPr>
                <w:p w:rsidR="00EA54E6" w:rsidRDefault="00EA54E6" w:rsidP="0013664B">
                  <w:pPr>
                    <w:pStyle w:val="TableBodyText"/>
                  </w:pPr>
                  <w:r w:rsidRPr="00462C33">
                    <w:t>%</w:t>
                  </w:r>
                </w:p>
              </w:tc>
              <w:tc>
                <w:tcPr>
                  <w:tcW w:w="850" w:type="dxa"/>
                  <w:shd w:val="clear" w:color="auto" w:fill="auto"/>
                  <w:vAlign w:val="bottom"/>
                </w:tcPr>
                <w:p w:rsidR="00EA54E6" w:rsidRDefault="00EA54E6" w:rsidP="0013664B">
                  <w:pPr>
                    <w:pStyle w:val="TableBodyText"/>
                  </w:pPr>
                  <w:r>
                    <w:t>49.7</w:t>
                  </w:r>
                </w:p>
              </w:tc>
              <w:tc>
                <w:tcPr>
                  <w:tcW w:w="709" w:type="dxa"/>
                  <w:shd w:val="clear" w:color="auto" w:fill="auto"/>
                  <w:vAlign w:val="bottom"/>
                </w:tcPr>
                <w:p w:rsidR="00EA54E6" w:rsidRDefault="00EA54E6" w:rsidP="0013664B">
                  <w:pPr>
                    <w:pStyle w:val="TableBodyText"/>
                  </w:pPr>
                  <w:r>
                    <w:t>48.7</w:t>
                  </w:r>
                </w:p>
              </w:tc>
              <w:tc>
                <w:tcPr>
                  <w:tcW w:w="709" w:type="dxa"/>
                  <w:shd w:val="clear" w:color="auto" w:fill="auto"/>
                  <w:vAlign w:val="bottom"/>
                </w:tcPr>
                <w:p w:rsidR="00EA54E6" w:rsidRDefault="00EA54E6" w:rsidP="0013664B">
                  <w:pPr>
                    <w:pStyle w:val="TableBodyText"/>
                  </w:pPr>
                  <w:r>
                    <w:t>55.8</w:t>
                  </w:r>
                </w:p>
              </w:tc>
              <w:tc>
                <w:tcPr>
                  <w:tcW w:w="709" w:type="dxa"/>
                  <w:shd w:val="clear" w:color="auto" w:fill="auto"/>
                  <w:vAlign w:val="bottom"/>
                </w:tcPr>
                <w:p w:rsidR="00EA54E6" w:rsidRDefault="00EA54E6" w:rsidP="0013664B">
                  <w:pPr>
                    <w:pStyle w:val="TableBodyText"/>
                  </w:pPr>
                  <w:r>
                    <w:t>57.1</w:t>
                  </w:r>
                </w:p>
              </w:tc>
              <w:tc>
                <w:tcPr>
                  <w:tcW w:w="708" w:type="dxa"/>
                  <w:shd w:val="clear" w:color="auto" w:fill="auto"/>
                  <w:vAlign w:val="bottom"/>
                </w:tcPr>
                <w:p w:rsidR="00EA54E6" w:rsidRDefault="00EA54E6" w:rsidP="0013664B">
                  <w:pPr>
                    <w:pStyle w:val="TableBodyText"/>
                  </w:pPr>
                  <w:r>
                    <w:t>57.3</w:t>
                  </w:r>
                </w:p>
              </w:tc>
              <w:tc>
                <w:tcPr>
                  <w:tcW w:w="567" w:type="dxa"/>
                  <w:shd w:val="clear" w:color="auto" w:fill="auto"/>
                  <w:vAlign w:val="bottom"/>
                </w:tcPr>
                <w:p w:rsidR="00EA54E6" w:rsidRDefault="00EA54E6" w:rsidP="0013664B">
                  <w:pPr>
                    <w:pStyle w:val="TableBodyText"/>
                  </w:pPr>
                  <w:r>
                    <w:t>49.3</w:t>
                  </w:r>
                </w:p>
              </w:tc>
              <w:tc>
                <w:tcPr>
                  <w:tcW w:w="567" w:type="dxa"/>
                  <w:shd w:val="clear" w:color="auto" w:fill="auto"/>
                  <w:vAlign w:val="bottom"/>
                </w:tcPr>
                <w:p w:rsidR="00EA54E6" w:rsidRDefault="00EA54E6" w:rsidP="0013664B">
                  <w:pPr>
                    <w:pStyle w:val="TableBodyText"/>
                  </w:pPr>
                  <w:r>
                    <w:t>49.7</w:t>
                  </w:r>
                </w:p>
              </w:tc>
              <w:tc>
                <w:tcPr>
                  <w:tcW w:w="567" w:type="dxa"/>
                  <w:shd w:val="clear" w:color="auto" w:fill="auto"/>
                  <w:vAlign w:val="bottom"/>
                </w:tcPr>
                <w:p w:rsidR="00EA54E6" w:rsidRDefault="00EA54E6" w:rsidP="0013664B">
                  <w:pPr>
                    <w:pStyle w:val="TableBodyText"/>
                  </w:pPr>
                  <w:r>
                    <w:t>48.8</w:t>
                  </w:r>
                </w:p>
              </w:tc>
              <w:tc>
                <w:tcPr>
                  <w:tcW w:w="851" w:type="dxa"/>
                  <w:shd w:val="clear" w:color="auto" w:fill="auto"/>
                  <w:vAlign w:val="bottom"/>
                </w:tcPr>
                <w:p w:rsidR="00EA54E6" w:rsidRDefault="00EA54E6" w:rsidP="0013664B">
                  <w:pPr>
                    <w:pStyle w:val="TableBodyText"/>
                  </w:pPr>
                  <w:r>
                    <w:t>52.0</w:t>
                  </w:r>
                </w:p>
              </w:tc>
            </w:tr>
            <w:tr w:rsidR="00EA54E6" w:rsidRPr="00EF142D" w:rsidTr="00425D7B">
              <w:tc>
                <w:tcPr>
                  <w:tcW w:w="1821" w:type="dxa"/>
                  <w:tcBorders>
                    <w:bottom w:val="single" w:sz="6" w:space="0" w:color="auto"/>
                  </w:tcBorders>
                  <w:shd w:val="clear" w:color="auto" w:fill="auto"/>
                </w:tcPr>
                <w:p w:rsidR="00EA54E6" w:rsidRPr="00666ECE" w:rsidRDefault="00425D7B" w:rsidP="0013664B">
                  <w:pPr>
                    <w:pStyle w:val="TableUnitsRow"/>
                    <w:jc w:val="left"/>
                    <w:rPr>
                      <w:b/>
                    </w:rPr>
                  </w:pPr>
                  <w:r>
                    <w:rPr>
                      <w:b/>
                    </w:rPr>
                    <w:t xml:space="preserve"> </w:t>
                  </w:r>
                  <w:r w:rsidR="00EA54E6" w:rsidRPr="00666ECE">
                    <w:rPr>
                      <w:b/>
                    </w:rPr>
                    <w:t>All schools</w:t>
                  </w:r>
                </w:p>
              </w:tc>
              <w:tc>
                <w:tcPr>
                  <w:tcW w:w="709" w:type="dxa"/>
                  <w:tcBorders>
                    <w:bottom w:val="single" w:sz="6" w:space="0" w:color="auto"/>
                  </w:tcBorders>
                  <w:vAlign w:val="bottom"/>
                </w:tcPr>
                <w:p w:rsidR="00EA54E6" w:rsidRPr="0027264A" w:rsidRDefault="00EA54E6" w:rsidP="0013664B">
                  <w:pPr>
                    <w:pStyle w:val="TableBodyText"/>
                    <w:rPr>
                      <w:b/>
                    </w:rPr>
                  </w:pPr>
                  <w:r w:rsidRPr="0027264A">
                    <w:rPr>
                      <w:b/>
                    </w:rPr>
                    <w:t>%</w:t>
                  </w:r>
                </w:p>
              </w:tc>
              <w:tc>
                <w:tcPr>
                  <w:tcW w:w="850" w:type="dxa"/>
                  <w:tcBorders>
                    <w:bottom w:val="single" w:sz="6" w:space="0" w:color="auto"/>
                  </w:tcBorders>
                  <w:shd w:val="clear" w:color="auto" w:fill="auto"/>
                  <w:vAlign w:val="bottom"/>
                </w:tcPr>
                <w:p w:rsidR="00EA54E6" w:rsidRPr="0027264A" w:rsidRDefault="00EA54E6" w:rsidP="0013664B">
                  <w:pPr>
                    <w:pStyle w:val="TableBodyText"/>
                    <w:rPr>
                      <w:b/>
                    </w:rPr>
                  </w:pPr>
                  <w:r w:rsidRPr="0027264A">
                    <w:rPr>
                      <w:b/>
                    </w:rPr>
                    <w:t>56.1</w:t>
                  </w:r>
                </w:p>
              </w:tc>
              <w:tc>
                <w:tcPr>
                  <w:tcW w:w="709" w:type="dxa"/>
                  <w:tcBorders>
                    <w:bottom w:val="single" w:sz="6" w:space="0" w:color="auto"/>
                  </w:tcBorders>
                  <w:shd w:val="clear" w:color="auto" w:fill="auto"/>
                  <w:vAlign w:val="bottom"/>
                </w:tcPr>
                <w:p w:rsidR="00EA54E6" w:rsidRPr="0027264A" w:rsidRDefault="00EA54E6" w:rsidP="0013664B">
                  <w:pPr>
                    <w:pStyle w:val="TableBodyText"/>
                    <w:rPr>
                      <w:b/>
                    </w:rPr>
                  </w:pPr>
                  <w:r w:rsidRPr="0027264A">
                    <w:rPr>
                      <w:b/>
                    </w:rPr>
                    <w:t>55.5</w:t>
                  </w:r>
                </w:p>
              </w:tc>
              <w:tc>
                <w:tcPr>
                  <w:tcW w:w="709" w:type="dxa"/>
                  <w:tcBorders>
                    <w:bottom w:val="single" w:sz="6" w:space="0" w:color="auto"/>
                  </w:tcBorders>
                  <w:shd w:val="clear" w:color="auto" w:fill="auto"/>
                  <w:vAlign w:val="bottom"/>
                </w:tcPr>
                <w:p w:rsidR="00EA54E6" w:rsidRPr="0027264A" w:rsidRDefault="00EA54E6" w:rsidP="0013664B">
                  <w:pPr>
                    <w:pStyle w:val="TableBodyText"/>
                    <w:rPr>
                      <w:b/>
                    </w:rPr>
                  </w:pPr>
                  <w:r w:rsidRPr="0027264A">
                    <w:rPr>
                      <w:b/>
                    </w:rPr>
                    <w:t>61.9</w:t>
                  </w:r>
                </w:p>
              </w:tc>
              <w:tc>
                <w:tcPr>
                  <w:tcW w:w="709" w:type="dxa"/>
                  <w:tcBorders>
                    <w:bottom w:val="single" w:sz="6" w:space="0" w:color="auto"/>
                  </w:tcBorders>
                  <w:shd w:val="clear" w:color="auto" w:fill="auto"/>
                  <w:vAlign w:val="bottom"/>
                </w:tcPr>
                <w:p w:rsidR="00EA54E6" w:rsidRPr="0027264A" w:rsidRDefault="00EA54E6" w:rsidP="0013664B">
                  <w:pPr>
                    <w:pStyle w:val="TableBodyText"/>
                    <w:rPr>
                      <w:b/>
                    </w:rPr>
                  </w:pPr>
                  <w:r w:rsidRPr="0027264A">
                    <w:rPr>
                      <w:b/>
                    </w:rPr>
                    <w:t>65.1</w:t>
                  </w:r>
                </w:p>
              </w:tc>
              <w:tc>
                <w:tcPr>
                  <w:tcW w:w="708" w:type="dxa"/>
                  <w:tcBorders>
                    <w:bottom w:val="single" w:sz="6" w:space="0" w:color="auto"/>
                  </w:tcBorders>
                  <w:shd w:val="clear" w:color="auto" w:fill="auto"/>
                  <w:vAlign w:val="bottom"/>
                </w:tcPr>
                <w:p w:rsidR="00EA54E6" w:rsidRPr="0027264A" w:rsidRDefault="00EA54E6" w:rsidP="0013664B">
                  <w:pPr>
                    <w:pStyle w:val="TableBodyText"/>
                    <w:rPr>
                      <w:b/>
                    </w:rPr>
                  </w:pPr>
                  <w:r w:rsidRPr="0027264A">
                    <w:rPr>
                      <w:b/>
                    </w:rPr>
                    <w:t>61.2</w:t>
                  </w:r>
                </w:p>
              </w:tc>
              <w:tc>
                <w:tcPr>
                  <w:tcW w:w="567" w:type="dxa"/>
                  <w:tcBorders>
                    <w:bottom w:val="single" w:sz="6" w:space="0" w:color="auto"/>
                  </w:tcBorders>
                  <w:shd w:val="clear" w:color="auto" w:fill="auto"/>
                  <w:vAlign w:val="bottom"/>
                </w:tcPr>
                <w:p w:rsidR="00EA54E6" w:rsidRPr="0027264A" w:rsidRDefault="00EA54E6" w:rsidP="0013664B">
                  <w:pPr>
                    <w:pStyle w:val="TableBodyText"/>
                    <w:rPr>
                      <w:b/>
                    </w:rPr>
                  </w:pPr>
                  <w:r w:rsidRPr="0027264A">
                    <w:rPr>
                      <w:b/>
                    </w:rPr>
                    <w:t>54.2</w:t>
                  </w:r>
                </w:p>
              </w:tc>
              <w:tc>
                <w:tcPr>
                  <w:tcW w:w="567" w:type="dxa"/>
                  <w:tcBorders>
                    <w:bottom w:val="single" w:sz="6" w:space="0" w:color="auto"/>
                  </w:tcBorders>
                  <w:shd w:val="clear" w:color="auto" w:fill="auto"/>
                  <w:vAlign w:val="bottom"/>
                </w:tcPr>
                <w:p w:rsidR="00EA54E6" w:rsidRPr="0027264A" w:rsidRDefault="00EA54E6" w:rsidP="0013664B">
                  <w:pPr>
                    <w:pStyle w:val="TableBodyText"/>
                    <w:rPr>
                      <w:b/>
                    </w:rPr>
                  </w:pPr>
                  <w:r w:rsidRPr="0027264A">
                    <w:rPr>
                      <w:b/>
                    </w:rPr>
                    <w:t>53.7</w:t>
                  </w:r>
                </w:p>
              </w:tc>
              <w:tc>
                <w:tcPr>
                  <w:tcW w:w="567" w:type="dxa"/>
                  <w:tcBorders>
                    <w:bottom w:val="single" w:sz="6" w:space="0" w:color="auto"/>
                  </w:tcBorders>
                  <w:shd w:val="clear" w:color="auto" w:fill="auto"/>
                  <w:vAlign w:val="bottom"/>
                </w:tcPr>
                <w:p w:rsidR="00EA54E6" w:rsidRPr="0027264A" w:rsidRDefault="00EA54E6" w:rsidP="0013664B">
                  <w:pPr>
                    <w:pStyle w:val="TableBodyText"/>
                    <w:rPr>
                      <w:b/>
                    </w:rPr>
                  </w:pPr>
                  <w:r w:rsidRPr="0027264A">
                    <w:rPr>
                      <w:b/>
                    </w:rPr>
                    <w:t>59.9</w:t>
                  </w:r>
                </w:p>
              </w:tc>
              <w:tc>
                <w:tcPr>
                  <w:tcW w:w="851" w:type="dxa"/>
                  <w:tcBorders>
                    <w:bottom w:val="single" w:sz="6" w:space="0" w:color="auto"/>
                  </w:tcBorders>
                  <w:shd w:val="clear" w:color="auto" w:fill="auto"/>
                  <w:vAlign w:val="bottom"/>
                </w:tcPr>
                <w:p w:rsidR="00EA54E6" w:rsidRPr="0027264A" w:rsidRDefault="00EA54E6" w:rsidP="0013664B">
                  <w:pPr>
                    <w:pStyle w:val="TableBodyText"/>
                    <w:rPr>
                      <w:b/>
                    </w:rPr>
                  </w:pPr>
                  <w:r w:rsidRPr="0027264A">
                    <w:rPr>
                      <w:b/>
                    </w:rPr>
                    <w:t>58.5</w:t>
                  </w:r>
                </w:p>
              </w:tc>
            </w:tr>
          </w:tbl>
          <w:p w:rsidR="003611D5" w:rsidRDefault="003611D5" w:rsidP="00EA54E6">
            <w:pPr>
              <w:pStyle w:val="Box"/>
            </w:pPr>
          </w:p>
        </w:tc>
      </w:tr>
      <w:tr w:rsidR="003611D5" w:rsidTr="00EA54E6">
        <w:trPr>
          <w:cantSplit/>
        </w:trPr>
        <w:tc>
          <w:tcPr>
            <w:tcW w:w="8771" w:type="dxa"/>
            <w:tcBorders>
              <w:top w:val="nil"/>
              <w:left w:val="nil"/>
              <w:bottom w:val="nil"/>
              <w:right w:val="nil"/>
            </w:tcBorders>
            <w:shd w:val="clear" w:color="auto" w:fill="auto"/>
          </w:tcPr>
          <w:p w:rsidR="003611D5" w:rsidRPr="005C44D0" w:rsidRDefault="003611D5" w:rsidP="00EA54E6">
            <w:pPr>
              <w:pStyle w:val="Note"/>
            </w:pPr>
            <w:r w:rsidRPr="008E77FE">
              <w:rPr>
                <w:rStyle w:val="NoteLabel"/>
              </w:rPr>
              <w:t>a</w:t>
            </w:r>
            <w:r>
              <w:t xml:space="preserve"> </w:t>
            </w:r>
            <w:r w:rsidR="005C44D0" w:rsidRPr="005C44D0">
              <w:t xml:space="preserve">Students enrolled in special schools are included, with special school students of primary school age and/or year level included in the primary figures and those of secondary school age and/or year level included in the secondary figures. </w:t>
            </w:r>
            <w:r w:rsidR="005C44D0" w:rsidRPr="008F5666">
              <w:rPr>
                <w:rStyle w:val="NoteLabel"/>
              </w:rPr>
              <w:t>b</w:t>
            </w:r>
            <w:r w:rsidR="005C44D0" w:rsidRPr="005C44D0">
              <w:t> Results of calculations may vary from the tab</w:t>
            </w:r>
            <w:r w:rsidR="005C44D0">
              <w:t>le due to rounding differences.</w:t>
            </w:r>
          </w:p>
        </w:tc>
      </w:tr>
      <w:tr w:rsidR="003611D5" w:rsidTr="00EA54E6">
        <w:trPr>
          <w:cantSplit/>
        </w:trPr>
        <w:tc>
          <w:tcPr>
            <w:tcW w:w="8771" w:type="dxa"/>
            <w:tcBorders>
              <w:top w:val="nil"/>
              <w:left w:val="nil"/>
              <w:bottom w:val="nil"/>
              <w:right w:val="nil"/>
            </w:tcBorders>
            <w:shd w:val="clear" w:color="auto" w:fill="auto"/>
          </w:tcPr>
          <w:p w:rsidR="003611D5" w:rsidRDefault="005C44D0" w:rsidP="005C44D0">
            <w:pPr>
              <w:pStyle w:val="Source"/>
            </w:pPr>
            <w:r>
              <w:rPr>
                <w:i/>
              </w:rPr>
              <w:t>Source</w:t>
            </w:r>
            <w:r w:rsidR="003611D5" w:rsidRPr="00167F06">
              <w:t xml:space="preserve">: </w:t>
            </w:r>
            <w:r w:rsidRPr="005C44D0">
              <w:t>ABS (201</w:t>
            </w:r>
            <w:r>
              <w:t>4</w:t>
            </w:r>
            <w:r w:rsidRPr="005C44D0">
              <w:t xml:space="preserve">) </w:t>
            </w:r>
            <w:r w:rsidRPr="005C44D0">
              <w:rPr>
                <w:i/>
              </w:rPr>
              <w:t>Schools Australia 201</w:t>
            </w:r>
            <w:r>
              <w:rPr>
                <w:i/>
              </w:rPr>
              <w:t>3</w:t>
            </w:r>
            <w:r w:rsidRPr="005C44D0">
              <w:t xml:space="preserve">, Cat. no. 4221.0; tables </w:t>
            </w:r>
            <w:proofErr w:type="spellStart"/>
            <w:r w:rsidRPr="005C44D0">
              <w:t>4A.1</w:t>
            </w:r>
            <w:proofErr w:type="spellEnd"/>
            <w:r w:rsidRPr="005C44D0">
              <w:t>–4.</w:t>
            </w:r>
          </w:p>
        </w:tc>
      </w:tr>
      <w:tr w:rsidR="003611D5" w:rsidTr="00EA54E6">
        <w:trPr>
          <w:cantSplit/>
        </w:trPr>
        <w:tc>
          <w:tcPr>
            <w:tcW w:w="8771" w:type="dxa"/>
            <w:tcBorders>
              <w:top w:val="nil"/>
              <w:left w:val="nil"/>
              <w:bottom w:val="single" w:sz="6" w:space="0" w:color="78A22F"/>
              <w:right w:val="nil"/>
            </w:tcBorders>
            <w:shd w:val="clear" w:color="auto" w:fill="auto"/>
          </w:tcPr>
          <w:p w:rsidR="003611D5" w:rsidRDefault="003611D5" w:rsidP="00EA54E6">
            <w:pPr>
              <w:pStyle w:val="Box"/>
              <w:spacing w:before="0" w:line="120" w:lineRule="exact"/>
            </w:pPr>
          </w:p>
        </w:tc>
      </w:tr>
      <w:tr w:rsidR="003611D5" w:rsidRPr="000863A5" w:rsidTr="00EA54E6">
        <w:tc>
          <w:tcPr>
            <w:tcW w:w="8771" w:type="dxa"/>
            <w:tcBorders>
              <w:top w:val="single" w:sz="6" w:space="0" w:color="78A22F"/>
              <w:left w:val="nil"/>
              <w:bottom w:val="nil"/>
              <w:right w:val="nil"/>
            </w:tcBorders>
          </w:tcPr>
          <w:p w:rsidR="003611D5" w:rsidRPr="00626D32" w:rsidRDefault="003611D5" w:rsidP="00EA54E6">
            <w:pPr>
              <w:pStyle w:val="BoxSpaceBelow"/>
            </w:pPr>
          </w:p>
        </w:tc>
      </w:tr>
    </w:tbl>
    <w:p w:rsidR="00666ECE" w:rsidRPr="000E6F59" w:rsidRDefault="00666ECE" w:rsidP="004145D6">
      <w:pPr>
        <w:pStyle w:val="BodyText"/>
      </w:pPr>
      <w:r w:rsidRPr="000E6F59">
        <w:lastRenderedPageBreak/>
        <w:t xml:space="preserve">Total full time student enrolments in schools in Australia were relatively stable </w:t>
      </w:r>
      <w:r w:rsidR="00A83EC3" w:rsidRPr="000E6F59">
        <w:t>from 200</w:t>
      </w:r>
      <w:r w:rsidR="00354E9A">
        <w:t>9</w:t>
      </w:r>
      <w:r w:rsidR="00A83EC3" w:rsidRPr="000E6F59">
        <w:t xml:space="preserve"> to</w:t>
      </w:r>
      <w:r w:rsidRPr="000E6F59">
        <w:t xml:space="preserve"> 201</w:t>
      </w:r>
      <w:r w:rsidR="00354E9A">
        <w:t>3</w:t>
      </w:r>
      <w:r w:rsidRPr="000E6F59">
        <w:t xml:space="preserve">, </w:t>
      </w:r>
      <w:r w:rsidRPr="00C30F35">
        <w:t xml:space="preserve">increasing </w:t>
      </w:r>
      <w:r w:rsidRPr="00547B02">
        <w:rPr>
          <w:shd w:val="clear" w:color="auto" w:fill="FFFFFF" w:themeFill="background1"/>
        </w:rPr>
        <w:t xml:space="preserve">by </w:t>
      </w:r>
      <w:r w:rsidR="00C30F35" w:rsidRPr="00547B02">
        <w:rPr>
          <w:shd w:val="clear" w:color="auto" w:fill="FFFFFF" w:themeFill="background1"/>
        </w:rPr>
        <w:t>1.</w:t>
      </w:r>
      <w:r w:rsidR="00547B02" w:rsidRPr="00547B02">
        <w:rPr>
          <w:shd w:val="clear" w:color="auto" w:fill="FFFFFF" w:themeFill="background1"/>
        </w:rPr>
        <w:t>2</w:t>
      </w:r>
      <w:r w:rsidRPr="00547B02">
        <w:rPr>
          <w:shd w:val="clear" w:color="auto" w:fill="FFFFFF" w:themeFill="background1"/>
        </w:rPr>
        <w:t xml:space="preserve"> per cent each year (table </w:t>
      </w:r>
      <w:proofErr w:type="spellStart"/>
      <w:r w:rsidRPr="00547B02">
        <w:rPr>
          <w:shd w:val="clear" w:color="auto" w:fill="FFFFFF" w:themeFill="background1"/>
        </w:rPr>
        <w:t>4A.2</w:t>
      </w:r>
      <w:r w:rsidR="009807CA" w:rsidRPr="00547B02">
        <w:rPr>
          <w:shd w:val="clear" w:color="auto" w:fill="FFFFFF" w:themeFill="background1"/>
        </w:rPr>
        <w:t>8</w:t>
      </w:r>
      <w:proofErr w:type="spellEnd"/>
      <w:r w:rsidRPr="00547B02">
        <w:rPr>
          <w:shd w:val="clear" w:color="auto" w:fill="FFFFFF" w:themeFill="background1"/>
        </w:rPr>
        <w:t xml:space="preserve">). Full time school students represented </w:t>
      </w:r>
      <w:r w:rsidR="00DF3C6E" w:rsidRPr="00547B02">
        <w:rPr>
          <w:shd w:val="clear" w:color="auto" w:fill="FFFFFF" w:themeFill="background1"/>
        </w:rPr>
        <w:t>15.</w:t>
      </w:r>
      <w:r w:rsidR="00547B02" w:rsidRPr="00547B02">
        <w:rPr>
          <w:shd w:val="clear" w:color="auto" w:fill="FFFFFF" w:themeFill="background1"/>
        </w:rPr>
        <w:t>7</w:t>
      </w:r>
      <w:r w:rsidR="00DF3C6E" w:rsidRPr="00547B02">
        <w:rPr>
          <w:shd w:val="clear" w:color="auto" w:fill="FFFFFF" w:themeFill="background1"/>
        </w:rPr>
        <w:t xml:space="preserve"> </w:t>
      </w:r>
      <w:r w:rsidRPr="00547B02">
        <w:rPr>
          <w:shd w:val="clear" w:color="auto" w:fill="FFFFFF" w:themeFill="background1"/>
        </w:rPr>
        <w:t>per cent</w:t>
      </w:r>
      <w:r w:rsidRPr="000E6F59">
        <w:t xml:space="preserve"> of the Australian population in 201</w:t>
      </w:r>
      <w:r w:rsidR="00547B02">
        <w:t>3</w:t>
      </w:r>
      <w:r w:rsidRPr="000E6F59">
        <w:t xml:space="preserve"> (table</w:t>
      </w:r>
      <w:r w:rsidR="000B2CA3">
        <w:t> </w:t>
      </w:r>
      <w:proofErr w:type="spellStart"/>
      <w:r w:rsidR="000B2CA3">
        <w:t>4</w:t>
      </w:r>
      <w:r w:rsidRPr="000E6F59">
        <w:t>A.5</w:t>
      </w:r>
      <w:proofErr w:type="spellEnd"/>
      <w:r w:rsidRPr="000E6F59">
        <w:t>).</w:t>
      </w:r>
    </w:p>
    <w:p w:rsidR="00666ECE" w:rsidRPr="000E6F59" w:rsidRDefault="00666ECE" w:rsidP="004145D6">
      <w:pPr>
        <w:pStyle w:val="BodyText"/>
      </w:pPr>
      <w:r w:rsidRPr="000E6F59">
        <w:t xml:space="preserve">The proportion of full time students </w:t>
      </w:r>
      <w:r w:rsidRPr="00547B02">
        <w:rPr>
          <w:shd w:val="clear" w:color="auto" w:fill="FFFFFF" w:themeFill="background1"/>
        </w:rPr>
        <w:t>enrolled in non-government schools increased between 200</w:t>
      </w:r>
      <w:r w:rsidR="00354E9A" w:rsidRPr="00547B02">
        <w:rPr>
          <w:shd w:val="clear" w:color="auto" w:fill="FFFFFF" w:themeFill="background1"/>
        </w:rPr>
        <w:t>9</w:t>
      </w:r>
      <w:r w:rsidRPr="00547B02">
        <w:rPr>
          <w:shd w:val="clear" w:color="auto" w:fill="FFFFFF" w:themeFill="background1"/>
        </w:rPr>
        <w:t xml:space="preserve"> and 201</w:t>
      </w:r>
      <w:r w:rsidR="00354E9A" w:rsidRPr="00547B02">
        <w:rPr>
          <w:shd w:val="clear" w:color="auto" w:fill="FFFFFF" w:themeFill="background1"/>
        </w:rPr>
        <w:t>3</w:t>
      </w:r>
      <w:r w:rsidRPr="00547B02">
        <w:rPr>
          <w:shd w:val="clear" w:color="auto" w:fill="FFFFFF" w:themeFill="background1"/>
        </w:rPr>
        <w:t xml:space="preserve"> in all states and territories. Full time non-government school enrolments increased by </w:t>
      </w:r>
      <w:r w:rsidR="00DF3C6E" w:rsidRPr="00547B02">
        <w:rPr>
          <w:shd w:val="clear" w:color="auto" w:fill="FFFFFF" w:themeFill="background1"/>
        </w:rPr>
        <w:t>1.</w:t>
      </w:r>
      <w:r w:rsidR="00547B02" w:rsidRPr="00547B02">
        <w:rPr>
          <w:shd w:val="clear" w:color="auto" w:fill="FFFFFF" w:themeFill="background1"/>
        </w:rPr>
        <w:t>7</w:t>
      </w:r>
      <w:r w:rsidR="00DF3C6E" w:rsidRPr="00547B02">
        <w:rPr>
          <w:shd w:val="clear" w:color="auto" w:fill="FFFFFF" w:themeFill="background1"/>
        </w:rPr>
        <w:t xml:space="preserve"> </w:t>
      </w:r>
      <w:r w:rsidRPr="00547B02">
        <w:rPr>
          <w:shd w:val="clear" w:color="auto" w:fill="FFFFFF" w:themeFill="background1"/>
        </w:rPr>
        <w:t xml:space="preserve">per cent per year, while full time government school enrolments increased by an average of </w:t>
      </w:r>
      <w:r w:rsidR="00DF3C6E" w:rsidRPr="00547B02">
        <w:rPr>
          <w:shd w:val="clear" w:color="auto" w:fill="FFFFFF" w:themeFill="background1"/>
        </w:rPr>
        <w:t>0.</w:t>
      </w:r>
      <w:r w:rsidR="00547B02" w:rsidRPr="00547B02">
        <w:rPr>
          <w:shd w:val="clear" w:color="auto" w:fill="FFFFFF" w:themeFill="background1"/>
        </w:rPr>
        <w:t>9</w:t>
      </w:r>
      <w:r w:rsidRPr="00547B02">
        <w:rPr>
          <w:shd w:val="clear" w:color="auto" w:fill="FFFFFF" w:themeFill="background1"/>
        </w:rPr>
        <w:t xml:space="preserve"> per cent per year (table </w:t>
      </w:r>
      <w:proofErr w:type="spellStart"/>
      <w:r w:rsidRPr="00547B02">
        <w:rPr>
          <w:shd w:val="clear" w:color="auto" w:fill="FFFFFF" w:themeFill="background1"/>
        </w:rPr>
        <w:t>4A.2</w:t>
      </w:r>
      <w:r w:rsidR="009807CA" w:rsidRPr="00547B02">
        <w:rPr>
          <w:shd w:val="clear" w:color="auto" w:fill="FFFFFF" w:themeFill="background1"/>
        </w:rPr>
        <w:t>8</w:t>
      </w:r>
      <w:proofErr w:type="spellEnd"/>
      <w:r w:rsidRPr="00547B02">
        <w:rPr>
          <w:shd w:val="clear" w:color="auto" w:fill="FFFFFF" w:themeFill="background1"/>
        </w:rPr>
        <w:t xml:space="preserve">). The expansion of full time enrolments in non-government schools was from a lower base than that for government schools. In absolute terms, the number of full time students in government schools increased from </w:t>
      </w:r>
      <w:r w:rsidR="00DD0BFF" w:rsidRPr="00547B02">
        <w:rPr>
          <w:shd w:val="clear" w:color="auto" w:fill="FFFFFF" w:themeFill="background1"/>
        </w:rPr>
        <w:t>2 </w:t>
      </w:r>
      <w:r w:rsidR="00547B02" w:rsidRPr="00547B02">
        <w:rPr>
          <w:shd w:val="clear" w:color="auto" w:fill="FFFFFF" w:themeFill="background1"/>
        </w:rPr>
        <w:t>273</w:t>
      </w:r>
      <w:r w:rsidR="00C84258">
        <w:rPr>
          <w:shd w:val="clear" w:color="auto" w:fill="FFFFFF" w:themeFill="background1"/>
        </w:rPr>
        <w:t> </w:t>
      </w:r>
      <w:r w:rsidR="00547B02" w:rsidRPr="00547B02">
        <w:rPr>
          <w:shd w:val="clear" w:color="auto" w:fill="FFFFFF" w:themeFill="background1"/>
        </w:rPr>
        <w:t xml:space="preserve">906 </w:t>
      </w:r>
      <w:r w:rsidRPr="00547B02">
        <w:rPr>
          <w:shd w:val="clear" w:color="auto" w:fill="FFFFFF" w:themeFill="background1"/>
        </w:rPr>
        <w:t>in 200</w:t>
      </w:r>
      <w:r w:rsidR="00354E9A" w:rsidRPr="00547B02">
        <w:rPr>
          <w:shd w:val="clear" w:color="auto" w:fill="FFFFFF" w:themeFill="background1"/>
        </w:rPr>
        <w:t>9</w:t>
      </w:r>
      <w:r w:rsidRPr="00547B02">
        <w:rPr>
          <w:shd w:val="clear" w:color="auto" w:fill="FFFFFF" w:themeFill="background1"/>
        </w:rPr>
        <w:t xml:space="preserve"> to </w:t>
      </w:r>
      <w:r w:rsidR="00DD0BFF" w:rsidRPr="00547B02">
        <w:rPr>
          <w:shd w:val="clear" w:color="auto" w:fill="FFFFFF" w:themeFill="background1"/>
        </w:rPr>
        <w:t>2 </w:t>
      </w:r>
      <w:r w:rsidR="00C30F35" w:rsidRPr="00547B02">
        <w:rPr>
          <w:shd w:val="clear" w:color="auto" w:fill="FFFFFF" w:themeFill="background1"/>
        </w:rPr>
        <w:t>3</w:t>
      </w:r>
      <w:r w:rsidR="00547B02" w:rsidRPr="00547B02">
        <w:rPr>
          <w:shd w:val="clear" w:color="auto" w:fill="FFFFFF" w:themeFill="background1"/>
        </w:rPr>
        <w:t>55</w:t>
      </w:r>
      <w:r w:rsidR="00DD0BFF" w:rsidRPr="00547B02">
        <w:rPr>
          <w:shd w:val="clear" w:color="auto" w:fill="FFFFFF" w:themeFill="background1"/>
        </w:rPr>
        <w:t> </w:t>
      </w:r>
      <w:r w:rsidR="00547B02" w:rsidRPr="00547B02">
        <w:rPr>
          <w:shd w:val="clear" w:color="auto" w:fill="FFFFFF" w:themeFill="background1"/>
        </w:rPr>
        <w:t>715</w:t>
      </w:r>
      <w:r w:rsidR="00776B6F" w:rsidRPr="00547B02">
        <w:rPr>
          <w:shd w:val="clear" w:color="auto" w:fill="FFFFFF" w:themeFill="background1"/>
        </w:rPr>
        <w:t xml:space="preserve"> </w:t>
      </w:r>
      <w:r w:rsidRPr="00547B02">
        <w:rPr>
          <w:shd w:val="clear" w:color="auto" w:fill="FFFFFF" w:themeFill="background1"/>
        </w:rPr>
        <w:t>in 201</w:t>
      </w:r>
      <w:r w:rsidR="00354E9A" w:rsidRPr="00547B02">
        <w:rPr>
          <w:shd w:val="clear" w:color="auto" w:fill="FFFFFF" w:themeFill="background1"/>
        </w:rPr>
        <w:t>3</w:t>
      </w:r>
      <w:r w:rsidRPr="00547B02">
        <w:rPr>
          <w:shd w:val="clear" w:color="auto" w:fill="FFFFFF" w:themeFill="background1"/>
        </w:rPr>
        <w:t>. The number of full time students in non</w:t>
      </w:r>
      <w:r w:rsidR="0048153E">
        <w:rPr>
          <w:shd w:val="clear" w:color="auto" w:fill="FFFFFF" w:themeFill="background1"/>
        </w:rPr>
        <w:noBreakHyphen/>
      </w:r>
      <w:r w:rsidRPr="00547B02">
        <w:rPr>
          <w:shd w:val="clear" w:color="auto" w:fill="FFFFFF" w:themeFill="background1"/>
        </w:rPr>
        <w:t xml:space="preserve">government schools increased from </w:t>
      </w:r>
      <w:r w:rsidR="00DD0BFF" w:rsidRPr="00547B02">
        <w:rPr>
          <w:shd w:val="clear" w:color="auto" w:fill="FFFFFF" w:themeFill="background1"/>
        </w:rPr>
        <w:t>1 1</w:t>
      </w:r>
      <w:r w:rsidR="00547B02" w:rsidRPr="00547B02">
        <w:rPr>
          <w:shd w:val="clear" w:color="auto" w:fill="FFFFFF" w:themeFill="background1"/>
        </w:rPr>
        <w:t>87</w:t>
      </w:r>
      <w:r w:rsidR="00DD0BFF" w:rsidRPr="00547B02">
        <w:rPr>
          <w:shd w:val="clear" w:color="auto" w:fill="FFFFFF" w:themeFill="background1"/>
        </w:rPr>
        <w:t> </w:t>
      </w:r>
      <w:r w:rsidR="00547B02" w:rsidRPr="00547B02">
        <w:rPr>
          <w:shd w:val="clear" w:color="auto" w:fill="FFFFFF" w:themeFill="background1"/>
        </w:rPr>
        <w:t>567</w:t>
      </w:r>
      <w:r w:rsidR="00776B6F" w:rsidRPr="00547B02">
        <w:rPr>
          <w:shd w:val="clear" w:color="auto" w:fill="FFFFFF" w:themeFill="background1"/>
        </w:rPr>
        <w:t xml:space="preserve"> </w:t>
      </w:r>
      <w:r w:rsidRPr="00547B02">
        <w:rPr>
          <w:shd w:val="clear" w:color="auto" w:fill="FFFFFF" w:themeFill="background1"/>
        </w:rPr>
        <w:t>in 200</w:t>
      </w:r>
      <w:r w:rsidR="00354E9A" w:rsidRPr="00547B02">
        <w:rPr>
          <w:shd w:val="clear" w:color="auto" w:fill="FFFFFF" w:themeFill="background1"/>
        </w:rPr>
        <w:t>9</w:t>
      </w:r>
      <w:r w:rsidRPr="00547B02">
        <w:rPr>
          <w:shd w:val="clear" w:color="auto" w:fill="FFFFFF" w:themeFill="background1"/>
        </w:rPr>
        <w:t xml:space="preserve"> to </w:t>
      </w:r>
      <w:r w:rsidR="00DD0BFF" w:rsidRPr="00547B02">
        <w:rPr>
          <w:shd w:val="clear" w:color="auto" w:fill="FFFFFF" w:themeFill="background1"/>
        </w:rPr>
        <w:t>1 2</w:t>
      </w:r>
      <w:r w:rsidR="00547B02" w:rsidRPr="00547B02">
        <w:rPr>
          <w:shd w:val="clear" w:color="auto" w:fill="FFFFFF" w:themeFill="background1"/>
        </w:rPr>
        <w:t>68</w:t>
      </w:r>
      <w:r w:rsidR="00DD0BFF" w:rsidRPr="00547B02">
        <w:rPr>
          <w:shd w:val="clear" w:color="auto" w:fill="FFFFFF" w:themeFill="background1"/>
        </w:rPr>
        <w:t> </w:t>
      </w:r>
      <w:r w:rsidR="00C30F35" w:rsidRPr="00547B02">
        <w:rPr>
          <w:shd w:val="clear" w:color="auto" w:fill="FFFFFF" w:themeFill="background1"/>
        </w:rPr>
        <w:t>8</w:t>
      </w:r>
      <w:r w:rsidR="00547B02" w:rsidRPr="00547B02">
        <w:rPr>
          <w:shd w:val="clear" w:color="auto" w:fill="FFFFFF" w:themeFill="background1"/>
        </w:rPr>
        <w:t>90</w:t>
      </w:r>
      <w:r w:rsidR="00776B6F" w:rsidRPr="00547B02">
        <w:rPr>
          <w:shd w:val="clear" w:color="auto" w:fill="FFFFFF" w:themeFill="background1"/>
        </w:rPr>
        <w:t xml:space="preserve"> </w:t>
      </w:r>
      <w:r w:rsidRPr="00547B02">
        <w:rPr>
          <w:shd w:val="clear" w:color="auto" w:fill="FFFFFF" w:themeFill="background1"/>
        </w:rPr>
        <w:t>in 201</w:t>
      </w:r>
      <w:r w:rsidR="00354E9A" w:rsidRPr="00547B02">
        <w:rPr>
          <w:shd w:val="clear" w:color="auto" w:fill="FFFFFF" w:themeFill="background1"/>
        </w:rPr>
        <w:t>3</w:t>
      </w:r>
      <w:r w:rsidRPr="00547B02">
        <w:rPr>
          <w:shd w:val="clear" w:color="auto" w:fill="FFFFFF" w:themeFill="background1"/>
        </w:rPr>
        <w:t xml:space="preserve"> (</w:t>
      </w:r>
      <w:r w:rsidRPr="000E6F59">
        <w:t>table</w:t>
      </w:r>
      <w:r w:rsidR="0048153E">
        <w:t> </w:t>
      </w:r>
      <w:proofErr w:type="spellStart"/>
      <w:r w:rsidRPr="000E6F59">
        <w:t>4A.2</w:t>
      </w:r>
      <w:r w:rsidR="009807CA">
        <w:t>7</w:t>
      </w:r>
      <w:proofErr w:type="spellEnd"/>
      <w:r w:rsidRPr="000E6F59">
        <w:t>).</w:t>
      </w:r>
    </w:p>
    <w:p w:rsidR="00666ECE" w:rsidRPr="00666ECE" w:rsidRDefault="00666ECE" w:rsidP="004145D6">
      <w:pPr>
        <w:pStyle w:val="BodyText"/>
      </w:pPr>
      <w:r w:rsidRPr="000E6F59">
        <w:t>Part time students form a significant proportion of secondary school enrolments in some jurisdictions (table 4.4). Part time courses are available to secondary students, including mature age students attending colleges and those studying years 11 or 12 or short courses (lasting five to 22 weeks). The proportion of secondary school students who were enrolled part time in 201</w:t>
      </w:r>
      <w:r w:rsidR="00354E9A">
        <w:t>3</w:t>
      </w:r>
      <w:r w:rsidRPr="000E6F59">
        <w:t xml:space="preserve"> varied considerably across</w:t>
      </w:r>
      <w:r w:rsidRPr="00666ECE">
        <w:t xml:space="preserve"> jurisdictions, partly because jurisdictions’ education authorities have different policy and organisational arrangements for part time study, as well as different definitions of what constitutes part time study. The number of part time courses available also varied considerably across jurisdictions.</w:t>
      </w:r>
    </w:p>
    <w:p w:rsidR="007159F6" w:rsidRDefault="007159F6" w:rsidP="00E41D90">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909"/>
      </w:tblGrid>
      <w:tr w:rsidR="007159F6" w:rsidTr="00E41D90">
        <w:tc>
          <w:tcPr>
            <w:tcW w:w="8771" w:type="dxa"/>
            <w:tcBorders>
              <w:top w:val="single" w:sz="6" w:space="0" w:color="78A22F"/>
              <w:left w:val="nil"/>
              <w:bottom w:val="nil"/>
              <w:right w:val="nil"/>
            </w:tcBorders>
            <w:shd w:val="clear" w:color="auto" w:fill="auto"/>
          </w:tcPr>
          <w:p w:rsidR="007159F6" w:rsidRPr="00784A05" w:rsidRDefault="007159F6" w:rsidP="007159F6">
            <w:pPr>
              <w:pStyle w:val="TableTitle"/>
            </w:pPr>
            <w:r>
              <w:rPr>
                <w:b w:val="0"/>
              </w:rPr>
              <w:t xml:space="preserve">Table </w:t>
            </w:r>
            <w:r w:rsidR="00B70781">
              <w:rPr>
                <w:b w:val="0"/>
              </w:rPr>
              <w:t>4.</w:t>
            </w:r>
            <w:r w:rsidR="005953B6">
              <w:rPr>
                <w:b w:val="0"/>
                <w:noProof/>
              </w:rPr>
              <w:t>4</w:t>
            </w:r>
            <w:r>
              <w:tab/>
            </w:r>
            <w:r w:rsidRPr="007159F6">
              <w:t>Part time secondary school students in government schools</w:t>
            </w:r>
          </w:p>
        </w:tc>
      </w:tr>
      <w:tr w:rsidR="007159F6" w:rsidTr="00E41D90">
        <w:trPr>
          <w:cantSplit/>
        </w:trPr>
        <w:tc>
          <w:tcPr>
            <w:tcW w:w="8771" w:type="dxa"/>
            <w:tcBorders>
              <w:top w:val="nil"/>
              <w:left w:val="nil"/>
              <w:bottom w:val="nil"/>
              <w:right w:val="nil"/>
            </w:tcBorders>
            <w:shd w:val="clear" w:color="auto" w:fill="auto"/>
          </w:tcPr>
          <w:tbl>
            <w:tblPr>
              <w:tblW w:w="8789" w:type="dxa"/>
              <w:tblCellMar>
                <w:left w:w="0" w:type="dxa"/>
                <w:right w:w="0" w:type="dxa"/>
              </w:tblCellMar>
              <w:tblLook w:val="0000" w:firstRow="0" w:lastRow="0" w:firstColumn="0" w:lastColumn="0" w:noHBand="0" w:noVBand="0"/>
            </w:tblPr>
            <w:tblGrid>
              <w:gridCol w:w="850"/>
              <w:gridCol w:w="32"/>
              <w:gridCol w:w="678"/>
              <w:gridCol w:w="992"/>
              <w:gridCol w:w="850"/>
              <w:gridCol w:w="851"/>
              <w:gridCol w:w="850"/>
              <w:gridCol w:w="851"/>
              <w:gridCol w:w="709"/>
              <w:gridCol w:w="567"/>
              <w:gridCol w:w="708"/>
              <w:gridCol w:w="851"/>
            </w:tblGrid>
            <w:tr w:rsidR="000E6669" w:rsidRPr="00666ECE" w:rsidTr="0027264A">
              <w:tc>
                <w:tcPr>
                  <w:tcW w:w="882" w:type="dxa"/>
                  <w:gridSpan w:val="2"/>
                  <w:tcBorders>
                    <w:top w:val="single" w:sz="4" w:space="0" w:color="auto"/>
                    <w:bottom w:val="single" w:sz="4" w:space="0" w:color="auto"/>
                  </w:tcBorders>
                </w:tcPr>
                <w:p w:rsidR="000E6669" w:rsidRPr="00666ECE" w:rsidRDefault="000E6669" w:rsidP="000E6669">
                  <w:pPr>
                    <w:pStyle w:val="TableColumnHeading"/>
                  </w:pPr>
                </w:p>
              </w:tc>
              <w:tc>
                <w:tcPr>
                  <w:tcW w:w="678" w:type="dxa"/>
                  <w:tcBorders>
                    <w:top w:val="single" w:sz="4" w:space="0" w:color="auto"/>
                    <w:bottom w:val="single" w:sz="4" w:space="0" w:color="auto"/>
                  </w:tcBorders>
                </w:tcPr>
                <w:p w:rsidR="000E6669" w:rsidRPr="00666ECE" w:rsidRDefault="000E6669" w:rsidP="000E6669">
                  <w:pPr>
                    <w:pStyle w:val="TableColumnHeading"/>
                  </w:pPr>
                  <w:r>
                    <w:t>Unit</w:t>
                  </w:r>
                </w:p>
              </w:tc>
              <w:tc>
                <w:tcPr>
                  <w:tcW w:w="992" w:type="dxa"/>
                  <w:tcBorders>
                    <w:top w:val="single" w:sz="4" w:space="0" w:color="auto"/>
                    <w:bottom w:val="single" w:sz="4" w:space="0" w:color="auto"/>
                  </w:tcBorders>
                </w:tcPr>
                <w:p w:rsidR="000E6669" w:rsidRPr="000E6669" w:rsidRDefault="000E6669" w:rsidP="000E6669">
                  <w:pPr>
                    <w:pStyle w:val="TableColumnHeading"/>
                  </w:pPr>
                  <w:r w:rsidRPr="000E6669">
                    <w:t>NSW</w:t>
                  </w:r>
                </w:p>
              </w:tc>
              <w:tc>
                <w:tcPr>
                  <w:tcW w:w="850" w:type="dxa"/>
                  <w:tcBorders>
                    <w:top w:val="single" w:sz="4" w:space="0" w:color="auto"/>
                    <w:bottom w:val="single" w:sz="4" w:space="0" w:color="auto"/>
                  </w:tcBorders>
                </w:tcPr>
                <w:p w:rsidR="000E6669" w:rsidRPr="000E6669" w:rsidRDefault="000E6669" w:rsidP="000E6669">
                  <w:pPr>
                    <w:pStyle w:val="TableColumnHeading"/>
                  </w:pPr>
                  <w:r w:rsidRPr="000E6669">
                    <w:t>Vic</w:t>
                  </w:r>
                </w:p>
              </w:tc>
              <w:tc>
                <w:tcPr>
                  <w:tcW w:w="851" w:type="dxa"/>
                  <w:tcBorders>
                    <w:top w:val="single" w:sz="4" w:space="0" w:color="auto"/>
                    <w:bottom w:val="single" w:sz="4" w:space="0" w:color="auto"/>
                  </w:tcBorders>
                </w:tcPr>
                <w:p w:rsidR="000E6669" w:rsidRPr="000E6669" w:rsidRDefault="000E6669" w:rsidP="000E6669">
                  <w:pPr>
                    <w:pStyle w:val="TableColumnHeading"/>
                  </w:pPr>
                  <w:r w:rsidRPr="000E6669">
                    <w:t>Qld</w:t>
                  </w:r>
                </w:p>
              </w:tc>
              <w:tc>
                <w:tcPr>
                  <w:tcW w:w="850" w:type="dxa"/>
                  <w:tcBorders>
                    <w:top w:val="single" w:sz="4" w:space="0" w:color="auto"/>
                    <w:bottom w:val="single" w:sz="4" w:space="0" w:color="auto"/>
                  </w:tcBorders>
                </w:tcPr>
                <w:p w:rsidR="000E6669" w:rsidRPr="000E6669" w:rsidRDefault="000E6669" w:rsidP="000E6669">
                  <w:pPr>
                    <w:pStyle w:val="TableColumnHeading"/>
                  </w:pPr>
                  <w:r w:rsidRPr="000E6669">
                    <w:t>WA</w:t>
                  </w:r>
                </w:p>
              </w:tc>
              <w:tc>
                <w:tcPr>
                  <w:tcW w:w="851" w:type="dxa"/>
                  <w:tcBorders>
                    <w:top w:val="single" w:sz="4" w:space="0" w:color="auto"/>
                    <w:bottom w:val="single" w:sz="4" w:space="0" w:color="auto"/>
                  </w:tcBorders>
                </w:tcPr>
                <w:p w:rsidR="000E6669" w:rsidRPr="000E6669" w:rsidRDefault="000E6669" w:rsidP="000E6669">
                  <w:pPr>
                    <w:pStyle w:val="TableColumnHeading"/>
                  </w:pPr>
                  <w:r w:rsidRPr="000E6669">
                    <w:t>SA</w:t>
                  </w:r>
                </w:p>
              </w:tc>
              <w:tc>
                <w:tcPr>
                  <w:tcW w:w="709" w:type="dxa"/>
                  <w:tcBorders>
                    <w:top w:val="single" w:sz="4" w:space="0" w:color="auto"/>
                    <w:bottom w:val="single" w:sz="4" w:space="0" w:color="auto"/>
                  </w:tcBorders>
                </w:tcPr>
                <w:p w:rsidR="000E6669" w:rsidRPr="000E6669" w:rsidRDefault="000E6669" w:rsidP="000E6669">
                  <w:pPr>
                    <w:pStyle w:val="TableColumnHeading"/>
                  </w:pPr>
                  <w:r w:rsidRPr="000E6669">
                    <w:t>Tas</w:t>
                  </w:r>
                </w:p>
              </w:tc>
              <w:tc>
                <w:tcPr>
                  <w:tcW w:w="567" w:type="dxa"/>
                  <w:tcBorders>
                    <w:top w:val="single" w:sz="4" w:space="0" w:color="auto"/>
                    <w:bottom w:val="single" w:sz="4" w:space="0" w:color="auto"/>
                  </w:tcBorders>
                </w:tcPr>
                <w:p w:rsidR="000E6669" w:rsidRPr="000E6669" w:rsidRDefault="000E6669" w:rsidP="000E6669">
                  <w:pPr>
                    <w:pStyle w:val="TableColumnHeading"/>
                  </w:pPr>
                  <w:r w:rsidRPr="000E6669">
                    <w:t>ACT</w:t>
                  </w:r>
                </w:p>
              </w:tc>
              <w:tc>
                <w:tcPr>
                  <w:tcW w:w="708" w:type="dxa"/>
                  <w:tcBorders>
                    <w:top w:val="single" w:sz="4" w:space="0" w:color="auto"/>
                    <w:bottom w:val="single" w:sz="4" w:space="0" w:color="auto"/>
                  </w:tcBorders>
                </w:tcPr>
                <w:p w:rsidR="000E6669" w:rsidRPr="000E6669" w:rsidRDefault="000E6669" w:rsidP="000E6669">
                  <w:pPr>
                    <w:pStyle w:val="TableColumnHeading"/>
                  </w:pPr>
                  <w:r w:rsidRPr="000E6669">
                    <w:t>NT</w:t>
                  </w:r>
                </w:p>
              </w:tc>
              <w:tc>
                <w:tcPr>
                  <w:tcW w:w="851" w:type="dxa"/>
                  <w:tcBorders>
                    <w:top w:val="single" w:sz="4" w:space="0" w:color="auto"/>
                    <w:bottom w:val="single" w:sz="4" w:space="0" w:color="auto"/>
                  </w:tcBorders>
                </w:tcPr>
                <w:p w:rsidR="000E6669" w:rsidRPr="000E6669" w:rsidRDefault="000E6669" w:rsidP="000E6669">
                  <w:pPr>
                    <w:pStyle w:val="TableColumnHeading"/>
                  </w:pPr>
                  <w:proofErr w:type="spellStart"/>
                  <w:r w:rsidRPr="000E6669">
                    <w:t>Aust</w:t>
                  </w:r>
                  <w:proofErr w:type="spellEnd"/>
                </w:p>
              </w:tc>
            </w:tr>
            <w:tr w:rsidR="007159F6" w:rsidRPr="00666ECE" w:rsidTr="000E6669">
              <w:tc>
                <w:tcPr>
                  <w:tcW w:w="7938" w:type="dxa"/>
                  <w:gridSpan w:val="11"/>
                  <w:tcBorders>
                    <w:top w:val="single" w:sz="4" w:space="0" w:color="auto"/>
                  </w:tcBorders>
                </w:tcPr>
                <w:p w:rsidR="007159F6" w:rsidRPr="00666ECE" w:rsidRDefault="007159F6" w:rsidP="00540B73">
                  <w:pPr>
                    <w:pStyle w:val="TableBodyText"/>
                    <w:jc w:val="left"/>
                  </w:pPr>
                  <w:r w:rsidRPr="00666ECE">
                    <w:t>Part time secondary school students in governmen</w:t>
                  </w:r>
                  <w:r w:rsidR="0027264A">
                    <w:t>t schools</w:t>
                  </w:r>
                  <w:r w:rsidRPr="00666ECE">
                    <w:rPr>
                      <w:b/>
                      <w:position w:val="6"/>
                    </w:rPr>
                    <w:t>a</w:t>
                  </w:r>
                </w:p>
              </w:tc>
              <w:tc>
                <w:tcPr>
                  <w:tcW w:w="851" w:type="dxa"/>
                  <w:tcBorders>
                    <w:top w:val="single" w:sz="4" w:space="0" w:color="auto"/>
                  </w:tcBorders>
                </w:tcPr>
                <w:p w:rsidR="007159F6" w:rsidRPr="00666ECE" w:rsidRDefault="007159F6" w:rsidP="00E41D90">
                  <w:pPr>
                    <w:keepNext/>
                    <w:keepLines/>
                    <w:spacing w:after="40" w:line="220" w:lineRule="atLeast"/>
                    <w:ind w:left="6" w:right="28"/>
                    <w:jc w:val="right"/>
                    <w:rPr>
                      <w:rFonts w:ascii="Arial" w:hAnsi="Arial"/>
                      <w:sz w:val="20"/>
                      <w:szCs w:val="20"/>
                    </w:rPr>
                  </w:pPr>
                </w:p>
              </w:tc>
            </w:tr>
            <w:tr w:rsidR="007159F6" w:rsidRPr="00666ECE" w:rsidTr="00E41D90">
              <w:tc>
                <w:tcPr>
                  <w:tcW w:w="850" w:type="dxa"/>
                  <w:vAlign w:val="bottom"/>
                </w:tcPr>
                <w:p w:rsidR="007159F6" w:rsidRPr="00666ECE" w:rsidRDefault="007159F6" w:rsidP="00E41D90">
                  <w:pPr>
                    <w:pStyle w:val="TableBodyText"/>
                  </w:pPr>
                  <w:r>
                    <w:t>2009</w:t>
                  </w:r>
                </w:p>
              </w:tc>
              <w:tc>
                <w:tcPr>
                  <w:tcW w:w="710" w:type="dxa"/>
                  <w:gridSpan w:val="2"/>
                </w:tcPr>
                <w:p w:rsidR="007159F6" w:rsidRPr="007159F6" w:rsidRDefault="007159F6" w:rsidP="007159F6">
                  <w:pPr>
                    <w:pStyle w:val="TableBodyText"/>
                  </w:pPr>
                  <w:r w:rsidRPr="007159F6">
                    <w:t>no.</w:t>
                  </w:r>
                </w:p>
              </w:tc>
              <w:tc>
                <w:tcPr>
                  <w:tcW w:w="992" w:type="dxa"/>
                  <w:vAlign w:val="center"/>
                </w:tcPr>
                <w:p w:rsidR="007159F6" w:rsidRPr="007159F6" w:rsidRDefault="007159F6" w:rsidP="007159F6">
                  <w:pPr>
                    <w:pStyle w:val="TableBodyText"/>
                  </w:pPr>
                  <w:r w:rsidRPr="007159F6">
                    <w:t xml:space="preserve"> 1 857</w:t>
                  </w:r>
                </w:p>
              </w:tc>
              <w:tc>
                <w:tcPr>
                  <w:tcW w:w="850" w:type="dxa"/>
                  <w:vAlign w:val="center"/>
                </w:tcPr>
                <w:p w:rsidR="007159F6" w:rsidRPr="007159F6" w:rsidRDefault="007159F6" w:rsidP="007159F6">
                  <w:pPr>
                    <w:pStyle w:val="TableBodyText"/>
                  </w:pPr>
                  <w:r w:rsidRPr="007159F6">
                    <w:t xml:space="preserve"> 2 839</w:t>
                  </w:r>
                </w:p>
              </w:tc>
              <w:tc>
                <w:tcPr>
                  <w:tcW w:w="851" w:type="dxa"/>
                  <w:vAlign w:val="center"/>
                </w:tcPr>
                <w:p w:rsidR="007159F6" w:rsidRPr="007159F6" w:rsidRDefault="007159F6" w:rsidP="007159F6">
                  <w:pPr>
                    <w:pStyle w:val="TableBodyText"/>
                  </w:pPr>
                  <w:r w:rsidRPr="007159F6">
                    <w:t xml:space="preserve"> 2 926</w:t>
                  </w:r>
                </w:p>
              </w:tc>
              <w:tc>
                <w:tcPr>
                  <w:tcW w:w="850" w:type="dxa"/>
                  <w:vAlign w:val="center"/>
                </w:tcPr>
                <w:p w:rsidR="007159F6" w:rsidRPr="007159F6" w:rsidRDefault="007159F6" w:rsidP="007159F6">
                  <w:pPr>
                    <w:pStyle w:val="TableBodyText"/>
                  </w:pPr>
                  <w:r w:rsidRPr="007159F6">
                    <w:t xml:space="preserve"> 952</w:t>
                  </w:r>
                </w:p>
              </w:tc>
              <w:tc>
                <w:tcPr>
                  <w:tcW w:w="851" w:type="dxa"/>
                  <w:vAlign w:val="center"/>
                </w:tcPr>
                <w:p w:rsidR="007159F6" w:rsidRPr="007159F6" w:rsidRDefault="007159F6" w:rsidP="007159F6">
                  <w:pPr>
                    <w:pStyle w:val="TableBodyText"/>
                  </w:pPr>
                  <w:r w:rsidRPr="007159F6">
                    <w:t xml:space="preserve"> 6 330</w:t>
                  </w:r>
                </w:p>
              </w:tc>
              <w:tc>
                <w:tcPr>
                  <w:tcW w:w="709" w:type="dxa"/>
                  <w:vAlign w:val="center"/>
                </w:tcPr>
                <w:p w:rsidR="007159F6" w:rsidRPr="007159F6" w:rsidRDefault="007159F6" w:rsidP="007159F6">
                  <w:pPr>
                    <w:pStyle w:val="TableBodyText"/>
                  </w:pPr>
                  <w:r w:rsidRPr="007159F6">
                    <w:t xml:space="preserve"> 1 955</w:t>
                  </w:r>
                </w:p>
              </w:tc>
              <w:tc>
                <w:tcPr>
                  <w:tcW w:w="567" w:type="dxa"/>
                  <w:vAlign w:val="center"/>
                </w:tcPr>
                <w:p w:rsidR="007159F6" w:rsidRPr="007159F6" w:rsidRDefault="007159F6" w:rsidP="007159F6">
                  <w:pPr>
                    <w:pStyle w:val="TableBodyText"/>
                  </w:pPr>
                  <w:r w:rsidRPr="007159F6">
                    <w:t xml:space="preserve"> 6</w:t>
                  </w:r>
                </w:p>
              </w:tc>
              <w:tc>
                <w:tcPr>
                  <w:tcW w:w="708" w:type="dxa"/>
                  <w:vAlign w:val="center"/>
                </w:tcPr>
                <w:p w:rsidR="007159F6" w:rsidRPr="007159F6" w:rsidRDefault="007159F6" w:rsidP="007159F6">
                  <w:pPr>
                    <w:pStyle w:val="TableBodyText"/>
                  </w:pPr>
                  <w:r w:rsidRPr="007159F6">
                    <w:t xml:space="preserve"> 211</w:t>
                  </w:r>
                </w:p>
              </w:tc>
              <w:tc>
                <w:tcPr>
                  <w:tcW w:w="851" w:type="dxa"/>
                  <w:vAlign w:val="center"/>
                </w:tcPr>
                <w:p w:rsidR="007159F6" w:rsidRPr="007159F6" w:rsidRDefault="007159F6" w:rsidP="007159F6">
                  <w:pPr>
                    <w:pStyle w:val="TableBodyText"/>
                  </w:pPr>
                  <w:r w:rsidRPr="007159F6">
                    <w:t xml:space="preserve"> 17 076</w:t>
                  </w:r>
                </w:p>
              </w:tc>
            </w:tr>
            <w:tr w:rsidR="007159F6" w:rsidRPr="00666ECE" w:rsidTr="00E41D90">
              <w:tc>
                <w:tcPr>
                  <w:tcW w:w="850" w:type="dxa"/>
                  <w:vAlign w:val="bottom"/>
                </w:tcPr>
                <w:p w:rsidR="007159F6" w:rsidRPr="00666ECE" w:rsidRDefault="007159F6" w:rsidP="00E41D90">
                  <w:pPr>
                    <w:pStyle w:val="TableBodyText"/>
                  </w:pPr>
                  <w:r w:rsidRPr="00666ECE">
                    <w:t>2010</w:t>
                  </w:r>
                </w:p>
              </w:tc>
              <w:tc>
                <w:tcPr>
                  <w:tcW w:w="710" w:type="dxa"/>
                  <w:gridSpan w:val="2"/>
                </w:tcPr>
                <w:p w:rsidR="007159F6" w:rsidRPr="007159F6" w:rsidRDefault="007159F6" w:rsidP="007159F6">
                  <w:pPr>
                    <w:pStyle w:val="TableBodyText"/>
                  </w:pPr>
                  <w:r w:rsidRPr="007159F6">
                    <w:t>no.</w:t>
                  </w:r>
                </w:p>
              </w:tc>
              <w:tc>
                <w:tcPr>
                  <w:tcW w:w="992" w:type="dxa"/>
                  <w:vAlign w:val="center"/>
                </w:tcPr>
                <w:p w:rsidR="007159F6" w:rsidRPr="007159F6" w:rsidRDefault="007159F6" w:rsidP="007159F6">
                  <w:pPr>
                    <w:pStyle w:val="TableBodyText"/>
                  </w:pPr>
                  <w:r w:rsidRPr="007159F6">
                    <w:t xml:space="preserve"> 1 956</w:t>
                  </w:r>
                </w:p>
              </w:tc>
              <w:tc>
                <w:tcPr>
                  <w:tcW w:w="850" w:type="dxa"/>
                  <w:vAlign w:val="center"/>
                </w:tcPr>
                <w:p w:rsidR="007159F6" w:rsidRPr="007159F6" w:rsidRDefault="007159F6" w:rsidP="007159F6">
                  <w:pPr>
                    <w:pStyle w:val="TableBodyText"/>
                  </w:pPr>
                  <w:r w:rsidRPr="007159F6">
                    <w:t xml:space="preserve"> 2 701</w:t>
                  </w:r>
                </w:p>
              </w:tc>
              <w:tc>
                <w:tcPr>
                  <w:tcW w:w="851" w:type="dxa"/>
                  <w:vAlign w:val="center"/>
                </w:tcPr>
                <w:p w:rsidR="007159F6" w:rsidRPr="007159F6" w:rsidRDefault="007159F6" w:rsidP="007159F6">
                  <w:pPr>
                    <w:pStyle w:val="TableBodyText"/>
                  </w:pPr>
                  <w:r w:rsidRPr="007159F6">
                    <w:t xml:space="preserve"> 3 155</w:t>
                  </w:r>
                </w:p>
              </w:tc>
              <w:tc>
                <w:tcPr>
                  <w:tcW w:w="850" w:type="dxa"/>
                  <w:vAlign w:val="center"/>
                </w:tcPr>
                <w:p w:rsidR="007159F6" w:rsidRPr="007159F6" w:rsidRDefault="007159F6" w:rsidP="007159F6">
                  <w:pPr>
                    <w:pStyle w:val="TableBodyText"/>
                  </w:pPr>
                  <w:r w:rsidRPr="007159F6">
                    <w:t xml:space="preserve"> 2 089</w:t>
                  </w:r>
                </w:p>
              </w:tc>
              <w:tc>
                <w:tcPr>
                  <w:tcW w:w="851" w:type="dxa"/>
                  <w:vAlign w:val="center"/>
                </w:tcPr>
                <w:p w:rsidR="007159F6" w:rsidRPr="007159F6" w:rsidRDefault="007159F6" w:rsidP="007159F6">
                  <w:pPr>
                    <w:pStyle w:val="TableBodyText"/>
                  </w:pPr>
                  <w:r w:rsidRPr="007159F6">
                    <w:t xml:space="preserve"> 6 135</w:t>
                  </w:r>
                </w:p>
              </w:tc>
              <w:tc>
                <w:tcPr>
                  <w:tcW w:w="709" w:type="dxa"/>
                  <w:vAlign w:val="center"/>
                </w:tcPr>
                <w:p w:rsidR="007159F6" w:rsidRPr="007159F6" w:rsidRDefault="007159F6" w:rsidP="007159F6">
                  <w:pPr>
                    <w:pStyle w:val="TableBodyText"/>
                  </w:pPr>
                  <w:r w:rsidRPr="007159F6">
                    <w:t xml:space="preserve"> 2 143</w:t>
                  </w:r>
                </w:p>
              </w:tc>
              <w:tc>
                <w:tcPr>
                  <w:tcW w:w="567" w:type="dxa"/>
                  <w:vAlign w:val="center"/>
                </w:tcPr>
                <w:p w:rsidR="007159F6" w:rsidRPr="007159F6" w:rsidRDefault="007159F6" w:rsidP="007159F6">
                  <w:pPr>
                    <w:pStyle w:val="TableBodyText"/>
                  </w:pPr>
                  <w:r w:rsidRPr="007159F6">
                    <w:t xml:space="preserve"> 6</w:t>
                  </w:r>
                </w:p>
              </w:tc>
              <w:tc>
                <w:tcPr>
                  <w:tcW w:w="708" w:type="dxa"/>
                  <w:vAlign w:val="center"/>
                </w:tcPr>
                <w:p w:rsidR="007159F6" w:rsidRPr="007159F6" w:rsidRDefault="007159F6" w:rsidP="007159F6">
                  <w:pPr>
                    <w:pStyle w:val="TableBodyText"/>
                  </w:pPr>
                  <w:r w:rsidRPr="007159F6">
                    <w:t xml:space="preserve"> 42</w:t>
                  </w:r>
                </w:p>
              </w:tc>
              <w:tc>
                <w:tcPr>
                  <w:tcW w:w="851" w:type="dxa"/>
                  <w:vAlign w:val="center"/>
                </w:tcPr>
                <w:p w:rsidR="007159F6" w:rsidRPr="007159F6" w:rsidRDefault="007159F6" w:rsidP="007159F6">
                  <w:pPr>
                    <w:pStyle w:val="TableBodyText"/>
                  </w:pPr>
                  <w:r w:rsidRPr="007159F6">
                    <w:t xml:space="preserve"> 18 227</w:t>
                  </w:r>
                </w:p>
              </w:tc>
            </w:tr>
            <w:tr w:rsidR="007159F6" w:rsidRPr="00666ECE" w:rsidTr="00E41D90">
              <w:tc>
                <w:tcPr>
                  <w:tcW w:w="850" w:type="dxa"/>
                  <w:vAlign w:val="bottom"/>
                </w:tcPr>
                <w:p w:rsidR="007159F6" w:rsidRPr="00666ECE" w:rsidRDefault="007159F6" w:rsidP="00E41D90">
                  <w:pPr>
                    <w:pStyle w:val="TableBodyText"/>
                  </w:pPr>
                  <w:r w:rsidRPr="00666ECE">
                    <w:t>2011</w:t>
                  </w:r>
                </w:p>
              </w:tc>
              <w:tc>
                <w:tcPr>
                  <w:tcW w:w="710" w:type="dxa"/>
                  <w:gridSpan w:val="2"/>
                </w:tcPr>
                <w:p w:rsidR="007159F6" w:rsidRPr="007159F6" w:rsidRDefault="007159F6" w:rsidP="007159F6">
                  <w:pPr>
                    <w:pStyle w:val="TableBodyText"/>
                  </w:pPr>
                  <w:r w:rsidRPr="007159F6">
                    <w:t>no.</w:t>
                  </w:r>
                </w:p>
              </w:tc>
              <w:tc>
                <w:tcPr>
                  <w:tcW w:w="992" w:type="dxa"/>
                  <w:vAlign w:val="center"/>
                </w:tcPr>
                <w:p w:rsidR="007159F6" w:rsidRPr="007159F6" w:rsidRDefault="007159F6" w:rsidP="007159F6">
                  <w:pPr>
                    <w:pStyle w:val="TableBodyText"/>
                  </w:pPr>
                  <w:r w:rsidRPr="007159F6">
                    <w:t xml:space="preserve"> 1 915</w:t>
                  </w:r>
                </w:p>
              </w:tc>
              <w:tc>
                <w:tcPr>
                  <w:tcW w:w="850" w:type="dxa"/>
                  <w:vAlign w:val="center"/>
                </w:tcPr>
                <w:p w:rsidR="007159F6" w:rsidRPr="007159F6" w:rsidRDefault="007159F6" w:rsidP="007159F6">
                  <w:pPr>
                    <w:pStyle w:val="TableBodyText"/>
                  </w:pPr>
                  <w:r w:rsidRPr="007159F6">
                    <w:t xml:space="preserve"> 2 252</w:t>
                  </w:r>
                </w:p>
              </w:tc>
              <w:tc>
                <w:tcPr>
                  <w:tcW w:w="851" w:type="dxa"/>
                  <w:vAlign w:val="center"/>
                </w:tcPr>
                <w:p w:rsidR="007159F6" w:rsidRPr="007159F6" w:rsidRDefault="007159F6" w:rsidP="007159F6">
                  <w:pPr>
                    <w:pStyle w:val="TableBodyText"/>
                  </w:pPr>
                  <w:r w:rsidRPr="007159F6">
                    <w:t xml:space="preserve"> 3 385</w:t>
                  </w:r>
                </w:p>
              </w:tc>
              <w:tc>
                <w:tcPr>
                  <w:tcW w:w="850" w:type="dxa"/>
                  <w:vAlign w:val="center"/>
                </w:tcPr>
                <w:p w:rsidR="007159F6" w:rsidRPr="007159F6" w:rsidRDefault="007159F6" w:rsidP="007159F6">
                  <w:pPr>
                    <w:pStyle w:val="TableBodyText"/>
                  </w:pPr>
                  <w:r w:rsidRPr="007159F6">
                    <w:t xml:space="preserve"> 2 000</w:t>
                  </w:r>
                </w:p>
              </w:tc>
              <w:tc>
                <w:tcPr>
                  <w:tcW w:w="851" w:type="dxa"/>
                  <w:vAlign w:val="center"/>
                </w:tcPr>
                <w:p w:rsidR="007159F6" w:rsidRPr="007159F6" w:rsidRDefault="007159F6" w:rsidP="007159F6">
                  <w:pPr>
                    <w:pStyle w:val="TableBodyText"/>
                  </w:pPr>
                  <w:r w:rsidRPr="007159F6">
                    <w:t xml:space="preserve"> 4 059</w:t>
                  </w:r>
                </w:p>
              </w:tc>
              <w:tc>
                <w:tcPr>
                  <w:tcW w:w="709" w:type="dxa"/>
                  <w:vAlign w:val="center"/>
                </w:tcPr>
                <w:p w:rsidR="007159F6" w:rsidRPr="007159F6" w:rsidRDefault="007159F6" w:rsidP="007159F6">
                  <w:pPr>
                    <w:pStyle w:val="TableBodyText"/>
                  </w:pPr>
                  <w:r w:rsidRPr="007159F6">
                    <w:t xml:space="preserve"> 2 463</w:t>
                  </w:r>
                </w:p>
              </w:tc>
              <w:tc>
                <w:tcPr>
                  <w:tcW w:w="567" w:type="dxa"/>
                  <w:vAlign w:val="center"/>
                </w:tcPr>
                <w:p w:rsidR="007159F6" w:rsidRPr="007159F6" w:rsidRDefault="007159F6" w:rsidP="007159F6">
                  <w:pPr>
                    <w:pStyle w:val="TableBodyText"/>
                  </w:pPr>
                  <w:r w:rsidRPr="007159F6">
                    <w:t xml:space="preserve"> 46</w:t>
                  </w:r>
                </w:p>
              </w:tc>
              <w:tc>
                <w:tcPr>
                  <w:tcW w:w="708" w:type="dxa"/>
                  <w:vAlign w:val="center"/>
                </w:tcPr>
                <w:p w:rsidR="007159F6" w:rsidRPr="007159F6" w:rsidRDefault="007159F6" w:rsidP="007159F6">
                  <w:pPr>
                    <w:pStyle w:val="TableBodyText"/>
                  </w:pPr>
                  <w:r w:rsidRPr="007159F6">
                    <w:t xml:space="preserve"> 228</w:t>
                  </w:r>
                </w:p>
              </w:tc>
              <w:tc>
                <w:tcPr>
                  <w:tcW w:w="851" w:type="dxa"/>
                  <w:vAlign w:val="center"/>
                </w:tcPr>
                <w:p w:rsidR="007159F6" w:rsidRPr="007159F6" w:rsidRDefault="007159F6" w:rsidP="007159F6">
                  <w:pPr>
                    <w:pStyle w:val="TableBodyText"/>
                  </w:pPr>
                  <w:r w:rsidRPr="007159F6">
                    <w:t xml:space="preserve"> 16 348</w:t>
                  </w:r>
                </w:p>
              </w:tc>
            </w:tr>
            <w:tr w:rsidR="007159F6" w:rsidRPr="00666ECE" w:rsidTr="00E41D90">
              <w:tc>
                <w:tcPr>
                  <w:tcW w:w="850" w:type="dxa"/>
                  <w:vAlign w:val="bottom"/>
                </w:tcPr>
                <w:p w:rsidR="007159F6" w:rsidRPr="00666ECE" w:rsidRDefault="007159F6" w:rsidP="00E41D90">
                  <w:pPr>
                    <w:pStyle w:val="TableBodyText"/>
                  </w:pPr>
                  <w:r w:rsidRPr="00666ECE">
                    <w:t>201</w:t>
                  </w:r>
                  <w:r>
                    <w:t>2</w:t>
                  </w:r>
                </w:p>
              </w:tc>
              <w:tc>
                <w:tcPr>
                  <w:tcW w:w="710" w:type="dxa"/>
                  <w:gridSpan w:val="2"/>
                </w:tcPr>
                <w:p w:rsidR="007159F6" w:rsidRPr="007159F6" w:rsidRDefault="007159F6" w:rsidP="007159F6">
                  <w:pPr>
                    <w:pStyle w:val="TableBodyText"/>
                  </w:pPr>
                  <w:r w:rsidRPr="007159F6">
                    <w:t>no.</w:t>
                  </w:r>
                </w:p>
              </w:tc>
              <w:tc>
                <w:tcPr>
                  <w:tcW w:w="992" w:type="dxa"/>
                  <w:vAlign w:val="bottom"/>
                </w:tcPr>
                <w:p w:rsidR="007159F6" w:rsidRPr="007159F6" w:rsidRDefault="007159F6" w:rsidP="007159F6">
                  <w:pPr>
                    <w:pStyle w:val="TableBodyText"/>
                  </w:pPr>
                  <w:r w:rsidRPr="007159F6">
                    <w:t xml:space="preserve"> 2 288</w:t>
                  </w:r>
                </w:p>
              </w:tc>
              <w:tc>
                <w:tcPr>
                  <w:tcW w:w="850" w:type="dxa"/>
                  <w:vAlign w:val="bottom"/>
                </w:tcPr>
                <w:p w:rsidR="007159F6" w:rsidRPr="007159F6" w:rsidRDefault="007159F6" w:rsidP="007159F6">
                  <w:pPr>
                    <w:pStyle w:val="TableBodyText"/>
                  </w:pPr>
                  <w:r w:rsidRPr="007159F6">
                    <w:t xml:space="preserve"> 2 382</w:t>
                  </w:r>
                </w:p>
              </w:tc>
              <w:tc>
                <w:tcPr>
                  <w:tcW w:w="851" w:type="dxa"/>
                  <w:vAlign w:val="bottom"/>
                </w:tcPr>
                <w:p w:rsidR="007159F6" w:rsidRPr="007159F6" w:rsidRDefault="007159F6" w:rsidP="007159F6">
                  <w:pPr>
                    <w:pStyle w:val="TableBodyText"/>
                  </w:pPr>
                  <w:r w:rsidRPr="007159F6">
                    <w:t xml:space="preserve"> 3 901</w:t>
                  </w:r>
                </w:p>
              </w:tc>
              <w:tc>
                <w:tcPr>
                  <w:tcW w:w="850" w:type="dxa"/>
                  <w:vAlign w:val="bottom"/>
                </w:tcPr>
                <w:p w:rsidR="007159F6" w:rsidRPr="007159F6" w:rsidRDefault="007159F6" w:rsidP="007159F6">
                  <w:pPr>
                    <w:pStyle w:val="TableBodyText"/>
                  </w:pPr>
                  <w:r w:rsidRPr="007159F6">
                    <w:t xml:space="preserve"> 1 871</w:t>
                  </w:r>
                </w:p>
              </w:tc>
              <w:tc>
                <w:tcPr>
                  <w:tcW w:w="851" w:type="dxa"/>
                  <w:vAlign w:val="bottom"/>
                </w:tcPr>
                <w:p w:rsidR="007159F6" w:rsidRPr="007159F6" w:rsidRDefault="007159F6" w:rsidP="007159F6">
                  <w:pPr>
                    <w:pStyle w:val="TableBodyText"/>
                  </w:pPr>
                  <w:r w:rsidRPr="007159F6">
                    <w:t xml:space="preserve"> 2 804</w:t>
                  </w:r>
                </w:p>
              </w:tc>
              <w:tc>
                <w:tcPr>
                  <w:tcW w:w="709" w:type="dxa"/>
                  <w:vAlign w:val="bottom"/>
                </w:tcPr>
                <w:p w:rsidR="007159F6" w:rsidRPr="007159F6" w:rsidRDefault="007159F6" w:rsidP="007159F6">
                  <w:pPr>
                    <w:pStyle w:val="TableBodyText"/>
                  </w:pPr>
                  <w:r w:rsidRPr="007159F6">
                    <w:t xml:space="preserve"> 2 344</w:t>
                  </w:r>
                </w:p>
              </w:tc>
              <w:tc>
                <w:tcPr>
                  <w:tcW w:w="567" w:type="dxa"/>
                  <w:tcBorders>
                    <w:left w:val="nil"/>
                  </w:tcBorders>
                  <w:vAlign w:val="bottom"/>
                </w:tcPr>
                <w:p w:rsidR="007159F6" w:rsidRPr="007159F6" w:rsidRDefault="007159F6" w:rsidP="007159F6">
                  <w:pPr>
                    <w:pStyle w:val="TableBodyText"/>
                  </w:pPr>
                  <w:r w:rsidRPr="007159F6">
                    <w:t xml:space="preserve">  47</w:t>
                  </w:r>
                </w:p>
              </w:tc>
              <w:tc>
                <w:tcPr>
                  <w:tcW w:w="708" w:type="dxa"/>
                  <w:vAlign w:val="bottom"/>
                </w:tcPr>
                <w:p w:rsidR="007159F6" w:rsidRPr="007159F6" w:rsidRDefault="007159F6" w:rsidP="007159F6">
                  <w:pPr>
                    <w:pStyle w:val="TableBodyText"/>
                  </w:pPr>
                  <w:r w:rsidRPr="007159F6">
                    <w:t xml:space="preserve">  207</w:t>
                  </w:r>
                </w:p>
              </w:tc>
              <w:tc>
                <w:tcPr>
                  <w:tcW w:w="851" w:type="dxa"/>
                  <w:vAlign w:val="bottom"/>
                </w:tcPr>
                <w:p w:rsidR="007159F6" w:rsidRPr="007159F6" w:rsidRDefault="007159F6" w:rsidP="007159F6">
                  <w:pPr>
                    <w:pStyle w:val="TableBodyText"/>
                  </w:pPr>
                  <w:r w:rsidRPr="007159F6">
                    <w:t xml:space="preserve"> 15 844</w:t>
                  </w:r>
                </w:p>
              </w:tc>
            </w:tr>
            <w:tr w:rsidR="007159F6" w:rsidRPr="00666ECE" w:rsidTr="00E41D90">
              <w:trPr>
                <w:trHeight w:val="283"/>
              </w:trPr>
              <w:tc>
                <w:tcPr>
                  <w:tcW w:w="850" w:type="dxa"/>
                  <w:vAlign w:val="bottom"/>
                </w:tcPr>
                <w:p w:rsidR="007159F6" w:rsidRPr="00666ECE" w:rsidRDefault="007159F6" w:rsidP="00E41D90">
                  <w:pPr>
                    <w:pStyle w:val="TableBodyText"/>
                  </w:pPr>
                  <w:r>
                    <w:t>2013</w:t>
                  </w:r>
                </w:p>
              </w:tc>
              <w:tc>
                <w:tcPr>
                  <w:tcW w:w="710" w:type="dxa"/>
                  <w:gridSpan w:val="2"/>
                </w:tcPr>
                <w:p w:rsidR="007159F6" w:rsidRPr="007159F6" w:rsidRDefault="007159F6" w:rsidP="007159F6">
                  <w:pPr>
                    <w:pStyle w:val="TableBodyText"/>
                  </w:pPr>
                  <w:r w:rsidRPr="007159F6">
                    <w:t>no.</w:t>
                  </w:r>
                </w:p>
              </w:tc>
              <w:tc>
                <w:tcPr>
                  <w:tcW w:w="992" w:type="dxa"/>
                  <w:vAlign w:val="bottom"/>
                </w:tcPr>
                <w:p w:rsidR="007159F6" w:rsidRPr="007159F6" w:rsidRDefault="007159F6" w:rsidP="007159F6">
                  <w:pPr>
                    <w:pStyle w:val="TableBodyText"/>
                  </w:pPr>
                  <w:r w:rsidRPr="007159F6">
                    <w:t xml:space="preserve"> 2 292</w:t>
                  </w:r>
                </w:p>
              </w:tc>
              <w:tc>
                <w:tcPr>
                  <w:tcW w:w="850" w:type="dxa"/>
                  <w:vAlign w:val="bottom"/>
                </w:tcPr>
                <w:p w:rsidR="007159F6" w:rsidRPr="007159F6" w:rsidRDefault="007159F6" w:rsidP="007159F6">
                  <w:pPr>
                    <w:pStyle w:val="TableBodyText"/>
                  </w:pPr>
                  <w:r w:rsidRPr="007159F6">
                    <w:t xml:space="preserve"> 2 453</w:t>
                  </w:r>
                </w:p>
              </w:tc>
              <w:tc>
                <w:tcPr>
                  <w:tcW w:w="851" w:type="dxa"/>
                  <w:vAlign w:val="bottom"/>
                </w:tcPr>
                <w:p w:rsidR="007159F6" w:rsidRPr="007159F6" w:rsidRDefault="007159F6" w:rsidP="007159F6">
                  <w:pPr>
                    <w:pStyle w:val="TableBodyText"/>
                  </w:pPr>
                  <w:r w:rsidRPr="007159F6">
                    <w:t xml:space="preserve"> 4 253</w:t>
                  </w:r>
                </w:p>
              </w:tc>
              <w:tc>
                <w:tcPr>
                  <w:tcW w:w="850" w:type="dxa"/>
                  <w:vAlign w:val="bottom"/>
                </w:tcPr>
                <w:p w:rsidR="007159F6" w:rsidRPr="007159F6" w:rsidRDefault="007159F6" w:rsidP="007159F6">
                  <w:pPr>
                    <w:pStyle w:val="TableBodyText"/>
                  </w:pPr>
                  <w:r w:rsidRPr="007159F6">
                    <w:t xml:space="preserve"> 1 650</w:t>
                  </w:r>
                </w:p>
              </w:tc>
              <w:tc>
                <w:tcPr>
                  <w:tcW w:w="851" w:type="dxa"/>
                  <w:vAlign w:val="bottom"/>
                </w:tcPr>
                <w:p w:rsidR="007159F6" w:rsidRPr="007159F6" w:rsidRDefault="007159F6" w:rsidP="007159F6">
                  <w:pPr>
                    <w:pStyle w:val="TableBodyText"/>
                  </w:pPr>
                  <w:r w:rsidRPr="007159F6">
                    <w:t xml:space="preserve"> 2 284</w:t>
                  </w:r>
                </w:p>
              </w:tc>
              <w:tc>
                <w:tcPr>
                  <w:tcW w:w="709" w:type="dxa"/>
                  <w:vAlign w:val="bottom"/>
                </w:tcPr>
                <w:p w:rsidR="007159F6" w:rsidRPr="007159F6" w:rsidRDefault="007159F6" w:rsidP="007159F6">
                  <w:pPr>
                    <w:pStyle w:val="TableBodyText"/>
                  </w:pPr>
                  <w:r w:rsidRPr="007159F6">
                    <w:t xml:space="preserve"> 1 169</w:t>
                  </w:r>
                </w:p>
              </w:tc>
              <w:tc>
                <w:tcPr>
                  <w:tcW w:w="567" w:type="dxa"/>
                  <w:vAlign w:val="bottom"/>
                </w:tcPr>
                <w:p w:rsidR="007159F6" w:rsidRPr="007159F6" w:rsidRDefault="007159F6" w:rsidP="007159F6">
                  <w:pPr>
                    <w:pStyle w:val="TableBodyText"/>
                  </w:pPr>
                  <w:r w:rsidRPr="007159F6">
                    <w:t xml:space="preserve">  84</w:t>
                  </w:r>
                </w:p>
              </w:tc>
              <w:tc>
                <w:tcPr>
                  <w:tcW w:w="708" w:type="dxa"/>
                  <w:vAlign w:val="bottom"/>
                </w:tcPr>
                <w:p w:rsidR="007159F6" w:rsidRPr="007159F6" w:rsidRDefault="007159F6" w:rsidP="007159F6">
                  <w:pPr>
                    <w:pStyle w:val="TableBodyText"/>
                  </w:pPr>
                  <w:r w:rsidRPr="007159F6">
                    <w:t xml:space="preserve">  134</w:t>
                  </w:r>
                </w:p>
              </w:tc>
              <w:tc>
                <w:tcPr>
                  <w:tcW w:w="851" w:type="dxa"/>
                  <w:vAlign w:val="bottom"/>
                </w:tcPr>
                <w:p w:rsidR="007159F6" w:rsidRPr="007159F6" w:rsidRDefault="007159F6" w:rsidP="007159F6">
                  <w:pPr>
                    <w:pStyle w:val="TableBodyText"/>
                  </w:pPr>
                  <w:r w:rsidRPr="007159F6">
                    <w:t xml:space="preserve"> 14 319</w:t>
                  </w:r>
                </w:p>
              </w:tc>
            </w:tr>
            <w:tr w:rsidR="007159F6" w:rsidRPr="00666ECE" w:rsidTr="00E41D90">
              <w:tc>
                <w:tcPr>
                  <w:tcW w:w="8789" w:type="dxa"/>
                  <w:gridSpan w:val="12"/>
                </w:tcPr>
                <w:p w:rsidR="007159F6" w:rsidRPr="00666ECE" w:rsidRDefault="007159F6" w:rsidP="00E41D90">
                  <w:pPr>
                    <w:pStyle w:val="TableBodyText"/>
                    <w:jc w:val="left"/>
                  </w:pPr>
                  <w:r w:rsidRPr="00666ECE">
                    <w:t>Proportion of secondary school students in government schools</w:t>
                  </w:r>
                  <w:r>
                    <w:t xml:space="preserve"> who were part time students</w:t>
                  </w:r>
                  <w:r w:rsidRPr="00666ECE">
                    <w:rPr>
                      <w:b/>
                      <w:position w:val="6"/>
                    </w:rPr>
                    <w:t>b</w:t>
                  </w:r>
                </w:p>
              </w:tc>
            </w:tr>
            <w:tr w:rsidR="007159F6" w:rsidRPr="00666ECE" w:rsidTr="00E41D90">
              <w:tc>
                <w:tcPr>
                  <w:tcW w:w="850" w:type="dxa"/>
                  <w:vAlign w:val="bottom"/>
                </w:tcPr>
                <w:p w:rsidR="007159F6" w:rsidRPr="00666ECE" w:rsidRDefault="007159F6" w:rsidP="00E41D90">
                  <w:pPr>
                    <w:pStyle w:val="TableBodyText"/>
                  </w:pPr>
                  <w:r>
                    <w:t>2009</w:t>
                  </w:r>
                </w:p>
              </w:tc>
              <w:tc>
                <w:tcPr>
                  <w:tcW w:w="710" w:type="dxa"/>
                  <w:gridSpan w:val="2"/>
                </w:tcPr>
                <w:p w:rsidR="007159F6" w:rsidRPr="007159F6" w:rsidRDefault="007159F6" w:rsidP="007159F6">
                  <w:pPr>
                    <w:pStyle w:val="TableBodyText"/>
                  </w:pPr>
                  <w:r w:rsidRPr="007159F6">
                    <w:t>%</w:t>
                  </w:r>
                </w:p>
              </w:tc>
              <w:tc>
                <w:tcPr>
                  <w:tcW w:w="992" w:type="dxa"/>
                  <w:vAlign w:val="bottom"/>
                </w:tcPr>
                <w:p w:rsidR="007159F6" w:rsidRPr="007159F6" w:rsidRDefault="007159F6" w:rsidP="007159F6">
                  <w:pPr>
                    <w:pStyle w:val="TableBodyText"/>
                  </w:pPr>
                  <w:r w:rsidRPr="007159F6">
                    <w:t>0.6</w:t>
                  </w:r>
                </w:p>
              </w:tc>
              <w:tc>
                <w:tcPr>
                  <w:tcW w:w="850" w:type="dxa"/>
                  <w:vAlign w:val="bottom"/>
                </w:tcPr>
                <w:p w:rsidR="007159F6" w:rsidRPr="007159F6" w:rsidRDefault="007159F6" w:rsidP="007159F6">
                  <w:pPr>
                    <w:pStyle w:val="TableBodyText"/>
                  </w:pPr>
                  <w:r w:rsidRPr="007159F6">
                    <w:t>1.2</w:t>
                  </w:r>
                </w:p>
              </w:tc>
              <w:tc>
                <w:tcPr>
                  <w:tcW w:w="851" w:type="dxa"/>
                  <w:vAlign w:val="bottom"/>
                </w:tcPr>
                <w:p w:rsidR="007159F6" w:rsidRPr="007159F6" w:rsidRDefault="007159F6" w:rsidP="007159F6">
                  <w:pPr>
                    <w:pStyle w:val="TableBodyText"/>
                  </w:pPr>
                  <w:r w:rsidRPr="007159F6">
                    <w:t>1.7</w:t>
                  </w:r>
                </w:p>
              </w:tc>
              <w:tc>
                <w:tcPr>
                  <w:tcW w:w="850" w:type="dxa"/>
                  <w:vAlign w:val="bottom"/>
                </w:tcPr>
                <w:p w:rsidR="007159F6" w:rsidRPr="007159F6" w:rsidRDefault="007159F6" w:rsidP="007159F6">
                  <w:pPr>
                    <w:pStyle w:val="TableBodyText"/>
                  </w:pPr>
                  <w:r w:rsidRPr="007159F6">
                    <w:t>1.2</w:t>
                  </w:r>
                </w:p>
              </w:tc>
              <w:tc>
                <w:tcPr>
                  <w:tcW w:w="851" w:type="dxa"/>
                  <w:vAlign w:val="bottom"/>
                </w:tcPr>
                <w:p w:rsidR="007159F6" w:rsidRPr="007159F6" w:rsidRDefault="007159F6" w:rsidP="007159F6">
                  <w:pPr>
                    <w:pStyle w:val="TableBodyText"/>
                  </w:pPr>
                  <w:r w:rsidRPr="007159F6">
                    <w:t>9.7</w:t>
                  </w:r>
                </w:p>
              </w:tc>
              <w:tc>
                <w:tcPr>
                  <w:tcW w:w="709" w:type="dxa"/>
                  <w:vAlign w:val="bottom"/>
                </w:tcPr>
                <w:p w:rsidR="007159F6" w:rsidRPr="007159F6" w:rsidRDefault="007159F6" w:rsidP="007159F6">
                  <w:pPr>
                    <w:pStyle w:val="TableBodyText"/>
                  </w:pPr>
                  <w:r w:rsidRPr="007159F6">
                    <w:t>7.4</w:t>
                  </w:r>
                </w:p>
              </w:tc>
              <w:tc>
                <w:tcPr>
                  <w:tcW w:w="567" w:type="dxa"/>
                </w:tcPr>
                <w:p w:rsidR="007159F6" w:rsidRPr="007159F6" w:rsidRDefault="007159F6" w:rsidP="007159F6">
                  <w:pPr>
                    <w:pStyle w:val="TableBodyText"/>
                  </w:pPr>
                  <w:r w:rsidRPr="007159F6">
                    <w:t>–</w:t>
                  </w:r>
                </w:p>
              </w:tc>
              <w:tc>
                <w:tcPr>
                  <w:tcW w:w="708" w:type="dxa"/>
                  <w:vAlign w:val="bottom"/>
                </w:tcPr>
                <w:p w:rsidR="007159F6" w:rsidRPr="007159F6" w:rsidRDefault="007159F6" w:rsidP="007159F6">
                  <w:pPr>
                    <w:pStyle w:val="TableBodyText"/>
                  </w:pPr>
                  <w:r w:rsidRPr="007159F6">
                    <w:t>2.0</w:t>
                  </w:r>
                </w:p>
              </w:tc>
              <w:tc>
                <w:tcPr>
                  <w:tcW w:w="851" w:type="dxa"/>
                  <w:vAlign w:val="bottom"/>
                </w:tcPr>
                <w:p w:rsidR="007159F6" w:rsidRPr="007159F6" w:rsidRDefault="007159F6" w:rsidP="007159F6">
                  <w:pPr>
                    <w:pStyle w:val="TableBodyText"/>
                  </w:pPr>
                  <w:r w:rsidRPr="007159F6">
                    <w:t>1.9</w:t>
                  </w:r>
                </w:p>
              </w:tc>
            </w:tr>
            <w:tr w:rsidR="007159F6" w:rsidRPr="00666ECE" w:rsidTr="00E41D90">
              <w:tc>
                <w:tcPr>
                  <w:tcW w:w="850" w:type="dxa"/>
                  <w:vAlign w:val="bottom"/>
                </w:tcPr>
                <w:p w:rsidR="007159F6" w:rsidRPr="00666ECE" w:rsidRDefault="007159F6" w:rsidP="00E41D90">
                  <w:pPr>
                    <w:pStyle w:val="TableBodyText"/>
                  </w:pPr>
                  <w:r w:rsidRPr="00666ECE">
                    <w:t>2010</w:t>
                  </w:r>
                </w:p>
              </w:tc>
              <w:tc>
                <w:tcPr>
                  <w:tcW w:w="710" w:type="dxa"/>
                  <w:gridSpan w:val="2"/>
                </w:tcPr>
                <w:p w:rsidR="007159F6" w:rsidRPr="007159F6" w:rsidRDefault="007159F6" w:rsidP="007159F6">
                  <w:pPr>
                    <w:pStyle w:val="TableBodyText"/>
                  </w:pPr>
                  <w:r w:rsidRPr="007159F6">
                    <w:t>%</w:t>
                  </w:r>
                </w:p>
              </w:tc>
              <w:tc>
                <w:tcPr>
                  <w:tcW w:w="992" w:type="dxa"/>
                  <w:vAlign w:val="bottom"/>
                </w:tcPr>
                <w:p w:rsidR="007159F6" w:rsidRPr="007159F6" w:rsidRDefault="007159F6" w:rsidP="007159F6">
                  <w:pPr>
                    <w:pStyle w:val="TableBodyText"/>
                  </w:pPr>
                  <w:r w:rsidRPr="007159F6">
                    <w:t>0.6</w:t>
                  </w:r>
                </w:p>
              </w:tc>
              <w:tc>
                <w:tcPr>
                  <w:tcW w:w="850" w:type="dxa"/>
                  <w:vAlign w:val="bottom"/>
                </w:tcPr>
                <w:p w:rsidR="007159F6" w:rsidRPr="007159F6" w:rsidRDefault="007159F6" w:rsidP="007159F6">
                  <w:pPr>
                    <w:pStyle w:val="TableBodyText"/>
                  </w:pPr>
                  <w:r w:rsidRPr="007159F6">
                    <w:t>1.2</w:t>
                  </w:r>
                </w:p>
              </w:tc>
              <w:tc>
                <w:tcPr>
                  <w:tcW w:w="851" w:type="dxa"/>
                  <w:vAlign w:val="bottom"/>
                </w:tcPr>
                <w:p w:rsidR="007159F6" w:rsidRPr="007159F6" w:rsidRDefault="007159F6" w:rsidP="007159F6">
                  <w:pPr>
                    <w:pStyle w:val="TableBodyText"/>
                  </w:pPr>
                  <w:r w:rsidRPr="007159F6">
                    <w:t>1.8</w:t>
                  </w:r>
                </w:p>
              </w:tc>
              <w:tc>
                <w:tcPr>
                  <w:tcW w:w="850" w:type="dxa"/>
                  <w:vAlign w:val="bottom"/>
                </w:tcPr>
                <w:p w:rsidR="007159F6" w:rsidRPr="007159F6" w:rsidRDefault="007159F6" w:rsidP="007159F6">
                  <w:pPr>
                    <w:pStyle w:val="TableBodyText"/>
                  </w:pPr>
                  <w:r w:rsidRPr="007159F6">
                    <w:t>2.8</w:t>
                  </w:r>
                </w:p>
              </w:tc>
              <w:tc>
                <w:tcPr>
                  <w:tcW w:w="851" w:type="dxa"/>
                  <w:vAlign w:val="bottom"/>
                </w:tcPr>
                <w:p w:rsidR="007159F6" w:rsidRPr="007159F6" w:rsidRDefault="007159F6" w:rsidP="007159F6">
                  <w:pPr>
                    <w:pStyle w:val="TableBodyText"/>
                  </w:pPr>
                  <w:r w:rsidRPr="007159F6">
                    <w:t>9.3</w:t>
                  </w:r>
                </w:p>
              </w:tc>
              <w:tc>
                <w:tcPr>
                  <w:tcW w:w="709" w:type="dxa"/>
                  <w:vAlign w:val="bottom"/>
                </w:tcPr>
                <w:p w:rsidR="007159F6" w:rsidRPr="007159F6" w:rsidRDefault="007159F6" w:rsidP="007159F6">
                  <w:pPr>
                    <w:pStyle w:val="TableBodyText"/>
                  </w:pPr>
                  <w:r w:rsidRPr="007159F6">
                    <w:t>7.9</w:t>
                  </w:r>
                </w:p>
              </w:tc>
              <w:tc>
                <w:tcPr>
                  <w:tcW w:w="567" w:type="dxa"/>
                </w:tcPr>
                <w:p w:rsidR="007159F6" w:rsidRPr="007159F6" w:rsidRDefault="007159F6" w:rsidP="007159F6">
                  <w:pPr>
                    <w:pStyle w:val="TableBodyText"/>
                  </w:pPr>
                  <w:r w:rsidRPr="007159F6">
                    <w:t>–</w:t>
                  </w:r>
                </w:p>
              </w:tc>
              <w:tc>
                <w:tcPr>
                  <w:tcW w:w="708" w:type="dxa"/>
                  <w:vAlign w:val="bottom"/>
                </w:tcPr>
                <w:p w:rsidR="007159F6" w:rsidRPr="007159F6" w:rsidRDefault="007159F6" w:rsidP="007159F6">
                  <w:pPr>
                    <w:pStyle w:val="TableBodyText"/>
                  </w:pPr>
                  <w:r w:rsidRPr="007159F6">
                    <w:t>0.4</w:t>
                  </w:r>
                </w:p>
              </w:tc>
              <w:tc>
                <w:tcPr>
                  <w:tcW w:w="851" w:type="dxa"/>
                  <w:vAlign w:val="bottom"/>
                </w:tcPr>
                <w:p w:rsidR="007159F6" w:rsidRPr="007159F6" w:rsidRDefault="007159F6" w:rsidP="007159F6">
                  <w:pPr>
                    <w:pStyle w:val="TableBodyText"/>
                  </w:pPr>
                  <w:r w:rsidRPr="007159F6">
                    <w:t>2.0</w:t>
                  </w:r>
                </w:p>
              </w:tc>
            </w:tr>
            <w:tr w:rsidR="007159F6" w:rsidRPr="00666ECE" w:rsidTr="00E41D90">
              <w:tc>
                <w:tcPr>
                  <w:tcW w:w="850" w:type="dxa"/>
                  <w:vAlign w:val="bottom"/>
                </w:tcPr>
                <w:p w:rsidR="007159F6" w:rsidRPr="00666ECE" w:rsidRDefault="007159F6" w:rsidP="00E41D90">
                  <w:pPr>
                    <w:pStyle w:val="TableBodyText"/>
                  </w:pPr>
                  <w:r w:rsidRPr="00666ECE">
                    <w:t>2011</w:t>
                  </w:r>
                </w:p>
              </w:tc>
              <w:tc>
                <w:tcPr>
                  <w:tcW w:w="710" w:type="dxa"/>
                  <w:gridSpan w:val="2"/>
                </w:tcPr>
                <w:p w:rsidR="007159F6" w:rsidRPr="007159F6" w:rsidRDefault="007159F6" w:rsidP="007159F6">
                  <w:pPr>
                    <w:pStyle w:val="TableBodyText"/>
                  </w:pPr>
                  <w:r w:rsidRPr="007159F6">
                    <w:t>%</w:t>
                  </w:r>
                </w:p>
              </w:tc>
              <w:tc>
                <w:tcPr>
                  <w:tcW w:w="992" w:type="dxa"/>
                  <w:vAlign w:val="bottom"/>
                </w:tcPr>
                <w:p w:rsidR="007159F6" w:rsidRPr="007159F6" w:rsidRDefault="007159F6" w:rsidP="007159F6">
                  <w:pPr>
                    <w:pStyle w:val="TableBodyText"/>
                  </w:pPr>
                  <w:r w:rsidRPr="007159F6">
                    <w:t>0.6</w:t>
                  </w:r>
                </w:p>
              </w:tc>
              <w:tc>
                <w:tcPr>
                  <w:tcW w:w="850" w:type="dxa"/>
                  <w:vAlign w:val="bottom"/>
                </w:tcPr>
                <w:p w:rsidR="007159F6" w:rsidRPr="007159F6" w:rsidRDefault="007159F6" w:rsidP="007159F6">
                  <w:pPr>
                    <w:pStyle w:val="TableBodyText"/>
                  </w:pPr>
                  <w:r w:rsidRPr="007159F6">
                    <w:t>1.0</w:t>
                  </w:r>
                </w:p>
              </w:tc>
              <w:tc>
                <w:tcPr>
                  <w:tcW w:w="851" w:type="dxa"/>
                  <w:vAlign w:val="bottom"/>
                </w:tcPr>
                <w:p w:rsidR="007159F6" w:rsidRPr="007159F6" w:rsidRDefault="007159F6" w:rsidP="007159F6">
                  <w:pPr>
                    <w:pStyle w:val="TableBodyText"/>
                  </w:pPr>
                  <w:r w:rsidRPr="007159F6">
                    <w:t>1.9</w:t>
                  </w:r>
                </w:p>
              </w:tc>
              <w:tc>
                <w:tcPr>
                  <w:tcW w:w="850" w:type="dxa"/>
                  <w:vAlign w:val="bottom"/>
                </w:tcPr>
                <w:p w:rsidR="007159F6" w:rsidRPr="007159F6" w:rsidRDefault="007159F6" w:rsidP="007159F6">
                  <w:pPr>
                    <w:pStyle w:val="TableBodyText"/>
                  </w:pPr>
                  <w:r w:rsidRPr="007159F6">
                    <w:t>2.6</w:t>
                  </w:r>
                </w:p>
              </w:tc>
              <w:tc>
                <w:tcPr>
                  <w:tcW w:w="851" w:type="dxa"/>
                  <w:vAlign w:val="bottom"/>
                </w:tcPr>
                <w:p w:rsidR="007159F6" w:rsidRPr="007159F6" w:rsidRDefault="007159F6" w:rsidP="007159F6">
                  <w:pPr>
                    <w:pStyle w:val="TableBodyText"/>
                  </w:pPr>
                  <w:r w:rsidRPr="007159F6">
                    <w:t>6.3</w:t>
                  </w:r>
                </w:p>
              </w:tc>
              <w:tc>
                <w:tcPr>
                  <w:tcW w:w="709" w:type="dxa"/>
                  <w:vAlign w:val="bottom"/>
                </w:tcPr>
                <w:p w:rsidR="007159F6" w:rsidRPr="007159F6" w:rsidRDefault="007159F6" w:rsidP="007159F6">
                  <w:pPr>
                    <w:pStyle w:val="TableBodyText"/>
                  </w:pPr>
                  <w:r w:rsidRPr="007159F6">
                    <w:t>9.1</w:t>
                  </w:r>
                </w:p>
              </w:tc>
              <w:tc>
                <w:tcPr>
                  <w:tcW w:w="567" w:type="dxa"/>
                  <w:vAlign w:val="bottom"/>
                </w:tcPr>
                <w:p w:rsidR="007159F6" w:rsidRPr="007159F6" w:rsidRDefault="007159F6" w:rsidP="007159F6">
                  <w:pPr>
                    <w:pStyle w:val="TableBodyText"/>
                  </w:pPr>
                  <w:r w:rsidRPr="007159F6">
                    <w:t>0.3</w:t>
                  </w:r>
                </w:p>
              </w:tc>
              <w:tc>
                <w:tcPr>
                  <w:tcW w:w="708" w:type="dxa"/>
                  <w:vAlign w:val="bottom"/>
                </w:tcPr>
                <w:p w:rsidR="007159F6" w:rsidRPr="007159F6" w:rsidRDefault="007159F6" w:rsidP="007159F6">
                  <w:pPr>
                    <w:pStyle w:val="TableBodyText"/>
                  </w:pPr>
                  <w:r w:rsidRPr="007159F6">
                    <w:t>2.1</w:t>
                  </w:r>
                </w:p>
              </w:tc>
              <w:tc>
                <w:tcPr>
                  <w:tcW w:w="851" w:type="dxa"/>
                  <w:vAlign w:val="bottom"/>
                </w:tcPr>
                <w:p w:rsidR="007159F6" w:rsidRPr="007159F6" w:rsidRDefault="007159F6" w:rsidP="007159F6">
                  <w:pPr>
                    <w:pStyle w:val="TableBodyText"/>
                  </w:pPr>
                  <w:r w:rsidRPr="007159F6">
                    <w:t>1.8</w:t>
                  </w:r>
                </w:p>
              </w:tc>
            </w:tr>
            <w:tr w:rsidR="007159F6" w:rsidRPr="00666ECE" w:rsidTr="00E41D90">
              <w:tc>
                <w:tcPr>
                  <w:tcW w:w="850" w:type="dxa"/>
                  <w:shd w:val="clear" w:color="auto" w:fill="auto"/>
                  <w:vAlign w:val="bottom"/>
                </w:tcPr>
                <w:p w:rsidR="007159F6" w:rsidRPr="00666ECE" w:rsidRDefault="007159F6" w:rsidP="00E41D90">
                  <w:pPr>
                    <w:pStyle w:val="TableBodyText"/>
                  </w:pPr>
                  <w:r w:rsidRPr="00666ECE">
                    <w:t>201</w:t>
                  </w:r>
                  <w:r>
                    <w:t>2</w:t>
                  </w:r>
                </w:p>
              </w:tc>
              <w:tc>
                <w:tcPr>
                  <w:tcW w:w="710" w:type="dxa"/>
                  <w:gridSpan w:val="2"/>
                </w:tcPr>
                <w:p w:rsidR="007159F6" w:rsidRPr="007159F6" w:rsidRDefault="007159F6" w:rsidP="007159F6">
                  <w:pPr>
                    <w:pStyle w:val="TableBodyText"/>
                  </w:pPr>
                  <w:r w:rsidRPr="007159F6">
                    <w:t>%</w:t>
                  </w:r>
                </w:p>
              </w:tc>
              <w:tc>
                <w:tcPr>
                  <w:tcW w:w="992" w:type="dxa"/>
                  <w:shd w:val="clear" w:color="auto" w:fill="auto"/>
                  <w:vAlign w:val="bottom"/>
                </w:tcPr>
                <w:p w:rsidR="007159F6" w:rsidRPr="007159F6" w:rsidRDefault="007159F6" w:rsidP="007159F6">
                  <w:pPr>
                    <w:pStyle w:val="TableBodyText"/>
                  </w:pPr>
                  <w:r w:rsidRPr="007159F6">
                    <w:t>0.7</w:t>
                  </w:r>
                </w:p>
              </w:tc>
              <w:tc>
                <w:tcPr>
                  <w:tcW w:w="850" w:type="dxa"/>
                  <w:shd w:val="clear" w:color="auto" w:fill="auto"/>
                  <w:vAlign w:val="bottom"/>
                </w:tcPr>
                <w:p w:rsidR="007159F6" w:rsidRPr="007159F6" w:rsidRDefault="007159F6" w:rsidP="007159F6">
                  <w:pPr>
                    <w:pStyle w:val="TableBodyText"/>
                  </w:pPr>
                  <w:r w:rsidRPr="007159F6">
                    <w:t>1.1</w:t>
                  </w:r>
                </w:p>
              </w:tc>
              <w:tc>
                <w:tcPr>
                  <w:tcW w:w="851" w:type="dxa"/>
                  <w:shd w:val="clear" w:color="auto" w:fill="auto"/>
                  <w:vAlign w:val="bottom"/>
                </w:tcPr>
                <w:p w:rsidR="007159F6" w:rsidRPr="007159F6" w:rsidRDefault="007159F6" w:rsidP="007159F6">
                  <w:pPr>
                    <w:pStyle w:val="TableBodyText"/>
                  </w:pPr>
                  <w:r w:rsidRPr="007159F6">
                    <w:t>2.2</w:t>
                  </w:r>
                </w:p>
              </w:tc>
              <w:tc>
                <w:tcPr>
                  <w:tcW w:w="850" w:type="dxa"/>
                  <w:shd w:val="clear" w:color="auto" w:fill="auto"/>
                  <w:vAlign w:val="bottom"/>
                </w:tcPr>
                <w:p w:rsidR="007159F6" w:rsidRPr="007159F6" w:rsidRDefault="007159F6" w:rsidP="007159F6">
                  <w:pPr>
                    <w:pStyle w:val="TableBodyText"/>
                  </w:pPr>
                  <w:r w:rsidRPr="007159F6">
                    <w:t>2.4</w:t>
                  </w:r>
                </w:p>
              </w:tc>
              <w:tc>
                <w:tcPr>
                  <w:tcW w:w="851" w:type="dxa"/>
                  <w:shd w:val="clear" w:color="auto" w:fill="auto"/>
                  <w:vAlign w:val="bottom"/>
                </w:tcPr>
                <w:p w:rsidR="007159F6" w:rsidRPr="007159F6" w:rsidRDefault="007159F6" w:rsidP="007159F6">
                  <w:pPr>
                    <w:pStyle w:val="TableBodyText"/>
                  </w:pPr>
                  <w:r w:rsidRPr="007159F6">
                    <w:t>4.4</w:t>
                  </w:r>
                </w:p>
              </w:tc>
              <w:tc>
                <w:tcPr>
                  <w:tcW w:w="709" w:type="dxa"/>
                  <w:shd w:val="clear" w:color="auto" w:fill="auto"/>
                  <w:vAlign w:val="bottom"/>
                </w:tcPr>
                <w:p w:rsidR="007159F6" w:rsidRPr="007159F6" w:rsidRDefault="007159F6" w:rsidP="007159F6">
                  <w:pPr>
                    <w:pStyle w:val="TableBodyText"/>
                  </w:pPr>
                  <w:r w:rsidRPr="007159F6">
                    <w:t>8.7</w:t>
                  </w:r>
                </w:p>
              </w:tc>
              <w:tc>
                <w:tcPr>
                  <w:tcW w:w="567" w:type="dxa"/>
                  <w:shd w:val="clear" w:color="auto" w:fill="auto"/>
                  <w:vAlign w:val="bottom"/>
                </w:tcPr>
                <w:p w:rsidR="007159F6" w:rsidRPr="007159F6" w:rsidRDefault="007159F6" w:rsidP="007159F6">
                  <w:pPr>
                    <w:pStyle w:val="TableBodyText"/>
                  </w:pPr>
                  <w:r w:rsidRPr="007159F6">
                    <w:t>0.3</w:t>
                  </w:r>
                </w:p>
              </w:tc>
              <w:tc>
                <w:tcPr>
                  <w:tcW w:w="708" w:type="dxa"/>
                  <w:shd w:val="clear" w:color="auto" w:fill="auto"/>
                  <w:vAlign w:val="bottom"/>
                </w:tcPr>
                <w:p w:rsidR="007159F6" w:rsidRPr="007159F6" w:rsidRDefault="007159F6" w:rsidP="007159F6">
                  <w:pPr>
                    <w:pStyle w:val="TableBodyText"/>
                  </w:pPr>
                  <w:r w:rsidRPr="007159F6">
                    <w:t>1.9</w:t>
                  </w:r>
                </w:p>
              </w:tc>
              <w:tc>
                <w:tcPr>
                  <w:tcW w:w="851" w:type="dxa"/>
                  <w:shd w:val="clear" w:color="auto" w:fill="auto"/>
                  <w:vAlign w:val="bottom"/>
                </w:tcPr>
                <w:p w:rsidR="007159F6" w:rsidRPr="007159F6" w:rsidRDefault="007159F6" w:rsidP="007159F6">
                  <w:pPr>
                    <w:pStyle w:val="TableBodyText"/>
                  </w:pPr>
                  <w:r w:rsidRPr="007159F6">
                    <w:t>1.7</w:t>
                  </w:r>
                </w:p>
              </w:tc>
            </w:tr>
            <w:tr w:rsidR="007159F6" w:rsidRPr="00666ECE" w:rsidTr="00E41D90">
              <w:tc>
                <w:tcPr>
                  <w:tcW w:w="850" w:type="dxa"/>
                  <w:tcBorders>
                    <w:bottom w:val="single" w:sz="6" w:space="0" w:color="auto"/>
                  </w:tcBorders>
                  <w:shd w:val="clear" w:color="auto" w:fill="auto"/>
                  <w:vAlign w:val="bottom"/>
                </w:tcPr>
                <w:p w:rsidR="007159F6" w:rsidRPr="00666ECE" w:rsidRDefault="007159F6" w:rsidP="00E41D90">
                  <w:pPr>
                    <w:pStyle w:val="TableBodyText"/>
                  </w:pPr>
                  <w:r>
                    <w:t>2013</w:t>
                  </w:r>
                </w:p>
              </w:tc>
              <w:tc>
                <w:tcPr>
                  <w:tcW w:w="710" w:type="dxa"/>
                  <w:gridSpan w:val="2"/>
                  <w:tcBorders>
                    <w:bottom w:val="single" w:sz="6" w:space="0" w:color="auto"/>
                  </w:tcBorders>
                </w:tcPr>
                <w:p w:rsidR="007159F6" w:rsidRPr="007159F6" w:rsidRDefault="007159F6" w:rsidP="007159F6">
                  <w:pPr>
                    <w:pStyle w:val="TableBodyText"/>
                  </w:pPr>
                  <w:r w:rsidRPr="007159F6">
                    <w:t>%</w:t>
                  </w:r>
                </w:p>
              </w:tc>
              <w:tc>
                <w:tcPr>
                  <w:tcW w:w="992" w:type="dxa"/>
                  <w:tcBorders>
                    <w:bottom w:val="single" w:sz="6" w:space="0" w:color="auto"/>
                  </w:tcBorders>
                  <w:shd w:val="clear" w:color="auto" w:fill="auto"/>
                  <w:vAlign w:val="bottom"/>
                </w:tcPr>
                <w:p w:rsidR="007159F6" w:rsidRPr="007159F6" w:rsidRDefault="007159F6" w:rsidP="007159F6">
                  <w:pPr>
                    <w:pStyle w:val="TableBodyText"/>
                  </w:pPr>
                  <w:r w:rsidRPr="007159F6">
                    <w:t>0.7</w:t>
                  </w:r>
                </w:p>
              </w:tc>
              <w:tc>
                <w:tcPr>
                  <w:tcW w:w="850" w:type="dxa"/>
                  <w:tcBorders>
                    <w:bottom w:val="single" w:sz="6" w:space="0" w:color="auto"/>
                  </w:tcBorders>
                  <w:shd w:val="clear" w:color="auto" w:fill="auto"/>
                  <w:vAlign w:val="bottom"/>
                </w:tcPr>
                <w:p w:rsidR="007159F6" w:rsidRPr="007159F6" w:rsidRDefault="007159F6" w:rsidP="007159F6">
                  <w:pPr>
                    <w:pStyle w:val="TableBodyText"/>
                  </w:pPr>
                  <w:r w:rsidRPr="007159F6">
                    <w:t>1.1</w:t>
                  </w:r>
                </w:p>
              </w:tc>
              <w:tc>
                <w:tcPr>
                  <w:tcW w:w="851" w:type="dxa"/>
                  <w:tcBorders>
                    <w:bottom w:val="single" w:sz="6" w:space="0" w:color="auto"/>
                  </w:tcBorders>
                  <w:shd w:val="clear" w:color="auto" w:fill="auto"/>
                  <w:vAlign w:val="bottom"/>
                </w:tcPr>
                <w:p w:rsidR="007159F6" w:rsidRPr="007159F6" w:rsidRDefault="007159F6" w:rsidP="007159F6">
                  <w:pPr>
                    <w:pStyle w:val="TableBodyText"/>
                  </w:pPr>
                  <w:r w:rsidRPr="007159F6">
                    <w:t>2.3</w:t>
                  </w:r>
                </w:p>
              </w:tc>
              <w:tc>
                <w:tcPr>
                  <w:tcW w:w="850" w:type="dxa"/>
                  <w:tcBorders>
                    <w:bottom w:val="single" w:sz="6" w:space="0" w:color="auto"/>
                  </w:tcBorders>
                  <w:shd w:val="clear" w:color="auto" w:fill="auto"/>
                  <w:vAlign w:val="bottom"/>
                </w:tcPr>
                <w:p w:rsidR="007159F6" w:rsidRPr="007159F6" w:rsidRDefault="007159F6" w:rsidP="007159F6">
                  <w:pPr>
                    <w:pStyle w:val="TableBodyText"/>
                  </w:pPr>
                  <w:r w:rsidRPr="007159F6">
                    <w:t>2.1</w:t>
                  </w:r>
                </w:p>
              </w:tc>
              <w:tc>
                <w:tcPr>
                  <w:tcW w:w="851" w:type="dxa"/>
                  <w:tcBorders>
                    <w:bottom w:val="single" w:sz="6" w:space="0" w:color="auto"/>
                  </w:tcBorders>
                  <w:shd w:val="clear" w:color="auto" w:fill="auto"/>
                  <w:vAlign w:val="bottom"/>
                </w:tcPr>
                <w:p w:rsidR="007159F6" w:rsidRPr="007159F6" w:rsidRDefault="007159F6" w:rsidP="007159F6">
                  <w:pPr>
                    <w:pStyle w:val="TableBodyText"/>
                  </w:pPr>
                  <w:r w:rsidRPr="007159F6">
                    <w:t>3.6</w:t>
                  </w:r>
                </w:p>
              </w:tc>
              <w:tc>
                <w:tcPr>
                  <w:tcW w:w="709" w:type="dxa"/>
                  <w:tcBorders>
                    <w:bottom w:val="single" w:sz="6" w:space="0" w:color="auto"/>
                  </w:tcBorders>
                  <w:shd w:val="clear" w:color="auto" w:fill="auto"/>
                  <w:vAlign w:val="bottom"/>
                </w:tcPr>
                <w:p w:rsidR="007159F6" w:rsidRPr="007159F6" w:rsidRDefault="007159F6" w:rsidP="007159F6">
                  <w:pPr>
                    <w:pStyle w:val="TableBodyText"/>
                  </w:pPr>
                  <w:r w:rsidRPr="007159F6">
                    <w:t>4.7</w:t>
                  </w:r>
                </w:p>
              </w:tc>
              <w:tc>
                <w:tcPr>
                  <w:tcW w:w="567" w:type="dxa"/>
                  <w:tcBorders>
                    <w:bottom w:val="single" w:sz="6" w:space="0" w:color="auto"/>
                  </w:tcBorders>
                  <w:shd w:val="clear" w:color="auto" w:fill="auto"/>
                  <w:vAlign w:val="bottom"/>
                </w:tcPr>
                <w:p w:rsidR="007159F6" w:rsidRPr="007159F6" w:rsidRDefault="007159F6" w:rsidP="007159F6">
                  <w:pPr>
                    <w:pStyle w:val="TableBodyText"/>
                  </w:pPr>
                  <w:r w:rsidRPr="007159F6">
                    <w:t>0.5</w:t>
                  </w:r>
                </w:p>
              </w:tc>
              <w:tc>
                <w:tcPr>
                  <w:tcW w:w="708" w:type="dxa"/>
                  <w:tcBorders>
                    <w:bottom w:val="single" w:sz="6" w:space="0" w:color="auto"/>
                  </w:tcBorders>
                  <w:shd w:val="clear" w:color="auto" w:fill="auto"/>
                  <w:vAlign w:val="bottom"/>
                </w:tcPr>
                <w:p w:rsidR="007159F6" w:rsidRPr="007159F6" w:rsidRDefault="007159F6" w:rsidP="007159F6">
                  <w:pPr>
                    <w:pStyle w:val="TableBodyText"/>
                  </w:pPr>
                  <w:r w:rsidRPr="007159F6">
                    <w:t>1.3</w:t>
                  </w:r>
                </w:p>
              </w:tc>
              <w:tc>
                <w:tcPr>
                  <w:tcW w:w="851" w:type="dxa"/>
                  <w:tcBorders>
                    <w:bottom w:val="single" w:sz="6" w:space="0" w:color="auto"/>
                  </w:tcBorders>
                  <w:shd w:val="clear" w:color="auto" w:fill="auto"/>
                  <w:vAlign w:val="bottom"/>
                </w:tcPr>
                <w:p w:rsidR="007159F6" w:rsidRPr="007159F6" w:rsidRDefault="007159F6" w:rsidP="007159F6">
                  <w:pPr>
                    <w:pStyle w:val="TableBodyText"/>
                  </w:pPr>
                  <w:r w:rsidRPr="007159F6">
                    <w:t>1.6</w:t>
                  </w:r>
                </w:p>
              </w:tc>
            </w:tr>
          </w:tbl>
          <w:p w:rsidR="007159F6" w:rsidRDefault="007159F6" w:rsidP="00E41D90">
            <w:pPr>
              <w:pStyle w:val="Box"/>
            </w:pPr>
          </w:p>
        </w:tc>
      </w:tr>
      <w:tr w:rsidR="007159F6" w:rsidTr="00E41D90">
        <w:trPr>
          <w:cantSplit/>
        </w:trPr>
        <w:tc>
          <w:tcPr>
            <w:tcW w:w="8771" w:type="dxa"/>
            <w:tcBorders>
              <w:top w:val="nil"/>
              <w:left w:val="nil"/>
              <w:bottom w:val="nil"/>
              <w:right w:val="nil"/>
            </w:tcBorders>
            <w:shd w:val="clear" w:color="auto" w:fill="auto"/>
          </w:tcPr>
          <w:p w:rsidR="007159F6" w:rsidRPr="007159F6" w:rsidRDefault="007159F6" w:rsidP="00E41D90">
            <w:pPr>
              <w:pStyle w:val="Note"/>
            </w:pPr>
            <w:r w:rsidRPr="008E77FE">
              <w:rPr>
                <w:rStyle w:val="NoteLabel"/>
              </w:rPr>
              <w:t>a</w:t>
            </w:r>
            <w:r>
              <w:t xml:space="preserve"> </w:t>
            </w:r>
            <w:r w:rsidRPr="007159F6">
              <w:t xml:space="preserve"> Number of part time secondary students. </w:t>
            </w:r>
            <w:r w:rsidRPr="008F5666">
              <w:rPr>
                <w:rStyle w:val="NoteLabel"/>
              </w:rPr>
              <w:t>b</w:t>
            </w:r>
            <w:r w:rsidRPr="007159F6">
              <w:t> Number of part time secondary students divided by number of full time and part time secondary stud</w:t>
            </w:r>
            <w:r>
              <w:t>ents. – Nil or rounded to zero.</w:t>
            </w:r>
          </w:p>
        </w:tc>
      </w:tr>
      <w:tr w:rsidR="007159F6" w:rsidTr="00E41D90">
        <w:trPr>
          <w:cantSplit/>
        </w:trPr>
        <w:tc>
          <w:tcPr>
            <w:tcW w:w="8771" w:type="dxa"/>
            <w:tcBorders>
              <w:top w:val="nil"/>
              <w:left w:val="nil"/>
              <w:bottom w:val="nil"/>
              <w:right w:val="nil"/>
            </w:tcBorders>
            <w:shd w:val="clear" w:color="auto" w:fill="auto"/>
          </w:tcPr>
          <w:p w:rsidR="007159F6" w:rsidRDefault="007159F6" w:rsidP="007159F6">
            <w:pPr>
              <w:pStyle w:val="Source"/>
            </w:pPr>
            <w:r>
              <w:rPr>
                <w:i/>
              </w:rPr>
              <w:t>Source</w:t>
            </w:r>
            <w:r w:rsidRPr="00167F06">
              <w:t xml:space="preserve">: </w:t>
            </w:r>
            <w:r w:rsidRPr="007159F6">
              <w:t>ABS (201</w:t>
            </w:r>
            <w:r>
              <w:t>4</w:t>
            </w:r>
            <w:r w:rsidRPr="007159F6">
              <w:t xml:space="preserve"> and unpublished) </w:t>
            </w:r>
            <w:r w:rsidRPr="007159F6">
              <w:rPr>
                <w:i/>
              </w:rPr>
              <w:t>Schools Australia 201</w:t>
            </w:r>
            <w:r>
              <w:rPr>
                <w:i/>
              </w:rPr>
              <w:t>3</w:t>
            </w:r>
            <w:r w:rsidRPr="007159F6">
              <w:t xml:space="preserve">, Cat. no. 4221.0; table </w:t>
            </w:r>
            <w:proofErr w:type="spellStart"/>
            <w:r w:rsidRPr="007159F6">
              <w:t>4A.1</w:t>
            </w:r>
            <w:proofErr w:type="spellEnd"/>
            <w:r w:rsidRPr="007159F6">
              <w:t>.</w:t>
            </w:r>
          </w:p>
        </w:tc>
      </w:tr>
      <w:tr w:rsidR="007159F6" w:rsidTr="00E41D90">
        <w:trPr>
          <w:cantSplit/>
        </w:trPr>
        <w:tc>
          <w:tcPr>
            <w:tcW w:w="8771" w:type="dxa"/>
            <w:tcBorders>
              <w:top w:val="nil"/>
              <w:left w:val="nil"/>
              <w:bottom w:val="single" w:sz="6" w:space="0" w:color="78A22F"/>
              <w:right w:val="nil"/>
            </w:tcBorders>
            <w:shd w:val="clear" w:color="auto" w:fill="auto"/>
          </w:tcPr>
          <w:p w:rsidR="007159F6" w:rsidRDefault="007159F6" w:rsidP="00E41D90">
            <w:pPr>
              <w:pStyle w:val="Box"/>
              <w:spacing w:before="0" w:line="120" w:lineRule="exact"/>
            </w:pPr>
          </w:p>
        </w:tc>
      </w:tr>
      <w:tr w:rsidR="007159F6" w:rsidRPr="000863A5" w:rsidTr="00E41D90">
        <w:tc>
          <w:tcPr>
            <w:tcW w:w="8771" w:type="dxa"/>
            <w:tcBorders>
              <w:top w:val="single" w:sz="6" w:space="0" w:color="78A22F"/>
              <w:left w:val="nil"/>
              <w:bottom w:val="nil"/>
              <w:right w:val="nil"/>
            </w:tcBorders>
          </w:tcPr>
          <w:p w:rsidR="007159F6" w:rsidRPr="00626D32" w:rsidRDefault="007159F6" w:rsidP="00E41D90">
            <w:pPr>
              <w:pStyle w:val="BoxSpaceBelow"/>
            </w:pPr>
          </w:p>
        </w:tc>
      </w:tr>
    </w:tbl>
    <w:p w:rsidR="00666ECE" w:rsidRPr="00666ECE" w:rsidRDefault="00666ECE" w:rsidP="007B0AE2">
      <w:pPr>
        <w:pStyle w:val="Heading4"/>
      </w:pPr>
      <w:r w:rsidRPr="00666ECE">
        <w:lastRenderedPageBreak/>
        <w:t>Special needs groups</w:t>
      </w:r>
    </w:p>
    <w:p w:rsidR="00666ECE" w:rsidRPr="00666ECE" w:rsidRDefault="00666ECE" w:rsidP="004145D6">
      <w:pPr>
        <w:pStyle w:val="BodyText"/>
      </w:pPr>
      <w:r w:rsidRPr="00666ECE">
        <w:t>Some groups of students in school education have been identified as having special needs. These special needs groups include:</w:t>
      </w:r>
    </w:p>
    <w:p w:rsidR="00666ECE" w:rsidRPr="004145D6" w:rsidRDefault="000701DC" w:rsidP="004145D6">
      <w:pPr>
        <w:pStyle w:val="ListBullet"/>
      </w:pPr>
      <w:r w:rsidRPr="004145D6">
        <w:t>Aboriginal and Torres Strait Islander</w:t>
      </w:r>
      <w:r w:rsidR="00666ECE" w:rsidRPr="004145D6">
        <w:t xml:space="preserve"> students</w:t>
      </w:r>
    </w:p>
    <w:p w:rsidR="00666ECE" w:rsidRPr="004145D6" w:rsidRDefault="00666ECE" w:rsidP="004145D6">
      <w:pPr>
        <w:pStyle w:val="ListBullet"/>
      </w:pPr>
      <w:r w:rsidRPr="004145D6">
        <w:t>students from language backgrounds other than English (</w:t>
      </w:r>
      <w:proofErr w:type="spellStart"/>
      <w:r w:rsidRPr="004145D6">
        <w:t>LBOTE</w:t>
      </w:r>
      <w:proofErr w:type="spellEnd"/>
      <w:r w:rsidRPr="004145D6">
        <w:t>)</w:t>
      </w:r>
    </w:p>
    <w:p w:rsidR="00666ECE" w:rsidRPr="004145D6" w:rsidRDefault="00666ECE" w:rsidP="004145D6">
      <w:pPr>
        <w:pStyle w:val="ListBullet"/>
      </w:pPr>
      <w:r w:rsidRPr="004145D6">
        <w:t>students with disabilit</w:t>
      </w:r>
      <w:r w:rsidR="001E2082" w:rsidRPr="004145D6">
        <w:t>y</w:t>
      </w:r>
    </w:p>
    <w:p w:rsidR="00666ECE" w:rsidRPr="004145D6" w:rsidRDefault="00666ECE" w:rsidP="004145D6">
      <w:pPr>
        <w:pStyle w:val="ListBullet"/>
      </w:pPr>
      <w:r w:rsidRPr="004145D6">
        <w:t>geographically remote students</w:t>
      </w:r>
    </w:p>
    <w:p w:rsidR="00666ECE" w:rsidRPr="004145D6" w:rsidRDefault="00666ECE" w:rsidP="004145D6">
      <w:pPr>
        <w:pStyle w:val="ListBullet"/>
      </w:pPr>
      <w:r w:rsidRPr="004145D6">
        <w:t xml:space="preserve">students from families of low </w:t>
      </w:r>
      <w:proofErr w:type="spellStart"/>
      <w:r w:rsidRPr="004145D6">
        <w:t>socio</w:t>
      </w:r>
      <w:r w:rsidR="009131A4" w:rsidRPr="004145D6">
        <w:t>-</w:t>
      </w:r>
      <w:r w:rsidRPr="004145D6">
        <w:t>economic</w:t>
      </w:r>
      <w:proofErr w:type="spellEnd"/>
      <w:r w:rsidRPr="004145D6">
        <w:t xml:space="preserve"> status.</w:t>
      </w:r>
    </w:p>
    <w:p w:rsidR="00666ECE" w:rsidRPr="000E6F59" w:rsidRDefault="00666ECE" w:rsidP="004145D6">
      <w:pPr>
        <w:pStyle w:val="BodyText"/>
      </w:pPr>
      <w:r w:rsidRPr="00666ECE">
        <w:t xml:space="preserve">Government schools provide education for a high proportion of students from special needs </w:t>
      </w:r>
      <w:r w:rsidRPr="006040C5">
        <w:t>groups. In 201</w:t>
      </w:r>
      <w:r w:rsidR="00354E9A">
        <w:t>3</w:t>
      </w:r>
      <w:r w:rsidRPr="00C84258">
        <w:rPr>
          <w:shd w:val="clear" w:color="auto" w:fill="FFFFFF" w:themeFill="background1"/>
        </w:rPr>
        <w:t xml:space="preserve">, </w:t>
      </w:r>
      <w:r w:rsidR="00B43174" w:rsidRPr="00C84258">
        <w:rPr>
          <w:shd w:val="clear" w:color="auto" w:fill="FFFFFF" w:themeFill="background1"/>
        </w:rPr>
        <w:t>84.</w:t>
      </w:r>
      <w:r w:rsidR="00C84258" w:rsidRPr="00C84258">
        <w:rPr>
          <w:shd w:val="clear" w:color="auto" w:fill="FFFFFF" w:themeFill="background1"/>
        </w:rPr>
        <w:t>4</w:t>
      </w:r>
      <w:r w:rsidRPr="00C84258">
        <w:rPr>
          <w:shd w:val="clear" w:color="auto" w:fill="FFFFFF" w:themeFill="background1"/>
        </w:rPr>
        <w:t xml:space="preserve"> per</w:t>
      </w:r>
      <w:r w:rsidRPr="006040C5">
        <w:t xml:space="preserve"> cent of Indigenous students </w:t>
      </w:r>
      <w:r w:rsidRPr="004856A8">
        <w:rPr>
          <w:shd w:val="clear" w:color="auto" w:fill="FFFFFF" w:themeFill="background1"/>
        </w:rPr>
        <w:t>and</w:t>
      </w:r>
      <w:r w:rsidR="00354E9A" w:rsidRPr="004856A8">
        <w:rPr>
          <w:shd w:val="clear" w:color="auto" w:fill="FFFFFF" w:themeFill="background1"/>
        </w:rPr>
        <w:t xml:space="preserve"> </w:t>
      </w:r>
      <w:r w:rsidR="006040C5" w:rsidRPr="004856A8">
        <w:rPr>
          <w:shd w:val="clear" w:color="auto" w:fill="FFFFFF" w:themeFill="background1"/>
        </w:rPr>
        <w:t>76.</w:t>
      </w:r>
      <w:r w:rsidR="004856A8" w:rsidRPr="004856A8">
        <w:rPr>
          <w:shd w:val="clear" w:color="auto" w:fill="FFFFFF" w:themeFill="background1"/>
        </w:rPr>
        <w:t>0</w:t>
      </w:r>
      <w:r w:rsidRPr="004856A8">
        <w:rPr>
          <w:shd w:val="clear" w:color="auto" w:fill="FFFFFF" w:themeFill="background1"/>
        </w:rPr>
        <w:t xml:space="preserve"> per cent</w:t>
      </w:r>
      <w:r w:rsidRPr="006040C5">
        <w:t xml:space="preserve"> of students </w:t>
      </w:r>
      <w:r w:rsidRPr="000E6F59">
        <w:t xml:space="preserve">with </w:t>
      </w:r>
      <w:r w:rsidRPr="00F4596F">
        <w:rPr>
          <w:shd w:val="clear" w:color="auto" w:fill="FFFFFF" w:themeFill="background1"/>
        </w:rPr>
        <w:t>disabilit</w:t>
      </w:r>
      <w:r w:rsidR="001E2082" w:rsidRPr="00F4596F">
        <w:rPr>
          <w:shd w:val="clear" w:color="auto" w:fill="FFFFFF" w:themeFill="background1"/>
        </w:rPr>
        <w:t>y</w:t>
      </w:r>
      <w:r w:rsidRPr="00F4596F">
        <w:rPr>
          <w:shd w:val="clear" w:color="auto" w:fill="FFFFFF" w:themeFill="background1"/>
        </w:rPr>
        <w:t xml:space="preserve"> attended</w:t>
      </w:r>
      <w:r w:rsidRPr="000E6F59">
        <w:t xml:space="preserve"> government schools (tables</w:t>
      </w:r>
      <w:r w:rsidR="000B2CA3">
        <w:t xml:space="preserve"> </w:t>
      </w:r>
      <w:proofErr w:type="spellStart"/>
      <w:r w:rsidRPr="000E6F59">
        <w:t>4A.2</w:t>
      </w:r>
      <w:r w:rsidR="009807CA">
        <w:t>9</w:t>
      </w:r>
      <w:proofErr w:type="spellEnd"/>
      <w:r w:rsidRPr="000E6F59">
        <w:t xml:space="preserve"> and</w:t>
      </w:r>
      <w:r w:rsidR="006451F8">
        <w:t> </w:t>
      </w:r>
      <w:proofErr w:type="spellStart"/>
      <w:r w:rsidRPr="000E6F59">
        <w:t>4A.</w:t>
      </w:r>
      <w:r w:rsidR="009807CA">
        <w:t>31</w:t>
      </w:r>
      <w:proofErr w:type="spellEnd"/>
      <w:r w:rsidRPr="000E6F59">
        <w:t>). Further information on student body mix in government, non</w:t>
      </w:r>
      <w:r w:rsidR="000B2CA3">
        <w:noBreakHyphen/>
      </w:r>
      <w:r w:rsidRPr="000E6F59">
        <w:t xml:space="preserve">government and all schools is in tables </w:t>
      </w:r>
      <w:proofErr w:type="spellStart"/>
      <w:r w:rsidRPr="000E6F59">
        <w:t>4A.</w:t>
      </w:r>
      <w:r w:rsidR="009807CA">
        <w:t>32</w:t>
      </w:r>
      <w:proofErr w:type="spellEnd"/>
      <w:r w:rsidRPr="000E6F59">
        <w:t>–3</w:t>
      </w:r>
      <w:r w:rsidR="009807CA">
        <w:t>4</w:t>
      </w:r>
      <w:r w:rsidRPr="000E6F59">
        <w:t xml:space="preserve">. </w:t>
      </w:r>
    </w:p>
    <w:p w:rsidR="00666ECE" w:rsidRPr="000E6F59" w:rsidRDefault="000701DC" w:rsidP="00845DD5">
      <w:pPr>
        <w:pStyle w:val="Heading5"/>
      </w:pPr>
      <w:r>
        <w:t>Aboriginal and Torres Strait Islander</w:t>
      </w:r>
      <w:r w:rsidR="00666ECE" w:rsidRPr="000E6F59">
        <w:t xml:space="preserve"> students</w:t>
      </w:r>
    </w:p>
    <w:p w:rsidR="00666ECE" w:rsidRPr="00B43174" w:rsidRDefault="00666ECE" w:rsidP="004145D6">
      <w:pPr>
        <w:pStyle w:val="BodyText"/>
      </w:pPr>
      <w:r w:rsidRPr="000E6F59">
        <w:t xml:space="preserve">The number and proportion of full </w:t>
      </w:r>
      <w:r w:rsidRPr="007055A8">
        <w:t xml:space="preserve">time </w:t>
      </w:r>
      <w:r w:rsidR="0019719B" w:rsidRPr="007055A8">
        <w:t>s</w:t>
      </w:r>
      <w:r w:rsidRPr="007055A8">
        <w:t xml:space="preserve">tudents </w:t>
      </w:r>
      <w:r w:rsidR="001B6514">
        <w:t>who</w:t>
      </w:r>
      <w:r w:rsidR="0019719B" w:rsidRPr="007055A8">
        <w:t xml:space="preserve"> </w:t>
      </w:r>
      <w:r w:rsidR="000701DC">
        <w:t>identify as Aboriginal and Torres Strait Islander</w:t>
      </w:r>
      <w:r w:rsidR="0019719B" w:rsidRPr="007055A8">
        <w:t xml:space="preserve"> </w:t>
      </w:r>
      <w:r w:rsidRPr="007055A8">
        <w:t xml:space="preserve">varies greatly across jurisdictions (table 4.5). In all jurisdictions, the proportion of full time </w:t>
      </w:r>
      <w:r w:rsidR="000701DC" w:rsidRPr="004145D6">
        <w:t>Aboriginal</w:t>
      </w:r>
      <w:r w:rsidR="000701DC">
        <w:t xml:space="preserve"> and Torres Strait Islander</w:t>
      </w:r>
      <w:r w:rsidRPr="007055A8">
        <w:t xml:space="preserve"> students was </w:t>
      </w:r>
      <w:r w:rsidR="006451F8" w:rsidRPr="00F4596F">
        <w:rPr>
          <w:shd w:val="clear" w:color="auto" w:fill="FFFFFF" w:themeFill="background1"/>
        </w:rPr>
        <w:t xml:space="preserve">much </w:t>
      </w:r>
      <w:r w:rsidRPr="00F4596F">
        <w:rPr>
          <w:shd w:val="clear" w:color="auto" w:fill="FFFFFF" w:themeFill="background1"/>
        </w:rPr>
        <w:t xml:space="preserve">higher in </w:t>
      </w:r>
      <w:r w:rsidRPr="00B43174">
        <w:rPr>
          <w:shd w:val="clear" w:color="auto" w:fill="FFFFFF" w:themeFill="background1"/>
        </w:rPr>
        <w:t>government schools than in non</w:t>
      </w:r>
      <w:r w:rsidR="006451F8" w:rsidRPr="00B43174">
        <w:rPr>
          <w:shd w:val="clear" w:color="auto" w:fill="FFFFFF" w:themeFill="background1"/>
        </w:rPr>
        <w:noBreakHyphen/>
      </w:r>
      <w:r w:rsidRPr="00B43174">
        <w:rPr>
          <w:shd w:val="clear" w:color="auto" w:fill="FFFFFF" w:themeFill="background1"/>
        </w:rPr>
        <w:t xml:space="preserve">government schools. Nationally, the proportion of full time students </w:t>
      </w:r>
      <w:r w:rsidR="0061654B" w:rsidRPr="00B43174">
        <w:rPr>
          <w:shd w:val="clear" w:color="auto" w:fill="FFFFFF" w:themeFill="background1"/>
        </w:rPr>
        <w:t xml:space="preserve">who </w:t>
      </w:r>
      <w:r w:rsidR="000701DC">
        <w:rPr>
          <w:shd w:val="clear" w:color="auto" w:fill="FFFFFF" w:themeFill="background1"/>
        </w:rPr>
        <w:t>identified as</w:t>
      </w:r>
      <w:r w:rsidR="0019719B" w:rsidRPr="00B43174">
        <w:t xml:space="preserve"> </w:t>
      </w:r>
      <w:r w:rsidR="000701DC">
        <w:rPr>
          <w:shd w:val="clear" w:color="auto" w:fill="FFFFFF" w:themeFill="background1"/>
        </w:rPr>
        <w:t>Aboriginal and Torres Strait Islander</w:t>
      </w:r>
      <w:r w:rsidR="0019719B" w:rsidRPr="00C84258">
        <w:rPr>
          <w:shd w:val="clear" w:color="auto" w:fill="FFFFFF" w:themeFill="background1"/>
        </w:rPr>
        <w:t xml:space="preserve"> </w:t>
      </w:r>
      <w:r w:rsidRPr="00C84258">
        <w:rPr>
          <w:shd w:val="clear" w:color="auto" w:fill="FFFFFF" w:themeFill="background1"/>
        </w:rPr>
        <w:t xml:space="preserve">was </w:t>
      </w:r>
      <w:r w:rsidR="00972691" w:rsidRPr="00C84258">
        <w:rPr>
          <w:shd w:val="clear" w:color="auto" w:fill="FFFFFF" w:themeFill="background1"/>
        </w:rPr>
        <w:t>6.</w:t>
      </w:r>
      <w:r w:rsidR="00C84258" w:rsidRPr="00C84258">
        <w:rPr>
          <w:shd w:val="clear" w:color="auto" w:fill="FFFFFF" w:themeFill="background1"/>
        </w:rPr>
        <w:t>5</w:t>
      </w:r>
      <w:r w:rsidR="0037267A" w:rsidRPr="00B43174">
        <w:t xml:space="preserve"> </w:t>
      </w:r>
      <w:r w:rsidRPr="00B43174">
        <w:t>per</w:t>
      </w:r>
      <w:r w:rsidR="0037267A" w:rsidRPr="00B43174">
        <w:t xml:space="preserve"> </w:t>
      </w:r>
      <w:r w:rsidRPr="00B43174">
        <w:t xml:space="preserve">cent in government schools and </w:t>
      </w:r>
      <w:r w:rsidR="00972691" w:rsidRPr="00B43174">
        <w:t>2.</w:t>
      </w:r>
      <w:r w:rsidR="00C84258">
        <w:t>3</w:t>
      </w:r>
      <w:r w:rsidR="00972691" w:rsidRPr="00B43174">
        <w:t xml:space="preserve"> </w:t>
      </w:r>
      <w:r w:rsidRPr="00B43174">
        <w:t>per cent in non</w:t>
      </w:r>
      <w:r w:rsidR="006451F8" w:rsidRPr="00B43174">
        <w:noBreakHyphen/>
      </w:r>
      <w:r w:rsidRPr="00B43174">
        <w:t>government schools in 201</w:t>
      </w:r>
      <w:r w:rsidR="00354E9A">
        <w:t>3</w:t>
      </w:r>
      <w:r w:rsidRPr="00B43174">
        <w:t xml:space="preserve"> (table 4.5).</w:t>
      </w:r>
    </w:p>
    <w:p w:rsidR="00D255D9" w:rsidRDefault="00D255D9" w:rsidP="00E41D90">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909"/>
      </w:tblGrid>
      <w:tr w:rsidR="00D255D9" w:rsidTr="00382A5B">
        <w:tc>
          <w:tcPr>
            <w:tcW w:w="8771" w:type="dxa"/>
            <w:tcBorders>
              <w:top w:val="nil"/>
              <w:left w:val="nil"/>
              <w:bottom w:val="nil"/>
              <w:right w:val="nil"/>
            </w:tcBorders>
            <w:shd w:val="clear" w:color="auto" w:fill="auto"/>
          </w:tcPr>
          <w:p w:rsidR="00D255D9" w:rsidRPr="00784A05" w:rsidRDefault="00D255D9" w:rsidP="00A67DE1">
            <w:pPr>
              <w:pStyle w:val="TableTitle"/>
            </w:pPr>
            <w:r>
              <w:rPr>
                <w:b w:val="0"/>
              </w:rPr>
              <w:t xml:space="preserve">Table </w:t>
            </w:r>
            <w:r w:rsidR="00B70781">
              <w:rPr>
                <w:b w:val="0"/>
              </w:rPr>
              <w:t>4.</w:t>
            </w:r>
            <w:r w:rsidR="005953B6">
              <w:rPr>
                <w:b w:val="0"/>
                <w:noProof/>
              </w:rPr>
              <w:t>5</w:t>
            </w:r>
            <w:r>
              <w:tab/>
            </w:r>
            <w:r w:rsidR="00A67DE1">
              <w:t>Aboriginal and Torres Strait Islander</w:t>
            </w:r>
            <w:r w:rsidRPr="00D255D9">
              <w:t xml:space="preserve"> full time students, 201</w:t>
            </w:r>
            <w:r w:rsidR="000F1E10">
              <w:t>3</w:t>
            </w:r>
          </w:p>
        </w:tc>
      </w:tr>
      <w:tr w:rsidR="00D255D9" w:rsidTr="00382A5B">
        <w:trPr>
          <w:cantSplit/>
        </w:trPr>
        <w:tc>
          <w:tcPr>
            <w:tcW w:w="8771" w:type="dxa"/>
            <w:tcBorders>
              <w:top w:val="nil"/>
              <w:left w:val="nil"/>
              <w:bottom w:val="nil"/>
              <w:right w:val="nil"/>
            </w:tcBorders>
            <w:shd w:val="clear" w:color="auto" w:fill="auto"/>
          </w:tcPr>
          <w:tbl>
            <w:tblPr>
              <w:tblW w:w="8789" w:type="dxa"/>
              <w:tblCellMar>
                <w:left w:w="0" w:type="dxa"/>
                <w:right w:w="0" w:type="dxa"/>
              </w:tblCellMar>
              <w:tblLook w:val="0000" w:firstRow="0" w:lastRow="0" w:firstColumn="0" w:lastColumn="0" w:noHBand="0" w:noVBand="0"/>
            </w:tblPr>
            <w:tblGrid>
              <w:gridCol w:w="799"/>
              <w:gridCol w:w="1901"/>
              <w:gridCol w:w="676"/>
              <w:gridCol w:w="735"/>
              <w:gridCol w:w="567"/>
              <w:gridCol w:w="567"/>
              <w:gridCol w:w="567"/>
              <w:gridCol w:w="567"/>
              <w:gridCol w:w="13"/>
              <w:gridCol w:w="554"/>
              <w:gridCol w:w="6"/>
              <w:gridCol w:w="561"/>
              <w:gridCol w:w="567"/>
              <w:gridCol w:w="709"/>
            </w:tblGrid>
            <w:tr w:rsidR="000E6669" w:rsidRPr="000E6F59" w:rsidTr="00540B73">
              <w:tc>
                <w:tcPr>
                  <w:tcW w:w="799" w:type="dxa"/>
                  <w:tcBorders>
                    <w:top w:val="single" w:sz="4" w:space="0" w:color="auto"/>
                    <w:bottom w:val="single" w:sz="4" w:space="0" w:color="auto"/>
                  </w:tcBorders>
                </w:tcPr>
                <w:p w:rsidR="000E6669" w:rsidRPr="000E6F59" w:rsidRDefault="000E6669" w:rsidP="000E6669">
                  <w:pPr>
                    <w:pStyle w:val="TableColumnHeading"/>
                  </w:pPr>
                </w:p>
              </w:tc>
              <w:tc>
                <w:tcPr>
                  <w:tcW w:w="1901" w:type="dxa"/>
                  <w:tcBorders>
                    <w:top w:val="single" w:sz="4" w:space="0" w:color="auto"/>
                    <w:bottom w:val="single" w:sz="4" w:space="0" w:color="auto"/>
                  </w:tcBorders>
                </w:tcPr>
                <w:p w:rsidR="000E6669" w:rsidRPr="000E6F59" w:rsidRDefault="000E6669" w:rsidP="000E6669">
                  <w:pPr>
                    <w:pStyle w:val="TableColumnHeading"/>
                  </w:pPr>
                </w:p>
              </w:tc>
              <w:tc>
                <w:tcPr>
                  <w:tcW w:w="676" w:type="dxa"/>
                  <w:tcBorders>
                    <w:top w:val="single" w:sz="4" w:space="0" w:color="auto"/>
                    <w:bottom w:val="single" w:sz="4" w:space="0" w:color="auto"/>
                  </w:tcBorders>
                </w:tcPr>
                <w:p w:rsidR="000E6669" w:rsidRPr="00666ECE" w:rsidRDefault="000E6669" w:rsidP="000E6669">
                  <w:pPr>
                    <w:pStyle w:val="TableColumnHeading"/>
                  </w:pPr>
                  <w:r>
                    <w:t>Unit</w:t>
                  </w:r>
                </w:p>
              </w:tc>
              <w:tc>
                <w:tcPr>
                  <w:tcW w:w="735" w:type="dxa"/>
                  <w:tcBorders>
                    <w:top w:val="single" w:sz="4" w:space="0" w:color="auto"/>
                    <w:bottom w:val="single" w:sz="4" w:space="0" w:color="auto"/>
                  </w:tcBorders>
                </w:tcPr>
                <w:p w:rsidR="000E6669" w:rsidRPr="000E6669" w:rsidRDefault="000E6669" w:rsidP="000E6669">
                  <w:pPr>
                    <w:pStyle w:val="TableColumnHeading"/>
                  </w:pPr>
                  <w:r w:rsidRPr="000E6669">
                    <w:t>NSW</w:t>
                  </w:r>
                </w:p>
              </w:tc>
              <w:tc>
                <w:tcPr>
                  <w:tcW w:w="567" w:type="dxa"/>
                  <w:tcBorders>
                    <w:top w:val="single" w:sz="4" w:space="0" w:color="auto"/>
                    <w:bottom w:val="single" w:sz="4" w:space="0" w:color="auto"/>
                  </w:tcBorders>
                </w:tcPr>
                <w:p w:rsidR="000E6669" w:rsidRPr="000E6669" w:rsidRDefault="000E6669" w:rsidP="000E6669">
                  <w:pPr>
                    <w:pStyle w:val="TableColumnHeading"/>
                  </w:pPr>
                  <w:r w:rsidRPr="000E6669">
                    <w:t>Vic</w:t>
                  </w:r>
                </w:p>
              </w:tc>
              <w:tc>
                <w:tcPr>
                  <w:tcW w:w="567" w:type="dxa"/>
                  <w:tcBorders>
                    <w:top w:val="single" w:sz="4" w:space="0" w:color="auto"/>
                    <w:bottom w:val="single" w:sz="4" w:space="0" w:color="auto"/>
                  </w:tcBorders>
                </w:tcPr>
                <w:p w:rsidR="000E6669" w:rsidRPr="000E6669" w:rsidRDefault="000E6669" w:rsidP="000E6669">
                  <w:pPr>
                    <w:pStyle w:val="TableColumnHeading"/>
                  </w:pPr>
                  <w:r w:rsidRPr="000E6669">
                    <w:t>Qld</w:t>
                  </w:r>
                </w:p>
              </w:tc>
              <w:tc>
                <w:tcPr>
                  <w:tcW w:w="567" w:type="dxa"/>
                  <w:tcBorders>
                    <w:top w:val="single" w:sz="4" w:space="0" w:color="auto"/>
                    <w:bottom w:val="single" w:sz="4" w:space="0" w:color="auto"/>
                  </w:tcBorders>
                </w:tcPr>
                <w:p w:rsidR="000E6669" w:rsidRPr="000E6669" w:rsidRDefault="000E6669" w:rsidP="000E6669">
                  <w:pPr>
                    <w:pStyle w:val="TableColumnHeading"/>
                  </w:pPr>
                  <w:r w:rsidRPr="000E6669">
                    <w:t>WA</w:t>
                  </w:r>
                </w:p>
              </w:tc>
              <w:tc>
                <w:tcPr>
                  <w:tcW w:w="580" w:type="dxa"/>
                  <w:gridSpan w:val="2"/>
                  <w:tcBorders>
                    <w:top w:val="single" w:sz="4" w:space="0" w:color="auto"/>
                    <w:bottom w:val="single" w:sz="4" w:space="0" w:color="auto"/>
                  </w:tcBorders>
                </w:tcPr>
                <w:p w:rsidR="000E6669" w:rsidRPr="000E6669" w:rsidRDefault="000E6669" w:rsidP="000E6669">
                  <w:pPr>
                    <w:pStyle w:val="TableColumnHeading"/>
                  </w:pPr>
                  <w:r w:rsidRPr="000E6669">
                    <w:t>SA</w:t>
                  </w:r>
                </w:p>
              </w:tc>
              <w:tc>
                <w:tcPr>
                  <w:tcW w:w="560" w:type="dxa"/>
                  <w:gridSpan w:val="2"/>
                  <w:tcBorders>
                    <w:top w:val="single" w:sz="4" w:space="0" w:color="auto"/>
                    <w:bottom w:val="single" w:sz="4" w:space="0" w:color="auto"/>
                  </w:tcBorders>
                </w:tcPr>
                <w:p w:rsidR="000E6669" w:rsidRPr="000E6669" w:rsidRDefault="000E6669" w:rsidP="000E6669">
                  <w:pPr>
                    <w:pStyle w:val="TableColumnHeading"/>
                  </w:pPr>
                  <w:r w:rsidRPr="000E6669">
                    <w:t>Tas</w:t>
                  </w:r>
                </w:p>
              </w:tc>
              <w:tc>
                <w:tcPr>
                  <w:tcW w:w="561" w:type="dxa"/>
                  <w:tcBorders>
                    <w:top w:val="single" w:sz="4" w:space="0" w:color="auto"/>
                    <w:bottom w:val="single" w:sz="4" w:space="0" w:color="auto"/>
                  </w:tcBorders>
                </w:tcPr>
                <w:p w:rsidR="000E6669" w:rsidRPr="000E6669" w:rsidRDefault="000E6669" w:rsidP="000E6669">
                  <w:pPr>
                    <w:pStyle w:val="TableColumnHeading"/>
                  </w:pPr>
                  <w:r w:rsidRPr="000E6669">
                    <w:t>ACT</w:t>
                  </w:r>
                </w:p>
              </w:tc>
              <w:tc>
                <w:tcPr>
                  <w:tcW w:w="567" w:type="dxa"/>
                  <w:tcBorders>
                    <w:top w:val="single" w:sz="4" w:space="0" w:color="auto"/>
                    <w:bottom w:val="single" w:sz="4" w:space="0" w:color="auto"/>
                  </w:tcBorders>
                </w:tcPr>
                <w:p w:rsidR="000E6669" w:rsidRPr="000E6669" w:rsidRDefault="000E6669" w:rsidP="000E6669">
                  <w:pPr>
                    <w:pStyle w:val="TableColumnHeading"/>
                  </w:pPr>
                  <w:r w:rsidRPr="000E6669">
                    <w:t>NT</w:t>
                  </w:r>
                </w:p>
              </w:tc>
              <w:tc>
                <w:tcPr>
                  <w:tcW w:w="709" w:type="dxa"/>
                  <w:tcBorders>
                    <w:top w:val="single" w:sz="4" w:space="0" w:color="auto"/>
                    <w:bottom w:val="single" w:sz="4" w:space="0" w:color="auto"/>
                  </w:tcBorders>
                </w:tcPr>
                <w:p w:rsidR="000E6669" w:rsidRPr="000E6669" w:rsidRDefault="000E6669" w:rsidP="000E6669">
                  <w:pPr>
                    <w:pStyle w:val="TableColumnHeading"/>
                  </w:pPr>
                  <w:proofErr w:type="spellStart"/>
                  <w:r w:rsidRPr="000E6669">
                    <w:t>Aust</w:t>
                  </w:r>
                  <w:proofErr w:type="spellEnd"/>
                </w:p>
              </w:tc>
            </w:tr>
            <w:tr w:rsidR="000F1E10" w:rsidRPr="000E6F59" w:rsidTr="00540B73">
              <w:tc>
                <w:tcPr>
                  <w:tcW w:w="8789" w:type="dxa"/>
                  <w:gridSpan w:val="14"/>
                  <w:tcBorders>
                    <w:top w:val="single" w:sz="4" w:space="0" w:color="auto"/>
                  </w:tcBorders>
                </w:tcPr>
                <w:p w:rsidR="000F1E10" w:rsidRPr="000E6F59" w:rsidRDefault="00A67DE1" w:rsidP="000F1E10">
                  <w:pPr>
                    <w:pStyle w:val="TableUnitsRow"/>
                    <w:jc w:val="left"/>
                  </w:pPr>
                  <w:r>
                    <w:t>Aboriginal and Torres Strait Islander</w:t>
                  </w:r>
                  <w:r w:rsidR="000F1E10">
                    <w:t xml:space="preserve"> full time students </w:t>
                  </w:r>
                  <w:r w:rsidR="000F1E10" w:rsidRPr="000E6F59">
                    <w:rPr>
                      <w:b/>
                      <w:position w:val="6"/>
                    </w:rPr>
                    <w:t>a</w:t>
                  </w:r>
                </w:p>
              </w:tc>
            </w:tr>
            <w:tr w:rsidR="000F1E10" w:rsidRPr="000E6F59" w:rsidTr="000F1E10">
              <w:tc>
                <w:tcPr>
                  <w:tcW w:w="2700" w:type="dxa"/>
                  <w:gridSpan w:val="2"/>
                  <w:shd w:val="clear" w:color="auto" w:fill="auto"/>
                </w:tcPr>
                <w:p w:rsidR="000F1E10" w:rsidRPr="000E6F59" w:rsidRDefault="0027264A" w:rsidP="000F1E10">
                  <w:pPr>
                    <w:pStyle w:val="TableUnitsRow"/>
                    <w:jc w:val="left"/>
                  </w:pPr>
                  <w:r>
                    <w:t xml:space="preserve">  </w:t>
                  </w:r>
                  <w:r w:rsidR="000F1E10" w:rsidRPr="000E6F59">
                    <w:t>Government schools</w:t>
                  </w:r>
                </w:p>
              </w:tc>
              <w:tc>
                <w:tcPr>
                  <w:tcW w:w="676" w:type="dxa"/>
                  <w:vAlign w:val="center"/>
                </w:tcPr>
                <w:p w:rsidR="000F1E10" w:rsidRPr="000F1E10" w:rsidRDefault="000F1E10" w:rsidP="000F1E10">
                  <w:pPr>
                    <w:pStyle w:val="TableBodyText"/>
                    <w:spacing w:after="0"/>
                  </w:pPr>
                  <w:r w:rsidRPr="000F1E10">
                    <w:t>(‘000)</w:t>
                  </w:r>
                </w:p>
              </w:tc>
              <w:tc>
                <w:tcPr>
                  <w:tcW w:w="735" w:type="dxa"/>
                  <w:shd w:val="clear" w:color="auto" w:fill="auto"/>
                  <w:vAlign w:val="bottom"/>
                </w:tcPr>
                <w:p w:rsidR="000F1E10" w:rsidRPr="000F1E10" w:rsidRDefault="000F1E10" w:rsidP="000F1E10">
                  <w:pPr>
                    <w:pStyle w:val="TableBodyText"/>
                  </w:pPr>
                  <w:r w:rsidRPr="000F1E10">
                    <w:t>49.2</w:t>
                  </w:r>
                </w:p>
              </w:tc>
              <w:tc>
                <w:tcPr>
                  <w:tcW w:w="567" w:type="dxa"/>
                  <w:shd w:val="clear" w:color="auto" w:fill="auto"/>
                  <w:vAlign w:val="bottom"/>
                </w:tcPr>
                <w:p w:rsidR="000F1E10" w:rsidRPr="000F1E10" w:rsidRDefault="000F1E10" w:rsidP="000F1E10">
                  <w:pPr>
                    <w:pStyle w:val="TableBodyText"/>
                  </w:pPr>
                  <w:r w:rsidRPr="000F1E10">
                    <w:t>10.4</w:t>
                  </w:r>
                </w:p>
              </w:tc>
              <w:tc>
                <w:tcPr>
                  <w:tcW w:w="567" w:type="dxa"/>
                  <w:shd w:val="clear" w:color="auto" w:fill="auto"/>
                  <w:vAlign w:val="bottom"/>
                </w:tcPr>
                <w:p w:rsidR="000F1E10" w:rsidRPr="000F1E10" w:rsidRDefault="000F1E10" w:rsidP="000F1E10">
                  <w:pPr>
                    <w:pStyle w:val="TableBodyText"/>
                  </w:pPr>
                  <w:r w:rsidRPr="000F1E10">
                    <w:t>45.2</w:t>
                  </w:r>
                </w:p>
              </w:tc>
              <w:tc>
                <w:tcPr>
                  <w:tcW w:w="567" w:type="dxa"/>
                  <w:shd w:val="clear" w:color="auto" w:fill="auto"/>
                  <w:vAlign w:val="bottom"/>
                </w:tcPr>
                <w:p w:rsidR="000F1E10" w:rsidRPr="000F1E10" w:rsidRDefault="000F1E10" w:rsidP="000F1E10">
                  <w:pPr>
                    <w:pStyle w:val="TableBodyText"/>
                  </w:pPr>
                  <w:r w:rsidRPr="000F1E10">
                    <w:t>20.7</w:t>
                  </w:r>
                </w:p>
              </w:tc>
              <w:tc>
                <w:tcPr>
                  <w:tcW w:w="567" w:type="dxa"/>
                  <w:shd w:val="clear" w:color="auto" w:fill="auto"/>
                  <w:vAlign w:val="bottom"/>
                </w:tcPr>
                <w:p w:rsidR="000F1E10" w:rsidRPr="000F1E10" w:rsidRDefault="000F1E10" w:rsidP="000F1E10">
                  <w:pPr>
                    <w:pStyle w:val="TableBodyText"/>
                  </w:pPr>
                  <w:r w:rsidRPr="000F1E10">
                    <w:t>9.4</w:t>
                  </w:r>
                </w:p>
              </w:tc>
              <w:tc>
                <w:tcPr>
                  <w:tcW w:w="567" w:type="dxa"/>
                  <w:gridSpan w:val="2"/>
                  <w:shd w:val="clear" w:color="auto" w:fill="auto"/>
                  <w:vAlign w:val="bottom"/>
                </w:tcPr>
                <w:p w:rsidR="000F1E10" w:rsidRPr="000F1E10" w:rsidRDefault="000F1E10" w:rsidP="000F1E10">
                  <w:pPr>
                    <w:pStyle w:val="TableBodyText"/>
                  </w:pPr>
                  <w:r w:rsidRPr="000F1E10">
                    <w:t>4.9</w:t>
                  </w:r>
                </w:p>
              </w:tc>
              <w:tc>
                <w:tcPr>
                  <w:tcW w:w="567" w:type="dxa"/>
                  <w:gridSpan w:val="2"/>
                  <w:shd w:val="clear" w:color="auto" w:fill="auto"/>
                  <w:vAlign w:val="bottom"/>
                </w:tcPr>
                <w:p w:rsidR="000F1E10" w:rsidRPr="000F1E10" w:rsidRDefault="000F1E10" w:rsidP="000F1E10">
                  <w:pPr>
                    <w:pStyle w:val="TableBodyText"/>
                  </w:pPr>
                  <w:r w:rsidRPr="000F1E10">
                    <w:t>1.2</w:t>
                  </w:r>
                </w:p>
              </w:tc>
              <w:tc>
                <w:tcPr>
                  <w:tcW w:w="567" w:type="dxa"/>
                  <w:shd w:val="clear" w:color="auto" w:fill="auto"/>
                  <w:vAlign w:val="bottom"/>
                </w:tcPr>
                <w:p w:rsidR="000F1E10" w:rsidRPr="000F1E10" w:rsidRDefault="000F1E10" w:rsidP="000F1E10">
                  <w:pPr>
                    <w:pStyle w:val="TableBodyText"/>
                  </w:pPr>
                  <w:r w:rsidRPr="000F1E10">
                    <w:t>13.1</w:t>
                  </w:r>
                </w:p>
              </w:tc>
              <w:tc>
                <w:tcPr>
                  <w:tcW w:w="709" w:type="dxa"/>
                  <w:shd w:val="clear" w:color="auto" w:fill="auto"/>
                  <w:vAlign w:val="bottom"/>
                </w:tcPr>
                <w:p w:rsidR="000F1E10" w:rsidRPr="000F1E10" w:rsidRDefault="000F1E10" w:rsidP="000F1E10">
                  <w:pPr>
                    <w:pStyle w:val="TableBodyText"/>
                  </w:pPr>
                  <w:r w:rsidRPr="000F1E10">
                    <w:t>154.1</w:t>
                  </w:r>
                </w:p>
              </w:tc>
            </w:tr>
            <w:tr w:rsidR="000F1E10" w:rsidRPr="000E6F59" w:rsidTr="000F1E10">
              <w:tc>
                <w:tcPr>
                  <w:tcW w:w="2700" w:type="dxa"/>
                  <w:gridSpan w:val="2"/>
                  <w:shd w:val="clear" w:color="auto" w:fill="auto"/>
                </w:tcPr>
                <w:p w:rsidR="000F1E10" w:rsidRPr="000E6F59" w:rsidRDefault="0027264A" w:rsidP="000F1E10">
                  <w:pPr>
                    <w:pStyle w:val="TableUnitsRow"/>
                    <w:jc w:val="left"/>
                  </w:pPr>
                  <w:r>
                    <w:t xml:space="preserve">  </w:t>
                  </w:r>
                  <w:r w:rsidR="000F1E10" w:rsidRPr="000E6F59">
                    <w:t>Non-government schools</w:t>
                  </w:r>
                </w:p>
              </w:tc>
              <w:tc>
                <w:tcPr>
                  <w:tcW w:w="676" w:type="dxa"/>
                  <w:vAlign w:val="center"/>
                </w:tcPr>
                <w:p w:rsidR="000F1E10" w:rsidRPr="000F1E10" w:rsidRDefault="000F1E10" w:rsidP="000F1E10">
                  <w:pPr>
                    <w:pStyle w:val="TableBodyText"/>
                    <w:spacing w:after="0"/>
                  </w:pPr>
                  <w:r w:rsidRPr="000F1E10">
                    <w:t>(‘000)</w:t>
                  </w:r>
                </w:p>
              </w:tc>
              <w:tc>
                <w:tcPr>
                  <w:tcW w:w="735" w:type="dxa"/>
                  <w:shd w:val="clear" w:color="auto" w:fill="auto"/>
                  <w:vAlign w:val="bottom"/>
                </w:tcPr>
                <w:p w:rsidR="000F1E10" w:rsidRPr="000F1E10" w:rsidRDefault="000F1E10" w:rsidP="000F1E10">
                  <w:pPr>
                    <w:pStyle w:val="TableBodyText"/>
                  </w:pPr>
                  <w:r w:rsidRPr="000F1E10">
                    <w:t>8.6</w:t>
                  </w:r>
                </w:p>
              </w:tc>
              <w:tc>
                <w:tcPr>
                  <w:tcW w:w="567" w:type="dxa"/>
                  <w:shd w:val="clear" w:color="auto" w:fill="auto"/>
                  <w:vAlign w:val="bottom"/>
                </w:tcPr>
                <w:p w:rsidR="000F1E10" w:rsidRPr="000F1E10" w:rsidRDefault="000F1E10" w:rsidP="000F1E10">
                  <w:pPr>
                    <w:pStyle w:val="TableBodyText"/>
                  </w:pPr>
                  <w:r w:rsidRPr="000F1E10">
                    <w:t>1.7</w:t>
                  </w:r>
                </w:p>
              </w:tc>
              <w:tc>
                <w:tcPr>
                  <w:tcW w:w="567" w:type="dxa"/>
                  <w:shd w:val="clear" w:color="auto" w:fill="auto"/>
                  <w:vAlign w:val="bottom"/>
                </w:tcPr>
                <w:p w:rsidR="000F1E10" w:rsidRPr="000F1E10" w:rsidRDefault="000F1E10" w:rsidP="000F1E10">
                  <w:pPr>
                    <w:pStyle w:val="TableBodyText"/>
                  </w:pPr>
                  <w:r w:rsidRPr="000F1E10">
                    <w:t>8.6</w:t>
                  </w:r>
                </w:p>
              </w:tc>
              <w:tc>
                <w:tcPr>
                  <w:tcW w:w="567" w:type="dxa"/>
                  <w:shd w:val="clear" w:color="auto" w:fill="auto"/>
                  <w:vAlign w:val="bottom"/>
                </w:tcPr>
                <w:p w:rsidR="000F1E10" w:rsidRPr="000F1E10" w:rsidRDefault="000F1E10" w:rsidP="000F1E10">
                  <w:pPr>
                    <w:pStyle w:val="TableBodyText"/>
                  </w:pPr>
                  <w:r w:rsidRPr="000F1E10">
                    <w:t>3.9</w:t>
                  </w:r>
                </w:p>
              </w:tc>
              <w:tc>
                <w:tcPr>
                  <w:tcW w:w="567" w:type="dxa"/>
                  <w:shd w:val="clear" w:color="auto" w:fill="auto"/>
                  <w:vAlign w:val="bottom"/>
                </w:tcPr>
                <w:p w:rsidR="000F1E10" w:rsidRPr="000F1E10" w:rsidRDefault="000F1E10" w:rsidP="000F1E10">
                  <w:pPr>
                    <w:pStyle w:val="TableBodyText"/>
                  </w:pPr>
                  <w:r w:rsidRPr="000F1E10">
                    <w:t>1.2</w:t>
                  </w:r>
                </w:p>
              </w:tc>
              <w:tc>
                <w:tcPr>
                  <w:tcW w:w="567" w:type="dxa"/>
                  <w:gridSpan w:val="2"/>
                  <w:shd w:val="clear" w:color="auto" w:fill="auto"/>
                  <w:vAlign w:val="bottom"/>
                </w:tcPr>
                <w:p w:rsidR="000F1E10" w:rsidRPr="000F1E10" w:rsidRDefault="000F1E10" w:rsidP="000F1E10">
                  <w:pPr>
                    <w:pStyle w:val="TableBodyText"/>
                  </w:pPr>
                  <w:r w:rsidRPr="000F1E10">
                    <w:t>1.0</w:t>
                  </w:r>
                </w:p>
              </w:tc>
              <w:tc>
                <w:tcPr>
                  <w:tcW w:w="567" w:type="dxa"/>
                  <w:gridSpan w:val="2"/>
                  <w:shd w:val="clear" w:color="auto" w:fill="auto"/>
                  <w:vAlign w:val="bottom"/>
                </w:tcPr>
                <w:p w:rsidR="000F1E10" w:rsidRPr="000F1E10" w:rsidRDefault="000F1E10" w:rsidP="000F1E10">
                  <w:pPr>
                    <w:pStyle w:val="TableBodyText"/>
                  </w:pPr>
                  <w:r w:rsidRPr="000F1E10">
                    <w:t>0.4</w:t>
                  </w:r>
                </w:p>
              </w:tc>
              <w:tc>
                <w:tcPr>
                  <w:tcW w:w="567" w:type="dxa"/>
                  <w:shd w:val="clear" w:color="auto" w:fill="auto"/>
                  <w:vAlign w:val="bottom"/>
                </w:tcPr>
                <w:p w:rsidR="000F1E10" w:rsidRPr="000F1E10" w:rsidRDefault="000F1E10" w:rsidP="000F1E10">
                  <w:pPr>
                    <w:pStyle w:val="TableBodyText"/>
                  </w:pPr>
                  <w:r w:rsidRPr="000F1E10">
                    <w:t>3.2</w:t>
                  </w:r>
                </w:p>
              </w:tc>
              <w:tc>
                <w:tcPr>
                  <w:tcW w:w="709" w:type="dxa"/>
                  <w:shd w:val="clear" w:color="auto" w:fill="auto"/>
                  <w:vAlign w:val="bottom"/>
                </w:tcPr>
                <w:p w:rsidR="000F1E10" w:rsidRPr="000F1E10" w:rsidRDefault="000F1E10" w:rsidP="000F1E10">
                  <w:pPr>
                    <w:pStyle w:val="TableBodyText"/>
                  </w:pPr>
                  <w:r w:rsidRPr="000F1E10">
                    <w:t>28.6</w:t>
                  </w:r>
                </w:p>
              </w:tc>
            </w:tr>
            <w:tr w:rsidR="000F1E10" w:rsidRPr="000E6F59" w:rsidTr="000F1E10">
              <w:tc>
                <w:tcPr>
                  <w:tcW w:w="2700" w:type="dxa"/>
                  <w:gridSpan w:val="2"/>
                  <w:shd w:val="clear" w:color="auto" w:fill="auto"/>
                </w:tcPr>
                <w:p w:rsidR="000F1E10" w:rsidRPr="000E6F59" w:rsidRDefault="0027264A" w:rsidP="000F1E10">
                  <w:pPr>
                    <w:pStyle w:val="TableUnitsRow"/>
                    <w:jc w:val="left"/>
                    <w:rPr>
                      <w:b/>
                    </w:rPr>
                  </w:pPr>
                  <w:r>
                    <w:rPr>
                      <w:b/>
                    </w:rPr>
                    <w:t xml:space="preserve">  </w:t>
                  </w:r>
                  <w:r w:rsidR="000F1E10" w:rsidRPr="000E6F59">
                    <w:rPr>
                      <w:b/>
                    </w:rPr>
                    <w:t>All schools</w:t>
                  </w:r>
                  <w:r w:rsidR="000F1E10" w:rsidRPr="000E6F59">
                    <w:rPr>
                      <w:b/>
                      <w:position w:val="6"/>
                    </w:rPr>
                    <w:t>b</w:t>
                  </w:r>
                </w:p>
              </w:tc>
              <w:tc>
                <w:tcPr>
                  <w:tcW w:w="676" w:type="dxa"/>
                  <w:vAlign w:val="center"/>
                </w:tcPr>
                <w:p w:rsidR="000F1E10" w:rsidRPr="000F1E10" w:rsidRDefault="000F1E10" w:rsidP="000F1E10">
                  <w:pPr>
                    <w:pStyle w:val="TableBodyText"/>
                    <w:spacing w:after="0"/>
                    <w:rPr>
                      <w:b/>
                    </w:rPr>
                  </w:pPr>
                  <w:r w:rsidRPr="000F1E10">
                    <w:rPr>
                      <w:b/>
                    </w:rPr>
                    <w:t>(‘000)</w:t>
                  </w:r>
                </w:p>
              </w:tc>
              <w:tc>
                <w:tcPr>
                  <w:tcW w:w="735" w:type="dxa"/>
                  <w:shd w:val="clear" w:color="auto" w:fill="auto"/>
                  <w:vAlign w:val="bottom"/>
                </w:tcPr>
                <w:p w:rsidR="000F1E10" w:rsidRPr="000F1E10" w:rsidRDefault="000F1E10" w:rsidP="000F1E10">
                  <w:pPr>
                    <w:pStyle w:val="TableBodyText"/>
                    <w:rPr>
                      <w:b/>
                    </w:rPr>
                  </w:pPr>
                  <w:r w:rsidRPr="000F1E10">
                    <w:rPr>
                      <w:b/>
                    </w:rPr>
                    <w:t>57.7</w:t>
                  </w:r>
                </w:p>
              </w:tc>
              <w:tc>
                <w:tcPr>
                  <w:tcW w:w="567" w:type="dxa"/>
                  <w:shd w:val="clear" w:color="auto" w:fill="auto"/>
                  <w:vAlign w:val="bottom"/>
                </w:tcPr>
                <w:p w:rsidR="000F1E10" w:rsidRPr="000F1E10" w:rsidRDefault="000F1E10" w:rsidP="000F1E10">
                  <w:pPr>
                    <w:pStyle w:val="TableBodyText"/>
                    <w:rPr>
                      <w:b/>
                    </w:rPr>
                  </w:pPr>
                  <w:r w:rsidRPr="000F1E10">
                    <w:rPr>
                      <w:b/>
                    </w:rPr>
                    <w:t>12.1</w:t>
                  </w:r>
                </w:p>
              </w:tc>
              <w:tc>
                <w:tcPr>
                  <w:tcW w:w="567" w:type="dxa"/>
                  <w:shd w:val="clear" w:color="auto" w:fill="auto"/>
                  <w:vAlign w:val="bottom"/>
                </w:tcPr>
                <w:p w:rsidR="000F1E10" w:rsidRPr="000F1E10" w:rsidRDefault="000F1E10" w:rsidP="000F1E10">
                  <w:pPr>
                    <w:pStyle w:val="TableBodyText"/>
                    <w:rPr>
                      <w:b/>
                    </w:rPr>
                  </w:pPr>
                  <w:r w:rsidRPr="000F1E10">
                    <w:rPr>
                      <w:b/>
                    </w:rPr>
                    <w:t>53.8</w:t>
                  </w:r>
                </w:p>
              </w:tc>
              <w:tc>
                <w:tcPr>
                  <w:tcW w:w="567" w:type="dxa"/>
                  <w:shd w:val="clear" w:color="auto" w:fill="auto"/>
                  <w:vAlign w:val="bottom"/>
                </w:tcPr>
                <w:p w:rsidR="000F1E10" w:rsidRPr="000F1E10" w:rsidRDefault="000F1E10" w:rsidP="000F1E10">
                  <w:pPr>
                    <w:pStyle w:val="TableBodyText"/>
                    <w:rPr>
                      <w:b/>
                    </w:rPr>
                  </w:pPr>
                  <w:r w:rsidRPr="000F1E10">
                    <w:rPr>
                      <w:b/>
                    </w:rPr>
                    <w:t>24.6</w:t>
                  </w:r>
                </w:p>
              </w:tc>
              <w:tc>
                <w:tcPr>
                  <w:tcW w:w="567" w:type="dxa"/>
                  <w:shd w:val="clear" w:color="auto" w:fill="auto"/>
                  <w:vAlign w:val="bottom"/>
                </w:tcPr>
                <w:p w:rsidR="000F1E10" w:rsidRPr="000F1E10" w:rsidRDefault="000F1E10" w:rsidP="000F1E10">
                  <w:pPr>
                    <w:pStyle w:val="TableBodyText"/>
                    <w:rPr>
                      <w:b/>
                    </w:rPr>
                  </w:pPr>
                  <w:r w:rsidRPr="000F1E10">
                    <w:rPr>
                      <w:b/>
                    </w:rPr>
                    <w:t>10.6</w:t>
                  </w:r>
                </w:p>
              </w:tc>
              <w:tc>
                <w:tcPr>
                  <w:tcW w:w="567" w:type="dxa"/>
                  <w:gridSpan w:val="2"/>
                  <w:shd w:val="clear" w:color="auto" w:fill="auto"/>
                  <w:vAlign w:val="bottom"/>
                </w:tcPr>
                <w:p w:rsidR="000F1E10" w:rsidRPr="000F1E10" w:rsidRDefault="000F1E10" w:rsidP="000F1E10">
                  <w:pPr>
                    <w:pStyle w:val="TableBodyText"/>
                    <w:rPr>
                      <w:b/>
                    </w:rPr>
                  </w:pPr>
                  <w:r w:rsidRPr="000F1E10">
                    <w:rPr>
                      <w:b/>
                    </w:rPr>
                    <w:t>5.9</w:t>
                  </w:r>
                </w:p>
              </w:tc>
              <w:tc>
                <w:tcPr>
                  <w:tcW w:w="567" w:type="dxa"/>
                  <w:gridSpan w:val="2"/>
                  <w:shd w:val="clear" w:color="auto" w:fill="auto"/>
                  <w:vAlign w:val="bottom"/>
                </w:tcPr>
                <w:p w:rsidR="000F1E10" w:rsidRPr="000F1E10" w:rsidRDefault="000F1E10" w:rsidP="000F1E10">
                  <w:pPr>
                    <w:pStyle w:val="TableBodyText"/>
                    <w:rPr>
                      <w:b/>
                    </w:rPr>
                  </w:pPr>
                  <w:r w:rsidRPr="000F1E10">
                    <w:rPr>
                      <w:b/>
                    </w:rPr>
                    <w:t>1.6</w:t>
                  </w:r>
                </w:p>
              </w:tc>
              <w:tc>
                <w:tcPr>
                  <w:tcW w:w="567" w:type="dxa"/>
                  <w:shd w:val="clear" w:color="auto" w:fill="auto"/>
                  <w:vAlign w:val="bottom"/>
                </w:tcPr>
                <w:p w:rsidR="000F1E10" w:rsidRPr="000F1E10" w:rsidRDefault="000F1E10" w:rsidP="000F1E10">
                  <w:pPr>
                    <w:pStyle w:val="TableBodyText"/>
                    <w:rPr>
                      <w:b/>
                    </w:rPr>
                  </w:pPr>
                  <w:r w:rsidRPr="000F1E10">
                    <w:rPr>
                      <w:b/>
                    </w:rPr>
                    <w:t>16.3</w:t>
                  </w:r>
                </w:p>
              </w:tc>
              <w:tc>
                <w:tcPr>
                  <w:tcW w:w="709" w:type="dxa"/>
                  <w:shd w:val="clear" w:color="auto" w:fill="auto"/>
                  <w:vAlign w:val="bottom"/>
                </w:tcPr>
                <w:p w:rsidR="000F1E10" w:rsidRPr="000F1E10" w:rsidRDefault="000F1E10" w:rsidP="000F1E10">
                  <w:pPr>
                    <w:pStyle w:val="TableBodyText"/>
                    <w:rPr>
                      <w:b/>
                    </w:rPr>
                  </w:pPr>
                  <w:r w:rsidRPr="000F1E10">
                    <w:rPr>
                      <w:b/>
                    </w:rPr>
                    <w:t>182.6</w:t>
                  </w:r>
                </w:p>
              </w:tc>
            </w:tr>
            <w:tr w:rsidR="000F1E10" w:rsidRPr="000E6F59" w:rsidTr="00E41D90">
              <w:tc>
                <w:tcPr>
                  <w:tcW w:w="8789" w:type="dxa"/>
                  <w:gridSpan w:val="14"/>
                </w:tcPr>
                <w:p w:rsidR="000F1E10" w:rsidRPr="000E6F59" w:rsidRDefault="00A67DE1" w:rsidP="000F1E10">
                  <w:pPr>
                    <w:pStyle w:val="TableUnitsRow"/>
                    <w:jc w:val="left"/>
                    <w:rPr>
                      <w:b/>
                    </w:rPr>
                  </w:pPr>
                  <w:r>
                    <w:t>Aboriginal and Torres Strait Islander</w:t>
                  </w:r>
                  <w:r w:rsidR="000F1E10" w:rsidRPr="000E6F59">
                    <w:t xml:space="preserve"> full time students as a proporti</w:t>
                  </w:r>
                  <w:r w:rsidR="000F1E10">
                    <w:t>on of all full time students</w:t>
                  </w:r>
                </w:p>
              </w:tc>
            </w:tr>
            <w:tr w:rsidR="000F1E10" w:rsidRPr="000E6F59" w:rsidTr="000F1E10">
              <w:tc>
                <w:tcPr>
                  <w:tcW w:w="2700" w:type="dxa"/>
                  <w:gridSpan w:val="2"/>
                  <w:shd w:val="clear" w:color="auto" w:fill="auto"/>
                </w:tcPr>
                <w:p w:rsidR="000F1E10" w:rsidRPr="000E6F59" w:rsidRDefault="0027264A" w:rsidP="000F1E10">
                  <w:pPr>
                    <w:pStyle w:val="TableUnitsRow"/>
                    <w:jc w:val="left"/>
                  </w:pPr>
                  <w:r>
                    <w:t xml:space="preserve">  </w:t>
                  </w:r>
                  <w:r w:rsidR="000F1E10" w:rsidRPr="000E6F59">
                    <w:t>Government schools</w:t>
                  </w:r>
                </w:p>
              </w:tc>
              <w:tc>
                <w:tcPr>
                  <w:tcW w:w="676" w:type="dxa"/>
                  <w:vAlign w:val="center"/>
                </w:tcPr>
                <w:p w:rsidR="000F1E10" w:rsidRDefault="000F1E10" w:rsidP="000F1E10">
                  <w:pPr>
                    <w:pStyle w:val="TableBodyText"/>
                  </w:pPr>
                  <w:r>
                    <w:t>%</w:t>
                  </w:r>
                </w:p>
              </w:tc>
              <w:tc>
                <w:tcPr>
                  <w:tcW w:w="735" w:type="dxa"/>
                  <w:shd w:val="clear" w:color="auto" w:fill="auto"/>
                  <w:vAlign w:val="center"/>
                </w:tcPr>
                <w:p w:rsidR="000F1E10" w:rsidRPr="000F1E10" w:rsidRDefault="000F1E10" w:rsidP="000F1E10">
                  <w:pPr>
                    <w:pStyle w:val="TableBodyText"/>
                  </w:pPr>
                  <w:r w:rsidRPr="000F1E10">
                    <w:t>6.5</w:t>
                  </w:r>
                </w:p>
              </w:tc>
              <w:tc>
                <w:tcPr>
                  <w:tcW w:w="567" w:type="dxa"/>
                  <w:shd w:val="clear" w:color="auto" w:fill="auto"/>
                  <w:vAlign w:val="center"/>
                </w:tcPr>
                <w:p w:rsidR="000F1E10" w:rsidRPr="000F1E10" w:rsidRDefault="000F1E10" w:rsidP="000F1E10">
                  <w:pPr>
                    <w:pStyle w:val="TableBodyText"/>
                  </w:pPr>
                  <w:r w:rsidRPr="000F1E10">
                    <w:t>1.9</w:t>
                  </w:r>
                </w:p>
              </w:tc>
              <w:tc>
                <w:tcPr>
                  <w:tcW w:w="567" w:type="dxa"/>
                  <w:shd w:val="clear" w:color="auto" w:fill="auto"/>
                  <w:vAlign w:val="center"/>
                </w:tcPr>
                <w:p w:rsidR="000F1E10" w:rsidRPr="000F1E10" w:rsidRDefault="000F1E10" w:rsidP="000F1E10">
                  <w:pPr>
                    <w:pStyle w:val="TableBodyText"/>
                  </w:pPr>
                  <w:r w:rsidRPr="000F1E10">
                    <w:t>8.9</w:t>
                  </w:r>
                </w:p>
              </w:tc>
              <w:tc>
                <w:tcPr>
                  <w:tcW w:w="567" w:type="dxa"/>
                  <w:shd w:val="clear" w:color="auto" w:fill="auto"/>
                  <w:vAlign w:val="center"/>
                </w:tcPr>
                <w:p w:rsidR="000F1E10" w:rsidRPr="000F1E10" w:rsidRDefault="000F1E10" w:rsidP="000F1E10">
                  <w:pPr>
                    <w:pStyle w:val="TableBodyText"/>
                  </w:pPr>
                  <w:r w:rsidRPr="000F1E10">
                    <w:t>8.2</w:t>
                  </w:r>
                </w:p>
              </w:tc>
              <w:tc>
                <w:tcPr>
                  <w:tcW w:w="567" w:type="dxa"/>
                  <w:shd w:val="clear" w:color="auto" w:fill="auto"/>
                  <w:vAlign w:val="center"/>
                </w:tcPr>
                <w:p w:rsidR="000F1E10" w:rsidRPr="000F1E10" w:rsidRDefault="000F1E10" w:rsidP="000F1E10">
                  <w:pPr>
                    <w:pStyle w:val="TableBodyText"/>
                  </w:pPr>
                  <w:r w:rsidRPr="000F1E10">
                    <w:t>5.7</w:t>
                  </w:r>
                </w:p>
              </w:tc>
              <w:tc>
                <w:tcPr>
                  <w:tcW w:w="567" w:type="dxa"/>
                  <w:gridSpan w:val="2"/>
                  <w:shd w:val="clear" w:color="auto" w:fill="auto"/>
                  <w:vAlign w:val="center"/>
                </w:tcPr>
                <w:p w:rsidR="000F1E10" w:rsidRPr="000F1E10" w:rsidRDefault="000F1E10" w:rsidP="000F1E10">
                  <w:pPr>
                    <w:pStyle w:val="TableBodyText"/>
                  </w:pPr>
                  <w:r w:rsidRPr="000F1E10">
                    <w:t>8.8</w:t>
                  </w:r>
                </w:p>
              </w:tc>
              <w:tc>
                <w:tcPr>
                  <w:tcW w:w="567" w:type="dxa"/>
                  <w:gridSpan w:val="2"/>
                  <w:shd w:val="clear" w:color="auto" w:fill="auto"/>
                  <w:vAlign w:val="center"/>
                </w:tcPr>
                <w:p w:rsidR="000F1E10" w:rsidRPr="000F1E10" w:rsidRDefault="000F1E10" w:rsidP="000F1E10">
                  <w:pPr>
                    <w:pStyle w:val="TableBodyText"/>
                  </w:pPr>
                  <w:r w:rsidRPr="000F1E10">
                    <w:t>3.3</w:t>
                  </w:r>
                </w:p>
              </w:tc>
              <w:tc>
                <w:tcPr>
                  <w:tcW w:w="567" w:type="dxa"/>
                  <w:shd w:val="clear" w:color="auto" w:fill="auto"/>
                  <w:vAlign w:val="center"/>
                </w:tcPr>
                <w:p w:rsidR="000F1E10" w:rsidRPr="000F1E10" w:rsidRDefault="000F1E10" w:rsidP="000F1E10">
                  <w:pPr>
                    <w:pStyle w:val="TableBodyText"/>
                  </w:pPr>
                  <w:r w:rsidRPr="000F1E10">
                    <w:t>44.7</w:t>
                  </w:r>
                </w:p>
              </w:tc>
              <w:tc>
                <w:tcPr>
                  <w:tcW w:w="709" w:type="dxa"/>
                  <w:shd w:val="clear" w:color="auto" w:fill="auto"/>
                  <w:vAlign w:val="center"/>
                </w:tcPr>
                <w:p w:rsidR="000F1E10" w:rsidRPr="000F1E10" w:rsidRDefault="000F1E10" w:rsidP="000F1E10">
                  <w:pPr>
                    <w:pStyle w:val="TableBodyText"/>
                  </w:pPr>
                  <w:r w:rsidRPr="000F1E10">
                    <w:t>6.5</w:t>
                  </w:r>
                </w:p>
              </w:tc>
            </w:tr>
            <w:tr w:rsidR="000F1E10" w:rsidRPr="000E6F59" w:rsidTr="000F1E10">
              <w:tc>
                <w:tcPr>
                  <w:tcW w:w="2700" w:type="dxa"/>
                  <w:gridSpan w:val="2"/>
                  <w:shd w:val="clear" w:color="auto" w:fill="auto"/>
                </w:tcPr>
                <w:p w:rsidR="000F1E10" w:rsidRPr="000E6F59" w:rsidRDefault="0027264A" w:rsidP="000F1E10">
                  <w:pPr>
                    <w:pStyle w:val="TableUnitsRow"/>
                    <w:jc w:val="left"/>
                  </w:pPr>
                  <w:r>
                    <w:t xml:space="preserve">  </w:t>
                  </w:r>
                  <w:r w:rsidR="000F1E10" w:rsidRPr="000E6F59">
                    <w:t>Non-government schools</w:t>
                  </w:r>
                </w:p>
              </w:tc>
              <w:tc>
                <w:tcPr>
                  <w:tcW w:w="676" w:type="dxa"/>
                  <w:vAlign w:val="center"/>
                </w:tcPr>
                <w:p w:rsidR="000F1E10" w:rsidRDefault="000F1E10" w:rsidP="000F1E10">
                  <w:pPr>
                    <w:pStyle w:val="TableBodyText"/>
                  </w:pPr>
                  <w:r>
                    <w:t>%</w:t>
                  </w:r>
                </w:p>
              </w:tc>
              <w:tc>
                <w:tcPr>
                  <w:tcW w:w="735" w:type="dxa"/>
                  <w:shd w:val="clear" w:color="auto" w:fill="auto"/>
                  <w:vAlign w:val="center"/>
                </w:tcPr>
                <w:p w:rsidR="000F1E10" w:rsidRPr="000F1E10" w:rsidRDefault="000F1E10" w:rsidP="000F1E10">
                  <w:pPr>
                    <w:pStyle w:val="TableBodyText"/>
                  </w:pPr>
                  <w:r w:rsidRPr="000F1E10">
                    <w:t>2.1</w:t>
                  </w:r>
                </w:p>
              </w:tc>
              <w:tc>
                <w:tcPr>
                  <w:tcW w:w="567" w:type="dxa"/>
                  <w:shd w:val="clear" w:color="auto" w:fill="auto"/>
                  <w:vAlign w:val="center"/>
                </w:tcPr>
                <w:p w:rsidR="000F1E10" w:rsidRPr="000F1E10" w:rsidRDefault="000F1E10" w:rsidP="000F1E10">
                  <w:pPr>
                    <w:pStyle w:val="TableBodyText"/>
                  </w:pPr>
                  <w:r w:rsidRPr="000F1E10">
                    <w:t>0.5</w:t>
                  </w:r>
                </w:p>
              </w:tc>
              <w:tc>
                <w:tcPr>
                  <w:tcW w:w="567" w:type="dxa"/>
                  <w:shd w:val="clear" w:color="auto" w:fill="auto"/>
                  <w:vAlign w:val="center"/>
                </w:tcPr>
                <w:p w:rsidR="000F1E10" w:rsidRPr="000F1E10" w:rsidRDefault="000F1E10" w:rsidP="000F1E10">
                  <w:pPr>
                    <w:pStyle w:val="TableBodyText"/>
                  </w:pPr>
                  <w:r w:rsidRPr="000F1E10">
                    <w:t>3.4</w:t>
                  </w:r>
                </w:p>
              </w:tc>
              <w:tc>
                <w:tcPr>
                  <w:tcW w:w="567" w:type="dxa"/>
                  <w:shd w:val="clear" w:color="auto" w:fill="auto"/>
                  <w:vAlign w:val="center"/>
                </w:tcPr>
                <w:p w:rsidR="000F1E10" w:rsidRPr="000F1E10" w:rsidRDefault="000F1E10" w:rsidP="000F1E10">
                  <w:pPr>
                    <w:pStyle w:val="TableBodyText"/>
                  </w:pPr>
                  <w:r w:rsidRPr="000F1E10">
                    <w:t>3.0</w:t>
                  </w:r>
                </w:p>
              </w:tc>
              <w:tc>
                <w:tcPr>
                  <w:tcW w:w="567" w:type="dxa"/>
                  <w:shd w:val="clear" w:color="auto" w:fill="auto"/>
                  <w:vAlign w:val="center"/>
                </w:tcPr>
                <w:p w:rsidR="000F1E10" w:rsidRPr="000F1E10" w:rsidRDefault="000F1E10" w:rsidP="000F1E10">
                  <w:pPr>
                    <w:pStyle w:val="TableBodyText"/>
                  </w:pPr>
                  <w:r w:rsidRPr="000F1E10">
                    <w:t>1.3</w:t>
                  </w:r>
                </w:p>
              </w:tc>
              <w:tc>
                <w:tcPr>
                  <w:tcW w:w="567" w:type="dxa"/>
                  <w:gridSpan w:val="2"/>
                  <w:shd w:val="clear" w:color="auto" w:fill="auto"/>
                  <w:vAlign w:val="center"/>
                </w:tcPr>
                <w:p w:rsidR="000F1E10" w:rsidRPr="000F1E10" w:rsidRDefault="000F1E10" w:rsidP="000F1E10">
                  <w:pPr>
                    <w:pStyle w:val="TableBodyText"/>
                  </w:pPr>
                  <w:r w:rsidRPr="000F1E10">
                    <w:t>4.2</w:t>
                  </w:r>
                </w:p>
              </w:tc>
              <w:tc>
                <w:tcPr>
                  <w:tcW w:w="567" w:type="dxa"/>
                  <w:gridSpan w:val="2"/>
                  <w:shd w:val="clear" w:color="auto" w:fill="auto"/>
                  <w:vAlign w:val="center"/>
                </w:tcPr>
                <w:p w:rsidR="000F1E10" w:rsidRPr="000F1E10" w:rsidRDefault="000F1E10" w:rsidP="000F1E10">
                  <w:pPr>
                    <w:pStyle w:val="TableBodyText"/>
                  </w:pPr>
                  <w:r w:rsidRPr="000F1E10">
                    <w:t>1.4</w:t>
                  </w:r>
                </w:p>
              </w:tc>
              <w:tc>
                <w:tcPr>
                  <w:tcW w:w="567" w:type="dxa"/>
                  <w:shd w:val="clear" w:color="auto" w:fill="auto"/>
                  <w:vAlign w:val="center"/>
                </w:tcPr>
                <w:p w:rsidR="000F1E10" w:rsidRPr="000F1E10" w:rsidRDefault="000F1E10" w:rsidP="000F1E10">
                  <w:pPr>
                    <w:pStyle w:val="TableBodyText"/>
                  </w:pPr>
                  <w:r w:rsidRPr="000F1E10">
                    <w:t>29.0</w:t>
                  </w:r>
                </w:p>
              </w:tc>
              <w:tc>
                <w:tcPr>
                  <w:tcW w:w="709" w:type="dxa"/>
                  <w:shd w:val="clear" w:color="auto" w:fill="auto"/>
                  <w:vAlign w:val="center"/>
                </w:tcPr>
                <w:p w:rsidR="000F1E10" w:rsidRPr="000F1E10" w:rsidRDefault="000F1E10" w:rsidP="000F1E10">
                  <w:pPr>
                    <w:pStyle w:val="TableBodyText"/>
                  </w:pPr>
                  <w:r w:rsidRPr="000F1E10">
                    <w:t>2.3</w:t>
                  </w:r>
                </w:p>
              </w:tc>
            </w:tr>
            <w:tr w:rsidR="000F1E10" w:rsidRPr="000E6F59" w:rsidTr="000F1E10">
              <w:tc>
                <w:tcPr>
                  <w:tcW w:w="2700" w:type="dxa"/>
                  <w:gridSpan w:val="2"/>
                  <w:tcBorders>
                    <w:bottom w:val="single" w:sz="4" w:space="0" w:color="auto"/>
                  </w:tcBorders>
                  <w:shd w:val="clear" w:color="auto" w:fill="auto"/>
                </w:tcPr>
                <w:p w:rsidR="000F1E10" w:rsidRPr="000E6F59" w:rsidRDefault="0027264A" w:rsidP="000F1E10">
                  <w:pPr>
                    <w:pStyle w:val="TableUnitsRow"/>
                    <w:jc w:val="left"/>
                    <w:rPr>
                      <w:b/>
                    </w:rPr>
                  </w:pPr>
                  <w:r>
                    <w:rPr>
                      <w:b/>
                    </w:rPr>
                    <w:t xml:space="preserve">  </w:t>
                  </w:r>
                  <w:r w:rsidR="000F1E10" w:rsidRPr="000E6F59">
                    <w:rPr>
                      <w:b/>
                    </w:rPr>
                    <w:t>All schools</w:t>
                  </w:r>
                </w:p>
              </w:tc>
              <w:tc>
                <w:tcPr>
                  <w:tcW w:w="676" w:type="dxa"/>
                  <w:tcBorders>
                    <w:bottom w:val="single" w:sz="4" w:space="0" w:color="auto"/>
                  </w:tcBorders>
                  <w:vAlign w:val="center"/>
                </w:tcPr>
                <w:p w:rsidR="000F1E10" w:rsidRPr="000F1E10" w:rsidRDefault="000F1E10" w:rsidP="000F1E10">
                  <w:pPr>
                    <w:pStyle w:val="TableBodyText"/>
                    <w:rPr>
                      <w:b/>
                    </w:rPr>
                  </w:pPr>
                  <w:r w:rsidRPr="000F1E10">
                    <w:rPr>
                      <w:b/>
                    </w:rPr>
                    <w:t>%</w:t>
                  </w:r>
                </w:p>
              </w:tc>
              <w:tc>
                <w:tcPr>
                  <w:tcW w:w="735" w:type="dxa"/>
                  <w:tcBorders>
                    <w:bottom w:val="single" w:sz="4" w:space="0" w:color="auto"/>
                  </w:tcBorders>
                  <w:shd w:val="clear" w:color="auto" w:fill="auto"/>
                  <w:vAlign w:val="center"/>
                </w:tcPr>
                <w:p w:rsidR="000F1E10" w:rsidRPr="000F1E10" w:rsidRDefault="000F1E10" w:rsidP="000F1E10">
                  <w:pPr>
                    <w:pStyle w:val="TableBodyText"/>
                    <w:rPr>
                      <w:b/>
                    </w:rPr>
                  </w:pPr>
                  <w:r w:rsidRPr="000F1E10">
                    <w:rPr>
                      <w:b/>
                    </w:rPr>
                    <w:t>5.0</w:t>
                  </w:r>
                </w:p>
              </w:tc>
              <w:tc>
                <w:tcPr>
                  <w:tcW w:w="567" w:type="dxa"/>
                  <w:tcBorders>
                    <w:bottom w:val="single" w:sz="4" w:space="0" w:color="auto"/>
                  </w:tcBorders>
                  <w:shd w:val="clear" w:color="auto" w:fill="auto"/>
                  <w:vAlign w:val="center"/>
                </w:tcPr>
                <w:p w:rsidR="000F1E10" w:rsidRPr="000F1E10" w:rsidRDefault="000F1E10" w:rsidP="000F1E10">
                  <w:pPr>
                    <w:pStyle w:val="TableBodyText"/>
                    <w:rPr>
                      <w:b/>
                    </w:rPr>
                  </w:pPr>
                  <w:r w:rsidRPr="000F1E10">
                    <w:rPr>
                      <w:b/>
                    </w:rPr>
                    <w:t>1.4</w:t>
                  </w:r>
                </w:p>
              </w:tc>
              <w:tc>
                <w:tcPr>
                  <w:tcW w:w="567" w:type="dxa"/>
                  <w:tcBorders>
                    <w:bottom w:val="single" w:sz="4" w:space="0" w:color="auto"/>
                  </w:tcBorders>
                  <w:shd w:val="clear" w:color="auto" w:fill="auto"/>
                  <w:vAlign w:val="center"/>
                </w:tcPr>
                <w:p w:rsidR="000F1E10" w:rsidRPr="000F1E10" w:rsidRDefault="000F1E10" w:rsidP="000F1E10">
                  <w:pPr>
                    <w:pStyle w:val="TableBodyText"/>
                    <w:rPr>
                      <w:b/>
                    </w:rPr>
                  </w:pPr>
                  <w:r w:rsidRPr="000F1E10">
                    <w:rPr>
                      <w:b/>
                    </w:rPr>
                    <w:t>7.1</w:t>
                  </w:r>
                </w:p>
              </w:tc>
              <w:tc>
                <w:tcPr>
                  <w:tcW w:w="567" w:type="dxa"/>
                  <w:tcBorders>
                    <w:bottom w:val="single" w:sz="4" w:space="0" w:color="auto"/>
                  </w:tcBorders>
                  <w:shd w:val="clear" w:color="auto" w:fill="auto"/>
                  <w:vAlign w:val="center"/>
                </w:tcPr>
                <w:p w:rsidR="000F1E10" w:rsidRPr="000F1E10" w:rsidRDefault="000F1E10" w:rsidP="000F1E10">
                  <w:pPr>
                    <w:pStyle w:val="TableBodyText"/>
                    <w:rPr>
                      <w:b/>
                    </w:rPr>
                  </w:pPr>
                  <w:r w:rsidRPr="000F1E10">
                    <w:rPr>
                      <w:b/>
                    </w:rPr>
                    <w:t>6.4</w:t>
                  </w:r>
                </w:p>
              </w:tc>
              <w:tc>
                <w:tcPr>
                  <w:tcW w:w="567" w:type="dxa"/>
                  <w:tcBorders>
                    <w:bottom w:val="single" w:sz="4" w:space="0" w:color="auto"/>
                  </w:tcBorders>
                  <w:shd w:val="clear" w:color="auto" w:fill="auto"/>
                  <w:vAlign w:val="center"/>
                </w:tcPr>
                <w:p w:rsidR="000F1E10" w:rsidRPr="000F1E10" w:rsidRDefault="000F1E10" w:rsidP="000F1E10">
                  <w:pPr>
                    <w:pStyle w:val="TableBodyText"/>
                    <w:rPr>
                      <w:b/>
                    </w:rPr>
                  </w:pPr>
                  <w:r w:rsidRPr="000F1E10">
                    <w:rPr>
                      <w:b/>
                    </w:rPr>
                    <w:t>4.1</w:t>
                  </w:r>
                </w:p>
              </w:tc>
              <w:tc>
                <w:tcPr>
                  <w:tcW w:w="567" w:type="dxa"/>
                  <w:gridSpan w:val="2"/>
                  <w:tcBorders>
                    <w:bottom w:val="single" w:sz="4" w:space="0" w:color="auto"/>
                  </w:tcBorders>
                  <w:shd w:val="clear" w:color="auto" w:fill="auto"/>
                  <w:vAlign w:val="center"/>
                </w:tcPr>
                <w:p w:rsidR="000F1E10" w:rsidRPr="000F1E10" w:rsidRDefault="000F1E10" w:rsidP="000F1E10">
                  <w:pPr>
                    <w:pStyle w:val="TableBodyText"/>
                    <w:rPr>
                      <w:b/>
                    </w:rPr>
                  </w:pPr>
                  <w:r w:rsidRPr="000F1E10">
                    <w:rPr>
                      <w:b/>
                    </w:rPr>
                    <w:t>7.4</w:t>
                  </w:r>
                </w:p>
              </w:tc>
              <w:tc>
                <w:tcPr>
                  <w:tcW w:w="567" w:type="dxa"/>
                  <w:gridSpan w:val="2"/>
                  <w:tcBorders>
                    <w:bottom w:val="single" w:sz="4" w:space="0" w:color="auto"/>
                  </w:tcBorders>
                  <w:shd w:val="clear" w:color="auto" w:fill="auto"/>
                  <w:vAlign w:val="center"/>
                </w:tcPr>
                <w:p w:rsidR="000F1E10" w:rsidRPr="000F1E10" w:rsidRDefault="000F1E10" w:rsidP="000F1E10">
                  <w:pPr>
                    <w:pStyle w:val="TableBodyText"/>
                    <w:rPr>
                      <w:b/>
                    </w:rPr>
                  </w:pPr>
                  <w:r w:rsidRPr="000F1E10">
                    <w:rPr>
                      <w:b/>
                    </w:rPr>
                    <w:t>2.5</w:t>
                  </w:r>
                </w:p>
              </w:tc>
              <w:tc>
                <w:tcPr>
                  <w:tcW w:w="567" w:type="dxa"/>
                  <w:tcBorders>
                    <w:bottom w:val="single" w:sz="4" w:space="0" w:color="auto"/>
                  </w:tcBorders>
                  <w:shd w:val="clear" w:color="auto" w:fill="auto"/>
                  <w:vAlign w:val="center"/>
                </w:tcPr>
                <w:p w:rsidR="000F1E10" w:rsidRPr="000F1E10" w:rsidRDefault="000F1E10" w:rsidP="000F1E10">
                  <w:pPr>
                    <w:pStyle w:val="TableBodyText"/>
                    <w:rPr>
                      <w:b/>
                    </w:rPr>
                  </w:pPr>
                  <w:r w:rsidRPr="000F1E10">
                    <w:rPr>
                      <w:b/>
                    </w:rPr>
                    <w:t>40.4</w:t>
                  </w:r>
                </w:p>
              </w:tc>
              <w:tc>
                <w:tcPr>
                  <w:tcW w:w="709" w:type="dxa"/>
                  <w:tcBorders>
                    <w:bottom w:val="single" w:sz="4" w:space="0" w:color="auto"/>
                  </w:tcBorders>
                  <w:shd w:val="clear" w:color="auto" w:fill="auto"/>
                  <w:vAlign w:val="center"/>
                </w:tcPr>
                <w:p w:rsidR="000F1E10" w:rsidRPr="000F1E10" w:rsidRDefault="000F1E10" w:rsidP="000F1E10">
                  <w:pPr>
                    <w:pStyle w:val="TableBodyText"/>
                    <w:rPr>
                      <w:b/>
                    </w:rPr>
                  </w:pPr>
                  <w:r w:rsidRPr="000F1E10">
                    <w:rPr>
                      <w:b/>
                    </w:rPr>
                    <w:t>5.0</w:t>
                  </w:r>
                </w:p>
              </w:tc>
            </w:tr>
          </w:tbl>
          <w:p w:rsidR="00D255D9" w:rsidRDefault="00D255D9" w:rsidP="00E41D90">
            <w:pPr>
              <w:pStyle w:val="Box"/>
            </w:pPr>
          </w:p>
        </w:tc>
      </w:tr>
      <w:tr w:rsidR="00D255D9" w:rsidTr="00382A5B">
        <w:trPr>
          <w:cantSplit/>
        </w:trPr>
        <w:tc>
          <w:tcPr>
            <w:tcW w:w="8771" w:type="dxa"/>
            <w:tcBorders>
              <w:top w:val="nil"/>
              <w:left w:val="nil"/>
              <w:bottom w:val="nil"/>
              <w:right w:val="nil"/>
            </w:tcBorders>
            <w:shd w:val="clear" w:color="auto" w:fill="auto"/>
          </w:tcPr>
          <w:p w:rsidR="00D255D9" w:rsidRPr="00D255D9" w:rsidRDefault="00D255D9" w:rsidP="00A67DE1">
            <w:pPr>
              <w:pStyle w:val="Note"/>
            </w:pPr>
            <w:r w:rsidRPr="008E77FE">
              <w:rPr>
                <w:rStyle w:val="NoteLabel"/>
              </w:rPr>
              <w:t>a</w:t>
            </w:r>
            <w:r w:rsidRPr="00D255D9">
              <w:t xml:space="preserve"> Students counted as </w:t>
            </w:r>
            <w:r w:rsidR="00A67DE1">
              <w:t>Aboriginal and Torres Strait Islander</w:t>
            </w:r>
            <w:r w:rsidRPr="00D255D9">
              <w:t xml:space="preserve"> are those who have identified as being of </w:t>
            </w:r>
            <w:r w:rsidR="00A67DE1">
              <w:t>Aboriginal and Torres Strait Islander</w:t>
            </w:r>
            <w:r w:rsidRPr="00D255D9">
              <w:t xml:space="preserve"> origin. It is possible that the number of </w:t>
            </w:r>
            <w:r w:rsidR="00A67DE1">
              <w:t>Aboriginal and Torres Strait Islander</w:t>
            </w:r>
            <w:r w:rsidRPr="00D255D9">
              <w:t xml:space="preserve"> students may be under-represented in some jurisdictions. </w:t>
            </w:r>
            <w:r w:rsidRPr="008F5666">
              <w:rPr>
                <w:rStyle w:val="NoteLabel"/>
              </w:rPr>
              <w:t>b</w:t>
            </w:r>
            <w:r w:rsidRPr="00D255D9">
              <w:t> Totals may n</w:t>
            </w:r>
            <w:r>
              <w:t>ot add as a result of rounding.</w:t>
            </w:r>
          </w:p>
        </w:tc>
      </w:tr>
      <w:tr w:rsidR="00D255D9" w:rsidTr="00E41D90">
        <w:trPr>
          <w:cantSplit/>
        </w:trPr>
        <w:tc>
          <w:tcPr>
            <w:tcW w:w="8771" w:type="dxa"/>
            <w:tcBorders>
              <w:top w:val="nil"/>
              <w:left w:val="nil"/>
              <w:bottom w:val="nil"/>
              <w:right w:val="nil"/>
            </w:tcBorders>
            <w:shd w:val="clear" w:color="auto" w:fill="auto"/>
          </w:tcPr>
          <w:p w:rsidR="00D255D9" w:rsidRDefault="00D255D9" w:rsidP="00D255D9">
            <w:pPr>
              <w:pStyle w:val="Source"/>
            </w:pPr>
            <w:r>
              <w:rPr>
                <w:i/>
              </w:rPr>
              <w:t>Source</w:t>
            </w:r>
            <w:r w:rsidRPr="00167F06">
              <w:t xml:space="preserve">: </w:t>
            </w:r>
            <w:r w:rsidRPr="00D255D9">
              <w:t>ABS (201</w:t>
            </w:r>
            <w:r>
              <w:t>4</w:t>
            </w:r>
            <w:r w:rsidRPr="00D255D9">
              <w:t xml:space="preserve">) </w:t>
            </w:r>
            <w:r w:rsidRPr="00D255D9">
              <w:rPr>
                <w:i/>
              </w:rPr>
              <w:t>Schools Australia 201</w:t>
            </w:r>
            <w:r>
              <w:rPr>
                <w:i/>
              </w:rPr>
              <w:t>3</w:t>
            </w:r>
            <w:r w:rsidRPr="00D255D9">
              <w:t xml:space="preserve">, Cat. no. 4221.0; table </w:t>
            </w:r>
            <w:proofErr w:type="spellStart"/>
            <w:r w:rsidRPr="00D255D9">
              <w:t>4A.29</w:t>
            </w:r>
            <w:proofErr w:type="spellEnd"/>
            <w:r w:rsidRPr="00D255D9">
              <w:t>.</w:t>
            </w:r>
          </w:p>
        </w:tc>
      </w:tr>
      <w:tr w:rsidR="00D255D9" w:rsidTr="00E41D90">
        <w:trPr>
          <w:cantSplit/>
        </w:trPr>
        <w:tc>
          <w:tcPr>
            <w:tcW w:w="8771" w:type="dxa"/>
            <w:tcBorders>
              <w:top w:val="nil"/>
              <w:left w:val="nil"/>
              <w:bottom w:val="single" w:sz="6" w:space="0" w:color="78A22F"/>
              <w:right w:val="nil"/>
            </w:tcBorders>
            <w:shd w:val="clear" w:color="auto" w:fill="auto"/>
          </w:tcPr>
          <w:p w:rsidR="00D255D9" w:rsidRDefault="00D255D9" w:rsidP="00E41D90">
            <w:pPr>
              <w:pStyle w:val="Box"/>
              <w:spacing w:before="0" w:line="120" w:lineRule="exact"/>
            </w:pPr>
          </w:p>
        </w:tc>
      </w:tr>
      <w:tr w:rsidR="00D255D9" w:rsidRPr="000863A5" w:rsidTr="00E41D90">
        <w:tc>
          <w:tcPr>
            <w:tcW w:w="8771" w:type="dxa"/>
            <w:tcBorders>
              <w:top w:val="single" w:sz="6" w:space="0" w:color="78A22F"/>
              <w:left w:val="nil"/>
              <w:bottom w:val="nil"/>
              <w:right w:val="nil"/>
            </w:tcBorders>
          </w:tcPr>
          <w:p w:rsidR="00D255D9" w:rsidRPr="00626D32" w:rsidRDefault="00D255D9" w:rsidP="00E41D90">
            <w:pPr>
              <w:pStyle w:val="BoxSpaceBelow"/>
            </w:pPr>
          </w:p>
        </w:tc>
      </w:tr>
    </w:tbl>
    <w:p w:rsidR="00666ECE" w:rsidRPr="00666ECE" w:rsidRDefault="00666ECE" w:rsidP="00845DD5">
      <w:pPr>
        <w:pStyle w:val="Heading5"/>
      </w:pPr>
      <w:r w:rsidRPr="00666ECE">
        <w:lastRenderedPageBreak/>
        <w:t xml:space="preserve">Students from language backgrounds other than English </w:t>
      </w:r>
    </w:p>
    <w:p w:rsidR="00666ECE" w:rsidRPr="00666ECE" w:rsidRDefault="00666ECE" w:rsidP="004145D6">
      <w:pPr>
        <w:pStyle w:val="BodyText"/>
      </w:pPr>
      <w:r w:rsidRPr="00666ECE">
        <w:t xml:space="preserve">The proportion of </w:t>
      </w:r>
      <w:proofErr w:type="spellStart"/>
      <w:r w:rsidRPr="00666ECE">
        <w:t>LBOTE</w:t>
      </w:r>
      <w:proofErr w:type="spellEnd"/>
      <w:r w:rsidRPr="00666ECE">
        <w:t xml:space="preserve"> students is based on data from the Australian Bureau of Statistics (ABS) 20</w:t>
      </w:r>
      <w:r w:rsidR="000E6F59">
        <w:t>11</w:t>
      </w:r>
      <w:r w:rsidRPr="00666ECE">
        <w:t xml:space="preserve"> Census of Population and </w:t>
      </w:r>
      <w:r w:rsidRPr="00E87EFD">
        <w:rPr>
          <w:shd w:val="clear" w:color="auto" w:fill="FFFFFF" w:themeFill="background1"/>
        </w:rPr>
        <w:t>Housing</w:t>
      </w:r>
      <w:r w:rsidR="00203666" w:rsidRPr="00E87EFD">
        <w:rPr>
          <w:shd w:val="clear" w:color="auto" w:fill="FFFFFF" w:themeFill="background1"/>
        </w:rPr>
        <w:t xml:space="preserve"> </w:t>
      </w:r>
      <w:r w:rsidR="00203666" w:rsidRPr="00097127">
        <w:rPr>
          <w:shd w:val="clear" w:color="auto" w:fill="FFFFFF" w:themeFill="background1"/>
        </w:rPr>
        <w:t>(</w:t>
      </w:r>
      <w:r w:rsidR="00E87EFD" w:rsidRPr="00097127">
        <w:rPr>
          <w:shd w:val="clear" w:color="auto" w:fill="FFFFFF" w:themeFill="background1"/>
        </w:rPr>
        <w:t xml:space="preserve">Australian Government Department of Education, unpublished). </w:t>
      </w:r>
      <w:r w:rsidRPr="00097127">
        <w:rPr>
          <w:shd w:val="clear" w:color="auto" w:fill="FFFFFF" w:themeFill="background1"/>
        </w:rPr>
        <w:t>S</w:t>
      </w:r>
      <w:r w:rsidRPr="00666ECE">
        <w:t xml:space="preserve">tudents are counted as having a </w:t>
      </w:r>
      <w:proofErr w:type="spellStart"/>
      <w:r w:rsidR="000B2CA3">
        <w:t>LBOTE</w:t>
      </w:r>
      <w:proofErr w:type="spellEnd"/>
      <w:r w:rsidRPr="00666ECE">
        <w:t xml:space="preserve"> if their home language is not English or if they (or at least one parent) were born in a non-English speaking country.</w:t>
      </w:r>
    </w:p>
    <w:p w:rsidR="00666ECE" w:rsidRPr="00666ECE" w:rsidRDefault="00666ECE" w:rsidP="004145D6">
      <w:pPr>
        <w:pStyle w:val="BodyText"/>
      </w:pPr>
      <w:r w:rsidRPr="00666ECE">
        <w:t xml:space="preserve">The proportion of students </w:t>
      </w:r>
      <w:r w:rsidR="001B6514">
        <w:t>with a</w:t>
      </w:r>
      <w:r w:rsidR="0019719B">
        <w:t xml:space="preserve"> </w:t>
      </w:r>
      <w:proofErr w:type="spellStart"/>
      <w:r w:rsidR="0019719B">
        <w:t>LBOTE</w:t>
      </w:r>
      <w:proofErr w:type="spellEnd"/>
      <w:r w:rsidR="0019719B">
        <w:t xml:space="preserve"> </w:t>
      </w:r>
      <w:r w:rsidRPr="00666ECE">
        <w:t>in government and non-government schools varied across jurisdictions in 20</w:t>
      </w:r>
      <w:r w:rsidR="000E6F59">
        <w:t>11</w:t>
      </w:r>
      <w:r w:rsidRPr="00666ECE">
        <w:t xml:space="preserve"> (figure 4.</w:t>
      </w:r>
      <w:r w:rsidR="007275F7">
        <w:t>3</w:t>
      </w:r>
      <w:r w:rsidRPr="00666ECE">
        <w:t>).</w:t>
      </w:r>
    </w:p>
    <w:p w:rsidR="0094305D" w:rsidRDefault="0094305D" w:rsidP="001E65D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4305D" w:rsidTr="001E65D8">
        <w:tc>
          <w:tcPr>
            <w:tcW w:w="8771" w:type="dxa"/>
            <w:tcBorders>
              <w:top w:val="single" w:sz="6" w:space="0" w:color="78A22F"/>
              <w:left w:val="nil"/>
              <w:bottom w:val="nil"/>
              <w:right w:val="nil"/>
            </w:tcBorders>
            <w:shd w:val="clear" w:color="auto" w:fill="auto"/>
          </w:tcPr>
          <w:p w:rsidR="0094305D" w:rsidRPr="00176D3F" w:rsidRDefault="0094305D" w:rsidP="0094305D">
            <w:pPr>
              <w:pStyle w:val="FigureTitle"/>
            </w:pPr>
            <w:r w:rsidRPr="00784A05">
              <w:rPr>
                <w:b w:val="0"/>
              </w:rPr>
              <w:t xml:space="preserve">Figure </w:t>
            </w:r>
            <w:r w:rsidR="00B70781">
              <w:rPr>
                <w:b w:val="0"/>
              </w:rPr>
              <w:t>4.</w:t>
            </w:r>
            <w:r w:rsidR="005953B6">
              <w:rPr>
                <w:b w:val="0"/>
                <w:noProof/>
              </w:rPr>
              <w:t>3</w:t>
            </w:r>
            <w:r>
              <w:tab/>
            </w:r>
            <w:r w:rsidRPr="0094305D">
              <w:t>Students from a language background other than English as a proportion of all students, 2011</w:t>
            </w:r>
            <w:r w:rsidRPr="0094305D">
              <w:rPr>
                <w:rStyle w:val="NoteLabel"/>
                <w:b/>
              </w:rPr>
              <w:t>a, b</w:t>
            </w:r>
          </w:p>
        </w:tc>
      </w:tr>
      <w:tr w:rsidR="0094305D" w:rsidTr="001E65D8">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4305D" w:rsidTr="001E65D8">
              <w:trPr>
                <w:jc w:val="center"/>
              </w:trPr>
              <w:tc>
                <w:tcPr>
                  <w:tcW w:w="5000" w:type="pct"/>
                  <w:tcBorders>
                    <w:top w:val="nil"/>
                    <w:bottom w:val="nil"/>
                  </w:tcBorders>
                </w:tcPr>
                <w:p w:rsidR="0094305D" w:rsidRDefault="00DC200A" w:rsidP="001E65D8">
                  <w:pPr>
                    <w:pStyle w:val="Figure"/>
                    <w:spacing w:before="60" w:after="60"/>
                  </w:pPr>
                  <w:r>
                    <w:rPr>
                      <w:noProof/>
                    </w:rPr>
                    <w:drawing>
                      <wp:inline distT="0" distB="0" distL="0" distR="0">
                        <wp:extent cx="5391150" cy="2628900"/>
                        <wp:effectExtent l="0" t="0" r="0" b="0"/>
                        <wp:docPr id="3" name="Picture 3" descr="Figure 4.3 Students form a language background other than English as a proportion of all students,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1150" cy="2628900"/>
                                </a:xfrm>
                                <a:prstGeom prst="rect">
                                  <a:avLst/>
                                </a:prstGeom>
                                <a:noFill/>
                                <a:ln>
                                  <a:noFill/>
                                </a:ln>
                              </pic:spPr>
                            </pic:pic>
                          </a:graphicData>
                        </a:graphic>
                      </wp:inline>
                    </w:drawing>
                  </w:r>
                </w:p>
              </w:tc>
            </w:tr>
          </w:tbl>
          <w:p w:rsidR="0094305D" w:rsidRDefault="0094305D" w:rsidP="001E65D8">
            <w:pPr>
              <w:pStyle w:val="Figure"/>
            </w:pPr>
          </w:p>
        </w:tc>
      </w:tr>
      <w:tr w:rsidR="0094305D" w:rsidRPr="00176D3F" w:rsidTr="001E65D8">
        <w:tc>
          <w:tcPr>
            <w:tcW w:w="8771" w:type="dxa"/>
            <w:tcBorders>
              <w:top w:val="nil"/>
              <w:left w:val="nil"/>
              <w:bottom w:val="nil"/>
              <w:right w:val="nil"/>
            </w:tcBorders>
            <w:shd w:val="clear" w:color="auto" w:fill="auto"/>
          </w:tcPr>
          <w:p w:rsidR="0094305D" w:rsidRPr="00176D3F" w:rsidRDefault="0094305D" w:rsidP="00817F8F">
            <w:pPr>
              <w:pStyle w:val="Note"/>
            </w:pPr>
            <w:r>
              <w:rPr>
                <w:rStyle w:val="NoteLabel"/>
              </w:rPr>
              <w:t>a</w:t>
            </w:r>
            <w:r>
              <w:t xml:space="preserve"> </w:t>
            </w:r>
            <w:r w:rsidRPr="0094305D">
              <w:t xml:space="preserve">Numbers of </w:t>
            </w:r>
            <w:proofErr w:type="spellStart"/>
            <w:r w:rsidRPr="0094305D">
              <w:t>LBOTE</w:t>
            </w:r>
            <w:proofErr w:type="spellEnd"/>
            <w:r w:rsidRPr="0094305D">
              <w:t xml:space="preserve"> students are sourced from the 2011 Census of Population and Housing, </w:t>
            </w:r>
            <w:r w:rsidR="00817F8F">
              <w:t>and</w:t>
            </w:r>
            <w:r w:rsidRPr="0094305D">
              <w:t xml:space="preserve"> data on all full time students are sourced from the A</w:t>
            </w:r>
            <w:r>
              <w:t xml:space="preserve">BS Schools Australia collection. </w:t>
            </w:r>
            <w:r>
              <w:rPr>
                <w:rStyle w:val="NoteLabel"/>
              </w:rPr>
              <w:t>b</w:t>
            </w:r>
            <w:r>
              <w:t xml:space="preserve"> </w:t>
            </w:r>
            <w:r w:rsidRPr="0094305D">
              <w:t xml:space="preserve">See table </w:t>
            </w:r>
            <w:proofErr w:type="spellStart"/>
            <w:r w:rsidRPr="0094305D">
              <w:t>4A.30</w:t>
            </w:r>
            <w:proofErr w:type="spellEnd"/>
            <w:r w:rsidRPr="0094305D">
              <w:t xml:space="preserve"> f</w:t>
            </w:r>
            <w:r>
              <w:t xml:space="preserve">or details of </w:t>
            </w:r>
            <w:proofErr w:type="spellStart"/>
            <w:r>
              <w:t>LBOTE</w:t>
            </w:r>
            <w:proofErr w:type="spellEnd"/>
            <w:r>
              <w:t xml:space="preserve"> definitions.</w:t>
            </w:r>
          </w:p>
        </w:tc>
      </w:tr>
      <w:tr w:rsidR="0094305D" w:rsidRPr="00176D3F" w:rsidTr="001E65D8">
        <w:tc>
          <w:tcPr>
            <w:tcW w:w="8771" w:type="dxa"/>
            <w:tcBorders>
              <w:top w:val="nil"/>
              <w:left w:val="nil"/>
              <w:bottom w:val="nil"/>
              <w:right w:val="nil"/>
            </w:tcBorders>
            <w:shd w:val="clear" w:color="auto" w:fill="auto"/>
          </w:tcPr>
          <w:p w:rsidR="0094305D" w:rsidRPr="00176D3F" w:rsidRDefault="0094305D" w:rsidP="001E65D8">
            <w:pPr>
              <w:pStyle w:val="Source"/>
            </w:pPr>
            <w:r>
              <w:rPr>
                <w:i/>
              </w:rPr>
              <w:t>S</w:t>
            </w:r>
            <w:r w:rsidRPr="00784A05">
              <w:rPr>
                <w:i/>
              </w:rPr>
              <w:t>ource</w:t>
            </w:r>
            <w:r w:rsidRPr="00176D3F">
              <w:t xml:space="preserve">: </w:t>
            </w:r>
            <w:r w:rsidRPr="0094305D">
              <w:t xml:space="preserve">Australian Government Department of Education (unpublished) based on the ABS 2011 Census of Population and Housing; ABS (2012) </w:t>
            </w:r>
            <w:r w:rsidRPr="0094305D">
              <w:rPr>
                <w:i/>
              </w:rPr>
              <w:t>Schools Australia 2011</w:t>
            </w:r>
            <w:r w:rsidRPr="0094305D">
              <w:t xml:space="preserve">, Cat. no. 4221.0; table </w:t>
            </w:r>
            <w:proofErr w:type="spellStart"/>
            <w:r w:rsidRPr="0094305D">
              <w:t>4A.30</w:t>
            </w:r>
            <w:proofErr w:type="spellEnd"/>
            <w:r w:rsidRPr="0094305D">
              <w:t>.</w:t>
            </w:r>
          </w:p>
        </w:tc>
      </w:tr>
      <w:tr w:rsidR="0094305D" w:rsidTr="001E65D8">
        <w:tc>
          <w:tcPr>
            <w:tcW w:w="8771" w:type="dxa"/>
            <w:tcBorders>
              <w:top w:val="nil"/>
              <w:left w:val="nil"/>
              <w:bottom w:val="single" w:sz="6" w:space="0" w:color="78A22F"/>
              <w:right w:val="nil"/>
            </w:tcBorders>
            <w:shd w:val="clear" w:color="auto" w:fill="auto"/>
          </w:tcPr>
          <w:p w:rsidR="0094305D" w:rsidRDefault="0094305D" w:rsidP="001E65D8">
            <w:pPr>
              <w:pStyle w:val="Figurespace"/>
            </w:pPr>
          </w:p>
        </w:tc>
      </w:tr>
      <w:tr w:rsidR="0094305D" w:rsidRPr="000863A5" w:rsidTr="001E65D8">
        <w:tc>
          <w:tcPr>
            <w:tcW w:w="8771" w:type="dxa"/>
            <w:tcBorders>
              <w:top w:val="single" w:sz="6" w:space="0" w:color="78A22F"/>
              <w:left w:val="nil"/>
              <w:bottom w:val="nil"/>
              <w:right w:val="nil"/>
            </w:tcBorders>
          </w:tcPr>
          <w:p w:rsidR="0094305D" w:rsidRPr="00626D32" w:rsidRDefault="0094305D" w:rsidP="001E65D8">
            <w:pPr>
              <w:pStyle w:val="BoxSpaceBelow"/>
            </w:pPr>
          </w:p>
        </w:tc>
      </w:tr>
    </w:tbl>
    <w:p w:rsidR="00666ECE" w:rsidRPr="007055A8" w:rsidRDefault="006451F8" w:rsidP="00845DD5">
      <w:pPr>
        <w:pStyle w:val="Heading5"/>
      </w:pPr>
      <w:r w:rsidRPr="007055A8">
        <w:t xml:space="preserve">Students with </w:t>
      </w:r>
      <w:r w:rsidRPr="00F4596F">
        <w:rPr>
          <w:shd w:val="clear" w:color="auto" w:fill="FFFFFF" w:themeFill="background1"/>
        </w:rPr>
        <w:t>disability</w:t>
      </w:r>
    </w:p>
    <w:p w:rsidR="00666ECE" w:rsidRPr="007055A8" w:rsidRDefault="00666ECE" w:rsidP="009A0722">
      <w:pPr>
        <w:pStyle w:val="BodyText"/>
      </w:pPr>
      <w:r w:rsidRPr="007055A8">
        <w:t xml:space="preserve">Students with </w:t>
      </w:r>
      <w:r w:rsidRPr="00F4596F">
        <w:rPr>
          <w:shd w:val="clear" w:color="auto" w:fill="FFFFFF" w:themeFill="background1"/>
        </w:rPr>
        <w:t>disabilit</w:t>
      </w:r>
      <w:r w:rsidR="006451F8" w:rsidRPr="00F4596F">
        <w:rPr>
          <w:shd w:val="clear" w:color="auto" w:fill="FFFFFF" w:themeFill="background1"/>
        </w:rPr>
        <w:t>y</w:t>
      </w:r>
      <w:r w:rsidRPr="00F4596F">
        <w:rPr>
          <w:shd w:val="clear" w:color="auto" w:fill="FFFFFF" w:themeFill="background1"/>
        </w:rPr>
        <w:t xml:space="preserve"> are educated in both mainstream and special schools. Students with disabilit</w:t>
      </w:r>
      <w:r w:rsidR="006451F8" w:rsidRPr="00F4596F">
        <w:rPr>
          <w:shd w:val="clear" w:color="auto" w:fill="FFFFFF" w:themeFill="background1"/>
        </w:rPr>
        <w:t>y</w:t>
      </w:r>
      <w:r w:rsidRPr="007055A8">
        <w:t xml:space="preserve"> are those students who satisfy the criteria for enrolment in special education services or programs provided in the State or Territory in which they are enrolled. These criteria vary across jurisdictions. </w:t>
      </w:r>
    </w:p>
    <w:p w:rsidR="00666ECE" w:rsidRPr="00963842" w:rsidRDefault="00666ECE" w:rsidP="009A0722">
      <w:pPr>
        <w:pStyle w:val="BodyText"/>
      </w:pPr>
      <w:r w:rsidRPr="004856A8">
        <w:rPr>
          <w:shd w:val="clear" w:color="auto" w:fill="FFFFFF" w:themeFill="background1"/>
        </w:rPr>
        <w:t>Nationally in 201</w:t>
      </w:r>
      <w:r w:rsidR="00354E9A" w:rsidRPr="004856A8">
        <w:rPr>
          <w:shd w:val="clear" w:color="auto" w:fill="FFFFFF" w:themeFill="background1"/>
        </w:rPr>
        <w:t>3</w:t>
      </w:r>
      <w:r w:rsidRPr="004856A8">
        <w:rPr>
          <w:shd w:val="clear" w:color="auto" w:fill="FFFFFF" w:themeFill="background1"/>
        </w:rPr>
        <w:t>, the proportion of students with disabilit</w:t>
      </w:r>
      <w:r w:rsidR="006451F8" w:rsidRPr="004856A8">
        <w:rPr>
          <w:shd w:val="clear" w:color="auto" w:fill="FFFFFF" w:themeFill="background1"/>
        </w:rPr>
        <w:t>y</w:t>
      </w:r>
      <w:r w:rsidRPr="004856A8">
        <w:rPr>
          <w:shd w:val="clear" w:color="auto" w:fill="FFFFFF" w:themeFill="background1"/>
        </w:rPr>
        <w:t xml:space="preserve"> for all schools was </w:t>
      </w:r>
      <w:r w:rsidR="002D33DC" w:rsidRPr="004856A8">
        <w:rPr>
          <w:shd w:val="clear" w:color="auto" w:fill="FFFFFF" w:themeFill="background1"/>
        </w:rPr>
        <w:t>5.</w:t>
      </w:r>
      <w:r w:rsidR="004856A8" w:rsidRPr="004856A8">
        <w:rPr>
          <w:shd w:val="clear" w:color="auto" w:fill="FFFFFF" w:themeFill="background1"/>
        </w:rPr>
        <w:t>3</w:t>
      </w:r>
      <w:r w:rsidRPr="004856A8">
        <w:rPr>
          <w:shd w:val="clear" w:color="auto" w:fill="FFFFFF" w:themeFill="background1"/>
        </w:rPr>
        <w:t xml:space="preserve"> per cent and </w:t>
      </w:r>
      <w:r w:rsidR="004856A8" w:rsidRPr="004856A8">
        <w:rPr>
          <w:shd w:val="clear" w:color="auto" w:fill="FFFFFF" w:themeFill="background1"/>
        </w:rPr>
        <w:t>significantly higher</w:t>
      </w:r>
      <w:r w:rsidRPr="004856A8">
        <w:rPr>
          <w:shd w:val="clear" w:color="auto" w:fill="FFFFFF" w:themeFill="background1"/>
        </w:rPr>
        <w:t xml:space="preserve"> in government schools (</w:t>
      </w:r>
      <w:r w:rsidR="002D33DC" w:rsidRPr="004856A8">
        <w:rPr>
          <w:shd w:val="clear" w:color="auto" w:fill="FFFFFF" w:themeFill="background1"/>
        </w:rPr>
        <w:t>6.</w:t>
      </w:r>
      <w:r w:rsidR="004856A8" w:rsidRPr="004856A8">
        <w:rPr>
          <w:shd w:val="clear" w:color="auto" w:fill="FFFFFF" w:themeFill="background1"/>
        </w:rPr>
        <w:t>2</w:t>
      </w:r>
      <w:r w:rsidRPr="004856A8">
        <w:rPr>
          <w:shd w:val="clear" w:color="auto" w:fill="FFFFFF" w:themeFill="background1"/>
        </w:rPr>
        <w:t xml:space="preserve"> per cent), </w:t>
      </w:r>
      <w:r w:rsidR="001B6514" w:rsidRPr="004856A8">
        <w:rPr>
          <w:shd w:val="clear" w:color="auto" w:fill="FFFFFF" w:themeFill="background1"/>
        </w:rPr>
        <w:t>than in</w:t>
      </w:r>
      <w:r w:rsidRPr="004856A8">
        <w:rPr>
          <w:shd w:val="clear" w:color="auto" w:fill="FFFFFF" w:themeFill="background1"/>
        </w:rPr>
        <w:t xml:space="preserve"> non</w:t>
      </w:r>
      <w:r w:rsidR="00817F8F">
        <w:rPr>
          <w:shd w:val="clear" w:color="auto" w:fill="FFFFFF" w:themeFill="background1"/>
        </w:rPr>
        <w:noBreakHyphen/>
      </w:r>
      <w:r w:rsidRPr="004856A8">
        <w:rPr>
          <w:shd w:val="clear" w:color="auto" w:fill="FFFFFF" w:themeFill="background1"/>
        </w:rPr>
        <w:t>government schools (</w:t>
      </w:r>
      <w:r w:rsidR="002D33DC" w:rsidRPr="004856A8">
        <w:rPr>
          <w:shd w:val="clear" w:color="auto" w:fill="FFFFFF" w:themeFill="background1"/>
        </w:rPr>
        <w:t>3.</w:t>
      </w:r>
      <w:r w:rsidR="004856A8" w:rsidRPr="004856A8">
        <w:rPr>
          <w:shd w:val="clear" w:color="auto" w:fill="FFFFFF" w:themeFill="background1"/>
        </w:rPr>
        <w:t>6</w:t>
      </w:r>
      <w:r w:rsidRPr="004856A8">
        <w:rPr>
          <w:shd w:val="clear" w:color="auto" w:fill="FFFFFF" w:themeFill="background1"/>
        </w:rPr>
        <w:t xml:space="preserve"> per cent) (figure 4.</w:t>
      </w:r>
      <w:r w:rsidR="007275F7">
        <w:rPr>
          <w:shd w:val="clear" w:color="auto" w:fill="FFFFFF" w:themeFill="background1"/>
        </w:rPr>
        <w:t>4</w:t>
      </w:r>
      <w:r w:rsidRPr="004856A8">
        <w:rPr>
          <w:shd w:val="clear" w:color="auto" w:fill="FFFFFF" w:themeFill="background1"/>
        </w:rPr>
        <w:t xml:space="preserve">). Information regarding attainment and </w:t>
      </w:r>
      <w:r w:rsidRPr="004856A8">
        <w:rPr>
          <w:shd w:val="clear" w:color="auto" w:fill="FFFFFF" w:themeFill="background1"/>
        </w:rPr>
        <w:lastRenderedPageBreak/>
        <w:t>participation for students with disabilit</w:t>
      </w:r>
      <w:r w:rsidR="006451F8" w:rsidRPr="004856A8">
        <w:rPr>
          <w:shd w:val="clear" w:color="auto" w:fill="FFFFFF" w:themeFill="background1"/>
        </w:rPr>
        <w:t>y</w:t>
      </w:r>
      <w:r w:rsidRPr="004856A8">
        <w:rPr>
          <w:shd w:val="clear" w:color="auto" w:fill="FFFFFF" w:themeFill="background1"/>
        </w:rPr>
        <w:t>, based on the ABS 2009 Survey of Education and Training and the 20</w:t>
      </w:r>
      <w:r w:rsidR="00037A0A" w:rsidRPr="004856A8">
        <w:rPr>
          <w:shd w:val="clear" w:color="auto" w:fill="FFFFFF" w:themeFill="background1"/>
        </w:rPr>
        <w:t>11</w:t>
      </w:r>
      <w:r w:rsidRPr="004856A8">
        <w:rPr>
          <w:shd w:val="clear" w:color="auto" w:fill="FFFFFF" w:themeFill="background1"/>
        </w:rPr>
        <w:t xml:space="preserve"> Census of Population and Housing</w:t>
      </w:r>
      <w:r w:rsidR="0019719B" w:rsidRPr="004856A8">
        <w:rPr>
          <w:shd w:val="clear" w:color="auto" w:fill="FFFFFF" w:themeFill="background1"/>
        </w:rPr>
        <w:t>,</w:t>
      </w:r>
      <w:r w:rsidRPr="007055A8">
        <w:t xml:space="preserve"> are included in the attachment to </w:t>
      </w:r>
      <w:r w:rsidRPr="00F4596F">
        <w:t xml:space="preserve">the Services for people with disability chapter of </w:t>
      </w:r>
      <w:r w:rsidR="000B2CA3" w:rsidRPr="00F4596F">
        <w:t>this</w:t>
      </w:r>
      <w:r w:rsidRPr="00F4596F">
        <w:t xml:space="preserve"> Report </w:t>
      </w:r>
      <w:r w:rsidRPr="00347361">
        <w:rPr>
          <w:shd w:val="clear" w:color="auto" w:fill="FFFFFF" w:themeFill="background1"/>
        </w:rPr>
        <w:t xml:space="preserve">(tables </w:t>
      </w:r>
      <w:proofErr w:type="spellStart"/>
      <w:r w:rsidRPr="00347361">
        <w:rPr>
          <w:shd w:val="clear" w:color="auto" w:fill="FFFFFF" w:themeFill="background1"/>
        </w:rPr>
        <w:t>14A.1</w:t>
      </w:r>
      <w:r w:rsidR="0072651B">
        <w:rPr>
          <w:shd w:val="clear" w:color="auto" w:fill="FFFFFF" w:themeFill="background1"/>
        </w:rPr>
        <w:t>5</w:t>
      </w:r>
      <w:r w:rsidR="00231E34" w:rsidRPr="00347361">
        <w:rPr>
          <w:shd w:val="clear" w:color="auto" w:fill="FFFFFF" w:themeFill="background1"/>
        </w:rPr>
        <w:t>0</w:t>
      </w:r>
      <w:proofErr w:type="spellEnd"/>
      <w:r w:rsidRPr="00347361">
        <w:rPr>
          <w:shd w:val="clear" w:color="auto" w:fill="FFFFFF" w:themeFill="background1"/>
        </w:rPr>
        <w:t>–1</w:t>
      </w:r>
      <w:r w:rsidR="0072651B">
        <w:rPr>
          <w:shd w:val="clear" w:color="auto" w:fill="FFFFFF" w:themeFill="background1"/>
        </w:rPr>
        <w:t>5</w:t>
      </w:r>
      <w:r w:rsidR="00231E34" w:rsidRPr="00347361">
        <w:rPr>
          <w:shd w:val="clear" w:color="auto" w:fill="FFFFFF" w:themeFill="background1"/>
        </w:rPr>
        <w:t>3</w:t>
      </w:r>
      <w:r w:rsidR="00037A0A" w:rsidRPr="00347361">
        <w:rPr>
          <w:shd w:val="clear" w:color="auto" w:fill="FFFFFF" w:themeFill="background1"/>
        </w:rPr>
        <w:t>)</w:t>
      </w:r>
      <w:r w:rsidR="008D3CBD" w:rsidRPr="00347361">
        <w:rPr>
          <w:shd w:val="clear" w:color="auto" w:fill="FFFFFF" w:themeFill="background1"/>
        </w:rPr>
        <w:t>.</w:t>
      </w:r>
      <w:r w:rsidR="009E6DB8" w:rsidRPr="00231E34">
        <w:t xml:space="preserve"> </w:t>
      </w:r>
    </w:p>
    <w:p w:rsidR="0094305D" w:rsidRDefault="0094305D" w:rsidP="001E65D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4305D" w:rsidTr="001E65D8">
        <w:tc>
          <w:tcPr>
            <w:tcW w:w="8771" w:type="dxa"/>
            <w:tcBorders>
              <w:top w:val="single" w:sz="6" w:space="0" w:color="78A22F"/>
              <w:left w:val="nil"/>
              <w:bottom w:val="nil"/>
              <w:right w:val="nil"/>
            </w:tcBorders>
            <w:shd w:val="clear" w:color="auto" w:fill="auto"/>
          </w:tcPr>
          <w:p w:rsidR="0094305D" w:rsidRPr="00176D3F" w:rsidRDefault="0094305D" w:rsidP="008F5666">
            <w:pPr>
              <w:pStyle w:val="FigureTitle"/>
            </w:pPr>
            <w:r w:rsidRPr="00784A05">
              <w:rPr>
                <w:b w:val="0"/>
              </w:rPr>
              <w:t xml:space="preserve">Figure </w:t>
            </w:r>
            <w:r w:rsidR="00B70781">
              <w:rPr>
                <w:b w:val="0"/>
              </w:rPr>
              <w:t>4.</w:t>
            </w:r>
            <w:r w:rsidR="005953B6">
              <w:rPr>
                <w:b w:val="0"/>
                <w:noProof/>
              </w:rPr>
              <w:t>4</w:t>
            </w:r>
            <w:r>
              <w:tab/>
            </w:r>
            <w:r w:rsidR="00356C97" w:rsidRPr="00356C97">
              <w:t>Funded students with disability as a proportion of all students, 201</w:t>
            </w:r>
            <w:r w:rsidR="008F5666">
              <w:t>3</w:t>
            </w:r>
            <w:r w:rsidR="00356C97" w:rsidRPr="00EA799F">
              <w:rPr>
                <w:rStyle w:val="NoteLabel"/>
                <w:b/>
              </w:rPr>
              <w:t>a, b, c</w:t>
            </w:r>
          </w:p>
        </w:tc>
      </w:tr>
      <w:tr w:rsidR="0094305D" w:rsidTr="001E65D8">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4305D" w:rsidTr="001E65D8">
              <w:trPr>
                <w:jc w:val="center"/>
              </w:trPr>
              <w:tc>
                <w:tcPr>
                  <w:tcW w:w="5000" w:type="pct"/>
                  <w:tcBorders>
                    <w:top w:val="nil"/>
                    <w:bottom w:val="nil"/>
                  </w:tcBorders>
                </w:tcPr>
                <w:p w:rsidR="0094305D" w:rsidRDefault="00DC200A" w:rsidP="001E65D8">
                  <w:pPr>
                    <w:pStyle w:val="Figure"/>
                    <w:spacing w:before="60" w:after="60"/>
                  </w:pPr>
                  <w:r>
                    <w:rPr>
                      <w:noProof/>
                    </w:rPr>
                    <w:drawing>
                      <wp:inline distT="0" distB="0" distL="0" distR="0">
                        <wp:extent cx="5391150" cy="2628900"/>
                        <wp:effectExtent l="0" t="0" r="0" b="0"/>
                        <wp:docPr id="4" name="Picture 4" descr="Figure 4.4 Funded students with disability as a proportion of all students,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1150" cy="2628900"/>
                                </a:xfrm>
                                <a:prstGeom prst="rect">
                                  <a:avLst/>
                                </a:prstGeom>
                                <a:noFill/>
                                <a:ln>
                                  <a:noFill/>
                                </a:ln>
                              </pic:spPr>
                            </pic:pic>
                          </a:graphicData>
                        </a:graphic>
                      </wp:inline>
                    </w:drawing>
                  </w:r>
                </w:p>
              </w:tc>
            </w:tr>
          </w:tbl>
          <w:p w:rsidR="0094305D" w:rsidRDefault="0094305D" w:rsidP="001E65D8">
            <w:pPr>
              <w:pStyle w:val="Figure"/>
            </w:pPr>
          </w:p>
        </w:tc>
      </w:tr>
      <w:tr w:rsidR="0094305D" w:rsidRPr="00176D3F" w:rsidTr="001E65D8">
        <w:tc>
          <w:tcPr>
            <w:tcW w:w="8771" w:type="dxa"/>
            <w:tcBorders>
              <w:top w:val="nil"/>
              <w:left w:val="nil"/>
              <w:bottom w:val="nil"/>
              <w:right w:val="nil"/>
            </w:tcBorders>
            <w:shd w:val="clear" w:color="auto" w:fill="auto"/>
          </w:tcPr>
          <w:p w:rsidR="0094305D" w:rsidRPr="00176D3F" w:rsidRDefault="0094305D" w:rsidP="001E65D8">
            <w:pPr>
              <w:pStyle w:val="Note"/>
            </w:pPr>
            <w:proofErr w:type="spellStart"/>
            <w:r>
              <w:rPr>
                <w:rStyle w:val="NoteLabel"/>
              </w:rPr>
              <w:t>a</w:t>
            </w:r>
            <w:proofErr w:type="spellEnd"/>
            <w:r>
              <w:t xml:space="preserve"> </w:t>
            </w:r>
            <w:r w:rsidR="00356C97" w:rsidRPr="00356C97">
              <w:sym w:font="Symbol" w:char="F020"/>
            </w:r>
            <w:r w:rsidR="00356C97" w:rsidRPr="00356C97">
              <w:t xml:space="preserve">The ABS total student data refer to the number of full time students (not FTE students). </w:t>
            </w:r>
            <w:r w:rsidR="00356C97" w:rsidRPr="008F5666">
              <w:rPr>
                <w:rStyle w:val="NoteLabel"/>
              </w:rPr>
              <w:t>b</w:t>
            </w:r>
            <w:r w:rsidR="00356C97" w:rsidRPr="00356C97">
              <w:t xml:space="preserve"> To be an eligible student with disability, the student (among other things) must satisfy the criteria for enrolment in special education services or special education programs provided by the government of the State or Territory in which the student resides. Data should be used with caution as these criteria vary across jurisdictions; for example, SA data include a large number of students in the communication and language impairment category. This subset of students is not counted by other states and territories </w:t>
            </w:r>
            <w:proofErr w:type="spellStart"/>
            <w:r w:rsidR="00356C97" w:rsidRPr="00356C97">
              <w:t>under funded</w:t>
            </w:r>
            <w:proofErr w:type="spellEnd"/>
            <w:r w:rsidR="00356C97" w:rsidRPr="00356C97">
              <w:t xml:space="preserve"> students with disability, as these jurisdictions fund these students with other specific programs. </w:t>
            </w:r>
            <w:r w:rsidR="00356C97" w:rsidRPr="008F5666">
              <w:rPr>
                <w:rStyle w:val="NoteLabel"/>
              </w:rPr>
              <w:t>c</w:t>
            </w:r>
            <w:r w:rsidR="00356C97" w:rsidRPr="00356C97">
              <w:t> Excludes Full Fee Paying Overseas students and students on Christmas and Cocos Islands from both the government and non</w:t>
            </w:r>
            <w:r w:rsidR="00356C97" w:rsidRPr="00356C97">
              <w:noBreakHyphen/>
              <w:t>government sectors.</w:t>
            </w:r>
          </w:p>
        </w:tc>
      </w:tr>
      <w:tr w:rsidR="0094305D" w:rsidRPr="00176D3F" w:rsidTr="001E65D8">
        <w:tc>
          <w:tcPr>
            <w:tcW w:w="8771" w:type="dxa"/>
            <w:tcBorders>
              <w:top w:val="nil"/>
              <w:left w:val="nil"/>
              <w:bottom w:val="nil"/>
              <w:right w:val="nil"/>
            </w:tcBorders>
            <w:shd w:val="clear" w:color="auto" w:fill="auto"/>
          </w:tcPr>
          <w:p w:rsidR="0094305D" w:rsidRPr="00176D3F" w:rsidRDefault="00356C97" w:rsidP="00EA799F">
            <w:pPr>
              <w:pStyle w:val="Source"/>
            </w:pPr>
            <w:r>
              <w:rPr>
                <w:i/>
              </w:rPr>
              <w:t>S</w:t>
            </w:r>
            <w:r w:rsidR="0094305D" w:rsidRPr="00784A05">
              <w:rPr>
                <w:i/>
              </w:rPr>
              <w:t>ource</w:t>
            </w:r>
            <w:r w:rsidR="0094305D" w:rsidRPr="00176D3F">
              <w:t xml:space="preserve">: </w:t>
            </w:r>
            <w:r w:rsidRPr="00356C97">
              <w:t>Australian Government Department of Education (unpublished); ABS (201</w:t>
            </w:r>
            <w:r w:rsidR="00EA799F">
              <w:t>4</w:t>
            </w:r>
            <w:r w:rsidRPr="00356C97">
              <w:t xml:space="preserve">) </w:t>
            </w:r>
            <w:r w:rsidRPr="00356C97">
              <w:rPr>
                <w:i/>
              </w:rPr>
              <w:t>Schools Australia 201</w:t>
            </w:r>
            <w:r w:rsidR="00EA799F">
              <w:rPr>
                <w:i/>
              </w:rPr>
              <w:t>3</w:t>
            </w:r>
            <w:r w:rsidRPr="00356C97">
              <w:t xml:space="preserve">, Cat. no. 4221.0; table </w:t>
            </w:r>
            <w:proofErr w:type="spellStart"/>
            <w:r w:rsidRPr="00356C97">
              <w:t>4A.31</w:t>
            </w:r>
            <w:proofErr w:type="spellEnd"/>
            <w:r w:rsidRPr="00356C97">
              <w:t>.</w:t>
            </w:r>
          </w:p>
        </w:tc>
      </w:tr>
      <w:tr w:rsidR="0094305D" w:rsidTr="001E65D8">
        <w:tc>
          <w:tcPr>
            <w:tcW w:w="8771" w:type="dxa"/>
            <w:tcBorders>
              <w:top w:val="nil"/>
              <w:left w:val="nil"/>
              <w:bottom w:val="single" w:sz="6" w:space="0" w:color="78A22F"/>
              <w:right w:val="nil"/>
            </w:tcBorders>
            <w:shd w:val="clear" w:color="auto" w:fill="auto"/>
          </w:tcPr>
          <w:p w:rsidR="0094305D" w:rsidRDefault="0094305D" w:rsidP="001E65D8">
            <w:pPr>
              <w:pStyle w:val="Figurespace"/>
            </w:pPr>
          </w:p>
        </w:tc>
      </w:tr>
      <w:tr w:rsidR="0094305D" w:rsidRPr="000863A5" w:rsidTr="001E65D8">
        <w:tc>
          <w:tcPr>
            <w:tcW w:w="8771" w:type="dxa"/>
            <w:tcBorders>
              <w:top w:val="single" w:sz="6" w:space="0" w:color="78A22F"/>
              <w:left w:val="nil"/>
              <w:bottom w:val="nil"/>
              <w:right w:val="nil"/>
            </w:tcBorders>
          </w:tcPr>
          <w:p w:rsidR="0094305D" w:rsidRPr="00626D32" w:rsidRDefault="0094305D" w:rsidP="001E65D8">
            <w:pPr>
              <w:pStyle w:val="BoxSpaceBelow"/>
            </w:pPr>
          </w:p>
        </w:tc>
      </w:tr>
    </w:tbl>
    <w:p w:rsidR="00666ECE" w:rsidRPr="00666ECE" w:rsidRDefault="00666ECE" w:rsidP="00845DD5">
      <w:pPr>
        <w:pStyle w:val="Heading5"/>
      </w:pPr>
      <w:r w:rsidRPr="00666ECE">
        <w:t>Geographically remote students</w:t>
      </w:r>
      <w:r w:rsidR="00643280">
        <w:t xml:space="preserve"> </w:t>
      </w:r>
    </w:p>
    <w:p w:rsidR="00666ECE" w:rsidRPr="00666ECE" w:rsidRDefault="00666ECE" w:rsidP="009A0722">
      <w:pPr>
        <w:pStyle w:val="BodyText"/>
      </w:pPr>
      <w:r w:rsidRPr="00666ECE">
        <w:t>Identification of geographically remote students is based on the school location according to the metropolitan zone, provincial zone, remote areas and very remote</w:t>
      </w:r>
      <w:r w:rsidRPr="00666ECE">
        <w:br/>
        <w:t xml:space="preserve">areas as defined in the </w:t>
      </w:r>
      <w:r w:rsidR="0019719B">
        <w:t xml:space="preserve">former </w:t>
      </w:r>
      <w:proofErr w:type="spellStart"/>
      <w:r w:rsidRPr="00666ECE">
        <w:t>MCEETYA</w:t>
      </w:r>
      <w:proofErr w:type="spellEnd"/>
      <w:r w:rsidRPr="00666ECE">
        <w:t xml:space="preserve"> </w:t>
      </w:r>
      <w:r w:rsidR="0019719B">
        <w:t xml:space="preserve">(now replaced by </w:t>
      </w:r>
      <w:r w:rsidR="007F31E6">
        <w:t>Education Council</w:t>
      </w:r>
      <w:r w:rsidR="0019719B">
        <w:t xml:space="preserve">) </w:t>
      </w:r>
      <w:r w:rsidRPr="00666ECE">
        <w:t>agreed classification (see section 4.6 for a definition of the geographic classification used).</w:t>
      </w:r>
      <w:r w:rsidR="00817F8F" w:rsidRPr="00666ECE">
        <w:rPr>
          <w:position w:val="6"/>
          <w:sz w:val="22"/>
        </w:rPr>
        <w:footnoteReference w:id="2"/>
      </w:r>
      <w:r w:rsidRPr="00666ECE">
        <w:t xml:space="preserve"> The </w:t>
      </w:r>
      <w:r w:rsidRPr="00666ECE">
        <w:lastRenderedPageBreak/>
        <w:t xml:space="preserve">proportion of students </w:t>
      </w:r>
      <w:r w:rsidR="0013774C" w:rsidRPr="00104AF2">
        <w:rPr>
          <w:shd w:val="clear" w:color="auto" w:fill="FFFFFF" w:themeFill="background1"/>
        </w:rPr>
        <w:t>enrolled in</w:t>
      </w:r>
      <w:r w:rsidRPr="00666ECE">
        <w:t xml:space="preserve"> schools in remote areas varies greatly across jurisdictions (table 4.6).</w:t>
      </w:r>
    </w:p>
    <w:p w:rsidR="00666ECE" w:rsidRPr="006040C5" w:rsidRDefault="00666ECE" w:rsidP="009A0722">
      <w:pPr>
        <w:pStyle w:val="BodyText"/>
      </w:pPr>
      <w:r w:rsidRPr="000E6F59">
        <w:t>Nationally in 201</w:t>
      </w:r>
      <w:r w:rsidR="00354E9A">
        <w:t>3</w:t>
      </w:r>
      <w:r w:rsidRPr="000E6F59">
        <w:t xml:space="preserve">, the </w:t>
      </w:r>
      <w:r w:rsidRPr="004856A8">
        <w:rPr>
          <w:shd w:val="clear" w:color="auto" w:fill="FFFFFF" w:themeFill="background1"/>
        </w:rPr>
        <w:t xml:space="preserve">proportion of students enrolled in </w:t>
      </w:r>
      <w:r w:rsidR="00746562" w:rsidRPr="004856A8">
        <w:rPr>
          <w:shd w:val="clear" w:color="auto" w:fill="FFFFFF" w:themeFill="background1"/>
        </w:rPr>
        <w:t>schools in remote areas was 1.4</w:t>
      </w:r>
      <w:r w:rsidR="00817F8F">
        <w:rPr>
          <w:shd w:val="clear" w:color="auto" w:fill="FFFFFF" w:themeFill="background1"/>
        </w:rPr>
        <w:t> </w:t>
      </w:r>
      <w:r w:rsidRPr="004856A8">
        <w:rPr>
          <w:shd w:val="clear" w:color="auto" w:fill="FFFFFF" w:themeFill="background1"/>
        </w:rPr>
        <w:t>per</w:t>
      </w:r>
      <w:r w:rsidR="0048153E">
        <w:rPr>
          <w:shd w:val="clear" w:color="auto" w:fill="FFFFFF" w:themeFill="background1"/>
        </w:rPr>
        <w:t> </w:t>
      </w:r>
      <w:r w:rsidRPr="004856A8">
        <w:rPr>
          <w:shd w:val="clear" w:color="auto" w:fill="FFFFFF" w:themeFill="background1"/>
        </w:rPr>
        <w:t>cent, twice as high in government schools (</w:t>
      </w:r>
      <w:r w:rsidR="00810456" w:rsidRPr="004856A8">
        <w:rPr>
          <w:shd w:val="clear" w:color="auto" w:fill="FFFFFF" w:themeFill="background1"/>
        </w:rPr>
        <w:t>1.</w:t>
      </w:r>
      <w:r w:rsidR="004856A8" w:rsidRPr="004856A8">
        <w:rPr>
          <w:shd w:val="clear" w:color="auto" w:fill="FFFFFF" w:themeFill="background1"/>
        </w:rPr>
        <w:t>6</w:t>
      </w:r>
      <w:r w:rsidRPr="004856A8">
        <w:rPr>
          <w:shd w:val="clear" w:color="auto" w:fill="FFFFFF" w:themeFill="background1"/>
        </w:rPr>
        <w:t xml:space="preserve"> per cent) than in non</w:t>
      </w:r>
      <w:r w:rsidR="00817F8F">
        <w:rPr>
          <w:shd w:val="clear" w:color="auto" w:fill="FFFFFF" w:themeFill="background1"/>
        </w:rPr>
        <w:noBreakHyphen/>
      </w:r>
      <w:r w:rsidRPr="004856A8">
        <w:rPr>
          <w:shd w:val="clear" w:color="auto" w:fill="FFFFFF" w:themeFill="background1"/>
        </w:rPr>
        <w:t>government schools (</w:t>
      </w:r>
      <w:r w:rsidR="00810456" w:rsidRPr="004856A8">
        <w:rPr>
          <w:shd w:val="clear" w:color="auto" w:fill="FFFFFF" w:themeFill="background1"/>
        </w:rPr>
        <w:t>0.8</w:t>
      </w:r>
      <w:r w:rsidRPr="004856A8">
        <w:rPr>
          <w:shd w:val="clear" w:color="auto" w:fill="FFFFFF" w:themeFill="background1"/>
        </w:rPr>
        <w:t xml:space="preserve"> per cent). Nationally, the proportion of students enrolled in schools in very remote areas was </w:t>
      </w:r>
      <w:r w:rsidR="00810456" w:rsidRPr="004856A8">
        <w:rPr>
          <w:shd w:val="clear" w:color="auto" w:fill="FFFFFF" w:themeFill="background1"/>
        </w:rPr>
        <w:t>0.</w:t>
      </w:r>
      <w:r w:rsidR="004856A8" w:rsidRPr="004856A8">
        <w:rPr>
          <w:shd w:val="clear" w:color="auto" w:fill="FFFFFF" w:themeFill="background1"/>
        </w:rPr>
        <w:t>8</w:t>
      </w:r>
      <w:r w:rsidRPr="004856A8">
        <w:rPr>
          <w:shd w:val="clear" w:color="auto" w:fill="FFFFFF" w:themeFill="background1"/>
        </w:rPr>
        <w:t xml:space="preserve"> per cent, </w:t>
      </w:r>
      <w:r w:rsidR="006040C5" w:rsidRPr="004856A8">
        <w:rPr>
          <w:shd w:val="clear" w:color="auto" w:fill="FFFFFF" w:themeFill="background1"/>
        </w:rPr>
        <w:t>over three</w:t>
      </w:r>
      <w:r w:rsidRPr="004856A8">
        <w:rPr>
          <w:shd w:val="clear" w:color="auto" w:fill="FFFFFF" w:themeFill="background1"/>
        </w:rPr>
        <w:t xml:space="preserve"> times as high in government schools (</w:t>
      </w:r>
      <w:r w:rsidR="00810456" w:rsidRPr="004856A8">
        <w:rPr>
          <w:shd w:val="clear" w:color="auto" w:fill="FFFFFF" w:themeFill="background1"/>
        </w:rPr>
        <w:t>1</w:t>
      </w:r>
      <w:r w:rsidR="006040C5" w:rsidRPr="004856A8">
        <w:rPr>
          <w:shd w:val="clear" w:color="auto" w:fill="FFFFFF" w:themeFill="background1"/>
        </w:rPr>
        <w:t>.</w:t>
      </w:r>
      <w:r w:rsidR="004856A8" w:rsidRPr="004856A8">
        <w:rPr>
          <w:shd w:val="clear" w:color="auto" w:fill="FFFFFF" w:themeFill="background1"/>
        </w:rPr>
        <w:t>1</w:t>
      </w:r>
      <w:r w:rsidR="00C92821">
        <w:rPr>
          <w:shd w:val="clear" w:color="auto" w:fill="FFFFFF" w:themeFill="background1"/>
        </w:rPr>
        <w:t> </w:t>
      </w:r>
      <w:r w:rsidRPr="004856A8">
        <w:rPr>
          <w:shd w:val="clear" w:color="auto" w:fill="FFFFFF" w:themeFill="background1"/>
        </w:rPr>
        <w:t>per</w:t>
      </w:r>
      <w:r w:rsidR="00C92821">
        <w:rPr>
          <w:shd w:val="clear" w:color="auto" w:fill="FFFFFF" w:themeFill="background1"/>
        </w:rPr>
        <w:t> </w:t>
      </w:r>
      <w:r w:rsidRPr="004856A8">
        <w:rPr>
          <w:shd w:val="clear" w:color="auto" w:fill="FFFFFF" w:themeFill="background1"/>
        </w:rPr>
        <w:t xml:space="preserve">cent) than </w:t>
      </w:r>
      <w:r w:rsidR="000B2CA3" w:rsidRPr="004856A8">
        <w:rPr>
          <w:shd w:val="clear" w:color="auto" w:fill="FFFFFF" w:themeFill="background1"/>
        </w:rPr>
        <w:t xml:space="preserve">in </w:t>
      </w:r>
      <w:r w:rsidRPr="004856A8">
        <w:rPr>
          <w:shd w:val="clear" w:color="auto" w:fill="FFFFFF" w:themeFill="background1"/>
        </w:rPr>
        <w:t>non-government schools (</w:t>
      </w:r>
      <w:r w:rsidR="00810456" w:rsidRPr="004856A8">
        <w:rPr>
          <w:shd w:val="clear" w:color="auto" w:fill="FFFFFF" w:themeFill="background1"/>
        </w:rPr>
        <w:t>0.3</w:t>
      </w:r>
      <w:r w:rsidRPr="004856A8">
        <w:rPr>
          <w:shd w:val="clear" w:color="auto" w:fill="FFFFFF" w:themeFill="background1"/>
        </w:rPr>
        <w:t> per cent</w:t>
      </w:r>
      <w:r w:rsidRPr="006040C5">
        <w:t xml:space="preserve">) (table 4.6). </w:t>
      </w:r>
    </w:p>
    <w:p w:rsidR="00666ECE" w:rsidRPr="00666ECE" w:rsidRDefault="00666ECE" w:rsidP="009A0722">
      <w:pPr>
        <w:pStyle w:val="BodyText"/>
      </w:pPr>
      <w:r w:rsidRPr="000E6F59">
        <w:t xml:space="preserve">Table </w:t>
      </w:r>
      <w:proofErr w:type="spellStart"/>
      <w:r w:rsidRPr="000E6F59">
        <w:t>4A.3</w:t>
      </w:r>
      <w:r w:rsidR="009807CA">
        <w:t>5</w:t>
      </w:r>
      <w:proofErr w:type="spellEnd"/>
      <w:r w:rsidRPr="000E6F59">
        <w:t xml:space="preserve"> includes</w:t>
      </w:r>
      <w:r w:rsidRPr="00666ECE">
        <w:t xml:space="preserve"> data relating to students </w:t>
      </w:r>
      <w:r w:rsidR="0013774C" w:rsidRPr="00104AF2">
        <w:rPr>
          <w:shd w:val="clear" w:color="auto" w:fill="FFFFFF" w:themeFill="background1"/>
        </w:rPr>
        <w:t>enrolled in</w:t>
      </w:r>
      <w:r w:rsidRPr="00104AF2">
        <w:rPr>
          <w:shd w:val="clear" w:color="auto" w:fill="FFFFFF" w:themeFill="background1"/>
        </w:rPr>
        <w:t xml:space="preserve"> primary</w:t>
      </w:r>
      <w:r w:rsidRPr="00666ECE">
        <w:t xml:space="preserve"> and secondary schools located in metropolitan and provincial zones, as well as </w:t>
      </w:r>
      <w:r w:rsidR="000B2CA3">
        <w:t xml:space="preserve">in </w:t>
      </w:r>
      <w:r w:rsidRPr="00666ECE">
        <w:t xml:space="preserve">remote and very remote areas. </w:t>
      </w:r>
    </w:p>
    <w:p w:rsidR="000F1E10" w:rsidRDefault="000F1E10" w:rsidP="00E41D90">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909"/>
      </w:tblGrid>
      <w:tr w:rsidR="000F1E10" w:rsidTr="00E41D90">
        <w:tc>
          <w:tcPr>
            <w:tcW w:w="8771" w:type="dxa"/>
            <w:tcBorders>
              <w:top w:val="single" w:sz="6" w:space="0" w:color="78A22F"/>
              <w:left w:val="nil"/>
              <w:bottom w:val="nil"/>
              <w:right w:val="nil"/>
            </w:tcBorders>
            <w:shd w:val="clear" w:color="auto" w:fill="auto"/>
          </w:tcPr>
          <w:p w:rsidR="000F1E10" w:rsidRPr="00784A05" w:rsidRDefault="000F1E10" w:rsidP="000F1E10">
            <w:pPr>
              <w:pStyle w:val="TableTitle"/>
            </w:pPr>
            <w:r>
              <w:rPr>
                <w:b w:val="0"/>
              </w:rPr>
              <w:t xml:space="preserve">Table </w:t>
            </w:r>
            <w:r w:rsidR="00B70781">
              <w:rPr>
                <w:b w:val="0"/>
              </w:rPr>
              <w:t>4.</w:t>
            </w:r>
            <w:r w:rsidR="005953B6">
              <w:rPr>
                <w:b w:val="0"/>
                <w:noProof/>
              </w:rPr>
              <w:t>6</w:t>
            </w:r>
            <w:r>
              <w:tab/>
            </w:r>
            <w:r w:rsidRPr="000F1E10">
              <w:t>Students enrolled in schools in remote and very remote areas as a proportion of all students, 201</w:t>
            </w:r>
            <w:r>
              <w:t>3</w:t>
            </w:r>
            <w:r w:rsidRPr="000F1E10">
              <w:t xml:space="preserve"> (per cent)</w:t>
            </w:r>
            <w:r w:rsidRPr="000F1E10">
              <w:rPr>
                <w:rStyle w:val="NoteLabel"/>
                <w:b/>
              </w:rPr>
              <w:t>a, b</w:t>
            </w:r>
            <w:r w:rsidR="004463B9">
              <w:rPr>
                <w:rStyle w:val="NoteLabel"/>
                <w:b/>
              </w:rPr>
              <w:t>, c</w:t>
            </w:r>
          </w:p>
        </w:tc>
      </w:tr>
      <w:tr w:rsidR="000F1E10" w:rsidTr="00A11734">
        <w:trPr>
          <w:cantSplit/>
        </w:trPr>
        <w:tc>
          <w:tcPr>
            <w:tcW w:w="8771" w:type="dxa"/>
            <w:tcBorders>
              <w:top w:val="nil"/>
              <w:left w:val="nil"/>
              <w:bottom w:val="nil"/>
              <w:right w:val="nil"/>
            </w:tcBorders>
            <w:shd w:val="clear" w:color="auto" w:fill="auto"/>
          </w:tcPr>
          <w:tbl>
            <w:tblPr>
              <w:tblW w:w="8790" w:type="dxa"/>
              <w:tblCellMar>
                <w:left w:w="0" w:type="dxa"/>
                <w:right w:w="0" w:type="dxa"/>
              </w:tblCellMar>
              <w:tblLook w:val="0000" w:firstRow="0" w:lastRow="0" w:firstColumn="0" w:lastColumn="0" w:noHBand="0" w:noVBand="0"/>
            </w:tblPr>
            <w:tblGrid>
              <w:gridCol w:w="2370"/>
              <w:gridCol w:w="713"/>
              <w:gridCol w:w="713"/>
              <w:gridCol w:w="714"/>
              <w:gridCol w:w="713"/>
              <w:gridCol w:w="713"/>
              <w:gridCol w:w="714"/>
              <w:gridCol w:w="713"/>
              <w:gridCol w:w="713"/>
              <w:gridCol w:w="714"/>
            </w:tblGrid>
            <w:tr w:rsidR="000F1E10" w:rsidRPr="00666ECE" w:rsidTr="0055682A">
              <w:tc>
                <w:tcPr>
                  <w:tcW w:w="2370" w:type="dxa"/>
                  <w:tcBorders>
                    <w:top w:val="single" w:sz="6" w:space="0" w:color="auto"/>
                    <w:bottom w:val="single" w:sz="6" w:space="0" w:color="auto"/>
                  </w:tcBorders>
                  <w:shd w:val="clear" w:color="auto" w:fill="auto"/>
                </w:tcPr>
                <w:p w:rsidR="000F1E10" w:rsidRPr="00666ECE" w:rsidRDefault="000F1E10" w:rsidP="00E41D90">
                  <w:pPr>
                    <w:keepNext/>
                    <w:keepLines/>
                    <w:spacing w:before="80" w:after="80" w:line="220" w:lineRule="atLeast"/>
                    <w:ind w:left="6" w:right="113"/>
                    <w:rPr>
                      <w:rFonts w:ascii="Arial" w:hAnsi="Arial"/>
                      <w:i/>
                      <w:sz w:val="20"/>
                      <w:szCs w:val="20"/>
                    </w:rPr>
                  </w:pPr>
                </w:p>
              </w:tc>
              <w:tc>
                <w:tcPr>
                  <w:tcW w:w="713" w:type="dxa"/>
                  <w:tcBorders>
                    <w:top w:val="single" w:sz="6" w:space="0" w:color="auto"/>
                    <w:bottom w:val="single" w:sz="6" w:space="0" w:color="auto"/>
                  </w:tcBorders>
                  <w:shd w:val="clear" w:color="auto" w:fill="auto"/>
                </w:tcPr>
                <w:p w:rsidR="000F1E10" w:rsidRPr="00666ECE" w:rsidRDefault="000F1E10" w:rsidP="000F1E10">
                  <w:pPr>
                    <w:pStyle w:val="TableColumnHeading"/>
                  </w:pPr>
                  <w:r w:rsidRPr="00666ECE">
                    <w:t>NSW</w:t>
                  </w:r>
                </w:p>
              </w:tc>
              <w:tc>
                <w:tcPr>
                  <w:tcW w:w="713" w:type="dxa"/>
                  <w:tcBorders>
                    <w:top w:val="single" w:sz="6" w:space="0" w:color="auto"/>
                    <w:bottom w:val="single" w:sz="6" w:space="0" w:color="auto"/>
                  </w:tcBorders>
                  <w:shd w:val="clear" w:color="auto" w:fill="auto"/>
                </w:tcPr>
                <w:p w:rsidR="000F1E10" w:rsidRPr="00666ECE" w:rsidRDefault="000F1E10" w:rsidP="000F1E10">
                  <w:pPr>
                    <w:pStyle w:val="TableColumnHeading"/>
                  </w:pPr>
                  <w:r w:rsidRPr="00666ECE">
                    <w:t>Vic</w:t>
                  </w:r>
                </w:p>
              </w:tc>
              <w:tc>
                <w:tcPr>
                  <w:tcW w:w="714" w:type="dxa"/>
                  <w:tcBorders>
                    <w:top w:val="single" w:sz="6" w:space="0" w:color="auto"/>
                    <w:bottom w:val="single" w:sz="6" w:space="0" w:color="auto"/>
                  </w:tcBorders>
                  <w:shd w:val="clear" w:color="auto" w:fill="auto"/>
                </w:tcPr>
                <w:p w:rsidR="000F1E10" w:rsidRPr="00666ECE" w:rsidRDefault="000F1E10" w:rsidP="000F1E10">
                  <w:pPr>
                    <w:pStyle w:val="TableColumnHeading"/>
                  </w:pPr>
                  <w:r w:rsidRPr="00666ECE">
                    <w:t>Qld</w:t>
                  </w:r>
                </w:p>
              </w:tc>
              <w:tc>
                <w:tcPr>
                  <w:tcW w:w="713" w:type="dxa"/>
                  <w:tcBorders>
                    <w:top w:val="single" w:sz="6" w:space="0" w:color="auto"/>
                    <w:bottom w:val="single" w:sz="6" w:space="0" w:color="auto"/>
                  </w:tcBorders>
                  <w:shd w:val="clear" w:color="auto" w:fill="auto"/>
                </w:tcPr>
                <w:p w:rsidR="000F1E10" w:rsidRPr="00666ECE" w:rsidRDefault="000F1E10" w:rsidP="000F1E10">
                  <w:pPr>
                    <w:pStyle w:val="TableColumnHeading"/>
                  </w:pPr>
                  <w:r w:rsidRPr="00666ECE">
                    <w:t>WA</w:t>
                  </w:r>
                </w:p>
              </w:tc>
              <w:tc>
                <w:tcPr>
                  <w:tcW w:w="713" w:type="dxa"/>
                  <w:tcBorders>
                    <w:top w:val="single" w:sz="6" w:space="0" w:color="auto"/>
                    <w:bottom w:val="single" w:sz="6" w:space="0" w:color="auto"/>
                  </w:tcBorders>
                  <w:shd w:val="clear" w:color="auto" w:fill="auto"/>
                </w:tcPr>
                <w:p w:rsidR="000F1E10" w:rsidRPr="00666ECE" w:rsidRDefault="000F1E10" w:rsidP="000F1E10">
                  <w:pPr>
                    <w:pStyle w:val="TableColumnHeading"/>
                  </w:pPr>
                  <w:r w:rsidRPr="00666ECE">
                    <w:t>SA</w:t>
                  </w:r>
                </w:p>
              </w:tc>
              <w:tc>
                <w:tcPr>
                  <w:tcW w:w="714" w:type="dxa"/>
                  <w:tcBorders>
                    <w:top w:val="single" w:sz="6" w:space="0" w:color="auto"/>
                    <w:bottom w:val="single" w:sz="6" w:space="0" w:color="auto"/>
                  </w:tcBorders>
                  <w:shd w:val="clear" w:color="auto" w:fill="auto"/>
                </w:tcPr>
                <w:p w:rsidR="000F1E10" w:rsidRPr="00666ECE" w:rsidRDefault="000F1E10" w:rsidP="000F1E10">
                  <w:pPr>
                    <w:pStyle w:val="TableColumnHeading"/>
                  </w:pPr>
                  <w:r w:rsidRPr="00666ECE">
                    <w:t>Tas</w:t>
                  </w:r>
                </w:p>
              </w:tc>
              <w:tc>
                <w:tcPr>
                  <w:tcW w:w="713" w:type="dxa"/>
                  <w:tcBorders>
                    <w:top w:val="single" w:sz="6" w:space="0" w:color="auto"/>
                    <w:bottom w:val="single" w:sz="6" w:space="0" w:color="auto"/>
                  </w:tcBorders>
                  <w:shd w:val="clear" w:color="auto" w:fill="auto"/>
                </w:tcPr>
                <w:p w:rsidR="000F1E10" w:rsidRPr="00666ECE" w:rsidRDefault="000F1E10" w:rsidP="000F1E10">
                  <w:pPr>
                    <w:pStyle w:val="TableColumnHeading"/>
                  </w:pPr>
                  <w:r w:rsidRPr="00666ECE">
                    <w:t>ACT</w:t>
                  </w:r>
                </w:p>
              </w:tc>
              <w:tc>
                <w:tcPr>
                  <w:tcW w:w="713" w:type="dxa"/>
                  <w:tcBorders>
                    <w:top w:val="single" w:sz="6" w:space="0" w:color="auto"/>
                    <w:bottom w:val="single" w:sz="6" w:space="0" w:color="auto"/>
                  </w:tcBorders>
                  <w:shd w:val="clear" w:color="auto" w:fill="auto"/>
                </w:tcPr>
                <w:p w:rsidR="000F1E10" w:rsidRPr="00666ECE" w:rsidRDefault="000F1E10" w:rsidP="000F1E10">
                  <w:pPr>
                    <w:pStyle w:val="TableColumnHeading"/>
                  </w:pPr>
                  <w:r w:rsidRPr="00666ECE">
                    <w:t>NT</w:t>
                  </w:r>
                </w:p>
              </w:tc>
              <w:tc>
                <w:tcPr>
                  <w:tcW w:w="714" w:type="dxa"/>
                  <w:tcBorders>
                    <w:top w:val="single" w:sz="6" w:space="0" w:color="auto"/>
                    <w:bottom w:val="single" w:sz="6" w:space="0" w:color="auto"/>
                  </w:tcBorders>
                  <w:shd w:val="clear" w:color="auto" w:fill="auto"/>
                </w:tcPr>
                <w:p w:rsidR="000F1E10" w:rsidRPr="00666ECE" w:rsidRDefault="000F1E10" w:rsidP="000F1E10">
                  <w:pPr>
                    <w:pStyle w:val="TableColumnHeading"/>
                  </w:pPr>
                  <w:proofErr w:type="spellStart"/>
                  <w:r w:rsidRPr="00666ECE">
                    <w:t>Aust</w:t>
                  </w:r>
                  <w:proofErr w:type="spellEnd"/>
                </w:p>
              </w:tc>
            </w:tr>
            <w:tr w:rsidR="000F1E10" w:rsidRPr="00666ECE" w:rsidTr="0055682A">
              <w:tc>
                <w:tcPr>
                  <w:tcW w:w="2370" w:type="dxa"/>
                </w:tcPr>
                <w:p w:rsidR="000F1E10" w:rsidRPr="0055682A" w:rsidRDefault="000F1E10" w:rsidP="0055682A">
                  <w:pPr>
                    <w:pStyle w:val="TableUnitsRow"/>
                    <w:jc w:val="left"/>
                    <w:rPr>
                      <w:b/>
                    </w:rPr>
                  </w:pPr>
                  <w:r w:rsidRPr="0055682A">
                    <w:rPr>
                      <w:b/>
                    </w:rPr>
                    <w:t>Remote areas</w:t>
                  </w:r>
                </w:p>
              </w:tc>
              <w:tc>
                <w:tcPr>
                  <w:tcW w:w="713" w:type="dxa"/>
                </w:tcPr>
                <w:p w:rsidR="000F1E10" w:rsidRPr="00666ECE" w:rsidRDefault="000F1E10" w:rsidP="00E41D90">
                  <w:pPr>
                    <w:pStyle w:val="TableBodyText"/>
                    <w:rPr>
                      <w:highlight w:val="red"/>
                    </w:rPr>
                  </w:pPr>
                </w:p>
              </w:tc>
              <w:tc>
                <w:tcPr>
                  <w:tcW w:w="713" w:type="dxa"/>
                </w:tcPr>
                <w:p w:rsidR="000F1E10" w:rsidRPr="00666ECE" w:rsidRDefault="000F1E10" w:rsidP="00E41D90">
                  <w:pPr>
                    <w:pStyle w:val="TableBodyText"/>
                    <w:rPr>
                      <w:highlight w:val="red"/>
                    </w:rPr>
                  </w:pPr>
                </w:p>
              </w:tc>
              <w:tc>
                <w:tcPr>
                  <w:tcW w:w="714" w:type="dxa"/>
                </w:tcPr>
                <w:p w:rsidR="000F1E10" w:rsidRPr="00666ECE" w:rsidRDefault="000F1E10" w:rsidP="00E41D90">
                  <w:pPr>
                    <w:pStyle w:val="TableBodyText"/>
                    <w:rPr>
                      <w:highlight w:val="red"/>
                    </w:rPr>
                  </w:pPr>
                </w:p>
              </w:tc>
              <w:tc>
                <w:tcPr>
                  <w:tcW w:w="713" w:type="dxa"/>
                </w:tcPr>
                <w:p w:rsidR="000F1E10" w:rsidRPr="00666ECE" w:rsidRDefault="000F1E10" w:rsidP="00E41D90">
                  <w:pPr>
                    <w:pStyle w:val="TableBodyText"/>
                    <w:rPr>
                      <w:highlight w:val="red"/>
                    </w:rPr>
                  </w:pPr>
                </w:p>
              </w:tc>
              <w:tc>
                <w:tcPr>
                  <w:tcW w:w="713" w:type="dxa"/>
                </w:tcPr>
                <w:p w:rsidR="000F1E10" w:rsidRPr="00666ECE" w:rsidRDefault="000F1E10" w:rsidP="00E41D90">
                  <w:pPr>
                    <w:pStyle w:val="TableBodyText"/>
                    <w:rPr>
                      <w:highlight w:val="red"/>
                    </w:rPr>
                  </w:pPr>
                </w:p>
              </w:tc>
              <w:tc>
                <w:tcPr>
                  <w:tcW w:w="714" w:type="dxa"/>
                </w:tcPr>
                <w:p w:rsidR="000F1E10" w:rsidRPr="00666ECE" w:rsidRDefault="000F1E10" w:rsidP="00E41D90">
                  <w:pPr>
                    <w:pStyle w:val="TableBodyText"/>
                    <w:rPr>
                      <w:highlight w:val="red"/>
                    </w:rPr>
                  </w:pPr>
                </w:p>
              </w:tc>
              <w:tc>
                <w:tcPr>
                  <w:tcW w:w="713" w:type="dxa"/>
                </w:tcPr>
                <w:p w:rsidR="000F1E10" w:rsidRPr="00666ECE" w:rsidRDefault="000F1E10" w:rsidP="00E41D90">
                  <w:pPr>
                    <w:pStyle w:val="TableBodyText"/>
                    <w:rPr>
                      <w:highlight w:val="red"/>
                    </w:rPr>
                  </w:pPr>
                </w:p>
              </w:tc>
              <w:tc>
                <w:tcPr>
                  <w:tcW w:w="713" w:type="dxa"/>
                </w:tcPr>
                <w:p w:rsidR="000F1E10" w:rsidRPr="00666ECE" w:rsidRDefault="000F1E10" w:rsidP="00E41D90">
                  <w:pPr>
                    <w:pStyle w:val="TableBodyText"/>
                    <w:rPr>
                      <w:highlight w:val="red"/>
                    </w:rPr>
                  </w:pPr>
                </w:p>
              </w:tc>
              <w:tc>
                <w:tcPr>
                  <w:tcW w:w="714" w:type="dxa"/>
                </w:tcPr>
                <w:p w:rsidR="000F1E10" w:rsidRPr="00666ECE" w:rsidRDefault="000F1E10" w:rsidP="00E41D90">
                  <w:pPr>
                    <w:pStyle w:val="TableBodyText"/>
                    <w:rPr>
                      <w:highlight w:val="red"/>
                    </w:rPr>
                  </w:pPr>
                </w:p>
              </w:tc>
            </w:tr>
            <w:tr w:rsidR="004856A8" w:rsidRPr="006040C5" w:rsidTr="0055682A">
              <w:tc>
                <w:tcPr>
                  <w:tcW w:w="2370" w:type="dxa"/>
                </w:tcPr>
                <w:p w:rsidR="004856A8" w:rsidRPr="0055682A" w:rsidRDefault="0055682A" w:rsidP="0055682A">
                  <w:pPr>
                    <w:pStyle w:val="TableUnitsRow"/>
                    <w:jc w:val="left"/>
                  </w:pPr>
                  <w:r>
                    <w:t xml:space="preserve">  </w:t>
                  </w:r>
                  <w:r w:rsidR="004856A8" w:rsidRPr="0055682A">
                    <w:t>Government schools</w:t>
                  </w:r>
                </w:p>
              </w:tc>
              <w:tc>
                <w:tcPr>
                  <w:tcW w:w="713" w:type="dxa"/>
                  <w:vAlign w:val="center"/>
                </w:tcPr>
                <w:p w:rsidR="004856A8" w:rsidRDefault="004856A8" w:rsidP="004856A8">
                  <w:pPr>
                    <w:pStyle w:val="TableBodyText"/>
                  </w:pPr>
                  <w:r>
                    <w:t xml:space="preserve">  0.5</w:t>
                  </w:r>
                </w:p>
              </w:tc>
              <w:tc>
                <w:tcPr>
                  <w:tcW w:w="713" w:type="dxa"/>
                  <w:vAlign w:val="center"/>
                </w:tcPr>
                <w:p w:rsidR="004856A8" w:rsidRDefault="004856A8" w:rsidP="004856A8">
                  <w:pPr>
                    <w:pStyle w:val="TableBodyText"/>
                  </w:pPr>
                  <w:r>
                    <w:t xml:space="preserve">  0.1</w:t>
                  </w:r>
                </w:p>
              </w:tc>
              <w:tc>
                <w:tcPr>
                  <w:tcW w:w="714" w:type="dxa"/>
                  <w:vAlign w:val="center"/>
                </w:tcPr>
                <w:p w:rsidR="004856A8" w:rsidRDefault="004856A8" w:rsidP="004856A8">
                  <w:pPr>
                    <w:pStyle w:val="TableBodyText"/>
                  </w:pPr>
                  <w:r>
                    <w:t xml:space="preserve">  2.0</w:t>
                  </w:r>
                </w:p>
              </w:tc>
              <w:tc>
                <w:tcPr>
                  <w:tcW w:w="713" w:type="dxa"/>
                  <w:vAlign w:val="center"/>
                </w:tcPr>
                <w:p w:rsidR="004856A8" w:rsidRDefault="004856A8" w:rsidP="004856A8">
                  <w:pPr>
                    <w:pStyle w:val="TableBodyText"/>
                  </w:pPr>
                  <w:r>
                    <w:t xml:space="preserve">  5.4</w:t>
                  </w:r>
                </w:p>
              </w:tc>
              <w:tc>
                <w:tcPr>
                  <w:tcW w:w="713" w:type="dxa"/>
                  <w:vAlign w:val="center"/>
                </w:tcPr>
                <w:p w:rsidR="004856A8" w:rsidRDefault="004856A8" w:rsidP="004856A8">
                  <w:pPr>
                    <w:pStyle w:val="TableBodyText"/>
                  </w:pPr>
                  <w:r>
                    <w:t xml:space="preserve">  3.4</w:t>
                  </w:r>
                </w:p>
              </w:tc>
              <w:tc>
                <w:tcPr>
                  <w:tcW w:w="714" w:type="dxa"/>
                  <w:vAlign w:val="center"/>
                </w:tcPr>
                <w:p w:rsidR="004856A8" w:rsidRDefault="004856A8" w:rsidP="004856A8">
                  <w:pPr>
                    <w:pStyle w:val="TableBodyText"/>
                  </w:pPr>
                  <w:r>
                    <w:t xml:space="preserve">  0.8</w:t>
                  </w:r>
                </w:p>
              </w:tc>
              <w:tc>
                <w:tcPr>
                  <w:tcW w:w="713" w:type="dxa"/>
                  <w:vAlign w:val="center"/>
                </w:tcPr>
                <w:p w:rsidR="004856A8" w:rsidRDefault="004856A8" w:rsidP="004856A8">
                  <w:pPr>
                    <w:pStyle w:val="TableBodyText"/>
                  </w:pPr>
                  <w:r>
                    <w:t>..</w:t>
                  </w:r>
                </w:p>
              </w:tc>
              <w:tc>
                <w:tcPr>
                  <w:tcW w:w="713" w:type="dxa"/>
                  <w:vAlign w:val="center"/>
                </w:tcPr>
                <w:p w:rsidR="004856A8" w:rsidRDefault="004856A8" w:rsidP="004856A8">
                  <w:pPr>
                    <w:pStyle w:val="TableBodyText"/>
                  </w:pPr>
                  <w:r>
                    <w:t xml:space="preserve">  16.4</w:t>
                  </w:r>
                </w:p>
              </w:tc>
              <w:tc>
                <w:tcPr>
                  <w:tcW w:w="714" w:type="dxa"/>
                  <w:vAlign w:val="center"/>
                </w:tcPr>
                <w:p w:rsidR="004856A8" w:rsidRDefault="004856A8" w:rsidP="004856A8">
                  <w:pPr>
                    <w:pStyle w:val="TableBodyText"/>
                  </w:pPr>
                  <w:r>
                    <w:t xml:space="preserve">  1.6</w:t>
                  </w:r>
                </w:p>
              </w:tc>
            </w:tr>
            <w:tr w:rsidR="004856A8" w:rsidRPr="006040C5" w:rsidTr="0055682A">
              <w:tc>
                <w:tcPr>
                  <w:tcW w:w="2370" w:type="dxa"/>
                </w:tcPr>
                <w:p w:rsidR="004856A8" w:rsidRPr="0055682A" w:rsidRDefault="0055682A" w:rsidP="0055682A">
                  <w:pPr>
                    <w:pStyle w:val="TableUnitsRow"/>
                    <w:jc w:val="left"/>
                  </w:pPr>
                  <w:r>
                    <w:t xml:space="preserve">  </w:t>
                  </w:r>
                  <w:r w:rsidR="004856A8" w:rsidRPr="0055682A">
                    <w:t>Non-government schools</w:t>
                  </w:r>
                </w:p>
              </w:tc>
              <w:tc>
                <w:tcPr>
                  <w:tcW w:w="713" w:type="dxa"/>
                  <w:vAlign w:val="center"/>
                </w:tcPr>
                <w:p w:rsidR="004856A8" w:rsidRDefault="004856A8" w:rsidP="004856A8">
                  <w:pPr>
                    <w:pStyle w:val="TableBodyText"/>
                  </w:pPr>
                  <w:r>
                    <w:t xml:space="preserve">  0.2</w:t>
                  </w:r>
                </w:p>
              </w:tc>
              <w:tc>
                <w:tcPr>
                  <w:tcW w:w="713" w:type="dxa"/>
                  <w:vAlign w:val="center"/>
                </w:tcPr>
                <w:p w:rsidR="004856A8" w:rsidRDefault="004856A8" w:rsidP="004856A8">
                  <w:pPr>
                    <w:pStyle w:val="TableBodyText"/>
                  </w:pPr>
                  <w:r>
                    <w:t>–</w:t>
                  </w:r>
                </w:p>
              </w:tc>
              <w:tc>
                <w:tcPr>
                  <w:tcW w:w="714" w:type="dxa"/>
                  <w:vAlign w:val="center"/>
                </w:tcPr>
                <w:p w:rsidR="004856A8" w:rsidRDefault="004856A8" w:rsidP="004856A8">
                  <w:pPr>
                    <w:pStyle w:val="TableBodyText"/>
                  </w:pPr>
                  <w:r>
                    <w:t xml:space="preserve">  0.8</w:t>
                  </w:r>
                </w:p>
              </w:tc>
              <w:tc>
                <w:tcPr>
                  <w:tcW w:w="713" w:type="dxa"/>
                  <w:vAlign w:val="center"/>
                </w:tcPr>
                <w:p w:rsidR="004856A8" w:rsidRDefault="004856A8" w:rsidP="004856A8">
                  <w:pPr>
                    <w:pStyle w:val="TableBodyText"/>
                  </w:pPr>
                  <w:r>
                    <w:t xml:space="preserve">  1.9</w:t>
                  </w:r>
                </w:p>
              </w:tc>
              <w:tc>
                <w:tcPr>
                  <w:tcW w:w="713" w:type="dxa"/>
                  <w:vAlign w:val="center"/>
                </w:tcPr>
                <w:p w:rsidR="004856A8" w:rsidRDefault="004856A8" w:rsidP="004856A8">
                  <w:pPr>
                    <w:pStyle w:val="TableBodyText"/>
                  </w:pPr>
                  <w:r>
                    <w:t xml:space="preserve">  1.4</w:t>
                  </w:r>
                </w:p>
              </w:tc>
              <w:tc>
                <w:tcPr>
                  <w:tcW w:w="714" w:type="dxa"/>
                  <w:vAlign w:val="center"/>
                </w:tcPr>
                <w:p w:rsidR="004856A8" w:rsidRDefault="004856A8" w:rsidP="004856A8">
                  <w:pPr>
                    <w:pStyle w:val="TableBodyText"/>
                  </w:pPr>
                  <w:r>
                    <w:t xml:space="preserve">  0.4</w:t>
                  </w:r>
                </w:p>
              </w:tc>
              <w:tc>
                <w:tcPr>
                  <w:tcW w:w="713" w:type="dxa"/>
                </w:tcPr>
                <w:p w:rsidR="004856A8" w:rsidRDefault="004856A8" w:rsidP="004856A8">
                  <w:pPr>
                    <w:pStyle w:val="TableBodyText"/>
                  </w:pPr>
                  <w:r w:rsidRPr="008966B9">
                    <w:t>..</w:t>
                  </w:r>
                </w:p>
              </w:tc>
              <w:tc>
                <w:tcPr>
                  <w:tcW w:w="713" w:type="dxa"/>
                  <w:vAlign w:val="center"/>
                </w:tcPr>
                <w:p w:rsidR="004856A8" w:rsidRDefault="004856A8" w:rsidP="004856A8">
                  <w:pPr>
                    <w:pStyle w:val="TableBodyText"/>
                  </w:pPr>
                  <w:r>
                    <w:t xml:space="preserve">  28.5</w:t>
                  </w:r>
                </w:p>
              </w:tc>
              <w:tc>
                <w:tcPr>
                  <w:tcW w:w="714" w:type="dxa"/>
                  <w:vAlign w:val="center"/>
                </w:tcPr>
                <w:p w:rsidR="004856A8" w:rsidRDefault="004856A8" w:rsidP="004856A8">
                  <w:pPr>
                    <w:pStyle w:val="TableBodyText"/>
                  </w:pPr>
                  <w:r>
                    <w:t xml:space="preserve">  0.8</w:t>
                  </w:r>
                </w:p>
              </w:tc>
            </w:tr>
            <w:tr w:rsidR="004856A8" w:rsidRPr="006040C5" w:rsidTr="0055682A">
              <w:tc>
                <w:tcPr>
                  <w:tcW w:w="2370" w:type="dxa"/>
                </w:tcPr>
                <w:p w:rsidR="004856A8" w:rsidRPr="0055682A" w:rsidRDefault="0055682A" w:rsidP="0055682A">
                  <w:pPr>
                    <w:pStyle w:val="TableUnitsRow"/>
                    <w:jc w:val="left"/>
                  </w:pPr>
                  <w:r>
                    <w:t xml:space="preserve">  </w:t>
                  </w:r>
                  <w:r w:rsidR="004856A8" w:rsidRPr="0055682A">
                    <w:t>All schools</w:t>
                  </w:r>
                </w:p>
              </w:tc>
              <w:tc>
                <w:tcPr>
                  <w:tcW w:w="713" w:type="dxa"/>
                  <w:vAlign w:val="center"/>
                </w:tcPr>
                <w:p w:rsidR="004856A8" w:rsidRDefault="004856A8" w:rsidP="004856A8">
                  <w:pPr>
                    <w:pStyle w:val="TableBodyText"/>
                  </w:pPr>
                  <w:r>
                    <w:t xml:space="preserve">  0.4</w:t>
                  </w:r>
                </w:p>
              </w:tc>
              <w:tc>
                <w:tcPr>
                  <w:tcW w:w="713" w:type="dxa"/>
                  <w:vAlign w:val="center"/>
                </w:tcPr>
                <w:p w:rsidR="004856A8" w:rsidRDefault="004856A8" w:rsidP="004856A8">
                  <w:pPr>
                    <w:pStyle w:val="TableBodyText"/>
                  </w:pPr>
                  <w:r>
                    <w:t xml:space="preserve">  0.1</w:t>
                  </w:r>
                </w:p>
              </w:tc>
              <w:tc>
                <w:tcPr>
                  <w:tcW w:w="714" w:type="dxa"/>
                  <w:vAlign w:val="center"/>
                </w:tcPr>
                <w:p w:rsidR="004856A8" w:rsidRDefault="004856A8" w:rsidP="004856A8">
                  <w:pPr>
                    <w:pStyle w:val="TableBodyText"/>
                  </w:pPr>
                  <w:r>
                    <w:t xml:space="preserve">  1.6</w:t>
                  </w:r>
                </w:p>
              </w:tc>
              <w:tc>
                <w:tcPr>
                  <w:tcW w:w="713" w:type="dxa"/>
                  <w:vAlign w:val="center"/>
                </w:tcPr>
                <w:p w:rsidR="004856A8" w:rsidRDefault="004856A8" w:rsidP="004856A8">
                  <w:pPr>
                    <w:pStyle w:val="TableBodyText"/>
                  </w:pPr>
                  <w:r>
                    <w:t xml:space="preserve">  4.2</w:t>
                  </w:r>
                </w:p>
              </w:tc>
              <w:tc>
                <w:tcPr>
                  <w:tcW w:w="713" w:type="dxa"/>
                  <w:vAlign w:val="center"/>
                </w:tcPr>
                <w:p w:rsidR="004856A8" w:rsidRDefault="004856A8" w:rsidP="004856A8">
                  <w:pPr>
                    <w:pStyle w:val="TableBodyText"/>
                  </w:pPr>
                  <w:r>
                    <w:t xml:space="preserve">  2.7</w:t>
                  </w:r>
                </w:p>
              </w:tc>
              <w:tc>
                <w:tcPr>
                  <w:tcW w:w="714" w:type="dxa"/>
                  <w:vAlign w:val="center"/>
                </w:tcPr>
                <w:p w:rsidR="004856A8" w:rsidRDefault="004856A8" w:rsidP="004856A8">
                  <w:pPr>
                    <w:pStyle w:val="TableBodyText"/>
                  </w:pPr>
                  <w:r>
                    <w:t xml:space="preserve">  0.7</w:t>
                  </w:r>
                </w:p>
              </w:tc>
              <w:tc>
                <w:tcPr>
                  <w:tcW w:w="713" w:type="dxa"/>
                </w:tcPr>
                <w:p w:rsidR="004856A8" w:rsidRDefault="004856A8" w:rsidP="004856A8">
                  <w:pPr>
                    <w:pStyle w:val="TableBodyText"/>
                  </w:pPr>
                  <w:r w:rsidRPr="008966B9">
                    <w:t>..</w:t>
                  </w:r>
                </w:p>
              </w:tc>
              <w:tc>
                <w:tcPr>
                  <w:tcW w:w="713" w:type="dxa"/>
                  <w:vAlign w:val="center"/>
                </w:tcPr>
                <w:p w:rsidR="004856A8" w:rsidRDefault="004856A8" w:rsidP="004856A8">
                  <w:pPr>
                    <w:pStyle w:val="TableBodyText"/>
                  </w:pPr>
                  <w:r>
                    <w:t xml:space="preserve">  19.7</w:t>
                  </w:r>
                </w:p>
              </w:tc>
              <w:tc>
                <w:tcPr>
                  <w:tcW w:w="714" w:type="dxa"/>
                  <w:vAlign w:val="center"/>
                </w:tcPr>
                <w:p w:rsidR="004856A8" w:rsidRDefault="004856A8" w:rsidP="004856A8">
                  <w:pPr>
                    <w:pStyle w:val="TableBodyText"/>
                  </w:pPr>
                  <w:r>
                    <w:t xml:space="preserve">  1.4</w:t>
                  </w:r>
                </w:p>
              </w:tc>
            </w:tr>
            <w:tr w:rsidR="004856A8" w:rsidRPr="006040C5" w:rsidTr="0055682A">
              <w:tc>
                <w:tcPr>
                  <w:tcW w:w="2370" w:type="dxa"/>
                </w:tcPr>
                <w:p w:rsidR="004856A8" w:rsidRPr="0055682A" w:rsidRDefault="004856A8" w:rsidP="0055682A">
                  <w:pPr>
                    <w:pStyle w:val="TableUnitsRow"/>
                    <w:jc w:val="left"/>
                    <w:rPr>
                      <w:b/>
                    </w:rPr>
                  </w:pPr>
                  <w:r w:rsidRPr="0055682A">
                    <w:rPr>
                      <w:b/>
                    </w:rPr>
                    <w:t>Very remote areas</w:t>
                  </w:r>
                </w:p>
              </w:tc>
              <w:tc>
                <w:tcPr>
                  <w:tcW w:w="713" w:type="dxa"/>
                </w:tcPr>
                <w:p w:rsidR="004856A8" w:rsidRPr="006040C5" w:rsidRDefault="004856A8" w:rsidP="004856A8">
                  <w:pPr>
                    <w:pStyle w:val="TableBodyText"/>
                    <w:rPr>
                      <w:highlight w:val="red"/>
                    </w:rPr>
                  </w:pPr>
                </w:p>
              </w:tc>
              <w:tc>
                <w:tcPr>
                  <w:tcW w:w="713" w:type="dxa"/>
                </w:tcPr>
                <w:p w:rsidR="004856A8" w:rsidRPr="006040C5" w:rsidRDefault="004856A8" w:rsidP="004856A8">
                  <w:pPr>
                    <w:pStyle w:val="TableBodyText"/>
                    <w:rPr>
                      <w:highlight w:val="red"/>
                    </w:rPr>
                  </w:pPr>
                </w:p>
              </w:tc>
              <w:tc>
                <w:tcPr>
                  <w:tcW w:w="714" w:type="dxa"/>
                </w:tcPr>
                <w:p w:rsidR="004856A8" w:rsidRPr="006040C5" w:rsidRDefault="004856A8" w:rsidP="004856A8">
                  <w:pPr>
                    <w:pStyle w:val="TableBodyText"/>
                    <w:rPr>
                      <w:highlight w:val="red"/>
                    </w:rPr>
                  </w:pPr>
                </w:p>
              </w:tc>
              <w:tc>
                <w:tcPr>
                  <w:tcW w:w="713" w:type="dxa"/>
                </w:tcPr>
                <w:p w:rsidR="004856A8" w:rsidRPr="006040C5" w:rsidRDefault="004856A8" w:rsidP="004856A8">
                  <w:pPr>
                    <w:pStyle w:val="TableBodyText"/>
                    <w:rPr>
                      <w:highlight w:val="red"/>
                    </w:rPr>
                  </w:pPr>
                </w:p>
              </w:tc>
              <w:tc>
                <w:tcPr>
                  <w:tcW w:w="713" w:type="dxa"/>
                </w:tcPr>
                <w:p w:rsidR="004856A8" w:rsidRPr="006040C5" w:rsidRDefault="004856A8" w:rsidP="004856A8">
                  <w:pPr>
                    <w:pStyle w:val="TableBodyText"/>
                    <w:rPr>
                      <w:highlight w:val="red"/>
                    </w:rPr>
                  </w:pPr>
                </w:p>
              </w:tc>
              <w:tc>
                <w:tcPr>
                  <w:tcW w:w="714" w:type="dxa"/>
                </w:tcPr>
                <w:p w:rsidR="004856A8" w:rsidRPr="006040C5" w:rsidRDefault="004856A8" w:rsidP="004856A8">
                  <w:pPr>
                    <w:pStyle w:val="TableBodyText"/>
                    <w:rPr>
                      <w:highlight w:val="red"/>
                    </w:rPr>
                  </w:pPr>
                </w:p>
              </w:tc>
              <w:tc>
                <w:tcPr>
                  <w:tcW w:w="713" w:type="dxa"/>
                </w:tcPr>
                <w:p w:rsidR="004856A8" w:rsidRPr="006040C5" w:rsidRDefault="004856A8" w:rsidP="004856A8">
                  <w:pPr>
                    <w:pStyle w:val="TableBodyText"/>
                    <w:rPr>
                      <w:highlight w:val="red"/>
                    </w:rPr>
                  </w:pPr>
                </w:p>
              </w:tc>
              <w:tc>
                <w:tcPr>
                  <w:tcW w:w="713" w:type="dxa"/>
                </w:tcPr>
                <w:p w:rsidR="004856A8" w:rsidRPr="006040C5" w:rsidRDefault="004856A8" w:rsidP="004856A8">
                  <w:pPr>
                    <w:pStyle w:val="TableBodyText"/>
                    <w:rPr>
                      <w:highlight w:val="red"/>
                    </w:rPr>
                  </w:pPr>
                </w:p>
              </w:tc>
              <w:tc>
                <w:tcPr>
                  <w:tcW w:w="714" w:type="dxa"/>
                </w:tcPr>
                <w:p w:rsidR="004856A8" w:rsidRPr="006040C5" w:rsidRDefault="004856A8" w:rsidP="004856A8">
                  <w:pPr>
                    <w:pStyle w:val="TableBodyText"/>
                    <w:rPr>
                      <w:highlight w:val="red"/>
                    </w:rPr>
                  </w:pPr>
                </w:p>
              </w:tc>
            </w:tr>
            <w:tr w:rsidR="004856A8" w:rsidRPr="006040C5" w:rsidTr="0055682A">
              <w:tc>
                <w:tcPr>
                  <w:tcW w:w="2370" w:type="dxa"/>
                </w:tcPr>
                <w:p w:rsidR="004856A8" w:rsidRPr="0055682A" w:rsidRDefault="0055682A" w:rsidP="0055682A">
                  <w:pPr>
                    <w:pStyle w:val="TableUnitsRow"/>
                    <w:jc w:val="left"/>
                  </w:pPr>
                  <w:r>
                    <w:t xml:space="preserve">  </w:t>
                  </w:r>
                  <w:r w:rsidR="004856A8" w:rsidRPr="0055682A">
                    <w:t>Government schools</w:t>
                  </w:r>
                </w:p>
              </w:tc>
              <w:tc>
                <w:tcPr>
                  <w:tcW w:w="713" w:type="dxa"/>
                  <w:vAlign w:val="center"/>
                </w:tcPr>
                <w:p w:rsidR="004856A8" w:rsidRDefault="004856A8" w:rsidP="004856A8">
                  <w:pPr>
                    <w:pStyle w:val="TableBodyText"/>
                  </w:pPr>
                  <w:r>
                    <w:t xml:space="preserve">  0.1</w:t>
                  </w:r>
                </w:p>
              </w:tc>
              <w:tc>
                <w:tcPr>
                  <w:tcW w:w="713" w:type="dxa"/>
                  <w:vAlign w:val="center"/>
                </w:tcPr>
                <w:p w:rsidR="004856A8" w:rsidRDefault="004856A8" w:rsidP="004856A8">
                  <w:pPr>
                    <w:pStyle w:val="TableBodyText"/>
                  </w:pPr>
                  <w:r>
                    <w:t>..</w:t>
                  </w:r>
                </w:p>
              </w:tc>
              <w:tc>
                <w:tcPr>
                  <w:tcW w:w="714" w:type="dxa"/>
                  <w:vAlign w:val="center"/>
                </w:tcPr>
                <w:p w:rsidR="004856A8" w:rsidRDefault="004856A8" w:rsidP="004856A8">
                  <w:pPr>
                    <w:pStyle w:val="TableBodyText"/>
                  </w:pPr>
                  <w:r>
                    <w:t xml:space="preserve">  1.5</w:t>
                  </w:r>
                </w:p>
              </w:tc>
              <w:tc>
                <w:tcPr>
                  <w:tcW w:w="713" w:type="dxa"/>
                  <w:vAlign w:val="center"/>
                </w:tcPr>
                <w:p w:rsidR="004856A8" w:rsidRDefault="004856A8" w:rsidP="004856A8">
                  <w:pPr>
                    <w:pStyle w:val="TableBodyText"/>
                  </w:pPr>
                  <w:r>
                    <w:t xml:space="preserve">  2.9</w:t>
                  </w:r>
                </w:p>
              </w:tc>
              <w:tc>
                <w:tcPr>
                  <w:tcW w:w="713" w:type="dxa"/>
                  <w:vAlign w:val="center"/>
                </w:tcPr>
                <w:p w:rsidR="004856A8" w:rsidRDefault="004856A8" w:rsidP="004856A8">
                  <w:pPr>
                    <w:pStyle w:val="TableBodyText"/>
                  </w:pPr>
                  <w:r>
                    <w:t xml:space="preserve">  1.2</w:t>
                  </w:r>
                </w:p>
              </w:tc>
              <w:tc>
                <w:tcPr>
                  <w:tcW w:w="714" w:type="dxa"/>
                  <w:vAlign w:val="center"/>
                </w:tcPr>
                <w:p w:rsidR="004856A8" w:rsidRDefault="004856A8" w:rsidP="0055682A">
                  <w:pPr>
                    <w:pStyle w:val="TableUnitsRow"/>
                  </w:pPr>
                  <w:r>
                    <w:t xml:space="preserve">  0.4</w:t>
                  </w:r>
                </w:p>
              </w:tc>
              <w:tc>
                <w:tcPr>
                  <w:tcW w:w="713" w:type="dxa"/>
                </w:tcPr>
                <w:p w:rsidR="004856A8" w:rsidRDefault="004856A8" w:rsidP="004856A8">
                  <w:pPr>
                    <w:pStyle w:val="TableBodyText"/>
                  </w:pPr>
                  <w:r w:rsidRPr="00D3782B">
                    <w:t>..</w:t>
                  </w:r>
                </w:p>
              </w:tc>
              <w:tc>
                <w:tcPr>
                  <w:tcW w:w="713" w:type="dxa"/>
                  <w:vAlign w:val="center"/>
                </w:tcPr>
                <w:p w:rsidR="004856A8" w:rsidRDefault="004856A8" w:rsidP="004856A8">
                  <w:pPr>
                    <w:pStyle w:val="TableBodyText"/>
                  </w:pPr>
                  <w:r>
                    <w:t xml:space="preserve">  29.1</w:t>
                  </w:r>
                </w:p>
              </w:tc>
              <w:tc>
                <w:tcPr>
                  <w:tcW w:w="714" w:type="dxa"/>
                  <w:vAlign w:val="center"/>
                </w:tcPr>
                <w:p w:rsidR="004856A8" w:rsidRDefault="004856A8" w:rsidP="004856A8">
                  <w:pPr>
                    <w:pStyle w:val="TableBodyText"/>
                  </w:pPr>
                  <w:r>
                    <w:t xml:space="preserve">  1.1</w:t>
                  </w:r>
                </w:p>
              </w:tc>
            </w:tr>
            <w:tr w:rsidR="004856A8" w:rsidTr="0055682A">
              <w:tc>
                <w:tcPr>
                  <w:tcW w:w="2370" w:type="dxa"/>
                </w:tcPr>
                <w:p w:rsidR="004856A8" w:rsidRPr="0055682A" w:rsidRDefault="0055682A" w:rsidP="0055682A">
                  <w:pPr>
                    <w:pStyle w:val="TableUnitsRow"/>
                    <w:jc w:val="left"/>
                  </w:pPr>
                  <w:r>
                    <w:t xml:space="preserve">  </w:t>
                  </w:r>
                  <w:r w:rsidR="004856A8" w:rsidRPr="0055682A">
                    <w:t>Non-government schools</w:t>
                  </w:r>
                </w:p>
              </w:tc>
              <w:tc>
                <w:tcPr>
                  <w:tcW w:w="713" w:type="dxa"/>
                  <w:vAlign w:val="center"/>
                </w:tcPr>
                <w:p w:rsidR="004856A8" w:rsidRDefault="004856A8" w:rsidP="004856A8">
                  <w:pPr>
                    <w:pStyle w:val="TableBodyText"/>
                  </w:pPr>
                  <w:r>
                    <w:t>–</w:t>
                  </w:r>
                </w:p>
              </w:tc>
              <w:tc>
                <w:tcPr>
                  <w:tcW w:w="713" w:type="dxa"/>
                  <w:vAlign w:val="center"/>
                </w:tcPr>
                <w:p w:rsidR="004856A8" w:rsidRDefault="004856A8" w:rsidP="004856A8">
                  <w:pPr>
                    <w:pStyle w:val="TableBodyText"/>
                  </w:pPr>
                  <w:r>
                    <w:t>..</w:t>
                  </w:r>
                </w:p>
              </w:tc>
              <w:tc>
                <w:tcPr>
                  <w:tcW w:w="714" w:type="dxa"/>
                  <w:vAlign w:val="center"/>
                </w:tcPr>
                <w:p w:rsidR="004856A8" w:rsidRDefault="004856A8" w:rsidP="004856A8">
                  <w:pPr>
                    <w:pStyle w:val="TableBodyText"/>
                  </w:pPr>
                  <w:r>
                    <w:t xml:space="preserve">  0.3</w:t>
                  </w:r>
                </w:p>
              </w:tc>
              <w:tc>
                <w:tcPr>
                  <w:tcW w:w="713" w:type="dxa"/>
                  <w:vAlign w:val="center"/>
                </w:tcPr>
                <w:p w:rsidR="004856A8" w:rsidRDefault="004856A8" w:rsidP="004856A8">
                  <w:pPr>
                    <w:pStyle w:val="TableBodyText"/>
                  </w:pPr>
                  <w:r>
                    <w:t xml:space="preserve">  1.2</w:t>
                  </w:r>
                </w:p>
              </w:tc>
              <w:tc>
                <w:tcPr>
                  <w:tcW w:w="713" w:type="dxa"/>
                  <w:vAlign w:val="center"/>
                </w:tcPr>
                <w:p w:rsidR="004856A8" w:rsidRDefault="004856A8" w:rsidP="004856A8">
                  <w:pPr>
                    <w:pStyle w:val="TableBodyText"/>
                  </w:pPr>
                  <w:r>
                    <w:t xml:space="preserve">  0.1</w:t>
                  </w:r>
                </w:p>
              </w:tc>
              <w:tc>
                <w:tcPr>
                  <w:tcW w:w="714" w:type="dxa"/>
                  <w:vAlign w:val="center"/>
                </w:tcPr>
                <w:p w:rsidR="004856A8" w:rsidRDefault="004856A8" w:rsidP="004856A8">
                  <w:pPr>
                    <w:pStyle w:val="TableBodyText"/>
                  </w:pPr>
                  <w:r>
                    <w:t>–</w:t>
                  </w:r>
                </w:p>
              </w:tc>
              <w:tc>
                <w:tcPr>
                  <w:tcW w:w="713" w:type="dxa"/>
                </w:tcPr>
                <w:p w:rsidR="004856A8" w:rsidRDefault="004856A8" w:rsidP="004856A8">
                  <w:pPr>
                    <w:pStyle w:val="TableBodyText"/>
                  </w:pPr>
                  <w:r w:rsidRPr="00D3782B">
                    <w:t>..</w:t>
                  </w:r>
                </w:p>
              </w:tc>
              <w:tc>
                <w:tcPr>
                  <w:tcW w:w="713" w:type="dxa"/>
                  <w:vAlign w:val="center"/>
                </w:tcPr>
                <w:p w:rsidR="004856A8" w:rsidRDefault="004856A8" w:rsidP="004856A8">
                  <w:pPr>
                    <w:pStyle w:val="TableBodyText"/>
                  </w:pPr>
                  <w:r>
                    <w:t xml:space="preserve">  12.5</w:t>
                  </w:r>
                </w:p>
              </w:tc>
              <w:tc>
                <w:tcPr>
                  <w:tcW w:w="714" w:type="dxa"/>
                  <w:vAlign w:val="center"/>
                </w:tcPr>
                <w:p w:rsidR="004856A8" w:rsidRDefault="004856A8" w:rsidP="004856A8">
                  <w:pPr>
                    <w:pStyle w:val="TableBodyText"/>
                  </w:pPr>
                  <w:r>
                    <w:t xml:space="preserve">  0.3</w:t>
                  </w:r>
                </w:p>
              </w:tc>
            </w:tr>
            <w:tr w:rsidR="004856A8" w:rsidTr="0055682A">
              <w:tc>
                <w:tcPr>
                  <w:tcW w:w="2370" w:type="dxa"/>
                  <w:tcBorders>
                    <w:bottom w:val="single" w:sz="6" w:space="0" w:color="auto"/>
                  </w:tcBorders>
                  <w:shd w:val="clear" w:color="auto" w:fill="auto"/>
                </w:tcPr>
                <w:p w:rsidR="004856A8" w:rsidRPr="0055682A" w:rsidRDefault="0055682A" w:rsidP="0055682A">
                  <w:pPr>
                    <w:pStyle w:val="TableUnitsRow"/>
                    <w:jc w:val="left"/>
                  </w:pPr>
                  <w:r>
                    <w:t xml:space="preserve">  </w:t>
                  </w:r>
                  <w:r w:rsidR="004856A8" w:rsidRPr="0055682A">
                    <w:t>All schools</w:t>
                  </w:r>
                </w:p>
              </w:tc>
              <w:tc>
                <w:tcPr>
                  <w:tcW w:w="713" w:type="dxa"/>
                  <w:tcBorders>
                    <w:bottom w:val="single" w:sz="6" w:space="0" w:color="auto"/>
                  </w:tcBorders>
                  <w:shd w:val="clear" w:color="auto" w:fill="auto"/>
                  <w:vAlign w:val="center"/>
                </w:tcPr>
                <w:p w:rsidR="004856A8" w:rsidRDefault="004856A8" w:rsidP="004856A8">
                  <w:pPr>
                    <w:pStyle w:val="TableBodyText"/>
                  </w:pPr>
                  <w:r>
                    <w:t xml:space="preserve">  0.1</w:t>
                  </w:r>
                </w:p>
              </w:tc>
              <w:tc>
                <w:tcPr>
                  <w:tcW w:w="713" w:type="dxa"/>
                  <w:tcBorders>
                    <w:bottom w:val="single" w:sz="6" w:space="0" w:color="auto"/>
                  </w:tcBorders>
                  <w:shd w:val="clear" w:color="auto" w:fill="auto"/>
                  <w:vAlign w:val="center"/>
                </w:tcPr>
                <w:p w:rsidR="004856A8" w:rsidRDefault="004856A8" w:rsidP="004856A8">
                  <w:pPr>
                    <w:pStyle w:val="TableBodyText"/>
                  </w:pPr>
                  <w:r>
                    <w:t>..</w:t>
                  </w:r>
                </w:p>
              </w:tc>
              <w:tc>
                <w:tcPr>
                  <w:tcW w:w="714" w:type="dxa"/>
                  <w:tcBorders>
                    <w:bottom w:val="single" w:sz="6" w:space="0" w:color="auto"/>
                  </w:tcBorders>
                  <w:shd w:val="clear" w:color="auto" w:fill="auto"/>
                  <w:vAlign w:val="center"/>
                </w:tcPr>
                <w:p w:rsidR="004856A8" w:rsidRDefault="004856A8" w:rsidP="004856A8">
                  <w:pPr>
                    <w:pStyle w:val="TableBodyText"/>
                  </w:pPr>
                  <w:r>
                    <w:t xml:space="preserve">  1.1</w:t>
                  </w:r>
                </w:p>
              </w:tc>
              <w:tc>
                <w:tcPr>
                  <w:tcW w:w="713" w:type="dxa"/>
                  <w:tcBorders>
                    <w:bottom w:val="single" w:sz="6" w:space="0" w:color="auto"/>
                  </w:tcBorders>
                  <w:shd w:val="clear" w:color="auto" w:fill="auto"/>
                  <w:vAlign w:val="center"/>
                </w:tcPr>
                <w:p w:rsidR="004856A8" w:rsidRDefault="004856A8" w:rsidP="004856A8">
                  <w:pPr>
                    <w:pStyle w:val="TableBodyText"/>
                  </w:pPr>
                  <w:r>
                    <w:t xml:space="preserve">  2.3</w:t>
                  </w:r>
                </w:p>
              </w:tc>
              <w:tc>
                <w:tcPr>
                  <w:tcW w:w="713" w:type="dxa"/>
                  <w:tcBorders>
                    <w:bottom w:val="single" w:sz="6" w:space="0" w:color="auto"/>
                  </w:tcBorders>
                  <w:shd w:val="clear" w:color="auto" w:fill="auto"/>
                  <w:vAlign w:val="center"/>
                </w:tcPr>
                <w:p w:rsidR="004856A8" w:rsidRDefault="004856A8" w:rsidP="004856A8">
                  <w:pPr>
                    <w:pStyle w:val="TableBodyText"/>
                  </w:pPr>
                  <w:r>
                    <w:t xml:space="preserve">  0.8</w:t>
                  </w:r>
                </w:p>
              </w:tc>
              <w:tc>
                <w:tcPr>
                  <w:tcW w:w="714" w:type="dxa"/>
                  <w:tcBorders>
                    <w:bottom w:val="single" w:sz="6" w:space="0" w:color="auto"/>
                  </w:tcBorders>
                  <w:shd w:val="clear" w:color="auto" w:fill="auto"/>
                  <w:vAlign w:val="center"/>
                </w:tcPr>
                <w:p w:rsidR="004856A8" w:rsidRDefault="004856A8" w:rsidP="004856A8">
                  <w:pPr>
                    <w:pStyle w:val="TableBodyText"/>
                  </w:pPr>
                  <w:r>
                    <w:t xml:space="preserve">  0.3</w:t>
                  </w:r>
                </w:p>
              </w:tc>
              <w:tc>
                <w:tcPr>
                  <w:tcW w:w="713" w:type="dxa"/>
                  <w:tcBorders>
                    <w:bottom w:val="single" w:sz="6" w:space="0" w:color="auto"/>
                  </w:tcBorders>
                  <w:shd w:val="clear" w:color="auto" w:fill="auto"/>
                </w:tcPr>
                <w:p w:rsidR="004856A8" w:rsidRDefault="004856A8" w:rsidP="004856A8">
                  <w:pPr>
                    <w:pStyle w:val="TableBodyText"/>
                  </w:pPr>
                  <w:r w:rsidRPr="00D3782B">
                    <w:t>..</w:t>
                  </w:r>
                </w:p>
              </w:tc>
              <w:tc>
                <w:tcPr>
                  <w:tcW w:w="713" w:type="dxa"/>
                  <w:tcBorders>
                    <w:bottom w:val="single" w:sz="6" w:space="0" w:color="auto"/>
                  </w:tcBorders>
                  <w:shd w:val="clear" w:color="auto" w:fill="auto"/>
                  <w:vAlign w:val="center"/>
                </w:tcPr>
                <w:p w:rsidR="004856A8" w:rsidRDefault="004856A8" w:rsidP="004856A8">
                  <w:pPr>
                    <w:pStyle w:val="TableBodyText"/>
                  </w:pPr>
                  <w:r>
                    <w:t xml:space="preserve">  24.5</w:t>
                  </w:r>
                </w:p>
              </w:tc>
              <w:tc>
                <w:tcPr>
                  <w:tcW w:w="714" w:type="dxa"/>
                  <w:tcBorders>
                    <w:bottom w:val="single" w:sz="6" w:space="0" w:color="auto"/>
                  </w:tcBorders>
                  <w:shd w:val="clear" w:color="auto" w:fill="auto"/>
                  <w:vAlign w:val="center"/>
                </w:tcPr>
                <w:p w:rsidR="004856A8" w:rsidRDefault="004856A8" w:rsidP="004856A8">
                  <w:pPr>
                    <w:pStyle w:val="TableBodyText"/>
                  </w:pPr>
                  <w:r>
                    <w:t xml:space="preserve">  0.8</w:t>
                  </w:r>
                </w:p>
              </w:tc>
            </w:tr>
          </w:tbl>
          <w:p w:rsidR="000F1E10" w:rsidRDefault="000F1E10" w:rsidP="00E41D90">
            <w:pPr>
              <w:pStyle w:val="Box"/>
            </w:pPr>
          </w:p>
        </w:tc>
      </w:tr>
      <w:tr w:rsidR="000F1E10" w:rsidTr="00A11734">
        <w:trPr>
          <w:cantSplit/>
        </w:trPr>
        <w:tc>
          <w:tcPr>
            <w:tcW w:w="8771" w:type="dxa"/>
            <w:tcBorders>
              <w:top w:val="nil"/>
              <w:left w:val="nil"/>
              <w:bottom w:val="nil"/>
              <w:right w:val="nil"/>
            </w:tcBorders>
            <w:shd w:val="clear" w:color="auto" w:fill="auto"/>
          </w:tcPr>
          <w:p w:rsidR="000F1E10" w:rsidRPr="000F1E10" w:rsidRDefault="000F1E10" w:rsidP="004463B9">
            <w:pPr>
              <w:pStyle w:val="Note"/>
            </w:pPr>
            <w:r w:rsidRPr="008E77FE">
              <w:rPr>
                <w:rStyle w:val="NoteLabel"/>
              </w:rPr>
              <w:t>a</w:t>
            </w:r>
            <w:r w:rsidRPr="000F1E10">
              <w:t> </w:t>
            </w:r>
            <w:r w:rsidRPr="00540B73">
              <w:t xml:space="preserve">Proportions are based on school sector (for example, students in government schools in remote areas as a proportion of all government school students). </w:t>
            </w:r>
            <w:r w:rsidRPr="00540B73">
              <w:rPr>
                <w:rStyle w:val="NoteLabel"/>
              </w:rPr>
              <w:t>b</w:t>
            </w:r>
            <w:r w:rsidRPr="00540B73">
              <w:t xml:space="preserve"> Victoria has no very remote areas. The ACT has no remote or very remote areas. </w:t>
            </w:r>
            <w:r w:rsidR="004463B9" w:rsidRPr="00540B73">
              <w:rPr>
                <w:rStyle w:val="NoteLabel"/>
              </w:rPr>
              <w:t>c</w:t>
            </w:r>
            <w:r w:rsidR="004463B9" w:rsidRPr="00540B73">
              <w:t xml:space="preserve"> Values in this table may differ slightly from data reported in the National Schools Statistics Collection (</w:t>
            </w:r>
            <w:proofErr w:type="spellStart"/>
            <w:r w:rsidR="004463B9" w:rsidRPr="00540B73">
              <w:t>NSSC</w:t>
            </w:r>
            <w:proofErr w:type="spellEnd"/>
            <w:r w:rsidR="004463B9" w:rsidRPr="00540B73">
              <w:t xml:space="preserve">) as the Australian Government Department of Education has generated this table using student enrolments whose region status has been identified at the campus level rather than at the school level, as is done in the </w:t>
            </w:r>
            <w:proofErr w:type="spellStart"/>
            <w:r w:rsidR="004463B9" w:rsidRPr="00540B73">
              <w:t>NSSC</w:t>
            </w:r>
            <w:proofErr w:type="spellEnd"/>
            <w:r w:rsidR="004463B9" w:rsidRPr="00540B73">
              <w:t>. Also, the Australian</w:t>
            </w:r>
            <w:r w:rsidR="004463B9" w:rsidRPr="00A11734">
              <w:rPr>
                <w:shd w:val="clear" w:color="auto" w:fill="FFFFFF" w:themeFill="background1"/>
              </w:rPr>
              <w:t xml:space="preserve"> Government Department of Education has allocated all campuses to a region; therefore, unlike the </w:t>
            </w:r>
            <w:proofErr w:type="spellStart"/>
            <w:r w:rsidR="004463B9" w:rsidRPr="00A11734">
              <w:rPr>
                <w:shd w:val="clear" w:color="auto" w:fill="FFFFFF" w:themeFill="background1"/>
              </w:rPr>
              <w:t>NSSC</w:t>
            </w:r>
            <w:proofErr w:type="spellEnd"/>
            <w:r w:rsidR="004463B9" w:rsidRPr="00A11734">
              <w:rPr>
                <w:shd w:val="clear" w:color="auto" w:fill="FFFFFF" w:themeFill="background1"/>
              </w:rPr>
              <w:t xml:space="preserve">, there is no ‘not stated’ category in these tables. The totals reported in this table align with the </w:t>
            </w:r>
            <w:proofErr w:type="spellStart"/>
            <w:r w:rsidR="004463B9" w:rsidRPr="00A11734">
              <w:rPr>
                <w:shd w:val="clear" w:color="auto" w:fill="FFFFFF" w:themeFill="background1"/>
              </w:rPr>
              <w:t>NSS</w:t>
            </w:r>
            <w:r w:rsidR="00540B73">
              <w:rPr>
                <w:shd w:val="clear" w:color="auto" w:fill="FFFFFF" w:themeFill="background1"/>
              </w:rPr>
              <w:t>C</w:t>
            </w:r>
            <w:proofErr w:type="spellEnd"/>
            <w:r w:rsidR="00540B73">
              <w:rPr>
                <w:shd w:val="clear" w:color="auto" w:fill="FFFFFF" w:themeFill="background1"/>
              </w:rPr>
              <w:t>. ..</w:t>
            </w:r>
            <w:r w:rsidRPr="00A11734">
              <w:rPr>
                <w:shd w:val="clear" w:color="auto" w:fill="FFFFFF" w:themeFill="background1"/>
              </w:rPr>
              <w:t xml:space="preserve"> Not applicable. – Nil</w:t>
            </w:r>
            <w:r w:rsidRPr="000F1E10">
              <w:t xml:space="preserve"> or </w:t>
            </w:r>
            <w:r>
              <w:t>rounded to zero.</w:t>
            </w:r>
          </w:p>
        </w:tc>
      </w:tr>
      <w:tr w:rsidR="000F1E10" w:rsidTr="00E41D90">
        <w:trPr>
          <w:cantSplit/>
        </w:trPr>
        <w:tc>
          <w:tcPr>
            <w:tcW w:w="8771" w:type="dxa"/>
            <w:tcBorders>
              <w:top w:val="nil"/>
              <w:left w:val="nil"/>
              <w:bottom w:val="nil"/>
              <w:right w:val="nil"/>
            </w:tcBorders>
            <w:shd w:val="clear" w:color="auto" w:fill="auto"/>
          </w:tcPr>
          <w:p w:rsidR="000F1E10" w:rsidRDefault="000F1E10" w:rsidP="000F1E10">
            <w:pPr>
              <w:pStyle w:val="Source"/>
            </w:pPr>
            <w:r>
              <w:rPr>
                <w:i/>
              </w:rPr>
              <w:t>Source</w:t>
            </w:r>
            <w:r w:rsidRPr="00167F06">
              <w:t xml:space="preserve">: </w:t>
            </w:r>
            <w:r w:rsidRPr="000F1E10">
              <w:t xml:space="preserve">Australian Government Department of Education (unpublished); table </w:t>
            </w:r>
            <w:proofErr w:type="spellStart"/>
            <w:r w:rsidRPr="000F1E10">
              <w:t>4A.35</w:t>
            </w:r>
            <w:proofErr w:type="spellEnd"/>
            <w:r w:rsidRPr="000F1E10">
              <w:t>.</w:t>
            </w:r>
          </w:p>
        </w:tc>
      </w:tr>
      <w:tr w:rsidR="000F1E10" w:rsidTr="00E41D90">
        <w:trPr>
          <w:cantSplit/>
        </w:trPr>
        <w:tc>
          <w:tcPr>
            <w:tcW w:w="8771" w:type="dxa"/>
            <w:tcBorders>
              <w:top w:val="nil"/>
              <w:left w:val="nil"/>
              <w:bottom w:val="single" w:sz="6" w:space="0" w:color="78A22F"/>
              <w:right w:val="nil"/>
            </w:tcBorders>
            <w:shd w:val="clear" w:color="auto" w:fill="auto"/>
          </w:tcPr>
          <w:p w:rsidR="000F1E10" w:rsidRDefault="000F1E10" w:rsidP="00E41D90">
            <w:pPr>
              <w:pStyle w:val="Box"/>
              <w:spacing w:before="0" w:line="120" w:lineRule="exact"/>
            </w:pPr>
          </w:p>
        </w:tc>
      </w:tr>
      <w:tr w:rsidR="000F1E10" w:rsidRPr="000863A5" w:rsidTr="00E41D90">
        <w:tc>
          <w:tcPr>
            <w:tcW w:w="8771" w:type="dxa"/>
            <w:tcBorders>
              <w:top w:val="single" w:sz="6" w:space="0" w:color="78A22F"/>
              <w:left w:val="nil"/>
              <w:bottom w:val="nil"/>
              <w:right w:val="nil"/>
            </w:tcBorders>
          </w:tcPr>
          <w:p w:rsidR="000F1E10" w:rsidRPr="00626D32" w:rsidRDefault="000F1E10" w:rsidP="00E41D90">
            <w:pPr>
              <w:pStyle w:val="BoxSpaceBelow"/>
            </w:pPr>
          </w:p>
        </w:tc>
      </w:tr>
    </w:tbl>
    <w:p w:rsidR="00666ECE" w:rsidRPr="007B0AE2" w:rsidRDefault="00666ECE" w:rsidP="00845DD5">
      <w:pPr>
        <w:pStyle w:val="Heading5"/>
      </w:pPr>
      <w:r w:rsidRPr="007B0AE2">
        <w:t xml:space="preserve">Students from families of low </w:t>
      </w:r>
      <w:proofErr w:type="spellStart"/>
      <w:r w:rsidRPr="007B0AE2">
        <w:t>socio</w:t>
      </w:r>
      <w:r w:rsidR="009131A4" w:rsidRPr="007B0AE2">
        <w:t>-</w:t>
      </w:r>
      <w:r w:rsidRPr="007B0AE2">
        <w:t>economic</w:t>
      </w:r>
      <w:proofErr w:type="spellEnd"/>
      <w:r w:rsidRPr="007B0AE2">
        <w:t xml:space="preserve"> status</w:t>
      </w:r>
    </w:p>
    <w:p w:rsidR="00666ECE" w:rsidRPr="00963842" w:rsidRDefault="00666ECE" w:rsidP="009A0722">
      <w:pPr>
        <w:pStyle w:val="BodyText"/>
      </w:pPr>
      <w:r w:rsidRPr="00666ECE">
        <w:t xml:space="preserve">A range of </w:t>
      </w:r>
      <w:r w:rsidR="0019719B">
        <w:t xml:space="preserve">measures by </w:t>
      </w:r>
      <w:proofErr w:type="spellStart"/>
      <w:r w:rsidRPr="00666ECE">
        <w:t>socio</w:t>
      </w:r>
      <w:r w:rsidR="009131A4">
        <w:t>-</w:t>
      </w:r>
      <w:r w:rsidRPr="00666ECE">
        <w:t>economic</w:t>
      </w:r>
      <w:proofErr w:type="spellEnd"/>
      <w:r w:rsidRPr="00666ECE">
        <w:t xml:space="preserve"> status, such as learning outcomes by parental occupation and parental education</w:t>
      </w:r>
      <w:r w:rsidR="0019719B">
        <w:t>,</w:t>
      </w:r>
      <w:r w:rsidRPr="00666ECE">
        <w:t xml:space="preserve"> are included in this Report. Approximately 1700 schools in Australia (over 17 per cent of all schools) </w:t>
      </w:r>
      <w:r w:rsidR="00D45855">
        <w:t>were</w:t>
      </w:r>
      <w:r w:rsidRPr="00666ECE">
        <w:t xml:space="preserve"> identified to participate in the Smarter Schools National Partnership for Low Socio</w:t>
      </w:r>
      <w:r w:rsidR="009131A4">
        <w:noBreakHyphen/>
      </w:r>
      <w:r w:rsidRPr="00666ECE">
        <w:t xml:space="preserve">economic Status School Communities. These disadvantaged schools were identified using the ABS Index of </w:t>
      </w:r>
      <w:r w:rsidRPr="00640DB6">
        <w:t>Relative Socio-economic Disadvantage (</w:t>
      </w:r>
      <w:proofErr w:type="spellStart"/>
      <w:r w:rsidRPr="00640DB6">
        <w:t>IRSD</w:t>
      </w:r>
      <w:proofErr w:type="spellEnd"/>
      <w:r w:rsidRPr="00640DB6">
        <w:t xml:space="preserve">), based on student address or school location. Further measures of </w:t>
      </w:r>
      <w:proofErr w:type="spellStart"/>
      <w:r w:rsidRPr="00640DB6">
        <w:t>socio-economic</w:t>
      </w:r>
      <w:proofErr w:type="spellEnd"/>
      <w:r w:rsidRPr="00640DB6">
        <w:t xml:space="preserve"> status are being developed.</w:t>
      </w:r>
      <w:r w:rsidR="003A5B31" w:rsidRPr="00640DB6">
        <w:t xml:space="preserve"> </w:t>
      </w:r>
    </w:p>
    <w:p w:rsidR="00666ECE" w:rsidRPr="00666ECE" w:rsidRDefault="00666ECE" w:rsidP="007B0AE2">
      <w:pPr>
        <w:pStyle w:val="Heading2"/>
      </w:pPr>
      <w:bookmarkStart w:id="10" w:name="_Toc405974306"/>
      <w:r w:rsidRPr="00666ECE">
        <w:lastRenderedPageBreak/>
        <w:t>4.2</w:t>
      </w:r>
      <w:r w:rsidRPr="00666ECE">
        <w:tab/>
        <w:t>Framework of performance indicators</w:t>
      </w:r>
      <w:bookmarkEnd w:id="10"/>
    </w:p>
    <w:p w:rsidR="00666ECE" w:rsidRPr="009A0722" w:rsidRDefault="00666ECE" w:rsidP="009A0722">
      <w:pPr>
        <w:pStyle w:val="BodyText"/>
      </w:pPr>
      <w:r w:rsidRPr="009A0722">
        <w:t>This chapter provides performance information on the equity, effectiveness and efficiency of government expenditure on all schools in Australia.</w:t>
      </w:r>
    </w:p>
    <w:p w:rsidR="00666ECE" w:rsidRPr="009A0722" w:rsidRDefault="00666ECE" w:rsidP="009A0722">
      <w:pPr>
        <w:pStyle w:val="BodyText"/>
      </w:pPr>
      <w:r w:rsidRPr="009A0722">
        <w:t>Governments own and operate government schools, and have a direct interest in the equity, efficiency and effectiveness of their operation. In addition, governments are committed to providing access to education for all students and contribute to the funding of non</w:t>
      </w:r>
      <w:r w:rsidR="00817F8F">
        <w:noBreakHyphen/>
      </w:r>
      <w:r w:rsidRPr="009A0722">
        <w:t>government schools. However, this chapter does not report on non</w:t>
      </w:r>
      <w:r w:rsidRPr="009A0722">
        <w:noBreakHyphen/>
        <w:t>government sources of funding, and so does not compare the efficiency of government and non</w:t>
      </w:r>
      <w:r w:rsidR="00817F8F">
        <w:noBreakHyphen/>
      </w:r>
      <w:r w:rsidRPr="009A0722">
        <w:t>government schools.</w:t>
      </w:r>
    </w:p>
    <w:p w:rsidR="00666ECE" w:rsidRPr="009A0722" w:rsidRDefault="00666ECE" w:rsidP="009A0722">
      <w:pPr>
        <w:pStyle w:val="BodyText"/>
      </w:pPr>
      <w:r w:rsidRPr="009A0722">
        <w:t>Box 4.</w:t>
      </w:r>
      <w:r w:rsidR="007275F7">
        <w:t>2</w:t>
      </w:r>
      <w:r w:rsidRPr="009A0722">
        <w:t xml:space="preserve"> describes the educational goals for young Australians, agreed by education Ministers in the Melbourne Declaration. Commitments to action by governments in eight inter-related areas are also included in the Melbourne Declaration (</w:t>
      </w:r>
      <w:proofErr w:type="spellStart"/>
      <w:r w:rsidRPr="009A0722">
        <w:t>MCEETYA</w:t>
      </w:r>
      <w:proofErr w:type="spellEnd"/>
      <w:r w:rsidRPr="009A0722">
        <w:t xml:space="preserve"> 2008).</w:t>
      </w:r>
      <w:r w:rsidR="00817F8F" w:rsidRPr="00817F8F">
        <w:rPr>
          <w:position w:val="6"/>
          <w:sz w:val="22"/>
        </w:rPr>
        <w:t xml:space="preserve"> </w:t>
      </w:r>
      <w:r w:rsidR="00817F8F" w:rsidRPr="00666ECE">
        <w:rPr>
          <w:position w:val="6"/>
          <w:sz w:val="22"/>
        </w:rPr>
        <w:footnoteReference w:id="3"/>
      </w:r>
    </w:p>
    <w:p w:rsidR="00354E9A" w:rsidRDefault="00354E9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54E9A" w:rsidTr="00354E9A">
        <w:tc>
          <w:tcPr>
            <w:tcW w:w="8771" w:type="dxa"/>
            <w:tcBorders>
              <w:top w:val="single" w:sz="6" w:space="0" w:color="78A22F"/>
              <w:left w:val="nil"/>
              <w:bottom w:val="nil"/>
              <w:right w:val="nil"/>
            </w:tcBorders>
            <w:shd w:val="clear" w:color="auto" w:fill="F2F2F2"/>
          </w:tcPr>
          <w:p w:rsidR="00354E9A" w:rsidRDefault="00354E9A">
            <w:pPr>
              <w:pStyle w:val="BoxTitle"/>
            </w:pPr>
            <w:r>
              <w:rPr>
                <w:b w:val="0"/>
              </w:rPr>
              <w:t xml:space="preserve">Box </w:t>
            </w:r>
            <w:r w:rsidR="00B70781">
              <w:rPr>
                <w:b w:val="0"/>
              </w:rPr>
              <w:t>4.</w:t>
            </w:r>
            <w:r w:rsidR="005953B6">
              <w:rPr>
                <w:b w:val="0"/>
                <w:noProof/>
              </w:rPr>
              <w:t>2</w:t>
            </w:r>
            <w:r>
              <w:tab/>
            </w:r>
            <w:r w:rsidRPr="00354E9A">
              <w:t>National goals for schooling in the 21st century</w:t>
            </w:r>
          </w:p>
        </w:tc>
      </w:tr>
      <w:tr w:rsidR="00354E9A" w:rsidTr="00354E9A">
        <w:trPr>
          <w:cantSplit/>
        </w:trPr>
        <w:tc>
          <w:tcPr>
            <w:tcW w:w="8771" w:type="dxa"/>
            <w:tcBorders>
              <w:top w:val="nil"/>
              <w:left w:val="nil"/>
              <w:bottom w:val="nil"/>
              <w:right w:val="nil"/>
            </w:tcBorders>
            <w:shd w:val="clear" w:color="auto" w:fill="F2F2F2"/>
          </w:tcPr>
          <w:p w:rsidR="00354E9A" w:rsidRPr="00354E9A" w:rsidRDefault="00354E9A" w:rsidP="00354E9A">
            <w:pPr>
              <w:pStyle w:val="Box"/>
            </w:pPr>
            <w:r w:rsidRPr="00354E9A">
              <w:t xml:space="preserve">In December 2008, the </w:t>
            </w:r>
            <w:proofErr w:type="spellStart"/>
            <w:r w:rsidRPr="00354E9A">
              <w:t>MCEETYA</w:t>
            </w:r>
            <w:proofErr w:type="spellEnd"/>
            <w:r w:rsidRPr="00354E9A">
              <w:t xml:space="preserve"> endorsed the following national goals for school education.</w:t>
            </w:r>
          </w:p>
          <w:p w:rsidR="00354E9A" w:rsidRPr="00354E9A" w:rsidRDefault="00354E9A" w:rsidP="00354E9A">
            <w:pPr>
              <w:pStyle w:val="Box"/>
            </w:pPr>
            <w:r w:rsidRPr="00354E9A">
              <w:t>Improving educational outcomes for all young Australians is central to the nation’s social and economic prosperity and will position young people to live fulfilling, productive and responsible lives. Young Australians are therefore placed at the centre of the Melbourne Declaration on Educational Goals.</w:t>
            </w:r>
          </w:p>
          <w:p w:rsidR="00354E9A" w:rsidRPr="00354E9A" w:rsidRDefault="00354E9A" w:rsidP="00354E9A">
            <w:pPr>
              <w:pStyle w:val="Box"/>
            </w:pPr>
            <w:r w:rsidRPr="00354E9A">
              <w:t>These goals are:</w:t>
            </w:r>
          </w:p>
          <w:p w:rsidR="00354E9A" w:rsidRPr="00354E9A" w:rsidRDefault="00354E9A" w:rsidP="00354E9A">
            <w:pPr>
              <w:pStyle w:val="Box"/>
            </w:pPr>
            <w:r w:rsidRPr="00354E9A">
              <w:t xml:space="preserve">Goal 1: Australian schooling promotes equity and excellence </w:t>
            </w:r>
          </w:p>
          <w:p w:rsidR="00354E9A" w:rsidRPr="00354E9A" w:rsidRDefault="00354E9A" w:rsidP="00354E9A">
            <w:pPr>
              <w:pStyle w:val="Box"/>
            </w:pPr>
            <w:r w:rsidRPr="00354E9A">
              <w:t>Goal 2: All young Australians become:</w:t>
            </w:r>
          </w:p>
          <w:p w:rsidR="00354E9A" w:rsidRPr="00354E9A" w:rsidRDefault="00354E9A" w:rsidP="00354E9A">
            <w:pPr>
              <w:pStyle w:val="BoxListBullet"/>
            </w:pPr>
            <w:r w:rsidRPr="00354E9A">
              <w:t>successful learners</w:t>
            </w:r>
          </w:p>
          <w:p w:rsidR="00354E9A" w:rsidRPr="00354E9A" w:rsidRDefault="00354E9A" w:rsidP="00354E9A">
            <w:pPr>
              <w:pStyle w:val="BoxListBullet"/>
            </w:pPr>
            <w:r w:rsidRPr="00354E9A">
              <w:t>confident and creative individuals</w:t>
            </w:r>
          </w:p>
          <w:p w:rsidR="00354E9A" w:rsidRDefault="00354E9A" w:rsidP="00354E9A">
            <w:pPr>
              <w:pStyle w:val="BoxListBullet"/>
            </w:pPr>
            <w:r w:rsidRPr="00354E9A">
              <w:t>active and informed citizens.</w:t>
            </w:r>
          </w:p>
        </w:tc>
      </w:tr>
      <w:tr w:rsidR="00354E9A" w:rsidTr="00354E9A">
        <w:trPr>
          <w:cantSplit/>
        </w:trPr>
        <w:tc>
          <w:tcPr>
            <w:tcW w:w="8771" w:type="dxa"/>
            <w:tcBorders>
              <w:top w:val="nil"/>
              <w:left w:val="nil"/>
              <w:bottom w:val="nil"/>
              <w:right w:val="nil"/>
            </w:tcBorders>
            <w:shd w:val="clear" w:color="auto" w:fill="F2F2F2"/>
          </w:tcPr>
          <w:p w:rsidR="00354E9A" w:rsidRDefault="00354E9A" w:rsidP="00354E9A">
            <w:pPr>
              <w:pStyle w:val="BoxSource"/>
            </w:pPr>
            <w:r>
              <w:rPr>
                <w:i/>
              </w:rPr>
              <w:t>Source:</w:t>
            </w:r>
            <w:r w:rsidRPr="00666ECE">
              <w:t xml:space="preserve"> Adapted from </w:t>
            </w:r>
            <w:proofErr w:type="spellStart"/>
            <w:r w:rsidRPr="00666ECE">
              <w:t>MCEETYA</w:t>
            </w:r>
            <w:proofErr w:type="spellEnd"/>
            <w:r w:rsidRPr="00666ECE">
              <w:t xml:space="preserve"> (2008).</w:t>
            </w:r>
          </w:p>
        </w:tc>
      </w:tr>
      <w:tr w:rsidR="00354E9A" w:rsidTr="00354E9A">
        <w:trPr>
          <w:cantSplit/>
        </w:trPr>
        <w:tc>
          <w:tcPr>
            <w:tcW w:w="8771" w:type="dxa"/>
            <w:tcBorders>
              <w:top w:val="nil"/>
              <w:left w:val="nil"/>
              <w:bottom w:val="single" w:sz="6" w:space="0" w:color="78A22F"/>
              <w:right w:val="nil"/>
            </w:tcBorders>
            <w:shd w:val="clear" w:color="auto" w:fill="F2F2F2"/>
          </w:tcPr>
          <w:p w:rsidR="00354E9A" w:rsidRDefault="00354E9A">
            <w:pPr>
              <w:pStyle w:val="Box"/>
              <w:spacing w:before="0" w:line="120" w:lineRule="exact"/>
            </w:pPr>
          </w:p>
        </w:tc>
      </w:tr>
      <w:tr w:rsidR="00354E9A" w:rsidRPr="000863A5" w:rsidTr="00354E9A">
        <w:tc>
          <w:tcPr>
            <w:tcW w:w="8771" w:type="dxa"/>
            <w:tcBorders>
              <w:top w:val="single" w:sz="6" w:space="0" w:color="78A22F"/>
              <w:left w:val="nil"/>
              <w:bottom w:val="nil"/>
              <w:right w:val="nil"/>
            </w:tcBorders>
          </w:tcPr>
          <w:p w:rsidR="00354E9A" w:rsidRPr="00626D32" w:rsidRDefault="00354E9A" w:rsidP="00354E9A">
            <w:pPr>
              <w:pStyle w:val="BoxSpaceBelow"/>
            </w:pPr>
          </w:p>
        </w:tc>
      </w:tr>
    </w:tbl>
    <w:p w:rsidR="00666ECE" w:rsidRPr="00666ECE" w:rsidRDefault="00666ECE" w:rsidP="009A0722">
      <w:pPr>
        <w:pStyle w:val="BodyText"/>
      </w:pPr>
      <w:r w:rsidRPr="00666ECE">
        <w:t>The performance of school education is reported against the indicator framework in figure</w:t>
      </w:r>
      <w:r w:rsidR="00C92821">
        <w:t> </w:t>
      </w:r>
      <w:r w:rsidRPr="00666ECE">
        <w:t>4.</w:t>
      </w:r>
      <w:r w:rsidR="00540B73">
        <w:t>5</w:t>
      </w:r>
      <w:r w:rsidRPr="00666ECE">
        <w:t>. This framework reflects the objectives in box 4.</w:t>
      </w:r>
      <w:r w:rsidR="00817F8F">
        <w:t>2</w:t>
      </w:r>
      <w:r w:rsidRPr="00666ECE">
        <w:t>, and is aligned with the NEA and N</w:t>
      </w:r>
      <w:r w:rsidR="000B2CA3">
        <w:t>ational Indigenous Reform Agreement (</w:t>
      </w:r>
      <w:proofErr w:type="spellStart"/>
      <w:r w:rsidR="000B2CA3">
        <w:t>N</w:t>
      </w:r>
      <w:r w:rsidRPr="00666ECE">
        <w:t>IRA</w:t>
      </w:r>
      <w:proofErr w:type="spellEnd"/>
      <w:r w:rsidR="000B2CA3">
        <w:t>)</w:t>
      </w:r>
      <w:r w:rsidRPr="00666ECE">
        <w:t xml:space="preserve">. </w:t>
      </w:r>
    </w:p>
    <w:p w:rsidR="00666ECE" w:rsidRPr="00666ECE" w:rsidRDefault="00666ECE" w:rsidP="009A0722">
      <w:pPr>
        <w:pStyle w:val="BodyText"/>
      </w:pPr>
      <w:proofErr w:type="spellStart"/>
      <w:r w:rsidRPr="00666ECE">
        <w:t>COAG</w:t>
      </w:r>
      <w:proofErr w:type="spellEnd"/>
      <w:r w:rsidRPr="00666ECE">
        <w:t xml:space="preserve"> has agreed six National Agreements to enhance accountability to the public for the outcomes achieved or outputs delivered by a range of government services (see chapter 1 for more detail on reforms t</w:t>
      </w:r>
      <w:r w:rsidR="00E65701">
        <w:t>o federal financial relations).</w:t>
      </w:r>
    </w:p>
    <w:p w:rsidR="00666ECE" w:rsidRPr="00963842" w:rsidRDefault="00666ECE" w:rsidP="009A0722">
      <w:pPr>
        <w:pStyle w:val="BodyText"/>
      </w:pPr>
      <w:r w:rsidRPr="00666ECE">
        <w:lastRenderedPageBreak/>
        <w:t xml:space="preserve">The NEA covers the area of school education, and education and training indicators in the </w:t>
      </w:r>
      <w:proofErr w:type="spellStart"/>
      <w:r w:rsidRPr="00666ECE">
        <w:t>NIRA</w:t>
      </w:r>
      <w:proofErr w:type="spellEnd"/>
      <w:r w:rsidRPr="00666ECE">
        <w:t xml:space="preserve"> establish specific outcomes for reducing the level of disadvantage experienced by </w:t>
      </w:r>
      <w:r w:rsidR="000701DC">
        <w:t>Aboriginal and Torres Strait Islander</w:t>
      </w:r>
      <w:r w:rsidRPr="00666ECE">
        <w:t xml:space="preserve"> Australians. Both agreements include sets of performance indicators</w:t>
      </w:r>
      <w:r w:rsidR="007A42E5">
        <w:t xml:space="preserve">. </w:t>
      </w:r>
      <w:r w:rsidR="007A42E5" w:rsidRPr="009432C9">
        <w:t xml:space="preserve">The Steering Committee collates </w:t>
      </w:r>
      <w:proofErr w:type="spellStart"/>
      <w:r w:rsidR="007A42E5" w:rsidRPr="009432C9">
        <w:t>NIRA</w:t>
      </w:r>
      <w:proofErr w:type="spellEnd"/>
      <w:r w:rsidR="007A42E5" w:rsidRPr="009432C9">
        <w:t xml:space="preserve"> performance information for analysis by the Department of Prime Minister and Cabinet</w:t>
      </w:r>
      <w:r w:rsidR="00817F8F">
        <w:t>.</w:t>
      </w:r>
      <w:r w:rsidR="007A42E5" w:rsidRPr="00666ECE">
        <w:t xml:space="preserve"> </w:t>
      </w:r>
      <w:r w:rsidRPr="00666ECE">
        <w:t xml:space="preserve">Performance indicators reported in this chapter are aligned with school education performance indicators in the </w:t>
      </w:r>
      <w:r w:rsidR="007A42E5">
        <w:t xml:space="preserve">most recent version of the </w:t>
      </w:r>
      <w:r w:rsidRPr="00666ECE">
        <w:t>NEA</w:t>
      </w:r>
      <w:r w:rsidR="007A42E5">
        <w:t xml:space="preserve">, where </w:t>
      </w:r>
      <w:r w:rsidR="00921F85" w:rsidRPr="009A7B9C">
        <w:t>relevant</w:t>
      </w:r>
      <w:r w:rsidR="004B4EC9" w:rsidRPr="009A7B9C">
        <w:t xml:space="preserve">. </w:t>
      </w:r>
    </w:p>
    <w:p w:rsidR="00666ECE" w:rsidRPr="00666ECE" w:rsidRDefault="00666ECE" w:rsidP="009A0722">
      <w:pPr>
        <w:pStyle w:val="BodyText"/>
        <w:rPr>
          <w:szCs w:val="26"/>
        </w:rPr>
      </w:pPr>
      <w:r w:rsidRPr="00666ECE">
        <w:t>Different delivery contexts and locations influence the equity, effectiveness and efficiency of school education services. Results are also affected by the broader education environment (for example, availability of employment and fu</w:t>
      </w:r>
      <w:r w:rsidR="004B4EC9">
        <w:t xml:space="preserve">rther educational alternatives and </w:t>
      </w:r>
      <w:r w:rsidRPr="00666ECE">
        <w:t xml:space="preserve">population movements). </w:t>
      </w:r>
    </w:p>
    <w:p w:rsidR="00666ECE" w:rsidRDefault="00666ECE" w:rsidP="009A0722">
      <w:pPr>
        <w:pStyle w:val="BodyText"/>
      </w:pPr>
      <w:r w:rsidRPr="00666ECE">
        <w:t xml:space="preserve">The Report’s </w:t>
      </w:r>
      <w:r w:rsidR="00570434">
        <w:t>S</w:t>
      </w:r>
      <w:r w:rsidRPr="00666ECE">
        <w:t xml:space="preserve">tatistical </w:t>
      </w:r>
      <w:r w:rsidR="00570434">
        <w:t>context chapter</w:t>
      </w:r>
      <w:r w:rsidRPr="00666ECE">
        <w:t xml:space="preserve"> </w:t>
      </w:r>
      <w:r w:rsidR="00817F8F">
        <w:t xml:space="preserve">(chapter 2) </w:t>
      </w:r>
      <w:r w:rsidRPr="00666ECE">
        <w:t>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w:t>
      </w:r>
      <w:r w:rsidR="00817F8F">
        <w:t>g Indigenous and ethnic status).</w:t>
      </w:r>
    </w:p>
    <w:p w:rsidR="004F297F" w:rsidRDefault="004F297F" w:rsidP="009A0722">
      <w:pPr>
        <w:pStyle w:val="BodyText"/>
      </w:pPr>
    </w:p>
    <w:p w:rsidR="00666ECE" w:rsidRPr="00666ECE" w:rsidRDefault="00666ECE" w:rsidP="00817F8F">
      <w:pPr>
        <w:pStyle w:val="FigureTitle"/>
        <w:rPr>
          <w:u w:val="dotted"/>
        </w:rPr>
      </w:pPr>
      <w:r w:rsidRPr="00817F8F">
        <w:rPr>
          <w:b w:val="0"/>
        </w:rPr>
        <w:lastRenderedPageBreak/>
        <w:t xml:space="preserve">Figure </w:t>
      </w:r>
      <w:bookmarkStart w:id="11" w:name="OLE_LINK20"/>
      <w:r w:rsidR="00B70781" w:rsidRPr="00817F8F">
        <w:rPr>
          <w:b w:val="0"/>
        </w:rPr>
        <w:t>4.</w:t>
      </w:r>
      <w:r w:rsidR="005953B6">
        <w:rPr>
          <w:b w:val="0"/>
          <w:noProof/>
        </w:rPr>
        <w:t>5</w:t>
      </w:r>
      <w:bookmarkEnd w:id="11"/>
      <w:r w:rsidRPr="00666ECE">
        <w:tab/>
        <w:t>School education performance indicator framework</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66ECE" w:rsidRPr="00666ECE" w:rsidTr="004E3154">
        <w:trPr>
          <w:trHeight w:val="8626"/>
        </w:trPr>
        <w:tc>
          <w:tcPr>
            <w:tcW w:w="8777" w:type="dxa"/>
          </w:tcPr>
          <w:p w:rsidR="00666ECE" w:rsidRPr="00536FF3" w:rsidRDefault="00DC200A" w:rsidP="00536FF3">
            <w:pPr>
              <w:spacing w:after="200" w:line="276" w:lineRule="auto"/>
              <w:rPr>
                <w:rFonts w:asciiTheme="minorHAnsi" w:eastAsiaTheme="minorHAnsi" w:hAnsiTheme="minorHAnsi" w:cstheme="minorBidi"/>
                <w:sz w:val="22"/>
                <w:szCs w:val="22"/>
                <w:lang w:eastAsia="en-US"/>
              </w:rPr>
            </w:pPr>
            <w:r>
              <w:rPr>
                <w:rFonts w:asciiTheme="minorHAnsi" w:eastAsiaTheme="minorHAnsi" w:hAnsiTheme="minorHAnsi" w:cstheme="minorBidi"/>
                <w:noProof/>
                <w:sz w:val="22"/>
                <w:szCs w:val="22"/>
              </w:rPr>
              <w:drawing>
                <wp:inline distT="0" distB="0" distL="0" distR="0">
                  <wp:extent cx="5572125" cy="5400675"/>
                  <wp:effectExtent l="0" t="0" r="9525" b="0"/>
                  <wp:docPr id="5" name="Picture 5" descr="Figure 4.5 School education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72125" cy="5400675"/>
                          </a:xfrm>
                          <a:prstGeom prst="rect">
                            <a:avLst/>
                          </a:prstGeom>
                          <a:noFill/>
                          <a:ln>
                            <a:noFill/>
                          </a:ln>
                        </pic:spPr>
                      </pic:pic>
                    </a:graphicData>
                  </a:graphic>
                </wp:inline>
              </w:drawing>
            </w:r>
          </w:p>
        </w:tc>
      </w:tr>
    </w:tbl>
    <w:p w:rsidR="00666ECE" w:rsidRPr="007B0AE2" w:rsidRDefault="00666ECE" w:rsidP="007B0AE2">
      <w:pPr>
        <w:pStyle w:val="Heading2"/>
      </w:pPr>
      <w:bookmarkStart w:id="12" w:name="_Toc405974307"/>
      <w:r w:rsidRPr="007B0AE2">
        <w:t>4.3</w:t>
      </w:r>
      <w:r w:rsidRPr="007B0AE2">
        <w:tab/>
        <w:t>Key performance indicator results</w:t>
      </w:r>
      <w:bookmarkEnd w:id="12"/>
    </w:p>
    <w:p w:rsidR="00666ECE" w:rsidRPr="00483D1F" w:rsidRDefault="00666ECE" w:rsidP="00483D1F">
      <w:pPr>
        <w:pStyle w:val="BodyText"/>
      </w:pPr>
      <w:r w:rsidRPr="00483D1F">
        <w:t xml:space="preserve">The </w:t>
      </w:r>
      <w:r w:rsidR="007A42E5" w:rsidRPr="009432C9">
        <w:t xml:space="preserve">performance indicator framework </w:t>
      </w:r>
      <w:r w:rsidRPr="00483D1F">
        <w:t xml:space="preserve">provides information on equity, efficiency and effectiveness, and distinguishes the outputs and outcomes of school education. </w:t>
      </w:r>
      <w:r w:rsidR="007A42E5" w:rsidRPr="009432C9">
        <w:t xml:space="preserve">The performance indicator framework shows which data are comparable in the 2015 Report. For data that are not considered directly comparable, text includes relevant caveats and supporting commentary. Chapter 1 discusses data comparability </w:t>
      </w:r>
      <w:r w:rsidR="00F42673">
        <w:t xml:space="preserve">and data completeness </w:t>
      </w:r>
      <w:r w:rsidR="007A42E5" w:rsidRPr="009432C9">
        <w:t>from a Report-wide perspective (</w:t>
      </w:r>
      <w:r w:rsidR="00C92821">
        <w:t xml:space="preserve">chapter 1, </w:t>
      </w:r>
      <w:r w:rsidR="007A42E5" w:rsidRPr="009432C9">
        <w:t>section 1.6).</w:t>
      </w:r>
    </w:p>
    <w:p w:rsidR="0057698F" w:rsidRPr="00483D1F" w:rsidRDefault="007A42E5" w:rsidP="00483D1F">
      <w:pPr>
        <w:pStyle w:val="BodyText"/>
      </w:pPr>
      <w:r w:rsidRPr="009432C9">
        <w:t>Data quality information (</w:t>
      </w:r>
      <w:proofErr w:type="spellStart"/>
      <w:r w:rsidRPr="009432C9">
        <w:t>DQI</w:t>
      </w:r>
      <w:proofErr w:type="spellEnd"/>
      <w:r w:rsidRPr="009432C9">
        <w:t xml:space="preserve">) is being progressively introduced for all indicators in the Report. The purpose of </w:t>
      </w:r>
      <w:proofErr w:type="spellStart"/>
      <w:r w:rsidRPr="009432C9">
        <w:t>DQI</w:t>
      </w:r>
      <w:proofErr w:type="spellEnd"/>
      <w:r w:rsidRPr="009432C9">
        <w:t xml:space="preserve"> is to provide structured and consistent information about quality aspects of data used to report on performance indicators, in addition to material in </w:t>
      </w:r>
      <w:r w:rsidRPr="009432C9">
        <w:lastRenderedPageBreak/>
        <w:t xml:space="preserve">the chapter or sector overview and attachment tables. </w:t>
      </w:r>
      <w:proofErr w:type="spellStart"/>
      <w:r w:rsidRPr="009432C9">
        <w:t>DQI</w:t>
      </w:r>
      <w:proofErr w:type="spellEnd"/>
      <w:r w:rsidRPr="009432C9">
        <w:t xml:space="preserve"> in this Report cover the seven dimensions in the ABS’ data quality framework (institutional environment, relevance, timeliness, accuracy, coherence, accessibility and interpretability) in addition to dimensions that define and describe performance indicators in a consistent manner, and key data gaps and issues identified by the Steering Committee. All </w:t>
      </w:r>
      <w:proofErr w:type="spellStart"/>
      <w:r w:rsidRPr="009432C9">
        <w:t>DQI</w:t>
      </w:r>
      <w:proofErr w:type="spellEnd"/>
      <w:r w:rsidRPr="009432C9">
        <w:t xml:space="preserve"> for the 2015 Report can be found at </w:t>
      </w:r>
      <w:proofErr w:type="spellStart"/>
      <w:r w:rsidRPr="009432C9">
        <w:t>www.</w:t>
      </w:r>
      <w:r w:rsidR="00723DDD">
        <w:t>pc.gov.au</w:t>
      </w:r>
      <w:proofErr w:type="spellEnd"/>
      <w:r w:rsidR="00723DDD">
        <w:t>/</w:t>
      </w:r>
      <w:proofErr w:type="spellStart"/>
      <w:r>
        <w:t>rogs</w:t>
      </w:r>
      <w:proofErr w:type="spellEnd"/>
      <w:r>
        <w:t>/2015</w:t>
      </w:r>
      <w:r w:rsidR="0057698F" w:rsidRPr="00483D1F">
        <w:t>.</w:t>
      </w:r>
    </w:p>
    <w:p w:rsidR="00666ECE" w:rsidRPr="007B0AE2" w:rsidRDefault="00666ECE" w:rsidP="007B0AE2">
      <w:pPr>
        <w:pStyle w:val="Heading3"/>
      </w:pPr>
      <w:r w:rsidRPr="007B0AE2">
        <w:t>Outputs</w:t>
      </w:r>
    </w:p>
    <w:p w:rsidR="00666ECE" w:rsidRPr="00666ECE" w:rsidRDefault="00666ECE" w:rsidP="00483D1F">
      <w:pPr>
        <w:pStyle w:val="BodyText"/>
      </w:pPr>
      <w:r w:rsidRPr="00666ECE">
        <w:t>Outputs are the services delivered (while outcomes are the impact of these services on the status of an individual or group) (see chapter 1, section 1.5).</w:t>
      </w:r>
    </w:p>
    <w:p w:rsidR="00666ECE" w:rsidRPr="007B0AE2" w:rsidRDefault="00666ECE" w:rsidP="007B0AE2">
      <w:pPr>
        <w:pStyle w:val="Heading4"/>
      </w:pPr>
      <w:r w:rsidRPr="007B0AE2">
        <w:t>Equity and effectiveness</w:t>
      </w:r>
    </w:p>
    <w:p w:rsidR="00666ECE" w:rsidRPr="007B0AE2" w:rsidRDefault="00666ECE" w:rsidP="007B0AE2">
      <w:pPr>
        <w:pStyle w:val="Heading5"/>
      </w:pPr>
      <w:r w:rsidRPr="007B0AE2">
        <w:t>Attendance and participation</w:t>
      </w:r>
    </w:p>
    <w:p w:rsidR="00666ECE" w:rsidRPr="00666ECE" w:rsidRDefault="00666ECE" w:rsidP="00483D1F">
      <w:pPr>
        <w:pStyle w:val="BodyText"/>
      </w:pPr>
      <w:r w:rsidRPr="00666ECE">
        <w:t>‘Attendance and participation’ is an indicator of governments’ objective to develop fully the talents and capacities of young people through equitable access to, and participation in, education and learning</w:t>
      </w:r>
      <w:r w:rsidR="001B6514">
        <w:t>,</w:t>
      </w:r>
      <w:r w:rsidRPr="00666ECE">
        <w:t xml:space="preserve"> </w:t>
      </w:r>
      <w:r w:rsidR="0019719B">
        <w:t>to complete</w:t>
      </w:r>
      <w:r w:rsidRPr="00666ECE">
        <w:t xml:space="preserve"> school education to year 12 or its equivalent (box 4.</w:t>
      </w:r>
      <w:r w:rsidR="00817F8F">
        <w:t>3</w:t>
      </w:r>
      <w:r w:rsidRPr="00666ECE">
        <w:t xml:space="preserve">). National and international research confirms a link between attendance and student achievement, although numerous interrelated factors influence attendance and achievement in complex ways. </w:t>
      </w:r>
    </w:p>
    <w:p w:rsidR="00666ECE" w:rsidRDefault="00666ECE" w:rsidP="00483D1F">
      <w:pPr>
        <w:pStyle w:val="BodyText"/>
      </w:pPr>
      <w:r w:rsidRPr="00666ECE">
        <w:t>In addition, attendance and participation rates for special needs groups are an indication of the equity of access to school education (box 4.</w:t>
      </w:r>
      <w:r w:rsidR="007275F7">
        <w:t>3</w:t>
      </w:r>
      <w:r w:rsidRPr="00666ECE">
        <w:t xml:space="preserve">). </w:t>
      </w:r>
    </w:p>
    <w:p w:rsidR="001C6189" w:rsidRDefault="001C618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C6189" w:rsidTr="00A6036C">
        <w:tc>
          <w:tcPr>
            <w:tcW w:w="8771" w:type="dxa"/>
            <w:tcBorders>
              <w:top w:val="single" w:sz="6" w:space="0" w:color="78A22F"/>
              <w:left w:val="nil"/>
              <w:bottom w:val="nil"/>
              <w:right w:val="nil"/>
            </w:tcBorders>
            <w:shd w:val="clear" w:color="auto" w:fill="F2F2F2"/>
          </w:tcPr>
          <w:p w:rsidR="001C6189" w:rsidRDefault="001C6189">
            <w:pPr>
              <w:pStyle w:val="BoxTitle"/>
            </w:pPr>
            <w:r>
              <w:rPr>
                <w:b w:val="0"/>
              </w:rPr>
              <w:t xml:space="preserve">Box </w:t>
            </w:r>
            <w:r w:rsidR="00B70781">
              <w:rPr>
                <w:b w:val="0"/>
              </w:rPr>
              <w:t>4.</w:t>
            </w:r>
            <w:r w:rsidR="005953B6">
              <w:rPr>
                <w:b w:val="0"/>
                <w:noProof/>
              </w:rPr>
              <w:t>3</w:t>
            </w:r>
            <w:r>
              <w:tab/>
            </w:r>
            <w:r w:rsidRPr="001C6189">
              <w:t>Attendance and participation</w:t>
            </w:r>
          </w:p>
        </w:tc>
      </w:tr>
      <w:tr w:rsidR="001C6189" w:rsidTr="00A6036C">
        <w:trPr>
          <w:cantSplit/>
        </w:trPr>
        <w:tc>
          <w:tcPr>
            <w:tcW w:w="8771" w:type="dxa"/>
            <w:tcBorders>
              <w:top w:val="nil"/>
              <w:left w:val="nil"/>
              <w:bottom w:val="nil"/>
              <w:right w:val="nil"/>
            </w:tcBorders>
            <w:shd w:val="clear" w:color="auto" w:fill="F2F2F2"/>
          </w:tcPr>
          <w:p w:rsidR="001C6189" w:rsidRPr="000701DC" w:rsidRDefault="001C6189" w:rsidP="000701DC">
            <w:pPr>
              <w:pStyle w:val="Box"/>
            </w:pPr>
            <w:r w:rsidRPr="000701DC">
              <w:t>Attendance and participation’ is defined by four measures.</w:t>
            </w:r>
          </w:p>
          <w:p w:rsidR="001C6189" w:rsidRPr="001C6189" w:rsidRDefault="001C6189" w:rsidP="001C6189">
            <w:pPr>
              <w:pStyle w:val="Box"/>
              <w:rPr>
                <w:i/>
              </w:rPr>
            </w:pPr>
            <w:r w:rsidRPr="001C6189">
              <w:rPr>
                <w:i/>
              </w:rPr>
              <w:t>Attendance</w:t>
            </w:r>
          </w:p>
          <w:p w:rsidR="001C6189" w:rsidRPr="001C6189" w:rsidRDefault="001C6189" w:rsidP="001C6189">
            <w:pPr>
              <w:pStyle w:val="Box"/>
              <w:numPr>
                <w:ilvl w:val="0"/>
                <w:numId w:val="1"/>
              </w:numPr>
            </w:pPr>
            <w:r w:rsidRPr="001C6189">
              <w:t xml:space="preserve">The number of actual full time equivalent ‘student days attended’ over the collection period as a percentage of the total number of possible student days attended over the collection period. A high student attendance rate is desirable. </w:t>
            </w:r>
          </w:p>
          <w:p w:rsidR="001C6189" w:rsidRPr="000701DC" w:rsidRDefault="001C6189" w:rsidP="000701DC">
            <w:pPr>
              <w:pStyle w:val="Box"/>
            </w:pPr>
            <w:r w:rsidRPr="000701DC">
              <w:t>Data on student attendance are collected for each State and Territory by school sector (government, Catholic and independent), sex, year level (1–10) and Indigenous status (</w:t>
            </w:r>
            <w:r w:rsidR="000701DC">
              <w:t>Aboriginal and Torres Strait Islander</w:t>
            </w:r>
            <w:r w:rsidRPr="000701DC">
              <w:t xml:space="preserve"> and non-Indigenous students).</w:t>
            </w:r>
          </w:p>
          <w:p w:rsidR="001C6189" w:rsidRPr="001C6189" w:rsidRDefault="001C6189" w:rsidP="001C6189">
            <w:pPr>
              <w:pStyle w:val="Box"/>
            </w:pPr>
            <w:r w:rsidRPr="001C6189">
              <w:t>Data reported for this measure are:</w:t>
            </w:r>
          </w:p>
          <w:p w:rsidR="001C6189" w:rsidRPr="001C6189" w:rsidRDefault="001C6189" w:rsidP="001C6189">
            <w:pPr>
              <w:pStyle w:val="Box"/>
              <w:numPr>
                <w:ilvl w:val="0"/>
                <w:numId w:val="1"/>
              </w:numPr>
            </w:pPr>
            <w:r w:rsidRPr="001C6189">
              <w:t>not comparable across jurisdictions</w:t>
            </w:r>
          </w:p>
          <w:p w:rsidR="001C6189" w:rsidRPr="001C6189" w:rsidRDefault="001C6189" w:rsidP="001C6189">
            <w:pPr>
              <w:pStyle w:val="Box"/>
              <w:numPr>
                <w:ilvl w:val="0"/>
                <w:numId w:val="1"/>
              </w:numPr>
            </w:pPr>
            <w:r w:rsidRPr="001C6189">
              <w:t xml:space="preserve">complete for the current reporting period (subject to caveats). All </w:t>
            </w:r>
            <w:r w:rsidRPr="00A11734">
              <w:t xml:space="preserve">required </w:t>
            </w:r>
            <w:r w:rsidRPr="00A11734">
              <w:rPr>
                <w:shd w:val="clear" w:color="auto" w:fill="F2F2F2" w:themeFill="background2" w:themeFillTint="33"/>
              </w:rPr>
              <w:t>201</w:t>
            </w:r>
            <w:r w:rsidR="007B3ABE" w:rsidRPr="00A11734">
              <w:rPr>
                <w:shd w:val="clear" w:color="auto" w:fill="F2F2F2" w:themeFill="background2" w:themeFillTint="33"/>
              </w:rPr>
              <w:t>3</w:t>
            </w:r>
            <w:r w:rsidRPr="00A11734">
              <w:t xml:space="preserve"> data</w:t>
            </w:r>
            <w:r w:rsidRPr="001C6189">
              <w:t xml:space="preserve"> are available for all jurisdictions providing the service.</w:t>
            </w:r>
          </w:p>
          <w:p w:rsidR="001C6189" w:rsidRPr="001C6189" w:rsidRDefault="001C6189" w:rsidP="001C6189">
            <w:pPr>
              <w:pStyle w:val="Box"/>
            </w:pPr>
            <w:r w:rsidRPr="001C6189">
              <w:t>It is intended to measure student attendance over a single consistent time pe</w:t>
            </w:r>
            <w:r w:rsidRPr="007B3ABE">
              <w:t>riod (the first semester) for all schools. However, current reporting against the measure is transitional, with most jurisdictions providing government school data for the first semester</w:t>
            </w:r>
            <w:r w:rsidR="007B3ABE" w:rsidRPr="00A11734">
              <w:rPr>
                <w:shd w:val="clear" w:color="auto" w:fill="F2F2F2" w:themeFill="background2" w:themeFillTint="33"/>
              </w:rPr>
              <w:t>. N</w:t>
            </w:r>
            <w:r w:rsidRPr="00A11734">
              <w:rPr>
                <w:shd w:val="clear" w:color="auto" w:fill="F2F2F2" w:themeFill="background2" w:themeFillTint="33"/>
              </w:rPr>
              <w:t>on</w:t>
            </w:r>
            <w:r w:rsidRPr="00A11734">
              <w:rPr>
                <w:shd w:val="clear" w:color="auto" w:fill="F2F2F2" w:themeFill="background2" w:themeFillTint="33"/>
              </w:rPr>
              <w:noBreakHyphen/>
              <w:t xml:space="preserve">government schools </w:t>
            </w:r>
            <w:r w:rsidR="007B3ABE" w:rsidRPr="00A11734">
              <w:rPr>
                <w:shd w:val="clear" w:color="auto" w:fill="F2F2F2" w:themeFill="background2" w:themeFillTint="33"/>
              </w:rPr>
              <w:t>also provide data for the first semester</w:t>
            </w:r>
            <w:r w:rsidRPr="00A11734">
              <w:rPr>
                <w:shd w:val="clear" w:color="auto" w:fill="F2F2F2" w:themeFill="background2" w:themeFillTint="33"/>
              </w:rPr>
              <w:t>.</w:t>
            </w:r>
          </w:p>
          <w:p w:rsidR="001C6189" w:rsidRPr="001C6189" w:rsidRDefault="001C6189" w:rsidP="001C6189">
            <w:pPr>
              <w:pStyle w:val="Box"/>
              <w:rPr>
                <w:i/>
              </w:rPr>
            </w:pPr>
            <w:r w:rsidRPr="001C6189">
              <w:rPr>
                <w:i/>
              </w:rPr>
              <w:t>Participation</w:t>
            </w:r>
          </w:p>
          <w:p w:rsidR="001C6189" w:rsidRPr="001C6189" w:rsidRDefault="001C6189" w:rsidP="001C6189">
            <w:pPr>
              <w:pStyle w:val="Box"/>
              <w:numPr>
                <w:ilvl w:val="0"/>
                <w:numId w:val="1"/>
              </w:numPr>
            </w:pPr>
            <w:r w:rsidRPr="001C6189">
              <w:t>The total number of children aged 6–15 years and enrolled in school (full time and part time enrolments) as a proportion of the estimated resident population of the same age.</w:t>
            </w:r>
            <w:r w:rsidR="000701DC">
              <w:t xml:space="preserve"> Data are provided for Aboriginal and Torres Strait Islander students, non-Indigenous students and all students</w:t>
            </w:r>
          </w:p>
          <w:p w:rsidR="00B50EC4" w:rsidRPr="00B50EC4" w:rsidRDefault="00B50EC4" w:rsidP="00B50EC4">
            <w:pPr>
              <w:pStyle w:val="BoxListBullet2"/>
            </w:pPr>
            <w:r w:rsidRPr="00B50EC4">
              <w:t>Comparability issues may occur when rates utilise dat</w:t>
            </w:r>
            <w:r>
              <w:t>a from composite sources. This measure</w:t>
            </w:r>
            <w:r w:rsidRPr="00B50EC4">
              <w:t xml:space="preserve"> uses a numerator from the National Schools Statistics Collection and a denominator of Estimated Resident Population (an aggregate derived data series compiled from the Census of Population and Housing, the Census Post Enumeration Survey and administrative data to measure components of population change over time). </w:t>
            </w:r>
          </w:p>
          <w:p w:rsidR="00B50EC4" w:rsidRDefault="00B50EC4" w:rsidP="00B50EC4">
            <w:pPr>
              <w:pStyle w:val="BoxListBullet2"/>
            </w:pPr>
            <w:r w:rsidRPr="00B50EC4">
              <w:t xml:space="preserve">When developing a </w:t>
            </w:r>
            <w:r>
              <w:t>measure</w:t>
            </w:r>
            <w:r w:rsidRPr="00B50EC4">
              <w:t xml:space="preserve"> using data from different sources, significant data comparability issues can emerge that may affect the accuracy of the indicator. These differences can have apparently implausible or unexpected effects </w:t>
            </w:r>
            <w:r w:rsidR="00817F8F">
              <w:t>—</w:t>
            </w:r>
            <w:r w:rsidRPr="00B50EC4">
              <w:t xml:space="preserve"> for example</w:t>
            </w:r>
            <w:r w:rsidR="00817F8F">
              <w:t>,</w:t>
            </w:r>
            <w:r w:rsidRPr="00B50EC4">
              <w:t xml:space="preserve"> producing an estimate significantly greater than 100 per cent of the population with a particular attribute. These effects are particularly apparent where a cohort is small and the phenomena being measured applies to close to 100 per cent of the population.</w:t>
            </w:r>
          </w:p>
          <w:p w:rsidR="001C6189" w:rsidRPr="001C6189" w:rsidRDefault="001C6189" w:rsidP="00B50EC4">
            <w:pPr>
              <w:pStyle w:val="BoxListBullet"/>
              <w:rPr>
                <w:b/>
              </w:rPr>
            </w:pPr>
            <w:r w:rsidRPr="001C6189">
              <w:t>The number of full time and part time school students of a particular age expressed as a proportion of the estimated resident population of the same age, for each year for 14</w:t>
            </w:r>
            <w:r w:rsidR="00C92821">
              <w:noBreakHyphen/>
            </w:r>
            <w:r w:rsidRPr="001C6189">
              <w:t>19 year</w:t>
            </w:r>
            <w:r w:rsidR="00C92821">
              <w:t> </w:t>
            </w:r>
            <w:r w:rsidRPr="001C6189">
              <w:t xml:space="preserve">olds. </w:t>
            </w:r>
          </w:p>
          <w:p w:rsidR="000701DC" w:rsidRDefault="001C6189" w:rsidP="00B50EC4">
            <w:pPr>
              <w:pStyle w:val="Box"/>
            </w:pPr>
            <w:r w:rsidRPr="001C6189">
              <w:t>A higher or increasing participation rate suggests an improvement in educational outcomes through greater access to school education. Participation rates in school education need to be interpreted with care, because rates are influenced by jurisdictional differences in age/grade structures, and the participation rate is an age-based rate. The rate is comparable over time within a jurisdiction, but may not be directly comparable across jurisdictions where there are differences in the age/grade structure.</w:t>
            </w:r>
          </w:p>
        </w:tc>
      </w:tr>
      <w:tr w:rsidR="001C6189" w:rsidTr="00214B63">
        <w:trPr>
          <w:cantSplit/>
        </w:trPr>
        <w:tc>
          <w:tcPr>
            <w:tcW w:w="8771" w:type="dxa"/>
            <w:tcBorders>
              <w:top w:val="nil"/>
              <w:left w:val="nil"/>
              <w:bottom w:val="nil"/>
              <w:right w:val="nil"/>
            </w:tcBorders>
            <w:shd w:val="clear" w:color="auto" w:fill="F2F2F2"/>
          </w:tcPr>
          <w:p w:rsidR="001C6189" w:rsidRPr="0027264A" w:rsidRDefault="0027264A" w:rsidP="0027264A">
            <w:pPr>
              <w:pStyle w:val="BoxSource"/>
              <w:jc w:val="right"/>
            </w:pPr>
            <w:r>
              <w:t>(c</w:t>
            </w:r>
            <w:r w:rsidR="000701DC" w:rsidRPr="0027264A">
              <w:t>ontinued next page</w:t>
            </w:r>
            <w:r>
              <w:t>)</w:t>
            </w:r>
          </w:p>
        </w:tc>
      </w:tr>
      <w:tr w:rsidR="001C6189" w:rsidTr="00214B63">
        <w:trPr>
          <w:cantSplit/>
        </w:trPr>
        <w:tc>
          <w:tcPr>
            <w:tcW w:w="8771" w:type="dxa"/>
            <w:tcBorders>
              <w:top w:val="nil"/>
              <w:left w:val="nil"/>
              <w:bottom w:val="single" w:sz="6" w:space="0" w:color="78A22F"/>
              <w:right w:val="nil"/>
            </w:tcBorders>
            <w:shd w:val="clear" w:color="auto" w:fill="F2F2F2"/>
          </w:tcPr>
          <w:p w:rsidR="001C6189" w:rsidRDefault="001C6189">
            <w:pPr>
              <w:pStyle w:val="Box"/>
              <w:spacing w:before="0" w:line="120" w:lineRule="exact"/>
            </w:pPr>
          </w:p>
        </w:tc>
      </w:tr>
      <w:tr w:rsidR="001C6189" w:rsidRPr="000863A5" w:rsidTr="00214B63">
        <w:tc>
          <w:tcPr>
            <w:tcW w:w="8771" w:type="dxa"/>
            <w:tcBorders>
              <w:top w:val="single" w:sz="6" w:space="0" w:color="78A22F"/>
              <w:left w:val="nil"/>
              <w:bottom w:val="nil"/>
              <w:right w:val="nil"/>
            </w:tcBorders>
          </w:tcPr>
          <w:p w:rsidR="001C6189" w:rsidRPr="00626D32" w:rsidRDefault="001C6189" w:rsidP="00214B63">
            <w:pPr>
              <w:pStyle w:val="BoxSpaceBelow"/>
            </w:pPr>
          </w:p>
        </w:tc>
      </w:tr>
    </w:tbl>
    <w:p w:rsidR="001C6189" w:rsidRDefault="001C618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C6189" w:rsidTr="00214B63">
        <w:tc>
          <w:tcPr>
            <w:tcW w:w="8771" w:type="dxa"/>
            <w:tcBorders>
              <w:top w:val="single" w:sz="6" w:space="0" w:color="78A22F"/>
              <w:left w:val="nil"/>
              <w:bottom w:val="nil"/>
              <w:right w:val="nil"/>
            </w:tcBorders>
            <w:shd w:val="clear" w:color="auto" w:fill="F2F2F2"/>
          </w:tcPr>
          <w:p w:rsidR="001C6189" w:rsidRDefault="001C6189" w:rsidP="007275F7">
            <w:pPr>
              <w:pStyle w:val="BoxTitle"/>
            </w:pPr>
            <w:r>
              <w:rPr>
                <w:b w:val="0"/>
              </w:rPr>
              <w:t xml:space="preserve">Box </w:t>
            </w:r>
            <w:r w:rsidR="00B70781">
              <w:rPr>
                <w:b w:val="0"/>
              </w:rPr>
              <w:t>4.</w:t>
            </w:r>
            <w:r w:rsidR="007275F7">
              <w:rPr>
                <w:b w:val="0"/>
              </w:rPr>
              <w:t>3</w:t>
            </w:r>
            <w:r>
              <w:tab/>
            </w:r>
            <w:r w:rsidR="0027264A" w:rsidRPr="0027264A">
              <w:rPr>
                <w:b w:val="0"/>
                <w:sz w:val="18"/>
                <w:szCs w:val="18"/>
              </w:rPr>
              <w:t>(c</w:t>
            </w:r>
            <w:r w:rsidR="000701DC" w:rsidRPr="0027264A">
              <w:rPr>
                <w:b w:val="0"/>
                <w:sz w:val="18"/>
                <w:szCs w:val="18"/>
              </w:rPr>
              <w:t>ontinued)</w:t>
            </w:r>
          </w:p>
        </w:tc>
      </w:tr>
      <w:tr w:rsidR="001C6189" w:rsidTr="00214B63">
        <w:trPr>
          <w:cantSplit/>
        </w:trPr>
        <w:tc>
          <w:tcPr>
            <w:tcW w:w="8771" w:type="dxa"/>
            <w:tcBorders>
              <w:top w:val="nil"/>
              <w:left w:val="nil"/>
              <w:bottom w:val="nil"/>
              <w:right w:val="nil"/>
            </w:tcBorders>
            <w:shd w:val="clear" w:color="auto" w:fill="F2F2F2"/>
          </w:tcPr>
          <w:p w:rsidR="00B50EC4" w:rsidRDefault="00B50EC4" w:rsidP="00B50EC4">
            <w:pPr>
              <w:pStyle w:val="BoxListBullet"/>
            </w:pPr>
            <w:r w:rsidRPr="000701DC">
              <w:t>The proportion of 15–19 year olds who have successfully completed at least one unit of competency as part of a VET qualification at Australian Qualifications Framework (</w:t>
            </w:r>
            <w:proofErr w:type="spellStart"/>
            <w:r w:rsidRPr="000701DC">
              <w:t>AQF</w:t>
            </w:r>
            <w:proofErr w:type="spellEnd"/>
            <w:r w:rsidRPr="000701DC">
              <w:t>) Certificate II or above.</w:t>
            </w:r>
          </w:p>
          <w:p w:rsidR="00B50EC4" w:rsidRDefault="00B50EC4" w:rsidP="00B50EC4">
            <w:pPr>
              <w:pStyle w:val="Box"/>
            </w:pPr>
            <w:r w:rsidRPr="00B50EC4">
              <w:t xml:space="preserve">These measures do not provide information on young people who develop their talents and capacities through other options for delivering post-compulsory education and training — for example, work-based training and enrolment in technical and further education (TAFE) delivered programs. A broader participation indicator that accounts for some of these factors is </w:t>
            </w:r>
            <w:r w:rsidRPr="001C6189">
              <w:t>reported in the Child care, education and training sector overview</w:t>
            </w:r>
            <w:r>
              <w:t>.</w:t>
            </w:r>
          </w:p>
          <w:p w:rsidR="001C6189" w:rsidRPr="001C6189" w:rsidRDefault="001C6189" w:rsidP="001C6189">
            <w:pPr>
              <w:pStyle w:val="Box"/>
            </w:pPr>
            <w:r w:rsidRPr="001C6189">
              <w:t xml:space="preserve">Data reported for these three measures are </w:t>
            </w:r>
          </w:p>
          <w:p w:rsidR="001C6189" w:rsidRPr="001C6189" w:rsidRDefault="001C6189" w:rsidP="000701DC">
            <w:pPr>
              <w:pStyle w:val="BoxListBullet"/>
            </w:pPr>
            <w:r w:rsidRPr="001C6189">
              <w:t xml:space="preserve">comparable (subject to caveats) across jurisdictions and over time. </w:t>
            </w:r>
          </w:p>
          <w:p w:rsidR="001C6189" w:rsidRDefault="001C6189" w:rsidP="000701DC">
            <w:pPr>
              <w:pStyle w:val="BoxListBullet"/>
            </w:pPr>
            <w:r w:rsidRPr="001C6189">
              <w:t>complete for the current reporting period (subject to caveats). All required 201</w:t>
            </w:r>
            <w:r w:rsidR="00B50EC4">
              <w:t>2</w:t>
            </w:r>
            <w:r w:rsidRPr="001C6189">
              <w:t xml:space="preserve"> and 201</w:t>
            </w:r>
            <w:r w:rsidR="00B50EC4">
              <w:t>3</w:t>
            </w:r>
            <w:r w:rsidRPr="001C6189">
              <w:t xml:space="preserve"> data are available for all jurisdictions providing the service.</w:t>
            </w:r>
          </w:p>
          <w:p w:rsidR="001C6189" w:rsidRDefault="001C6189" w:rsidP="00B50EC4">
            <w:pPr>
              <w:pStyle w:val="Box"/>
            </w:pPr>
            <w:r>
              <w:t xml:space="preserve">Care should be exercised in relation to the data for </w:t>
            </w:r>
            <w:r w:rsidR="000701DC">
              <w:t>Aboriginal and Torres Strait Islander</w:t>
            </w:r>
            <w:r>
              <w:t xml:space="preserve"> students, particularly in some jurisdictions and in the non-government sectors, due to small population sizes.</w:t>
            </w:r>
          </w:p>
          <w:p w:rsidR="003A3EA4" w:rsidRDefault="001C6189" w:rsidP="003A3EA4">
            <w:pPr>
              <w:pStyle w:val="Box"/>
            </w:pPr>
            <w:r>
              <w:t xml:space="preserve">Information about data quality for this indicator is at </w:t>
            </w:r>
            <w:proofErr w:type="spellStart"/>
            <w:r w:rsidR="00723DDD" w:rsidRPr="00963842">
              <w:t>www.pc.gov.au</w:t>
            </w:r>
            <w:proofErr w:type="spellEnd"/>
            <w:r w:rsidR="003A3EA4" w:rsidRPr="00963842">
              <w:t>/</w:t>
            </w:r>
            <w:proofErr w:type="spellStart"/>
            <w:r w:rsidR="003A3EA4" w:rsidRPr="00963842">
              <w:t>rogs</w:t>
            </w:r>
            <w:proofErr w:type="spellEnd"/>
            <w:r w:rsidR="003A3EA4" w:rsidRPr="00963842">
              <w:t>/2015</w:t>
            </w:r>
            <w:r w:rsidR="007D34B7">
              <w:rPr>
                <w:rStyle w:val="Hyperlink"/>
              </w:rPr>
              <w:t>.</w:t>
            </w:r>
          </w:p>
        </w:tc>
      </w:tr>
      <w:tr w:rsidR="001C6189" w:rsidTr="00214B63">
        <w:trPr>
          <w:cantSplit/>
        </w:trPr>
        <w:tc>
          <w:tcPr>
            <w:tcW w:w="8771" w:type="dxa"/>
            <w:tcBorders>
              <w:top w:val="nil"/>
              <w:left w:val="nil"/>
              <w:bottom w:val="single" w:sz="6" w:space="0" w:color="78A22F"/>
              <w:right w:val="nil"/>
            </w:tcBorders>
            <w:shd w:val="clear" w:color="auto" w:fill="F2F2F2"/>
          </w:tcPr>
          <w:p w:rsidR="001C6189" w:rsidRDefault="001C6189">
            <w:pPr>
              <w:pStyle w:val="Box"/>
              <w:spacing w:before="0" w:line="120" w:lineRule="exact"/>
            </w:pPr>
          </w:p>
        </w:tc>
      </w:tr>
      <w:tr w:rsidR="001C6189" w:rsidRPr="000863A5" w:rsidTr="00214B63">
        <w:tc>
          <w:tcPr>
            <w:tcW w:w="8771" w:type="dxa"/>
            <w:tcBorders>
              <w:top w:val="single" w:sz="6" w:space="0" w:color="78A22F"/>
              <w:left w:val="nil"/>
              <w:bottom w:val="nil"/>
              <w:right w:val="nil"/>
            </w:tcBorders>
          </w:tcPr>
          <w:p w:rsidR="001C6189" w:rsidRPr="00626D32" w:rsidRDefault="001C6189" w:rsidP="00214B63">
            <w:pPr>
              <w:pStyle w:val="BoxSpaceBelow"/>
            </w:pPr>
          </w:p>
        </w:tc>
      </w:tr>
    </w:tbl>
    <w:p w:rsidR="00666ECE" w:rsidRPr="000701DC" w:rsidRDefault="00666ECE" w:rsidP="000701DC">
      <w:pPr>
        <w:pStyle w:val="Heading5"/>
      </w:pPr>
      <w:r w:rsidRPr="000701DC">
        <w:t xml:space="preserve">Attendance </w:t>
      </w:r>
    </w:p>
    <w:p w:rsidR="00666ECE" w:rsidRPr="00666ECE" w:rsidRDefault="00666ECE" w:rsidP="00483D1F">
      <w:pPr>
        <w:pStyle w:val="BodyText"/>
      </w:pPr>
      <w:r w:rsidRPr="00666ECE">
        <w:t>School attendance is measured in a specific collection period during the school year (see box 4.</w:t>
      </w:r>
      <w:r w:rsidR="007275F7">
        <w:t>3</w:t>
      </w:r>
      <w:r w:rsidRPr="00666ECE">
        <w:t xml:space="preserve"> for details), and results may not be representative of school attendance throughout the school year.</w:t>
      </w:r>
    </w:p>
    <w:p w:rsidR="00666ECE" w:rsidRPr="00666ECE" w:rsidRDefault="00666ECE" w:rsidP="00483D1F">
      <w:pPr>
        <w:pStyle w:val="BodyText"/>
      </w:pPr>
      <w:r w:rsidRPr="00666ECE">
        <w:t xml:space="preserve">For all students </w:t>
      </w:r>
      <w:r w:rsidRPr="00602605">
        <w:t>in 201</w:t>
      </w:r>
      <w:r w:rsidR="003D5991">
        <w:t>3</w:t>
      </w:r>
      <w:r w:rsidRPr="00602605">
        <w:t>, attendance</w:t>
      </w:r>
      <w:r w:rsidRPr="00666ECE">
        <w:t xml:space="preserve"> was </w:t>
      </w:r>
      <w:r w:rsidR="004B4EC9">
        <w:t>relativel</w:t>
      </w:r>
      <w:r w:rsidRPr="00666ECE">
        <w:t>y stable across years 1–5. In general, from year 6 attendance gradually declined to year 10 (typically the end of compulsory schooling</w:t>
      </w:r>
      <w:r w:rsidRPr="007344D0">
        <w:t xml:space="preserve">) (tables </w:t>
      </w:r>
      <w:proofErr w:type="spellStart"/>
      <w:r w:rsidRPr="007344D0">
        <w:t>4A.</w:t>
      </w:r>
      <w:r w:rsidR="008A76CD">
        <w:t>197</w:t>
      </w:r>
      <w:proofErr w:type="spellEnd"/>
      <w:r w:rsidRPr="007344D0">
        <w:t>–</w:t>
      </w:r>
      <w:r w:rsidR="008A76CD">
        <w:t>202</w:t>
      </w:r>
      <w:r w:rsidRPr="007344D0">
        <w:t>).</w:t>
      </w:r>
    </w:p>
    <w:p w:rsidR="003A5B31" w:rsidRPr="00666ECE" w:rsidRDefault="00666ECE" w:rsidP="00483D1F">
      <w:pPr>
        <w:pStyle w:val="BodyText"/>
      </w:pPr>
      <w:r w:rsidRPr="00666ECE">
        <w:t xml:space="preserve">For government schools, the total student attendance </w:t>
      </w:r>
      <w:r w:rsidRPr="001D5AD2">
        <w:t xml:space="preserve">rate ranged from </w:t>
      </w:r>
      <w:r w:rsidR="00707EBD" w:rsidRPr="001D5AD2">
        <w:t>7</w:t>
      </w:r>
      <w:r w:rsidR="001D5AD2" w:rsidRPr="001D5AD2">
        <w:t>4</w:t>
      </w:r>
      <w:r w:rsidR="00707EBD" w:rsidRPr="001D5AD2">
        <w:t xml:space="preserve"> </w:t>
      </w:r>
      <w:r w:rsidRPr="001D5AD2">
        <w:t xml:space="preserve">per cent to </w:t>
      </w:r>
      <w:r w:rsidR="00707EBD" w:rsidRPr="001D5AD2">
        <w:t>9</w:t>
      </w:r>
      <w:r w:rsidR="00214B63">
        <w:t>5</w:t>
      </w:r>
      <w:r w:rsidR="00C92821">
        <w:t> </w:t>
      </w:r>
      <w:r w:rsidRPr="001D5AD2">
        <w:t>per</w:t>
      </w:r>
      <w:r w:rsidR="00C92821">
        <w:t> </w:t>
      </w:r>
      <w:r w:rsidRPr="001D5AD2">
        <w:t xml:space="preserve">cent across year levels and jurisdictions (figure </w:t>
      </w:r>
      <w:r w:rsidRPr="00666ECE">
        <w:t>4.</w:t>
      </w:r>
      <w:r w:rsidR="007275F7">
        <w:t>6</w:t>
      </w:r>
      <w:r w:rsidRPr="00666ECE">
        <w:t xml:space="preserve"> and </w:t>
      </w:r>
      <w:r w:rsidRPr="007344D0">
        <w:t xml:space="preserve">table </w:t>
      </w:r>
      <w:proofErr w:type="spellStart"/>
      <w:r w:rsidRPr="007344D0">
        <w:t>4A.1</w:t>
      </w:r>
      <w:r w:rsidR="008A76CD">
        <w:t>97</w:t>
      </w:r>
      <w:proofErr w:type="spellEnd"/>
      <w:r w:rsidRPr="007344D0">
        <w:t>).</w:t>
      </w:r>
      <w:r w:rsidRPr="00666ECE">
        <w:t xml:space="preserve"> </w:t>
      </w:r>
    </w:p>
    <w:p w:rsidR="00356C97" w:rsidRDefault="00356C97" w:rsidP="001E65D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56C97" w:rsidRPr="00EA799F" w:rsidTr="001E65D8">
        <w:tc>
          <w:tcPr>
            <w:tcW w:w="8771" w:type="dxa"/>
            <w:tcBorders>
              <w:top w:val="single" w:sz="6" w:space="0" w:color="78A22F"/>
              <w:left w:val="nil"/>
              <w:bottom w:val="nil"/>
              <w:right w:val="nil"/>
            </w:tcBorders>
            <w:shd w:val="clear" w:color="auto" w:fill="auto"/>
          </w:tcPr>
          <w:p w:rsidR="00356C97" w:rsidRPr="00176D3F" w:rsidRDefault="00356C97" w:rsidP="00356C97">
            <w:pPr>
              <w:pStyle w:val="FigureTitle"/>
            </w:pPr>
            <w:r w:rsidRPr="00784A05">
              <w:rPr>
                <w:b w:val="0"/>
              </w:rPr>
              <w:t xml:space="preserve">Figure </w:t>
            </w:r>
            <w:r w:rsidR="00B70781">
              <w:rPr>
                <w:b w:val="0"/>
              </w:rPr>
              <w:t>4.</w:t>
            </w:r>
            <w:r w:rsidR="005953B6">
              <w:rPr>
                <w:b w:val="0"/>
                <w:noProof/>
              </w:rPr>
              <w:t>6</w:t>
            </w:r>
            <w:r>
              <w:tab/>
            </w:r>
            <w:r w:rsidRPr="00356C97">
              <w:t>Student attendance rate, all students, government schools, 201</w:t>
            </w:r>
            <w:r>
              <w:t>3</w:t>
            </w:r>
            <w:r w:rsidRPr="00EA799F">
              <w:rPr>
                <w:rStyle w:val="NoteLabel"/>
                <w:b/>
              </w:rPr>
              <w:t>a</w:t>
            </w:r>
          </w:p>
        </w:tc>
      </w:tr>
      <w:tr w:rsidR="00356C97" w:rsidRPr="00EA799F" w:rsidTr="001E65D8">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356C97" w:rsidTr="001E65D8">
              <w:trPr>
                <w:jc w:val="center"/>
              </w:trPr>
              <w:tc>
                <w:tcPr>
                  <w:tcW w:w="5000" w:type="pct"/>
                  <w:tcBorders>
                    <w:top w:val="nil"/>
                    <w:bottom w:val="nil"/>
                  </w:tcBorders>
                </w:tcPr>
                <w:p w:rsidR="00356C97" w:rsidRDefault="00DC200A" w:rsidP="001E65D8">
                  <w:pPr>
                    <w:pStyle w:val="Figure"/>
                    <w:spacing w:before="60" w:after="60"/>
                  </w:pPr>
                  <w:r>
                    <w:rPr>
                      <w:noProof/>
                    </w:rPr>
                    <w:drawing>
                      <wp:inline distT="0" distB="0" distL="0" distR="0">
                        <wp:extent cx="5381625" cy="2628900"/>
                        <wp:effectExtent l="0" t="0" r="9525" b="0"/>
                        <wp:docPr id="6" name="Picture 6" descr="Figure 4.6 Student attendance rate, all students, government schools,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81625" cy="2628900"/>
                                </a:xfrm>
                                <a:prstGeom prst="rect">
                                  <a:avLst/>
                                </a:prstGeom>
                                <a:noFill/>
                                <a:ln>
                                  <a:noFill/>
                                </a:ln>
                              </pic:spPr>
                            </pic:pic>
                          </a:graphicData>
                        </a:graphic>
                      </wp:inline>
                    </w:drawing>
                  </w:r>
                </w:p>
              </w:tc>
            </w:tr>
          </w:tbl>
          <w:p w:rsidR="00356C97" w:rsidRDefault="00356C97" w:rsidP="001E65D8">
            <w:pPr>
              <w:pStyle w:val="Figure"/>
            </w:pPr>
          </w:p>
        </w:tc>
      </w:tr>
      <w:tr w:rsidR="00356C97" w:rsidRPr="00176D3F" w:rsidTr="001E65D8">
        <w:tc>
          <w:tcPr>
            <w:tcW w:w="8771" w:type="dxa"/>
            <w:tcBorders>
              <w:top w:val="nil"/>
              <w:left w:val="nil"/>
              <w:bottom w:val="nil"/>
              <w:right w:val="nil"/>
            </w:tcBorders>
            <w:shd w:val="clear" w:color="auto" w:fill="auto"/>
          </w:tcPr>
          <w:p w:rsidR="00356C97" w:rsidRPr="00176D3F" w:rsidRDefault="00356C97" w:rsidP="001E65D8">
            <w:pPr>
              <w:pStyle w:val="Note"/>
            </w:pPr>
            <w:proofErr w:type="spellStart"/>
            <w:r>
              <w:rPr>
                <w:rStyle w:val="NoteLabel"/>
              </w:rPr>
              <w:t>a</w:t>
            </w:r>
            <w:proofErr w:type="spellEnd"/>
            <w:r>
              <w:t xml:space="preserve"> </w:t>
            </w:r>
            <w:r w:rsidRPr="00666ECE">
              <w:t>Attendance rates are the number of actual full time equivalent ‘student days’ attended as a percentage of the total number of possible student days attended over the period. Student attendance data are reported for full time students in years 1–10, but are not collected uniformly across jurisdictions and schooling sectors and therefore are not comparable.</w:t>
            </w:r>
          </w:p>
        </w:tc>
      </w:tr>
      <w:tr w:rsidR="00356C97" w:rsidRPr="00176D3F" w:rsidTr="001E65D8">
        <w:tc>
          <w:tcPr>
            <w:tcW w:w="8771" w:type="dxa"/>
            <w:tcBorders>
              <w:top w:val="nil"/>
              <w:left w:val="nil"/>
              <w:bottom w:val="nil"/>
              <w:right w:val="nil"/>
            </w:tcBorders>
            <w:shd w:val="clear" w:color="auto" w:fill="auto"/>
          </w:tcPr>
          <w:p w:rsidR="00356C97" w:rsidRPr="00176D3F" w:rsidRDefault="00356C97" w:rsidP="008A76CD">
            <w:pPr>
              <w:pStyle w:val="Source"/>
            </w:pPr>
            <w:r>
              <w:rPr>
                <w:i/>
              </w:rPr>
              <w:t>S</w:t>
            </w:r>
            <w:r w:rsidRPr="00784A05">
              <w:rPr>
                <w:i/>
              </w:rPr>
              <w:t>ource</w:t>
            </w:r>
            <w:r w:rsidRPr="00176D3F">
              <w:t xml:space="preserve">: </w:t>
            </w:r>
            <w:r w:rsidRPr="00356C97">
              <w:t>Australian Curriculum and Assessment Reporting Authority (</w:t>
            </w:r>
            <w:proofErr w:type="spellStart"/>
            <w:r w:rsidRPr="00356C97">
              <w:t>ACARA</w:t>
            </w:r>
            <w:proofErr w:type="spellEnd"/>
            <w:r w:rsidRPr="00356C97">
              <w:t xml:space="preserve">) (unpublished); table </w:t>
            </w:r>
            <w:proofErr w:type="spellStart"/>
            <w:r w:rsidRPr="00356C97">
              <w:t>4A.1</w:t>
            </w:r>
            <w:r w:rsidR="008A76CD">
              <w:t>97</w:t>
            </w:r>
            <w:proofErr w:type="spellEnd"/>
            <w:r w:rsidRPr="00356C97">
              <w:t>.</w:t>
            </w:r>
          </w:p>
        </w:tc>
      </w:tr>
      <w:tr w:rsidR="00356C97" w:rsidTr="001E65D8">
        <w:tc>
          <w:tcPr>
            <w:tcW w:w="8771" w:type="dxa"/>
            <w:tcBorders>
              <w:top w:val="nil"/>
              <w:left w:val="nil"/>
              <w:bottom w:val="single" w:sz="6" w:space="0" w:color="78A22F"/>
              <w:right w:val="nil"/>
            </w:tcBorders>
            <w:shd w:val="clear" w:color="auto" w:fill="auto"/>
          </w:tcPr>
          <w:p w:rsidR="00356C97" w:rsidRDefault="00356C97" w:rsidP="001E65D8">
            <w:pPr>
              <w:pStyle w:val="Figurespace"/>
            </w:pPr>
          </w:p>
        </w:tc>
      </w:tr>
      <w:tr w:rsidR="00356C97" w:rsidRPr="000863A5" w:rsidTr="001E65D8">
        <w:tc>
          <w:tcPr>
            <w:tcW w:w="8771" w:type="dxa"/>
            <w:tcBorders>
              <w:top w:val="single" w:sz="6" w:space="0" w:color="78A22F"/>
              <w:left w:val="nil"/>
              <w:bottom w:val="nil"/>
              <w:right w:val="nil"/>
            </w:tcBorders>
          </w:tcPr>
          <w:p w:rsidR="00356C97" w:rsidRPr="00626D32" w:rsidRDefault="00356C97" w:rsidP="001E65D8">
            <w:pPr>
              <w:pStyle w:val="BoxSpaceBelow"/>
            </w:pPr>
          </w:p>
        </w:tc>
      </w:tr>
    </w:tbl>
    <w:p w:rsidR="00666ECE" w:rsidRDefault="00666ECE" w:rsidP="00483D1F">
      <w:pPr>
        <w:pStyle w:val="BodyText"/>
      </w:pPr>
      <w:r w:rsidRPr="00666ECE">
        <w:t>Data on student attendance rates for all school sectors, disaggregated by sex</w:t>
      </w:r>
      <w:r w:rsidR="0019719B">
        <w:t>,</w:t>
      </w:r>
      <w:r w:rsidRPr="00666ECE">
        <w:t xml:space="preserve"> are available in tables </w:t>
      </w:r>
      <w:proofErr w:type="spellStart"/>
      <w:r w:rsidRPr="007344D0">
        <w:t>4A.1</w:t>
      </w:r>
      <w:r w:rsidR="008A76CD">
        <w:t>97</w:t>
      </w:r>
      <w:proofErr w:type="spellEnd"/>
      <w:r w:rsidRPr="007344D0">
        <w:t xml:space="preserve">, </w:t>
      </w:r>
      <w:proofErr w:type="spellStart"/>
      <w:r w:rsidRPr="007344D0">
        <w:t>4A.1</w:t>
      </w:r>
      <w:r w:rsidR="008A76CD">
        <w:t>99</w:t>
      </w:r>
      <w:proofErr w:type="spellEnd"/>
      <w:r w:rsidRPr="007344D0">
        <w:t xml:space="preserve"> and </w:t>
      </w:r>
      <w:proofErr w:type="spellStart"/>
      <w:r w:rsidRPr="007344D0">
        <w:t>4A.</w:t>
      </w:r>
      <w:r w:rsidR="008A76CD">
        <w:t>201</w:t>
      </w:r>
      <w:proofErr w:type="spellEnd"/>
      <w:r w:rsidRPr="007344D0">
        <w:t>.</w:t>
      </w:r>
    </w:p>
    <w:p w:rsidR="003F1874" w:rsidRPr="00666ECE" w:rsidRDefault="00BA1348" w:rsidP="00483D1F">
      <w:pPr>
        <w:pStyle w:val="BodyText"/>
      </w:pPr>
      <w:r>
        <w:t>Non-</w:t>
      </w:r>
      <w:r w:rsidR="003F1874" w:rsidRPr="00666ECE">
        <w:t xml:space="preserve">Indigenous students </w:t>
      </w:r>
      <w:r w:rsidR="003F0641">
        <w:t xml:space="preserve">in government schools </w:t>
      </w:r>
      <w:r w:rsidR="003F1874" w:rsidRPr="00666ECE">
        <w:t xml:space="preserve">had higher attendance rates than </w:t>
      </w:r>
      <w:r w:rsidR="000701DC">
        <w:t>Aboriginal and Torres Strait Islander</w:t>
      </w:r>
      <w:r w:rsidR="003F1874" w:rsidRPr="00666ECE">
        <w:t xml:space="preserve"> students across all year levels in all jurisdictions (figure 4.</w:t>
      </w:r>
      <w:r w:rsidR="007275F7">
        <w:t>7</w:t>
      </w:r>
      <w:r w:rsidR="003F1874" w:rsidRPr="00666ECE">
        <w:t xml:space="preserve"> and </w:t>
      </w:r>
      <w:r w:rsidR="003F1874" w:rsidRPr="007344D0">
        <w:t>table</w:t>
      </w:r>
      <w:r w:rsidR="001B6514">
        <w:t> </w:t>
      </w:r>
      <w:proofErr w:type="spellStart"/>
      <w:r w:rsidR="003F1874" w:rsidRPr="007344D0">
        <w:t>4A.1</w:t>
      </w:r>
      <w:r w:rsidR="008A76CD">
        <w:t>98</w:t>
      </w:r>
      <w:proofErr w:type="spellEnd"/>
      <w:r w:rsidR="003F1874" w:rsidRPr="00666ECE">
        <w:t>). The differences varied across states and territories.</w:t>
      </w:r>
      <w:r w:rsidR="003F1874">
        <w:t xml:space="preserve"> </w:t>
      </w:r>
      <w:r w:rsidR="003F1874" w:rsidRPr="00666ECE">
        <w:t xml:space="preserve">A similar pattern to the government schools was observed for non-government schools (independent and </w:t>
      </w:r>
      <w:r w:rsidR="003F1874">
        <w:t>c</w:t>
      </w:r>
      <w:r w:rsidR="003F1874" w:rsidRPr="00666ECE">
        <w:t xml:space="preserve">atholic schools) </w:t>
      </w:r>
      <w:r w:rsidR="003F1874" w:rsidRPr="00602605">
        <w:t xml:space="preserve">in most jurisdictions (tables </w:t>
      </w:r>
      <w:proofErr w:type="spellStart"/>
      <w:r w:rsidR="003F1874" w:rsidRPr="00602605">
        <w:t>4A.</w:t>
      </w:r>
      <w:r w:rsidR="008A76CD">
        <w:t>200</w:t>
      </w:r>
      <w:proofErr w:type="spellEnd"/>
      <w:r w:rsidR="003F1874" w:rsidRPr="00602605">
        <w:t xml:space="preserve"> and </w:t>
      </w:r>
      <w:proofErr w:type="spellStart"/>
      <w:r w:rsidR="003F1874" w:rsidRPr="00602605">
        <w:t>4A.</w:t>
      </w:r>
      <w:r w:rsidR="008A76CD">
        <w:t>202</w:t>
      </w:r>
      <w:proofErr w:type="spellEnd"/>
      <w:r w:rsidR="003F1874" w:rsidRPr="00602605">
        <w:t>).</w:t>
      </w:r>
    </w:p>
    <w:p w:rsidR="001435AF" w:rsidRDefault="001435AF" w:rsidP="00E41D9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435AF" w:rsidTr="00E41D90">
        <w:tc>
          <w:tcPr>
            <w:tcW w:w="8771" w:type="dxa"/>
            <w:tcBorders>
              <w:top w:val="single" w:sz="6" w:space="0" w:color="78A22F"/>
              <w:left w:val="nil"/>
              <w:bottom w:val="nil"/>
              <w:right w:val="nil"/>
            </w:tcBorders>
            <w:shd w:val="clear" w:color="auto" w:fill="auto"/>
          </w:tcPr>
          <w:p w:rsidR="001435AF" w:rsidRPr="00176D3F" w:rsidRDefault="001435AF" w:rsidP="007B3ABE">
            <w:pPr>
              <w:pStyle w:val="FigureTitle"/>
            </w:pPr>
            <w:r w:rsidRPr="00784A05">
              <w:rPr>
                <w:b w:val="0"/>
              </w:rPr>
              <w:t xml:space="preserve">Figure </w:t>
            </w:r>
            <w:r w:rsidR="007275F7">
              <w:rPr>
                <w:b w:val="0"/>
              </w:rPr>
              <w:t>4.</w:t>
            </w:r>
            <w:r w:rsidR="005953B6">
              <w:rPr>
                <w:b w:val="0"/>
                <w:noProof/>
              </w:rPr>
              <w:t>7</w:t>
            </w:r>
            <w:r>
              <w:tab/>
            </w:r>
            <w:r w:rsidRPr="001435AF">
              <w:t xml:space="preserve">Student attendance rate, </w:t>
            </w:r>
            <w:r w:rsidR="007B3ABE">
              <w:t>Aboriginal and Torres Strait Islander</w:t>
            </w:r>
            <w:r w:rsidRPr="001435AF">
              <w:t xml:space="preserve"> students, government schools, 201</w:t>
            </w:r>
            <w:r>
              <w:t>3</w:t>
            </w:r>
            <w:r w:rsidRPr="001435AF">
              <w:rPr>
                <w:rStyle w:val="NoteLabel"/>
                <w:b/>
              </w:rPr>
              <w:t>a</w:t>
            </w:r>
          </w:p>
        </w:tc>
      </w:tr>
      <w:tr w:rsidR="001435AF" w:rsidTr="00E41D90">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435AF" w:rsidTr="00E41D90">
              <w:trPr>
                <w:jc w:val="center"/>
              </w:trPr>
              <w:tc>
                <w:tcPr>
                  <w:tcW w:w="5000" w:type="pct"/>
                  <w:tcBorders>
                    <w:top w:val="nil"/>
                    <w:bottom w:val="nil"/>
                  </w:tcBorders>
                </w:tcPr>
                <w:p w:rsidR="001435AF" w:rsidRDefault="00DC200A" w:rsidP="00E41D90">
                  <w:pPr>
                    <w:pStyle w:val="Figure"/>
                    <w:spacing w:before="60" w:after="60"/>
                  </w:pPr>
                  <w:r>
                    <w:rPr>
                      <w:noProof/>
                    </w:rPr>
                    <w:drawing>
                      <wp:inline distT="0" distB="0" distL="0" distR="0">
                        <wp:extent cx="5381625" cy="2647950"/>
                        <wp:effectExtent l="0" t="0" r="9525" b="0"/>
                        <wp:docPr id="7" name="Picture 7" descr="Figure 4.7 Student attendance rate, Aboriginal and Torres Strait Islander students, government schools,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81625" cy="2647950"/>
                                </a:xfrm>
                                <a:prstGeom prst="rect">
                                  <a:avLst/>
                                </a:prstGeom>
                                <a:noFill/>
                                <a:ln>
                                  <a:noFill/>
                                </a:ln>
                              </pic:spPr>
                            </pic:pic>
                          </a:graphicData>
                        </a:graphic>
                      </wp:inline>
                    </w:drawing>
                  </w:r>
                </w:p>
              </w:tc>
            </w:tr>
          </w:tbl>
          <w:p w:rsidR="001435AF" w:rsidRDefault="001435AF" w:rsidP="00E41D90">
            <w:pPr>
              <w:pStyle w:val="Figure"/>
            </w:pPr>
          </w:p>
        </w:tc>
      </w:tr>
      <w:tr w:rsidR="001435AF" w:rsidRPr="00176D3F" w:rsidTr="00E41D90">
        <w:tc>
          <w:tcPr>
            <w:tcW w:w="8771" w:type="dxa"/>
            <w:tcBorders>
              <w:top w:val="nil"/>
              <w:left w:val="nil"/>
              <w:bottom w:val="nil"/>
              <w:right w:val="nil"/>
            </w:tcBorders>
            <w:shd w:val="clear" w:color="auto" w:fill="auto"/>
          </w:tcPr>
          <w:p w:rsidR="001435AF" w:rsidRPr="00176D3F" w:rsidRDefault="001435AF" w:rsidP="00E41D90">
            <w:pPr>
              <w:pStyle w:val="Note"/>
            </w:pPr>
            <w:proofErr w:type="spellStart"/>
            <w:r>
              <w:rPr>
                <w:rStyle w:val="NoteLabel"/>
              </w:rPr>
              <w:t>a</w:t>
            </w:r>
            <w:proofErr w:type="spellEnd"/>
            <w:r>
              <w:t xml:space="preserve"> </w:t>
            </w:r>
            <w:r w:rsidRPr="001435AF">
              <w:t>Attendance rates are the number of actual full time equivalent ‘student days’ attended as a percentage of the total number of possible student days attended over the period. Student attendance data are reported for full time students in years 1–10, but are not collected uniformly across jurisdictions and schooling sectors and therefore are not comparable.</w:t>
            </w:r>
          </w:p>
        </w:tc>
      </w:tr>
      <w:tr w:rsidR="001435AF" w:rsidRPr="00176D3F" w:rsidTr="00E41D90">
        <w:tc>
          <w:tcPr>
            <w:tcW w:w="8771" w:type="dxa"/>
            <w:tcBorders>
              <w:top w:val="nil"/>
              <w:left w:val="nil"/>
              <w:bottom w:val="nil"/>
              <w:right w:val="nil"/>
            </w:tcBorders>
            <w:shd w:val="clear" w:color="auto" w:fill="auto"/>
          </w:tcPr>
          <w:p w:rsidR="001435AF" w:rsidRPr="00176D3F" w:rsidRDefault="001435AF" w:rsidP="008A76CD">
            <w:pPr>
              <w:pStyle w:val="Source"/>
            </w:pPr>
            <w:r>
              <w:rPr>
                <w:i/>
              </w:rPr>
              <w:t>S</w:t>
            </w:r>
            <w:r w:rsidRPr="00784A05">
              <w:rPr>
                <w:i/>
              </w:rPr>
              <w:t>ource</w:t>
            </w:r>
            <w:r w:rsidRPr="00176D3F">
              <w:t xml:space="preserve">: </w:t>
            </w:r>
            <w:proofErr w:type="spellStart"/>
            <w:r w:rsidRPr="001435AF">
              <w:t>ACARA</w:t>
            </w:r>
            <w:proofErr w:type="spellEnd"/>
            <w:r w:rsidRPr="001435AF">
              <w:t xml:space="preserve"> (unpublished); table </w:t>
            </w:r>
            <w:proofErr w:type="spellStart"/>
            <w:r w:rsidRPr="001435AF">
              <w:t>4A.1</w:t>
            </w:r>
            <w:r w:rsidR="008A76CD">
              <w:t>98</w:t>
            </w:r>
            <w:proofErr w:type="spellEnd"/>
            <w:r w:rsidRPr="001435AF">
              <w:t>.</w:t>
            </w:r>
          </w:p>
        </w:tc>
      </w:tr>
      <w:tr w:rsidR="001435AF" w:rsidTr="00E41D90">
        <w:tc>
          <w:tcPr>
            <w:tcW w:w="8771" w:type="dxa"/>
            <w:tcBorders>
              <w:top w:val="nil"/>
              <w:left w:val="nil"/>
              <w:bottom w:val="single" w:sz="6" w:space="0" w:color="78A22F"/>
              <w:right w:val="nil"/>
            </w:tcBorders>
            <w:shd w:val="clear" w:color="auto" w:fill="auto"/>
          </w:tcPr>
          <w:p w:rsidR="001435AF" w:rsidRDefault="001435AF" w:rsidP="00E41D90">
            <w:pPr>
              <w:pStyle w:val="Figurespace"/>
            </w:pPr>
          </w:p>
        </w:tc>
      </w:tr>
      <w:tr w:rsidR="001435AF" w:rsidRPr="000863A5" w:rsidTr="00E41D90">
        <w:tc>
          <w:tcPr>
            <w:tcW w:w="8771" w:type="dxa"/>
            <w:tcBorders>
              <w:top w:val="single" w:sz="6" w:space="0" w:color="78A22F"/>
              <w:left w:val="nil"/>
              <w:bottom w:val="nil"/>
              <w:right w:val="nil"/>
            </w:tcBorders>
          </w:tcPr>
          <w:p w:rsidR="001435AF" w:rsidRPr="00626D32" w:rsidRDefault="001435AF" w:rsidP="00E41D90">
            <w:pPr>
              <w:pStyle w:val="BoxSpaceBelow"/>
            </w:pPr>
          </w:p>
        </w:tc>
      </w:tr>
    </w:tbl>
    <w:p w:rsidR="00666ECE" w:rsidRPr="00602605" w:rsidRDefault="00666ECE" w:rsidP="007B0AE2">
      <w:pPr>
        <w:pStyle w:val="Heading5"/>
      </w:pPr>
      <w:r w:rsidRPr="00602605">
        <w:t xml:space="preserve">Participation — proportion of children aged 6–15 years enrolled in school </w:t>
      </w:r>
    </w:p>
    <w:p w:rsidR="00666ECE" w:rsidRDefault="00666ECE" w:rsidP="00483D1F">
      <w:pPr>
        <w:pStyle w:val="BodyText"/>
      </w:pPr>
      <w:r w:rsidRPr="001D5AD2">
        <w:t xml:space="preserve">Nationally, </w:t>
      </w:r>
      <w:r w:rsidR="000B687F" w:rsidRPr="00FE38EF">
        <w:rPr>
          <w:shd w:val="clear" w:color="auto" w:fill="FFFFFF" w:themeFill="background1"/>
        </w:rPr>
        <w:t>100.</w:t>
      </w:r>
      <w:r w:rsidR="00214B63">
        <w:rPr>
          <w:shd w:val="clear" w:color="auto" w:fill="FFFFFF" w:themeFill="background1"/>
        </w:rPr>
        <w:t>3</w:t>
      </w:r>
      <w:r w:rsidRPr="001D5AD2">
        <w:t xml:space="preserve"> per cent </w:t>
      </w:r>
      <w:r w:rsidRPr="00602605">
        <w:t>of children aged 6–15 years were enrolled (either full or part time) in school in 201</w:t>
      </w:r>
      <w:r w:rsidR="00214B63">
        <w:t>3</w:t>
      </w:r>
      <w:r w:rsidRPr="00602605">
        <w:t xml:space="preserve"> (figure 4.</w:t>
      </w:r>
      <w:r w:rsidR="007275F7">
        <w:t>8</w:t>
      </w:r>
      <w:r w:rsidRPr="00602605">
        <w:t xml:space="preserve">). </w:t>
      </w:r>
      <w:bookmarkStart w:id="13" w:name="OLE_LINK86"/>
      <w:bookmarkStart w:id="14" w:name="OLE_LINK87"/>
      <w:r w:rsidR="00817F8F">
        <w:t>(</w:t>
      </w:r>
      <w:r w:rsidR="00464ACE">
        <w:t>S</w:t>
      </w:r>
      <w:r w:rsidR="00817F8F">
        <w:t>ee box 4.3 for an explanation of rates above 100</w:t>
      </w:r>
      <w:r w:rsidR="00A67DE1">
        <w:t> </w:t>
      </w:r>
      <w:r w:rsidR="00817F8F">
        <w:t>per</w:t>
      </w:r>
      <w:r w:rsidR="00A67DE1">
        <w:t> </w:t>
      </w:r>
      <w:r w:rsidR="00817F8F">
        <w:t xml:space="preserve">cent). </w:t>
      </w:r>
      <w:r w:rsidR="00214B63">
        <w:t>The proportion of 6</w:t>
      </w:r>
      <w:r w:rsidR="00817F8F">
        <w:t>–</w:t>
      </w:r>
      <w:r w:rsidR="00214B63">
        <w:t xml:space="preserve">15 year old Aboriginal and Torres Strait Islander students enrolled was 95.4 per cent </w:t>
      </w:r>
      <w:r w:rsidR="00E65701">
        <w:t xml:space="preserve">and </w:t>
      </w:r>
      <w:r w:rsidR="00214B63">
        <w:t xml:space="preserve">100.7 per cent of non-Indigenous 6–15 year old students were enrolled. </w:t>
      </w:r>
    </w:p>
    <w:p w:rsidR="00BE0005" w:rsidRDefault="00BE0005" w:rsidP="0052558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E0005" w:rsidTr="00525589">
        <w:tc>
          <w:tcPr>
            <w:tcW w:w="8771" w:type="dxa"/>
            <w:tcBorders>
              <w:top w:val="single" w:sz="6" w:space="0" w:color="78A22F"/>
              <w:left w:val="nil"/>
              <w:bottom w:val="nil"/>
              <w:right w:val="nil"/>
            </w:tcBorders>
            <w:shd w:val="clear" w:color="auto" w:fill="auto"/>
          </w:tcPr>
          <w:p w:rsidR="00BE0005" w:rsidRPr="00176D3F" w:rsidRDefault="00BE0005" w:rsidP="0086590D">
            <w:pPr>
              <w:pStyle w:val="FigureTitle"/>
            </w:pPr>
            <w:r w:rsidRPr="00784A05">
              <w:rPr>
                <w:b w:val="0"/>
              </w:rPr>
              <w:t xml:space="preserve">Figure </w:t>
            </w:r>
            <w:r w:rsidR="00B70781">
              <w:rPr>
                <w:b w:val="0"/>
              </w:rPr>
              <w:t>4.</w:t>
            </w:r>
            <w:r w:rsidR="005953B6">
              <w:rPr>
                <w:b w:val="0"/>
                <w:noProof/>
              </w:rPr>
              <w:t>8</w:t>
            </w:r>
            <w:r>
              <w:tab/>
            </w:r>
            <w:r w:rsidR="0086590D" w:rsidRPr="0086590D">
              <w:t>Proportion of children aged 6–15 years enrolled in school</w:t>
            </w:r>
            <w:r w:rsidR="0086590D">
              <w:t>, 2013</w:t>
            </w:r>
            <w:r w:rsidR="00820CF9">
              <w:rPr>
                <w:rStyle w:val="NoteLabel"/>
                <w:b/>
              </w:rPr>
              <w:t>a, b</w:t>
            </w:r>
          </w:p>
        </w:tc>
      </w:tr>
      <w:tr w:rsidR="00BE0005" w:rsidTr="00A11734">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BE0005" w:rsidTr="00525589">
              <w:trPr>
                <w:jc w:val="center"/>
              </w:trPr>
              <w:tc>
                <w:tcPr>
                  <w:tcW w:w="5000" w:type="pct"/>
                  <w:tcBorders>
                    <w:top w:val="nil"/>
                    <w:bottom w:val="nil"/>
                  </w:tcBorders>
                </w:tcPr>
                <w:p w:rsidR="00BE0005" w:rsidRDefault="00DC200A" w:rsidP="00525589">
                  <w:pPr>
                    <w:pStyle w:val="Figure"/>
                    <w:spacing w:before="60" w:after="60"/>
                  </w:pPr>
                  <w:r>
                    <w:rPr>
                      <w:noProof/>
                    </w:rPr>
                    <w:drawing>
                      <wp:inline distT="0" distB="0" distL="0" distR="0">
                        <wp:extent cx="5391150" cy="2867025"/>
                        <wp:effectExtent l="0" t="0" r="0" b="9525"/>
                        <wp:docPr id="8" name="Picture 8" descr="Figure 4.8 Proportion of children aged 6-15 years enrolled in school,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91150" cy="2867025"/>
                                </a:xfrm>
                                <a:prstGeom prst="rect">
                                  <a:avLst/>
                                </a:prstGeom>
                                <a:noFill/>
                                <a:ln>
                                  <a:noFill/>
                                </a:ln>
                              </pic:spPr>
                            </pic:pic>
                          </a:graphicData>
                        </a:graphic>
                      </wp:inline>
                    </w:drawing>
                  </w:r>
                </w:p>
              </w:tc>
            </w:tr>
          </w:tbl>
          <w:p w:rsidR="00BE0005" w:rsidRDefault="00BE0005" w:rsidP="00525589">
            <w:pPr>
              <w:pStyle w:val="Figure"/>
            </w:pPr>
          </w:p>
        </w:tc>
      </w:tr>
      <w:tr w:rsidR="00BE0005" w:rsidRPr="00176D3F" w:rsidTr="00A11734">
        <w:tc>
          <w:tcPr>
            <w:tcW w:w="8771" w:type="dxa"/>
            <w:tcBorders>
              <w:top w:val="nil"/>
              <w:left w:val="nil"/>
              <w:bottom w:val="nil"/>
              <w:right w:val="nil"/>
            </w:tcBorders>
            <w:shd w:val="clear" w:color="auto" w:fill="auto"/>
          </w:tcPr>
          <w:p w:rsidR="00AD384E" w:rsidRDefault="00BE0005" w:rsidP="00AD384E">
            <w:pPr>
              <w:pStyle w:val="Note"/>
            </w:pPr>
            <w:r>
              <w:rPr>
                <w:rStyle w:val="NoteLabel"/>
              </w:rPr>
              <w:t>a</w:t>
            </w:r>
            <w:r w:rsidR="0086590D" w:rsidRPr="0086590D">
              <w:t> Data are based on estimated residential population derived from the 2011 C</w:t>
            </w:r>
            <w:r w:rsidR="0086590D">
              <w:t>ensus of Population and Housing</w:t>
            </w:r>
            <w:r w:rsidR="0086590D" w:rsidRPr="0086590D">
              <w:t xml:space="preserve">. </w:t>
            </w:r>
            <w:r w:rsidR="00AD384E">
              <w:t xml:space="preserve">See footnotes to table </w:t>
            </w:r>
            <w:proofErr w:type="spellStart"/>
            <w:r w:rsidR="00AD384E">
              <w:t>4A.183</w:t>
            </w:r>
            <w:proofErr w:type="spellEnd"/>
            <w:r w:rsidR="00AD384E">
              <w:t xml:space="preserve"> for further information on derivations of population figures.</w:t>
            </w:r>
          </w:p>
          <w:p w:rsidR="00BE0005" w:rsidRPr="00176D3F" w:rsidRDefault="0086590D" w:rsidP="00AD384E">
            <w:pPr>
              <w:pStyle w:val="Note"/>
            </w:pPr>
            <w:r w:rsidRPr="00820CF9">
              <w:rPr>
                <w:rStyle w:val="NoteLabel"/>
              </w:rPr>
              <w:t>b</w:t>
            </w:r>
            <w:r w:rsidRPr="0086590D">
              <w:rPr>
                <w:b/>
              </w:rPr>
              <w:t> </w:t>
            </w:r>
            <w:r w:rsidRPr="005F1E51">
              <w:rPr>
                <w:shd w:val="clear" w:color="auto" w:fill="FFFFFF" w:themeFill="background1"/>
              </w:rPr>
              <w:t xml:space="preserve">Proportions are determined using the number of students enrolled in the jurisdiction divided by the estimated residential population for the jurisdiction, for the age group. </w:t>
            </w:r>
            <w:r w:rsidR="000048A3" w:rsidRPr="00A11734">
              <w:rPr>
                <w:shd w:val="clear" w:color="auto" w:fill="FFFFFF" w:themeFill="background1"/>
              </w:rPr>
              <w:t xml:space="preserve">Proportions that exceed 100 per cent may reflect disparities between the sources of data for students and the residential population, multiple enrolments by individual students or students residing in one jurisdiction enrolling in schools in another jurisdiction. </w:t>
            </w:r>
            <w:r w:rsidR="0048153E" w:rsidRPr="00A11734">
              <w:rPr>
                <w:shd w:val="clear" w:color="auto" w:fill="FFFFFF" w:themeFill="background1"/>
              </w:rPr>
              <w:t>In particular, enrolment rates in the ACT exceed</w:t>
            </w:r>
            <w:r w:rsidR="0048153E" w:rsidRPr="001435AF">
              <w:t xml:space="preserve"> 100 per cent as a result of NSW residents from surrounding areas enrolling in ACT</w:t>
            </w:r>
            <w:r w:rsidR="000048A3">
              <w:t>.</w:t>
            </w:r>
            <w:r w:rsidR="0048153E" w:rsidRPr="001435AF">
              <w:t xml:space="preserve"> </w:t>
            </w:r>
            <w:r w:rsidR="005F1E51" w:rsidRPr="005F1E51">
              <w:rPr>
                <w:shd w:val="clear" w:color="auto" w:fill="FFFFFF" w:themeFill="background1"/>
              </w:rPr>
              <w:t xml:space="preserve">As a result of the relative sizes of the populations this has a larger effect on the ACT rates than the NSW rates. This is referred to as cross-border enrolment. </w:t>
            </w:r>
            <w:r w:rsidRPr="005F1E51">
              <w:rPr>
                <w:shd w:val="clear" w:color="auto" w:fill="FFFFFF" w:themeFill="background1"/>
              </w:rPr>
              <w:t xml:space="preserve">See table </w:t>
            </w:r>
            <w:proofErr w:type="spellStart"/>
            <w:r w:rsidRPr="005F1E51">
              <w:rPr>
                <w:shd w:val="clear" w:color="auto" w:fill="FFFFFF" w:themeFill="background1"/>
              </w:rPr>
              <w:t>4A.1</w:t>
            </w:r>
            <w:r w:rsidR="00C24812">
              <w:rPr>
                <w:shd w:val="clear" w:color="auto" w:fill="FFFFFF" w:themeFill="background1"/>
              </w:rPr>
              <w:t>83</w:t>
            </w:r>
            <w:proofErr w:type="spellEnd"/>
            <w:r w:rsidRPr="005F1E51">
              <w:rPr>
                <w:shd w:val="clear" w:color="auto" w:fill="FFFFFF" w:themeFill="background1"/>
              </w:rPr>
              <w:t xml:space="preserve"> for further details.</w:t>
            </w:r>
            <w:r w:rsidR="006C62E8">
              <w:rPr>
                <w:shd w:val="clear" w:color="auto" w:fill="FFFFFF" w:themeFill="background1"/>
              </w:rPr>
              <w:t xml:space="preserve">  </w:t>
            </w:r>
          </w:p>
        </w:tc>
      </w:tr>
      <w:tr w:rsidR="00BE0005" w:rsidRPr="00176D3F" w:rsidTr="006C62E8">
        <w:tc>
          <w:tcPr>
            <w:tcW w:w="8771" w:type="dxa"/>
            <w:tcBorders>
              <w:top w:val="nil"/>
              <w:left w:val="nil"/>
              <w:bottom w:val="nil"/>
              <w:right w:val="nil"/>
            </w:tcBorders>
            <w:shd w:val="clear" w:color="auto" w:fill="FFFFFF" w:themeFill="background1"/>
          </w:tcPr>
          <w:p w:rsidR="00BE0005" w:rsidRPr="006C62E8" w:rsidRDefault="00BE0005" w:rsidP="006C62E8">
            <w:pPr>
              <w:pStyle w:val="Source"/>
            </w:pPr>
            <w:r w:rsidRPr="006C62E8">
              <w:rPr>
                <w:i/>
              </w:rPr>
              <w:t>Data source</w:t>
            </w:r>
            <w:r w:rsidRPr="006C62E8">
              <w:t xml:space="preserve">: </w:t>
            </w:r>
            <w:r w:rsidR="0086590D" w:rsidRPr="006C62E8">
              <w:t>ABS (2014)</w:t>
            </w:r>
            <w:r w:rsidR="0086590D" w:rsidRPr="006C62E8">
              <w:rPr>
                <w:i/>
              </w:rPr>
              <w:t xml:space="preserve"> Schools Australia, 2013, </w:t>
            </w:r>
            <w:r w:rsidR="0086590D" w:rsidRPr="006C62E8">
              <w:t xml:space="preserve">Cat. no. </w:t>
            </w:r>
            <w:r w:rsidR="0086590D" w:rsidRPr="006C62E8">
              <w:rPr>
                <w:shd w:val="clear" w:color="auto" w:fill="FFFFFF" w:themeFill="background1"/>
              </w:rPr>
              <w:t>4221.0;</w:t>
            </w:r>
            <w:r w:rsidR="008A76CD" w:rsidRPr="006C62E8">
              <w:rPr>
                <w:shd w:val="clear" w:color="auto" w:fill="FFFFFF" w:themeFill="background1"/>
              </w:rPr>
              <w:t xml:space="preserve"> </w:t>
            </w:r>
            <w:r w:rsidR="0086590D" w:rsidRPr="006C62E8">
              <w:rPr>
                <w:shd w:val="clear" w:color="auto" w:fill="FFFFFF" w:themeFill="background1"/>
              </w:rPr>
              <w:t>ABS (2013)</w:t>
            </w:r>
            <w:r w:rsidR="0086590D" w:rsidRPr="006C62E8">
              <w:rPr>
                <w:i/>
                <w:shd w:val="clear" w:color="auto" w:fill="FFFFFF" w:themeFill="background1"/>
              </w:rPr>
              <w:t xml:space="preserve"> Population by Age and Sex, Australian States and Territories, June 201</w:t>
            </w:r>
            <w:r w:rsidR="00C24812" w:rsidRPr="006C62E8">
              <w:rPr>
                <w:i/>
                <w:shd w:val="clear" w:color="auto" w:fill="FFFFFF" w:themeFill="background1"/>
              </w:rPr>
              <w:t>3</w:t>
            </w:r>
            <w:r w:rsidR="0086590D" w:rsidRPr="006C62E8">
              <w:rPr>
                <w:i/>
                <w:shd w:val="clear" w:color="auto" w:fill="FFFFFF" w:themeFill="background1"/>
              </w:rPr>
              <w:t xml:space="preserve">, </w:t>
            </w:r>
            <w:r w:rsidR="0086590D" w:rsidRPr="006C62E8">
              <w:rPr>
                <w:shd w:val="clear" w:color="auto" w:fill="FFFFFF" w:themeFill="background1"/>
              </w:rPr>
              <w:t xml:space="preserve">Cat. no. 3101.0; </w:t>
            </w:r>
            <w:r w:rsidR="006C62E8" w:rsidRPr="006C62E8">
              <w:rPr>
                <w:shd w:val="clear" w:color="auto" w:fill="FFFFFF" w:themeFill="background1"/>
              </w:rPr>
              <w:t xml:space="preserve">ABS (2013) </w:t>
            </w:r>
            <w:r w:rsidR="006C62E8" w:rsidRPr="006C62E8">
              <w:rPr>
                <w:i/>
                <w:shd w:val="clear" w:color="auto" w:fill="FFFFFF" w:themeFill="background1"/>
              </w:rPr>
              <w:t>Estimates and Projections, Aboriginal and Torres Strait Islander Australians</w:t>
            </w:r>
            <w:r w:rsidR="006C62E8" w:rsidRPr="006C62E8">
              <w:rPr>
                <w:shd w:val="clear" w:color="auto" w:fill="FFFFFF" w:themeFill="background1"/>
              </w:rPr>
              <w:t xml:space="preserve">, 2001 to 2026, Cat. no. 3238.0; </w:t>
            </w:r>
            <w:r w:rsidR="0086590D" w:rsidRPr="006C62E8">
              <w:rPr>
                <w:shd w:val="clear" w:color="auto" w:fill="FFFFFF" w:themeFill="background1"/>
              </w:rPr>
              <w:t>table </w:t>
            </w:r>
            <w:proofErr w:type="spellStart"/>
            <w:r w:rsidR="0086590D" w:rsidRPr="006C62E8">
              <w:rPr>
                <w:shd w:val="clear" w:color="auto" w:fill="FFFFFF" w:themeFill="background1"/>
              </w:rPr>
              <w:t>4A.1</w:t>
            </w:r>
            <w:r w:rsidR="008A76CD" w:rsidRPr="006C62E8">
              <w:rPr>
                <w:shd w:val="clear" w:color="auto" w:fill="FFFFFF" w:themeFill="background1"/>
              </w:rPr>
              <w:t>83</w:t>
            </w:r>
            <w:proofErr w:type="spellEnd"/>
            <w:r w:rsidR="0086590D" w:rsidRPr="006C62E8">
              <w:rPr>
                <w:shd w:val="clear" w:color="auto" w:fill="FFFFFF" w:themeFill="background1"/>
              </w:rPr>
              <w:t>.</w:t>
            </w:r>
          </w:p>
        </w:tc>
      </w:tr>
      <w:tr w:rsidR="00BE0005" w:rsidTr="00525589">
        <w:tc>
          <w:tcPr>
            <w:tcW w:w="8771" w:type="dxa"/>
            <w:tcBorders>
              <w:top w:val="nil"/>
              <w:left w:val="nil"/>
              <w:bottom w:val="single" w:sz="6" w:space="0" w:color="78A22F"/>
              <w:right w:val="nil"/>
            </w:tcBorders>
            <w:shd w:val="clear" w:color="auto" w:fill="auto"/>
          </w:tcPr>
          <w:p w:rsidR="00BE0005" w:rsidRDefault="00BE0005" w:rsidP="00525589">
            <w:pPr>
              <w:pStyle w:val="Figurespace"/>
            </w:pPr>
          </w:p>
        </w:tc>
      </w:tr>
      <w:tr w:rsidR="00BE0005" w:rsidRPr="000863A5" w:rsidTr="00525589">
        <w:tc>
          <w:tcPr>
            <w:tcW w:w="8771" w:type="dxa"/>
            <w:tcBorders>
              <w:top w:val="single" w:sz="6" w:space="0" w:color="78A22F"/>
              <w:left w:val="nil"/>
              <w:bottom w:val="nil"/>
              <w:right w:val="nil"/>
            </w:tcBorders>
          </w:tcPr>
          <w:p w:rsidR="00BE0005" w:rsidRPr="00626D32" w:rsidRDefault="00BE0005" w:rsidP="00525589">
            <w:pPr>
              <w:pStyle w:val="BoxSpaceBelow"/>
            </w:pPr>
          </w:p>
        </w:tc>
      </w:tr>
    </w:tbl>
    <w:bookmarkEnd w:id="13"/>
    <w:bookmarkEnd w:id="14"/>
    <w:p w:rsidR="00666ECE" w:rsidRPr="00666ECE" w:rsidRDefault="00666ECE" w:rsidP="007B0AE2">
      <w:pPr>
        <w:pStyle w:val="Heading5"/>
      </w:pPr>
      <w:r w:rsidRPr="00666ECE">
        <w:t>Participation — 14–19 year olds enrolled in school</w:t>
      </w:r>
      <w:r w:rsidR="006C62E8">
        <w:t xml:space="preserve"> </w:t>
      </w:r>
    </w:p>
    <w:p w:rsidR="00666ECE" w:rsidRPr="00666ECE" w:rsidRDefault="00666ECE" w:rsidP="00483D1F">
      <w:pPr>
        <w:pStyle w:val="BodyText"/>
        <w:rPr>
          <w:b/>
          <w:u w:val="dotted"/>
        </w:rPr>
      </w:pPr>
      <w:r w:rsidRPr="00B17604">
        <w:rPr>
          <w:shd w:val="clear" w:color="auto" w:fill="FFFFFF" w:themeFill="background1"/>
        </w:rPr>
        <w:t xml:space="preserve">Nationally, </w:t>
      </w:r>
      <w:r w:rsidR="006040C5" w:rsidRPr="00B17604">
        <w:rPr>
          <w:shd w:val="clear" w:color="auto" w:fill="FFFFFF" w:themeFill="background1"/>
        </w:rPr>
        <w:t>62.</w:t>
      </w:r>
      <w:r w:rsidR="00E40152" w:rsidRPr="00B17604">
        <w:rPr>
          <w:shd w:val="clear" w:color="auto" w:fill="FFFFFF" w:themeFill="background1"/>
        </w:rPr>
        <w:t>7</w:t>
      </w:r>
      <w:r w:rsidRPr="00B17604">
        <w:rPr>
          <w:shd w:val="clear" w:color="auto" w:fill="FFFFFF" w:themeFill="background1"/>
        </w:rPr>
        <w:t xml:space="preserve"> per cent of 14–19 year olds were enrolled in schools in 201</w:t>
      </w:r>
      <w:r w:rsidR="00214B63" w:rsidRPr="00B17604">
        <w:rPr>
          <w:shd w:val="clear" w:color="auto" w:fill="FFFFFF" w:themeFill="background1"/>
        </w:rPr>
        <w:t>3</w:t>
      </w:r>
      <w:r w:rsidRPr="00B17604">
        <w:rPr>
          <w:shd w:val="clear" w:color="auto" w:fill="FFFFFF" w:themeFill="background1"/>
        </w:rPr>
        <w:t xml:space="preserve"> (</w:t>
      </w:r>
      <w:r w:rsidR="001435AF" w:rsidRPr="00B17604">
        <w:rPr>
          <w:shd w:val="clear" w:color="auto" w:fill="FFFFFF" w:themeFill="background1"/>
        </w:rPr>
        <w:t>figure 4.</w:t>
      </w:r>
      <w:r w:rsidR="00C92821">
        <w:rPr>
          <w:shd w:val="clear" w:color="auto" w:fill="FFFFFF" w:themeFill="background1"/>
        </w:rPr>
        <w:t>9</w:t>
      </w:r>
      <w:r w:rsidRPr="00B17604">
        <w:rPr>
          <w:shd w:val="clear" w:color="auto" w:fill="FFFFFF" w:themeFill="background1"/>
        </w:rPr>
        <w:t xml:space="preserve">). School participation rates declined as students exceeded the maximum compulsory school age and varied by jurisdiction, age </w:t>
      </w:r>
      <w:r w:rsidR="00C24812" w:rsidRPr="00B17604">
        <w:rPr>
          <w:shd w:val="clear" w:color="auto" w:fill="FFFFFF" w:themeFill="background1"/>
        </w:rPr>
        <w:t xml:space="preserve">and sex </w:t>
      </w:r>
      <w:r w:rsidR="00670FC9" w:rsidRPr="00B17604">
        <w:rPr>
          <w:shd w:val="clear" w:color="auto" w:fill="FFFFFF" w:themeFill="background1"/>
        </w:rPr>
        <w:t>(figure 4.</w:t>
      </w:r>
      <w:r w:rsidR="007275F7">
        <w:rPr>
          <w:shd w:val="clear" w:color="auto" w:fill="FFFFFF" w:themeFill="background1"/>
        </w:rPr>
        <w:t>9</w:t>
      </w:r>
      <w:r w:rsidR="00C24812">
        <w:rPr>
          <w:shd w:val="clear" w:color="auto" w:fill="FFFFFF" w:themeFill="background1"/>
        </w:rPr>
        <w:t xml:space="preserve"> and </w:t>
      </w:r>
      <w:r w:rsidR="00F46196" w:rsidRPr="00B17604">
        <w:rPr>
          <w:shd w:val="clear" w:color="auto" w:fill="FFFFFF" w:themeFill="background1"/>
        </w:rPr>
        <w:t xml:space="preserve">table </w:t>
      </w:r>
      <w:proofErr w:type="spellStart"/>
      <w:r w:rsidR="00F46196" w:rsidRPr="00B17604">
        <w:rPr>
          <w:shd w:val="clear" w:color="auto" w:fill="FFFFFF" w:themeFill="background1"/>
        </w:rPr>
        <w:t>4</w:t>
      </w:r>
      <w:r w:rsidR="00670FC9" w:rsidRPr="00B17604">
        <w:rPr>
          <w:shd w:val="clear" w:color="auto" w:fill="FFFFFF" w:themeFill="background1"/>
        </w:rPr>
        <w:t>A</w:t>
      </w:r>
      <w:r w:rsidR="00F46196" w:rsidRPr="00B17604">
        <w:rPr>
          <w:shd w:val="clear" w:color="auto" w:fill="FFFFFF" w:themeFill="background1"/>
        </w:rPr>
        <w:t>.1</w:t>
      </w:r>
      <w:r w:rsidR="008A76CD" w:rsidRPr="00B17604">
        <w:rPr>
          <w:shd w:val="clear" w:color="auto" w:fill="FFFFFF" w:themeFill="background1"/>
        </w:rPr>
        <w:t>84</w:t>
      </w:r>
      <w:proofErr w:type="spellEnd"/>
      <w:r w:rsidR="00F46196" w:rsidRPr="00B17604">
        <w:rPr>
          <w:shd w:val="clear" w:color="auto" w:fill="FFFFFF" w:themeFill="background1"/>
        </w:rPr>
        <w:t>)</w:t>
      </w:r>
      <w:r w:rsidRPr="00B17604">
        <w:rPr>
          <w:shd w:val="clear" w:color="auto" w:fill="FFFFFF" w:themeFill="background1"/>
        </w:rPr>
        <w:t>. School participation rates for females (</w:t>
      </w:r>
      <w:r w:rsidR="006040C5" w:rsidRPr="00B17604">
        <w:rPr>
          <w:shd w:val="clear" w:color="auto" w:fill="FFFFFF" w:themeFill="background1"/>
        </w:rPr>
        <w:t>63.1</w:t>
      </w:r>
      <w:r w:rsidRPr="00B17604">
        <w:rPr>
          <w:shd w:val="clear" w:color="auto" w:fill="FFFFFF" w:themeFill="background1"/>
        </w:rPr>
        <w:t xml:space="preserve"> </w:t>
      </w:r>
      <w:r w:rsidR="00AE1B64" w:rsidRPr="00B17604">
        <w:rPr>
          <w:shd w:val="clear" w:color="auto" w:fill="FFFFFF" w:themeFill="background1"/>
        </w:rPr>
        <w:t xml:space="preserve">per cent) were </w:t>
      </w:r>
      <w:r w:rsidR="00817F8F">
        <w:rPr>
          <w:shd w:val="clear" w:color="auto" w:fill="FFFFFF" w:themeFill="background1"/>
        </w:rPr>
        <w:t>slightly</w:t>
      </w:r>
      <w:r w:rsidRPr="00B17604">
        <w:rPr>
          <w:shd w:val="clear" w:color="auto" w:fill="FFFFFF" w:themeFill="background1"/>
        </w:rPr>
        <w:t xml:space="preserve"> higher than those for males (</w:t>
      </w:r>
      <w:r w:rsidR="00E40152" w:rsidRPr="00B17604">
        <w:rPr>
          <w:shd w:val="clear" w:color="auto" w:fill="FFFFFF" w:themeFill="background1"/>
        </w:rPr>
        <w:t>62.2</w:t>
      </w:r>
      <w:r w:rsidR="00C24812">
        <w:rPr>
          <w:shd w:val="clear" w:color="auto" w:fill="FFFFFF" w:themeFill="background1"/>
        </w:rPr>
        <w:t> </w:t>
      </w:r>
      <w:r w:rsidRPr="00B17604">
        <w:rPr>
          <w:shd w:val="clear" w:color="auto" w:fill="FFFFFF" w:themeFill="background1"/>
        </w:rPr>
        <w:t>per</w:t>
      </w:r>
      <w:r w:rsidR="00C24812">
        <w:rPr>
          <w:shd w:val="clear" w:color="auto" w:fill="FFFFFF" w:themeFill="background1"/>
        </w:rPr>
        <w:t> </w:t>
      </w:r>
      <w:r w:rsidRPr="00B17604">
        <w:rPr>
          <w:shd w:val="clear" w:color="auto" w:fill="FFFFFF" w:themeFill="background1"/>
        </w:rPr>
        <w:t>cent) (table</w:t>
      </w:r>
      <w:r w:rsidR="00E40152" w:rsidRPr="00B17604">
        <w:rPr>
          <w:shd w:val="clear" w:color="auto" w:fill="FFFFFF" w:themeFill="background1"/>
        </w:rPr>
        <w:t> </w:t>
      </w:r>
      <w:proofErr w:type="spellStart"/>
      <w:r w:rsidRPr="00B17604">
        <w:rPr>
          <w:shd w:val="clear" w:color="auto" w:fill="FFFFFF" w:themeFill="background1"/>
        </w:rPr>
        <w:t>4A.</w:t>
      </w:r>
      <w:r w:rsidR="00BA1CEC" w:rsidRPr="00B17604">
        <w:rPr>
          <w:shd w:val="clear" w:color="auto" w:fill="FFFFFF" w:themeFill="background1"/>
        </w:rPr>
        <w:t>1</w:t>
      </w:r>
      <w:r w:rsidR="008A76CD" w:rsidRPr="00B17604">
        <w:rPr>
          <w:shd w:val="clear" w:color="auto" w:fill="FFFFFF" w:themeFill="background1"/>
        </w:rPr>
        <w:t>84</w:t>
      </w:r>
      <w:proofErr w:type="spellEnd"/>
      <w:r w:rsidRPr="00B17604">
        <w:rPr>
          <w:shd w:val="clear" w:color="auto" w:fill="FFFFFF" w:themeFill="background1"/>
        </w:rPr>
        <w:t>).</w:t>
      </w:r>
      <w:r w:rsidR="001D5AD2" w:rsidRPr="00B17604">
        <w:rPr>
          <w:shd w:val="clear" w:color="auto" w:fill="FFFFFF" w:themeFill="background1"/>
        </w:rPr>
        <w:t xml:space="preserve"> </w:t>
      </w:r>
      <w:r w:rsidRPr="00B17604">
        <w:rPr>
          <w:shd w:val="clear" w:color="auto" w:fill="FFFFFF" w:themeFill="background1"/>
        </w:rPr>
        <w:t>Data for 14–19 year olds from 200</w:t>
      </w:r>
      <w:r w:rsidR="00214B63" w:rsidRPr="00B17604">
        <w:rPr>
          <w:shd w:val="clear" w:color="auto" w:fill="FFFFFF" w:themeFill="background1"/>
        </w:rPr>
        <w:t>4</w:t>
      </w:r>
      <w:r w:rsidRPr="00B17604">
        <w:rPr>
          <w:shd w:val="clear" w:color="auto" w:fill="FFFFFF" w:themeFill="background1"/>
        </w:rPr>
        <w:t xml:space="preserve"> to</w:t>
      </w:r>
      <w:r w:rsidRPr="00666ECE">
        <w:t xml:space="preserve"> 201</w:t>
      </w:r>
      <w:r w:rsidR="00214B63">
        <w:t>3</w:t>
      </w:r>
      <w:r w:rsidRPr="00666ECE">
        <w:t xml:space="preserve"> are included in table </w:t>
      </w:r>
      <w:proofErr w:type="spellStart"/>
      <w:r w:rsidRPr="00666ECE">
        <w:t>4A.</w:t>
      </w:r>
      <w:r w:rsidR="00BA1CEC">
        <w:t>1</w:t>
      </w:r>
      <w:r w:rsidR="008A76CD">
        <w:t>85</w:t>
      </w:r>
      <w:proofErr w:type="spellEnd"/>
      <w:r w:rsidRPr="00666ECE">
        <w:t>.</w:t>
      </w:r>
    </w:p>
    <w:p w:rsidR="001435AF" w:rsidRDefault="001435AF" w:rsidP="00E41D9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435AF" w:rsidTr="00E41D90">
        <w:tc>
          <w:tcPr>
            <w:tcW w:w="8771" w:type="dxa"/>
            <w:tcBorders>
              <w:top w:val="single" w:sz="6" w:space="0" w:color="78A22F"/>
              <w:left w:val="nil"/>
              <w:bottom w:val="nil"/>
              <w:right w:val="nil"/>
            </w:tcBorders>
            <w:shd w:val="clear" w:color="auto" w:fill="auto"/>
          </w:tcPr>
          <w:p w:rsidR="001435AF" w:rsidRPr="00176D3F" w:rsidRDefault="001435AF" w:rsidP="00BE72C6">
            <w:pPr>
              <w:pStyle w:val="FigureTitle"/>
            </w:pPr>
            <w:r w:rsidRPr="00784A05">
              <w:rPr>
                <w:b w:val="0"/>
              </w:rPr>
              <w:t xml:space="preserve">Figure </w:t>
            </w:r>
            <w:r w:rsidR="00B70781">
              <w:rPr>
                <w:b w:val="0"/>
              </w:rPr>
              <w:t>4.</w:t>
            </w:r>
            <w:r w:rsidR="005953B6">
              <w:rPr>
                <w:b w:val="0"/>
                <w:noProof/>
              </w:rPr>
              <w:t>9</w:t>
            </w:r>
            <w:r>
              <w:tab/>
            </w:r>
            <w:r w:rsidRPr="001435AF">
              <w:t>School participation rate of people aged 14–19 years in school education, all schools, 201</w:t>
            </w:r>
            <w:r w:rsidR="00BE72C6">
              <w:t>3</w:t>
            </w:r>
            <w:r w:rsidR="008A76CD">
              <w:t xml:space="preserve"> </w:t>
            </w:r>
            <w:r w:rsidRPr="001435AF">
              <w:rPr>
                <w:rStyle w:val="NoteLabel"/>
                <w:b/>
              </w:rPr>
              <w:t>a, b, c</w:t>
            </w:r>
          </w:p>
        </w:tc>
      </w:tr>
      <w:tr w:rsidR="001435AF" w:rsidTr="00BB29B6">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435AF" w:rsidTr="00E41D90">
              <w:trPr>
                <w:jc w:val="center"/>
              </w:trPr>
              <w:tc>
                <w:tcPr>
                  <w:tcW w:w="5000" w:type="pct"/>
                  <w:tcBorders>
                    <w:top w:val="nil"/>
                    <w:bottom w:val="nil"/>
                  </w:tcBorders>
                </w:tcPr>
                <w:p w:rsidR="001435AF" w:rsidRDefault="00DC200A" w:rsidP="00E41D90">
                  <w:pPr>
                    <w:pStyle w:val="Figure"/>
                    <w:spacing w:before="60" w:after="60"/>
                  </w:pPr>
                  <w:r>
                    <w:rPr>
                      <w:noProof/>
                    </w:rPr>
                    <w:drawing>
                      <wp:inline distT="0" distB="0" distL="0" distR="0">
                        <wp:extent cx="5381625" cy="2647950"/>
                        <wp:effectExtent l="0" t="0" r="9525" b="0"/>
                        <wp:docPr id="9" name="Picture 9" descr="Figure 4.9 School participation rate of people aged 14-19 years in school education, all schools,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81625" cy="2647950"/>
                                </a:xfrm>
                                <a:prstGeom prst="rect">
                                  <a:avLst/>
                                </a:prstGeom>
                                <a:noFill/>
                                <a:ln>
                                  <a:noFill/>
                                </a:ln>
                              </pic:spPr>
                            </pic:pic>
                          </a:graphicData>
                        </a:graphic>
                      </wp:inline>
                    </w:drawing>
                  </w:r>
                </w:p>
              </w:tc>
            </w:tr>
          </w:tbl>
          <w:p w:rsidR="001435AF" w:rsidRDefault="001435AF" w:rsidP="00E41D90">
            <w:pPr>
              <w:pStyle w:val="Figure"/>
            </w:pPr>
          </w:p>
        </w:tc>
      </w:tr>
      <w:tr w:rsidR="001435AF" w:rsidRPr="00176D3F" w:rsidTr="00A11734">
        <w:tc>
          <w:tcPr>
            <w:tcW w:w="8771" w:type="dxa"/>
            <w:tcBorders>
              <w:top w:val="nil"/>
              <w:left w:val="nil"/>
              <w:bottom w:val="nil"/>
              <w:right w:val="nil"/>
            </w:tcBorders>
            <w:shd w:val="clear" w:color="auto" w:fill="auto"/>
          </w:tcPr>
          <w:p w:rsidR="001435AF" w:rsidRPr="00176D3F" w:rsidRDefault="001435AF" w:rsidP="00A94C0D">
            <w:pPr>
              <w:pStyle w:val="Note"/>
            </w:pPr>
            <w:r w:rsidRPr="00B764E2">
              <w:rPr>
                <w:rStyle w:val="NoteLabel"/>
              </w:rPr>
              <w:t>a</w:t>
            </w:r>
            <w:r w:rsidRPr="00B764E2">
              <w:t xml:space="preserve"> Proportion of the population who were enrolled as full time or part time students in August 201</w:t>
            </w:r>
            <w:r w:rsidR="008A76CD" w:rsidRPr="00B764E2">
              <w:t>3</w:t>
            </w:r>
            <w:r w:rsidRPr="00B764E2">
              <w:t xml:space="preserve">. </w:t>
            </w:r>
            <w:r w:rsidRPr="00B764E2">
              <w:br/>
            </w:r>
            <w:r w:rsidRPr="00B764E2">
              <w:rPr>
                <w:rStyle w:val="NoteLabel"/>
              </w:rPr>
              <w:t>b</w:t>
            </w:r>
            <w:r w:rsidRPr="00B764E2">
              <w:rPr>
                <w:b/>
              </w:rPr>
              <w:t> </w:t>
            </w:r>
            <w:r w:rsidRPr="00B764E2">
              <w:t xml:space="preserve">Proportions are determined using the number of students enrolled in the jurisdiction divided by the estimated residential population for the jurisdiction, for the age group. In some cases students may be enrolled in a different jurisdiction to their place of residence. </w:t>
            </w:r>
            <w:r w:rsidRPr="00B764E2">
              <w:rPr>
                <w:rStyle w:val="NoteLabel"/>
              </w:rPr>
              <w:t>c</w:t>
            </w:r>
            <w:r w:rsidRPr="00B764E2">
              <w:t xml:space="preserve"> Different school commencement ages across some states and territories may affect comparisons </w:t>
            </w:r>
            <w:r w:rsidR="00817F8F" w:rsidRPr="00B764E2">
              <w:t>across</w:t>
            </w:r>
            <w:r w:rsidRPr="00B764E2">
              <w:t xml:space="preserve"> jurisdictions</w:t>
            </w:r>
            <w:r w:rsidRPr="00A11734">
              <w:rPr>
                <w:shd w:val="clear" w:color="auto" w:fill="FFFFFF" w:themeFill="background1"/>
              </w:rPr>
              <w:t>.</w:t>
            </w:r>
          </w:p>
        </w:tc>
      </w:tr>
      <w:tr w:rsidR="001435AF" w:rsidRPr="00176D3F" w:rsidTr="00E41D90">
        <w:tc>
          <w:tcPr>
            <w:tcW w:w="8771" w:type="dxa"/>
            <w:tcBorders>
              <w:top w:val="nil"/>
              <w:left w:val="nil"/>
              <w:bottom w:val="nil"/>
              <w:right w:val="nil"/>
            </w:tcBorders>
            <w:shd w:val="clear" w:color="auto" w:fill="auto"/>
          </w:tcPr>
          <w:p w:rsidR="001435AF" w:rsidRPr="00176D3F" w:rsidRDefault="001435AF" w:rsidP="008A76CD">
            <w:pPr>
              <w:pStyle w:val="Source"/>
            </w:pPr>
            <w:r w:rsidRPr="00784A05">
              <w:rPr>
                <w:i/>
              </w:rPr>
              <w:t>Data source</w:t>
            </w:r>
            <w:r w:rsidRPr="00176D3F">
              <w:t xml:space="preserve">: </w:t>
            </w:r>
            <w:r w:rsidRPr="005F1E51">
              <w:rPr>
                <w:shd w:val="clear" w:color="auto" w:fill="FFFFFF" w:themeFill="background1"/>
              </w:rPr>
              <w:t>ABS (201</w:t>
            </w:r>
            <w:r w:rsidR="005F1E51" w:rsidRPr="005F1E51">
              <w:rPr>
                <w:shd w:val="clear" w:color="auto" w:fill="FFFFFF" w:themeFill="background1"/>
              </w:rPr>
              <w:t>4</w:t>
            </w:r>
            <w:r w:rsidRPr="005F1E51">
              <w:rPr>
                <w:shd w:val="clear" w:color="auto" w:fill="FFFFFF" w:themeFill="background1"/>
              </w:rPr>
              <w:t xml:space="preserve">) </w:t>
            </w:r>
            <w:r w:rsidRPr="005F1E51">
              <w:rPr>
                <w:i/>
                <w:shd w:val="clear" w:color="auto" w:fill="FFFFFF" w:themeFill="background1"/>
              </w:rPr>
              <w:t>Schools Australia 201</w:t>
            </w:r>
            <w:r w:rsidR="005F1E51" w:rsidRPr="005F1E51">
              <w:rPr>
                <w:i/>
                <w:shd w:val="clear" w:color="auto" w:fill="FFFFFF" w:themeFill="background1"/>
              </w:rPr>
              <w:t>3</w:t>
            </w:r>
            <w:r w:rsidRPr="005F1E51">
              <w:rPr>
                <w:shd w:val="clear" w:color="auto" w:fill="FFFFFF" w:themeFill="background1"/>
              </w:rPr>
              <w:t xml:space="preserve">, </w:t>
            </w:r>
            <w:r w:rsidR="005F1E51" w:rsidRPr="005F1E51">
              <w:rPr>
                <w:shd w:val="clear" w:color="auto" w:fill="FFFFFF" w:themeFill="background1"/>
              </w:rPr>
              <w:t xml:space="preserve">ABS </w:t>
            </w:r>
            <w:r w:rsidR="005F1E51" w:rsidRPr="005F1E51">
              <w:rPr>
                <w:i/>
                <w:shd w:val="clear" w:color="auto" w:fill="FFFFFF" w:themeFill="background1"/>
              </w:rPr>
              <w:t>Schools Australia</w:t>
            </w:r>
            <w:r w:rsidR="005F1E51" w:rsidRPr="005F1E51">
              <w:rPr>
                <w:shd w:val="clear" w:color="auto" w:fill="FFFFFF" w:themeFill="background1"/>
              </w:rPr>
              <w:t xml:space="preserve"> (unpublished); </w:t>
            </w:r>
            <w:r w:rsidRPr="005F1E51">
              <w:rPr>
                <w:shd w:val="clear" w:color="auto" w:fill="FFFFFF" w:themeFill="background1"/>
              </w:rPr>
              <w:t xml:space="preserve">Cat. no. 4221.0; table </w:t>
            </w:r>
            <w:proofErr w:type="spellStart"/>
            <w:r w:rsidRPr="005F1E51">
              <w:rPr>
                <w:shd w:val="clear" w:color="auto" w:fill="FFFFFF" w:themeFill="background1"/>
              </w:rPr>
              <w:t>4A.1</w:t>
            </w:r>
            <w:r w:rsidR="008A76CD">
              <w:rPr>
                <w:shd w:val="clear" w:color="auto" w:fill="FFFFFF" w:themeFill="background1"/>
              </w:rPr>
              <w:t>84</w:t>
            </w:r>
            <w:proofErr w:type="spellEnd"/>
            <w:r w:rsidRPr="005F1E51">
              <w:rPr>
                <w:shd w:val="clear" w:color="auto" w:fill="FFFFFF" w:themeFill="background1"/>
              </w:rPr>
              <w:t>.</w:t>
            </w:r>
          </w:p>
        </w:tc>
      </w:tr>
      <w:tr w:rsidR="001435AF" w:rsidTr="00E41D90">
        <w:tc>
          <w:tcPr>
            <w:tcW w:w="8771" w:type="dxa"/>
            <w:tcBorders>
              <w:top w:val="nil"/>
              <w:left w:val="nil"/>
              <w:bottom w:val="single" w:sz="6" w:space="0" w:color="78A22F"/>
              <w:right w:val="nil"/>
            </w:tcBorders>
            <w:shd w:val="clear" w:color="auto" w:fill="auto"/>
          </w:tcPr>
          <w:p w:rsidR="001435AF" w:rsidRDefault="001435AF" w:rsidP="00E41D90">
            <w:pPr>
              <w:pStyle w:val="Figurespace"/>
            </w:pPr>
          </w:p>
        </w:tc>
      </w:tr>
      <w:tr w:rsidR="001435AF" w:rsidRPr="000863A5" w:rsidTr="00E41D90">
        <w:tc>
          <w:tcPr>
            <w:tcW w:w="8771" w:type="dxa"/>
            <w:tcBorders>
              <w:top w:val="single" w:sz="6" w:space="0" w:color="78A22F"/>
              <w:left w:val="nil"/>
              <w:bottom w:val="nil"/>
              <w:right w:val="nil"/>
            </w:tcBorders>
          </w:tcPr>
          <w:p w:rsidR="001435AF" w:rsidRPr="00626D32" w:rsidRDefault="001435AF" w:rsidP="00E41D90">
            <w:pPr>
              <w:pStyle w:val="BoxSpaceBelow"/>
            </w:pPr>
          </w:p>
        </w:tc>
      </w:tr>
    </w:tbl>
    <w:p w:rsidR="00666ECE" w:rsidRPr="00666ECE" w:rsidRDefault="00666ECE" w:rsidP="007B0AE2">
      <w:pPr>
        <w:pStyle w:val="Heading5"/>
      </w:pPr>
      <w:r w:rsidRPr="00666ECE">
        <w:t>Participation — achievement of VET competencies</w:t>
      </w:r>
    </w:p>
    <w:p w:rsidR="00666ECE" w:rsidRPr="00666ECE" w:rsidRDefault="008B5ED3" w:rsidP="00483D1F">
      <w:pPr>
        <w:pStyle w:val="BodyText"/>
      </w:pPr>
      <w:r>
        <w:t>In</w:t>
      </w:r>
      <w:r w:rsidRPr="00666ECE">
        <w:t xml:space="preserve"> </w:t>
      </w:r>
      <w:r w:rsidRPr="00C97555">
        <w:rPr>
          <w:shd w:val="clear" w:color="auto" w:fill="FFFFFF" w:themeFill="background1"/>
        </w:rPr>
        <w:t>2012</w:t>
      </w:r>
      <w:r>
        <w:rPr>
          <w:shd w:val="clear" w:color="auto" w:fill="FFFFFF" w:themeFill="background1"/>
        </w:rPr>
        <w:t>,</w:t>
      </w:r>
      <w:r w:rsidR="00666ECE" w:rsidRPr="00666ECE">
        <w:t xml:space="preserve"> </w:t>
      </w:r>
      <w:r w:rsidR="00542C78" w:rsidRPr="00C97555">
        <w:rPr>
          <w:shd w:val="clear" w:color="auto" w:fill="FFFFFF" w:themeFill="background1"/>
        </w:rPr>
        <w:t>2</w:t>
      </w:r>
      <w:r w:rsidR="0016625F" w:rsidRPr="00C97555">
        <w:rPr>
          <w:shd w:val="clear" w:color="auto" w:fill="FFFFFF" w:themeFill="background1"/>
        </w:rPr>
        <w:t>42</w:t>
      </w:r>
      <w:r w:rsidR="00321BBB">
        <w:rPr>
          <w:shd w:val="clear" w:color="auto" w:fill="FFFFFF" w:themeFill="background1"/>
        </w:rPr>
        <w:t> </w:t>
      </w:r>
      <w:r w:rsidR="0016625F" w:rsidRPr="00C97555">
        <w:rPr>
          <w:shd w:val="clear" w:color="auto" w:fill="FFFFFF" w:themeFill="background1"/>
        </w:rPr>
        <w:t>3</w:t>
      </w:r>
      <w:r w:rsidR="00542C78" w:rsidRPr="00C97555">
        <w:rPr>
          <w:shd w:val="clear" w:color="auto" w:fill="FFFFFF" w:themeFill="background1"/>
        </w:rPr>
        <w:t>00</w:t>
      </w:r>
      <w:r w:rsidR="008771B2" w:rsidRPr="00F848EE">
        <w:t xml:space="preserve"> </w:t>
      </w:r>
      <w:r w:rsidRPr="00666ECE">
        <w:t xml:space="preserve">young people </w:t>
      </w:r>
      <w:r w:rsidRPr="00C97555">
        <w:rPr>
          <w:shd w:val="clear" w:color="auto" w:fill="FFFFFF" w:themeFill="background1"/>
        </w:rPr>
        <w:t>w</w:t>
      </w:r>
      <w:r>
        <w:rPr>
          <w:shd w:val="clear" w:color="auto" w:fill="FFFFFF" w:themeFill="background1"/>
        </w:rPr>
        <w:t>ere</w:t>
      </w:r>
      <w:r w:rsidRPr="00C97555">
        <w:rPr>
          <w:shd w:val="clear" w:color="auto" w:fill="FFFFFF" w:themeFill="background1"/>
        </w:rPr>
        <w:t xml:space="preserve"> </w:t>
      </w:r>
      <w:r w:rsidRPr="00666ECE">
        <w:t xml:space="preserve">undertaking VET in Schools programs </w:t>
      </w:r>
      <w:r w:rsidR="00666ECE" w:rsidRPr="00F848EE">
        <w:t>(</w:t>
      </w:r>
      <w:proofErr w:type="spellStart"/>
      <w:r w:rsidR="00666ECE" w:rsidRPr="00F848EE">
        <w:t>NCVER</w:t>
      </w:r>
      <w:proofErr w:type="spellEnd"/>
      <w:r w:rsidR="007D34B7">
        <w:t> </w:t>
      </w:r>
      <w:r w:rsidR="00666ECE" w:rsidRPr="00F848EE">
        <w:t>20</w:t>
      </w:r>
      <w:r w:rsidR="00214B63">
        <w:t>13</w:t>
      </w:r>
      <w:r w:rsidR="00666ECE" w:rsidRPr="00F848EE">
        <w:t>). The proportion of 15–19</w:t>
      </w:r>
      <w:r w:rsidR="0019719B" w:rsidRPr="00F848EE">
        <w:t> </w:t>
      </w:r>
      <w:r w:rsidR="00666ECE" w:rsidRPr="00F848EE">
        <w:t xml:space="preserve">year olds who had successfully </w:t>
      </w:r>
      <w:r w:rsidR="00666ECE" w:rsidRPr="00666ECE">
        <w:t xml:space="preserve">completed at least one unit of competency as part of a VET qualification at </w:t>
      </w:r>
      <w:proofErr w:type="spellStart"/>
      <w:r w:rsidR="00666ECE" w:rsidRPr="00666ECE">
        <w:t>AQF</w:t>
      </w:r>
      <w:proofErr w:type="spellEnd"/>
      <w:r w:rsidR="00666ECE" w:rsidRPr="00666ECE">
        <w:t xml:space="preserve"> Certificate II or above </w:t>
      </w:r>
      <w:r w:rsidR="00666ECE" w:rsidRPr="008A76CD">
        <w:rPr>
          <w:shd w:val="clear" w:color="auto" w:fill="FFFFFF" w:themeFill="background1"/>
        </w:rPr>
        <w:t xml:space="preserve">was </w:t>
      </w:r>
      <w:r w:rsidR="008A76CD" w:rsidRPr="008A76CD">
        <w:rPr>
          <w:shd w:val="clear" w:color="auto" w:fill="FFFFFF" w:themeFill="background1"/>
        </w:rPr>
        <w:t>28.8</w:t>
      </w:r>
      <w:r w:rsidR="00666ECE" w:rsidRPr="008A76CD">
        <w:rPr>
          <w:shd w:val="clear" w:color="auto" w:fill="FFFFFF" w:themeFill="background1"/>
        </w:rPr>
        <w:t xml:space="preserve"> per</w:t>
      </w:r>
      <w:r w:rsidR="00666ECE" w:rsidRPr="00666ECE">
        <w:t xml:space="preserve"> cent nationally in </w:t>
      </w:r>
      <w:r w:rsidR="00666ECE" w:rsidRPr="00602605">
        <w:t>20</w:t>
      </w:r>
      <w:r w:rsidR="0055265A" w:rsidRPr="00602605">
        <w:t>1</w:t>
      </w:r>
      <w:r w:rsidR="00214B63">
        <w:t>2</w:t>
      </w:r>
      <w:r w:rsidR="00666ECE" w:rsidRPr="00666ECE">
        <w:t xml:space="preserve"> (figure 4.</w:t>
      </w:r>
      <w:r w:rsidR="007275F7">
        <w:t>10</w:t>
      </w:r>
      <w:r w:rsidR="00666ECE" w:rsidRPr="00666ECE">
        <w:t>). This proportion includes both VET in Schools students and school-aged students who have left school but are still engaged in education through a campus of TAFE or other VET Register</w:t>
      </w:r>
      <w:r w:rsidR="00817F8F">
        <w:t>ed Training Organisation (</w:t>
      </w:r>
      <w:proofErr w:type="spellStart"/>
      <w:r w:rsidR="00817F8F">
        <w:t>RTO</w:t>
      </w:r>
      <w:proofErr w:type="spellEnd"/>
      <w:r w:rsidR="00817F8F">
        <w:t>).</w:t>
      </w:r>
    </w:p>
    <w:p w:rsidR="002349F8" w:rsidRDefault="002349F8" w:rsidP="00E41D9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349F8" w:rsidTr="00E41D90">
        <w:tc>
          <w:tcPr>
            <w:tcW w:w="8771" w:type="dxa"/>
            <w:tcBorders>
              <w:top w:val="single" w:sz="6" w:space="0" w:color="78A22F"/>
              <w:left w:val="nil"/>
              <w:bottom w:val="nil"/>
              <w:right w:val="nil"/>
            </w:tcBorders>
            <w:shd w:val="clear" w:color="auto" w:fill="auto"/>
          </w:tcPr>
          <w:p w:rsidR="002349F8" w:rsidRPr="00176D3F" w:rsidRDefault="002349F8" w:rsidP="002349F8">
            <w:pPr>
              <w:pStyle w:val="FigureTitle"/>
            </w:pPr>
            <w:r w:rsidRPr="00784A05">
              <w:rPr>
                <w:b w:val="0"/>
              </w:rPr>
              <w:t xml:space="preserve">Figure </w:t>
            </w:r>
            <w:r w:rsidR="00B70781">
              <w:rPr>
                <w:b w:val="0"/>
              </w:rPr>
              <w:t>4.</w:t>
            </w:r>
            <w:r w:rsidR="005953B6">
              <w:rPr>
                <w:b w:val="0"/>
                <w:noProof/>
              </w:rPr>
              <w:t>10</w:t>
            </w:r>
            <w:r>
              <w:tab/>
            </w:r>
            <w:r w:rsidRPr="002349F8">
              <w:t xml:space="preserve">Proportion of 15–19 year olds who have successfully completed at least one unit of competency as part of a VET qualification at </w:t>
            </w:r>
            <w:proofErr w:type="spellStart"/>
            <w:r w:rsidRPr="002349F8">
              <w:t>AQF</w:t>
            </w:r>
            <w:proofErr w:type="spellEnd"/>
            <w:r w:rsidRPr="002349F8">
              <w:t xml:space="preserve"> Certificate II or above</w:t>
            </w:r>
          </w:p>
        </w:tc>
      </w:tr>
      <w:tr w:rsidR="002349F8" w:rsidTr="00E41D90">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2349F8" w:rsidTr="00E41D90">
              <w:trPr>
                <w:jc w:val="center"/>
              </w:trPr>
              <w:tc>
                <w:tcPr>
                  <w:tcW w:w="5000" w:type="pct"/>
                  <w:tcBorders>
                    <w:top w:val="nil"/>
                    <w:bottom w:val="nil"/>
                  </w:tcBorders>
                </w:tcPr>
                <w:p w:rsidR="002349F8" w:rsidRDefault="00DC200A" w:rsidP="00E41D90">
                  <w:pPr>
                    <w:pStyle w:val="Figure"/>
                    <w:spacing w:before="60" w:after="60"/>
                  </w:pPr>
                  <w:r>
                    <w:rPr>
                      <w:noProof/>
                    </w:rPr>
                    <w:drawing>
                      <wp:inline distT="0" distB="0" distL="0" distR="0">
                        <wp:extent cx="5391150" cy="2867025"/>
                        <wp:effectExtent l="0" t="0" r="0" b="9525"/>
                        <wp:docPr id="10" name="Picture 10" descr="Figure 4.10 Proportion of 15-19 year olds who have successfully completed at least one unit of competency as part of a VET qualification at AQF Certificate II or abov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91150" cy="2867025"/>
                                </a:xfrm>
                                <a:prstGeom prst="rect">
                                  <a:avLst/>
                                </a:prstGeom>
                                <a:noFill/>
                                <a:ln>
                                  <a:noFill/>
                                </a:ln>
                              </pic:spPr>
                            </pic:pic>
                          </a:graphicData>
                        </a:graphic>
                      </wp:inline>
                    </w:drawing>
                  </w:r>
                </w:p>
              </w:tc>
            </w:tr>
          </w:tbl>
          <w:p w:rsidR="002349F8" w:rsidRDefault="002349F8" w:rsidP="00E41D90">
            <w:pPr>
              <w:pStyle w:val="Figure"/>
            </w:pPr>
          </w:p>
        </w:tc>
      </w:tr>
      <w:tr w:rsidR="002349F8" w:rsidRPr="00176D3F" w:rsidTr="00E41D90">
        <w:tc>
          <w:tcPr>
            <w:tcW w:w="8771" w:type="dxa"/>
            <w:tcBorders>
              <w:top w:val="nil"/>
              <w:left w:val="nil"/>
              <w:bottom w:val="nil"/>
              <w:right w:val="nil"/>
            </w:tcBorders>
            <w:shd w:val="clear" w:color="auto" w:fill="auto"/>
          </w:tcPr>
          <w:p w:rsidR="002349F8" w:rsidRPr="00176D3F" w:rsidRDefault="002349F8" w:rsidP="00C97555">
            <w:pPr>
              <w:pStyle w:val="Source"/>
            </w:pPr>
            <w:r>
              <w:rPr>
                <w:i/>
              </w:rPr>
              <w:t>S</w:t>
            </w:r>
            <w:r w:rsidRPr="00784A05">
              <w:rPr>
                <w:i/>
              </w:rPr>
              <w:t>ource</w:t>
            </w:r>
            <w:r w:rsidRPr="00176D3F">
              <w:t xml:space="preserve">: </w:t>
            </w:r>
            <w:proofErr w:type="spellStart"/>
            <w:r w:rsidRPr="002349F8">
              <w:t>NCVER</w:t>
            </w:r>
            <w:proofErr w:type="spellEnd"/>
            <w:r w:rsidRPr="002349F8">
              <w:rPr>
                <w:i/>
              </w:rPr>
              <w:t xml:space="preserve">, National VET Provider Collection </w:t>
            </w:r>
            <w:r w:rsidRPr="002349F8">
              <w:t xml:space="preserve">(various years); </w:t>
            </w:r>
            <w:proofErr w:type="spellStart"/>
            <w:r w:rsidRPr="002349F8">
              <w:t>NCVER</w:t>
            </w:r>
            <w:proofErr w:type="spellEnd"/>
            <w:r w:rsidRPr="002349F8">
              <w:rPr>
                <w:i/>
              </w:rPr>
              <w:t>, National VET in Schools Collection</w:t>
            </w:r>
            <w:r w:rsidRPr="002349F8">
              <w:t xml:space="preserve"> </w:t>
            </w:r>
            <w:r w:rsidR="00C97555" w:rsidRPr="002349F8">
              <w:t>(various years)</w:t>
            </w:r>
            <w:r w:rsidRPr="002349F8">
              <w:t xml:space="preserve">; ABS </w:t>
            </w:r>
            <w:r w:rsidR="00C97555" w:rsidRPr="00C97555">
              <w:rPr>
                <w:i/>
              </w:rPr>
              <w:t xml:space="preserve">Australian Demographic Statistics, </w:t>
            </w:r>
            <w:r w:rsidR="0068677C" w:rsidRPr="0068677C">
              <w:t>(various years)</w:t>
            </w:r>
            <w:r w:rsidRPr="002349F8">
              <w:t xml:space="preserve"> (Cat. no. 3</w:t>
            </w:r>
            <w:r w:rsidR="00C97555">
              <w:t>1</w:t>
            </w:r>
            <w:r w:rsidRPr="002349F8">
              <w:t>01.0); table </w:t>
            </w:r>
            <w:proofErr w:type="spellStart"/>
            <w:r w:rsidRPr="002349F8">
              <w:t>4A.1</w:t>
            </w:r>
            <w:r w:rsidR="008A76CD">
              <w:t>96</w:t>
            </w:r>
            <w:proofErr w:type="spellEnd"/>
            <w:r>
              <w:t>.</w:t>
            </w:r>
          </w:p>
        </w:tc>
      </w:tr>
      <w:tr w:rsidR="002349F8" w:rsidTr="00E41D90">
        <w:tc>
          <w:tcPr>
            <w:tcW w:w="8771" w:type="dxa"/>
            <w:tcBorders>
              <w:top w:val="nil"/>
              <w:left w:val="nil"/>
              <w:bottom w:val="single" w:sz="6" w:space="0" w:color="78A22F"/>
              <w:right w:val="nil"/>
            </w:tcBorders>
            <w:shd w:val="clear" w:color="auto" w:fill="auto"/>
          </w:tcPr>
          <w:p w:rsidR="002349F8" w:rsidRDefault="002349F8" w:rsidP="00E41D90">
            <w:pPr>
              <w:pStyle w:val="Figurespace"/>
            </w:pPr>
          </w:p>
        </w:tc>
      </w:tr>
      <w:tr w:rsidR="002349F8" w:rsidRPr="000863A5" w:rsidTr="00E41D90">
        <w:tc>
          <w:tcPr>
            <w:tcW w:w="8771" w:type="dxa"/>
            <w:tcBorders>
              <w:top w:val="single" w:sz="6" w:space="0" w:color="78A22F"/>
              <w:left w:val="nil"/>
              <w:bottom w:val="nil"/>
              <w:right w:val="nil"/>
            </w:tcBorders>
          </w:tcPr>
          <w:p w:rsidR="002349F8" w:rsidRPr="00626D32" w:rsidRDefault="002349F8" w:rsidP="00E41D90">
            <w:pPr>
              <w:pStyle w:val="BoxSpaceBelow"/>
            </w:pPr>
          </w:p>
        </w:tc>
      </w:tr>
    </w:tbl>
    <w:p w:rsidR="00666ECE" w:rsidRPr="00666ECE" w:rsidRDefault="00666ECE" w:rsidP="007B0AE2">
      <w:pPr>
        <w:pStyle w:val="Heading5"/>
      </w:pPr>
      <w:r w:rsidRPr="00666ECE">
        <w:t>Retention</w:t>
      </w:r>
    </w:p>
    <w:p w:rsidR="00666ECE" w:rsidRDefault="00666ECE" w:rsidP="00483D1F">
      <w:pPr>
        <w:pStyle w:val="BodyText"/>
      </w:pPr>
      <w:r w:rsidRPr="00666ECE">
        <w:t xml:space="preserve">‘Retention’ to the final years of schooling is an indicator of governments’ objective that all students have access to high quality education and training necessary to </w:t>
      </w:r>
      <w:r w:rsidR="0019719B" w:rsidRPr="00666ECE">
        <w:t>compl</w:t>
      </w:r>
      <w:r w:rsidR="0019719B">
        <w:t>et</w:t>
      </w:r>
      <w:r w:rsidR="0019719B" w:rsidRPr="00666ECE">
        <w:t>e</w:t>
      </w:r>
      <w:r w:rsidRPr="00666ECE">
        <w:t xml:space="preserve"> education to year 12 or its equivalent (box 4.</w:t>
      </w:r>
      <w:r w:rsidR="007275F7">
        <w:t>4</w:t>
      </w:r>
      <w:r w:rsidRPr="00666ECE">
        <w:t>).</w:t>
      </w:r>
    </w:p>
    <w:p w:rsidR="00CD37FD" w:rsidRDefault="00CD37F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D37FD" w:rsidTr="00751345">
        <w:tc>
          <w:tcPr>
            <w:tcW w:w="8771" w:type="dxa"/>
            <w:tcBorders>
              <w:top w:val="single" w:sz="6" w:space="0" w:color="78A22F"/>
              <w:left w:val="nil"/>
              <w:bottom w:val="nil"/>
              <w:right w:val="nil"/>
            </w:tcBorders>
            <w:shd w:val="clear" w:color="auto" w:fill="F2F2F2"/>
          </w:tcPr>
          <w:p w:rsidR="00CD37FD" w:rsidRDefault="00CD37FD" w:rsidP="00CD37FD">
            <w:pPr>
              <w:pStyle w:val="BoxTitle"/>
            </w:pPr>
            <w:r w:rsidRPr="007275F7">
              <w:rPr>
                <w:b w:val="0"/>
              </w:rPr>
              <w:t xml:space="preserve">Box </w:t>
            </w:r>
            <w:r w:rsidR="00B70781" w:rsidRPr="007275F7">
              <w:rPr>
                <w:b w:val="0"/>
              </w:rPr>
              <w:t>4.</w:t>
            </w:r>
            <w:r w:rsidR="005953B6">
              <w:rPr>
                <w:b w:val="0"/>
                <w:noProof/>
              </w:rPr>
              <w:t>4</w:t>
            </w:r>
            <w:r>
              <w:tab/>
            </w:r>
            <w:r w:rsidRPr="00CD37FD">
              <w:t>Retention</w:t>
            </w:r>
          </w:p>
        </w:tc>
      </w:tr>
      <w:tr w:rsidR="00CD37FD" w:rsidTr="00751345">
        <w:trPr>
          <w:cantSplit/>
        </w:trPr>
        <w:tc>
          <w:tcPr>
            <w:tcW w:w="8771" w:type="dxa"/>
            <w:tcBorders>
              <w:top w:val="nil"/>
              <w:left w:val="nil"/>
              <w:bottom w:val="nil"/>
              <w:right w:val="nil"/>
            </w:tcBorders>
            <w:shd w:val="clear" w:color="auto" w:fill="F2F2F2"/>
          </w:tcPr>
          <w:p w:rsidR="00CD37FD" w:rsidRPr="00CD37FD" w:rsidRDefault="00CD37FD" w:rsidP="00CD37FD">
            <w:pPr>
              <w:pStyle w:val="Box"/>
            </w:pPr>
            <w:r w:rsidRPr="00CD37FD">
              <w:t>Retention’ (apparent retention rate) is defined as the number of full time school students in a designated level/year of education as a percentage of their respective cohort group (either at the commencement of their secondary schooling at year 7 or 8, or at year 10). Data are reported for:</w:t>
            </w:r>
          </w:p>
          <w:p w:rsidR="00CD37FD" w:rsidRPr="00CD37FD" w:rsidRDefault="00CD37FD" w:rsidP="00CD37FD">
            <w:pPr>
              <w:pStyle w:val="Box"/>
              <w:numPr>
                <w:ilvl w:val="0"/>
                <w:numId w:val="1"/>
              </w:numPr>
            </w:pPr>
            <w:r w:rsidRPr="00CD37FD">
              <w:t>the proportion of students commencing secondary school at year 7 or 8 and continuing to year 10</w:t>
            </w:r>
          </w:p>
          <w:p w:rsidR="00CD37FD" w:rsidRPr="00CD37FD" w:rsidRDefault="00CD37FD" w:rsidP="00CD37FD">
            <w:pPr>
              <w:pStyle w:val="Box"/>
              <w:numPr>
                <w:ilvl w:val="0"/>
                <w:numId w:val="1"/>
              </w:numPr>
            </w:pPr>
            <w:r w:rsidRPr="00CD37FD">
              <w:t>the proportion of students commencing secondary school at year 7 or 8 and continuing to year 12</w:t>
            </w:r>
          </w:p>
          <w:p w:rsidR="00CD37FD" w:rsidRPr="00CD37FD" w:rsidRDefault="00CD37FD" w:rsidP="00CD37FD">
            <w:pPr>
              <w:pStyle w:val="Box"/>
              <w:numPr>
                <w:ilvl w:val="0"/>
                <w:numId w:val="1"/>
              </w:numPr>
            </w:pPr>
            <w:r w:rsidRPr="00CD37FD">
              <w:t>the proportion of year 10 students continuing to year 12.</w:t>
            </w:r>
          </w:p>
          <w:p w:rsidR="00CD37FD" w:rsidRPr="00CD37FD" w:rsidRDefault="00CD37FD" w:rsidP="00CD37FD">
            <w:pPr>
              <w:pStyle w:val="Box"/>
            </w:pPr>
            <w:r w:rsidRPr="00CD37FD">
              <w:t xml:space="preserve">Data are reported for all students, </w:t>
            </w:r>
            <w:r w:rsidR="005E564E">
              <w:t>Aboriginal and Torres Strait Islander</w:t>
            </w:r>
            <w:r w:rsidRPr="00CD37FD">
              <w:t xml:space="preserve"> and non-Indigenous students, and for students in government and non-government schools.</w:t>
            </w:r>
          </w:p>
          <w:p w:rsidR="00CD37FD" w:rsidRPr="00CD37FD" w:rsidRDefault="00CD37FD" w:rsidP="00CD37FD">
            <w:pPr>
              <w:pStyle w:val="Box"/>
            </w:pPr>
            <w:r w:rsidRPr="00CD37FD">
              <w:t>A higher or increasing apparent retention rate suggests that a larger proportion of students are continuing to participate in school education, which is likely to result in improved educational outcomes.</w:t>
            </w:r>
          </w:p>
          <w:p w:rsidR="00CD37FD" w:rsidRPr="00CD37FD" w:rsidRDefault="00CD37FD" w:rsidP="00CD37FD">
            <w:pPr>
              <w:pStyle w:val="Box"/>
            </w:pPr>
            <w:r w:rsidRPr="00CD37FD">
              <w:t>This indicator does not include part time students or provide information on students who pursue year 12 (or equivalent qualifications) through non-school pathways.</w:t>
            </w:r>
          </w:p>
          <w:p w:rsidR="00CD37FD" w:rsidRPr="00CD37FD" w:rsidRDefault="00CD37FD" w:rsidP="00CD37FD">
            <w:pPr>
              <w:pStyle w:val="Box"/>
            </w:pPr>
            <w:r w:rsidRPr="00CD37FD">
              <w:t>The term ‘apparent’ is used because the indicator is derived from total numbers of students in each of the relevant year levels, not by tracking the retention of individual students. Care needs be taken in interpretation because the apparent retention rate does not take account of factors such as:</w:t>
            </w:r>
          </w:p>
          <w:p w:rsidR="00CD37FD" w:rsidRPr="00CD37FD" w:rsidRDefault="00CD37FD" w:rsidP="00CD37FD">
            <w:pPr>
              <w:pStyle w:val="Box"/>
              <w:numPr>
                <w:ilvl w:val="0"/>
                <w:numId w:val="1"/>
              </w:numPr>
            </w:pPr>
            <w:r w:rsidRPr="00CD37FD">
              <w:t>students repeating a year of education or returning to education after a period of absence</w:t>
            </w:r>
          </w:p>
          <w:p w:rsidR="00CD37FD" w:rsidRPr="00CD37FD" w:rsidRDefault="00CD37FD" w:rsidP="00CD37FD">
            <w:pPr>
              <w:pStyle w:val="Box"/>
              <w:numPr>
                <w:ilvl w:val="0"/>
                <w:numId w:val="1"/>
              </w:numPr>
            </w:pPr>
            <w:r w:rsidRPr="00CD37FD">
              <w:t>movement or migration of students between school sectors, between states/territories and between countries</w:t>
            </w:r>
          </w:p>
          <w:p w:rsidR="00CD37FD" w:rsidRDefault="00CD37FD" w:rsidP="00CD37FD">
            <w:pPr>
              <w:pStyle w:val="Box"/>
              <w:numPr>
                <w:ilvl w:val="0"/>
                <w:numId w:val="1"/>
              </w:numPr>
            </w:pPr>
            <w:r w:rsidRPr="00CD37FD">
              <w:t>the impact of full fee paying overseas students.</w:t>
            </w:r>
          </w:p>
          <w:p w:rsidR="00813CE9" w:rsidRPr="00CD37FD" w:rsidRDefault="00813CE9" w:rsidP="00813CE9">
            <w:pPr>
              <w:pStyle w:val="Box"/>
            </w:pPr>
            <w:r w:rsidRPr="00813CE9">
              <w:t>These</w:t>
            </w:r>
            <w:r>
              <w:t xml:space="preserve"> factors may lead to apparent retention rates that exceed 100 per cent.</w:t>
            </w:r>
          </w:p>
          <w:p w:rsidR="00CD37FD" w:rsidRPr="00CD37FD" w:rsidRDefault="00CD37FD" w:rsidP="00CD37FD">
            <w:pPr>
              <w:pStyle w:val="Box"/>
            </w:pPr>
            <w:r w:rsidRPr="00CD37FD">
              <w:t>Data reported for all measures in this indicator a</w:t>
            </w:r>
            <w:r w:rsidR="008B5ED3">
              <w:t>re:</w:t>
            </w:r>
          </w:p>
          <w:p w:rsidR="00CD37FD" w:rsidRPr="00CD37FD" w:rsidRDefault="00CD37FD" w:rsidP="00CD37FD">
            <w:pPr>
              <w:pStyle w:val="Box"/>
              <w:numPr>
                <w:ilvl w:val="0"/>
                <w:numId w:val="1"/>
              </w:numPr>
            </w:pPr>
            <w:r w:rsidRPr="00CD37FD">
              <w:t>comparable (subject to caveats) across jurisdictions and over time</w:t>
            </w:r>
          </w:p>
          <w:p w:rsidR="00CD37FD" w:rsidRPr="00CD37FD" w:rsidRDefault="00CD37FD" w:rsidP="00CD37FD">
            <w:pPr>
              <w:pStyle w:val="Box"/>
              <w:numPr>
                <w:ilvl w:val="0"/>
                <w:numId w:val="1"/>
              </w:numPr>
            </w:pPr>
            <w:r w:rsidRPr="00CD37FD">
              <w:t>complete for the current reporting period (subject to caveats). All required 201</w:t>
            </w:r>
            <w:r w:rsidR="0068677C">
              <w:t>3</w:t>
            </w:r>
            <w:r w:rsidRPr="00CD37FD">
              <w:t xml:space="preserve"> data are available for all jurisdictions providing the service.</w:t>
            </w:r>
          </w:p>
          <w:p w:rsidR="00CD37FD" w:rsidRDefault="00CD37FD" w:rsidP="00CD37FD">
            <w:pPr>
              <w:pStyle w:val="Box"/>
            </w:pPr>
            <w:r w:rsidRPr="00CD37FD">
              <w:t xml:space="preserve">Information about data quality for this indicator is at </w:t>
            </w:r>
            <w:proofErr w:type="spellStart"/>
            <w:r w:rsidR="00723DDD" w:rsidRPr="00963842">
              <w:t>www.pc.gov.au</w:t>
            </w:r>
            <w:proofErr w:type="spellEnd"/>
            <w:r w:rsidRPr="00963842">
              <w:t>/</w:t>
            </w:r>
            <w:proofErr w:type="spellStart"/>
            <w:r w:rsidRPr="00963842">
              <w:t>rogs</w:t>
            </w:r>
            <w:proofErr w:type="spellEnd"/>
            <w:r w:rsidRPr="00963842">
              <w:t>/2015</w:t>
            </w:r>
            <w:r w:rsidR="00723DDD">
              <w:rPr>
                <w:rStyle w:val="Hyperlink"/>
              </w:rPr>
              <w:t>.</w:t>
            </w:r>
          </w:p>
        </w:tc>
      </w:tr>
      <w:tr w:rsidR="00CD37FD" w:rsidTr="00751345">
        <w:trPr>
          <w:cantSplit/>
        </w:trPr>
        <w:tc>
          <w:tcPr>
            <w:tcW w:w="8771" w:type="dxa"/>
            <w:tcBorders>
              <w:top w:val="nil"/>
              <w:left w:val="nil"/>
              <w:bottom w:val="single" w:sz="6" w:space="0" w:color="78A22F"/>
              <w:right w:val="nil"/>
            </w:tcBorders>
            <w:shd w:val="clear" w:color="auto" w:fill="F2F2F2"/>
          </w:tcPr>
          <w:p w:rsidR="00CD37FD" w:rsidRDefault="00CD37FD">
            <w:pPr>
              <w:pStyle w:val="Box"/>
              <w:spacing w:before="0" w:line="120" w:lineRule="exact"/>
            </w:pPr>
          </w:p>
        </w:tc>
      </w:tr>
      <w:tr w:rsidR="00CD37FD" w:rsidRPr="000863A5" w:rsidTr="00751345">
        <w:tc>
          <w:tcPr>
            <w:tcW w:w="8771" w:type="dxa"/>
            <w:tcBorders>
              <w:top w:val="single" w:sz="6" w:space="0" w:color="78A22F"/>
              <w:left w:val="nil"/>
              <w:bottom w:val="nil"/>
              <w:right w:val="nil"/>
            </w:tcBorders>
          </w:tcPr>
          <w:p w:rsidR="00CD37FD" w:rsidRPr="00626D32" w:rsidRDefault="00CD37FD" w:rsidP="00751345">
            <w:pPr>
              <w:pStyle w:val="BoxSpaceBelow"/>
            </w:pPr>
          </w:p>
        </w:tc>
      </w:tr>
    </w:tbl>
    <w:p w:rsidR="00666ECE" w:rsidRPr="00666ECE" w:rsidRDefault="00666ECE" w:rsidP="00483D1F">
      <w:pPr>
        <w:pStyle w:val="BodyText"/>
      </w:pPr>
      <w:r w:rsidRPr="00666ECE">
        <w:t xml:space="preserve">In most </w:t>
      </w:r>
      <w:r w:rsidRPr="001D5AD2">
        <w:t>jurisdictions, in 201</w:t>
      </w:r>
      <w:r w:rsidR="00214B63">
        <w:t>3</w:t>
      </w:r>
      <w:r w:rsidRPr="001D5AD2">
        <w:t>, apparent retention rates from the commencement of secondary school at year 7 or 8 (figure 4.</w:t>
      </w:r>
      <w:r w:rsidR="008B5ED3">
        <w:t>2</w:t>
      </w:r>
      <w:r w:rsidRPr="001D5AD2">
        <w:t xml:space="preserve"> shows the </w:t>
      </w:r>
      <w:r w:rsidR="0019719B" w:rsidRPr="001D5AD2">
        <w:t>starting years</w:t>
      </w:r>
      <w:r w:rsidRPr="001D5AD2">
        <w:t xml:space="preserve"> across jurisdictions) to year 10, were </w:t>
      </w:r>
      <w:r w:rsidR="001D5AD2" w:rsidRPr="001D5AD2">
        <w:t>9</w:t>
      </w:r>
      <w:r w:rsidR="000401F1">
        <w:t>9</w:t>
      </w:r>
      <w:r w:rsidR="002B152E" w:rsidRPr="001D5AD2">
        <w:t xml:space="preserve"> per cent to </w:t>
      </w:r>
      <w:r w:rsidR="00707EBD" w:rsidRPr="001D5AD2">
        <w:t>10</w:t>
      </w:r>
      <w:r w:rsidR="001D5AD2" w:rsidRPr="001D5AD2">
        <w:t>4</w:t>
      </w:r>
      <w:r w:rsidRPr="001D5AD2">
        <w:t xml:space="preserve"> per cent, with a national rate of </w:t>
      </w:r>
      <w:r w:rsidR="000D0319" w:rsidRPr="001D5AD2">
        <w:t>10</w:t>
      </w:r>
      <w:r w:rsidR="00DC457C" w:rsidRPr="001D5AD2">
        <w:t>1</w:t>
      </w:r>
      <w:r w:rsidR="000D0319" w:rsidRPr="001D5AD2">
        <w:t>.</w:t>
      </w:r>
      <w:r w:rsidR="000401F1">
        <w:t>5</w:t>
      </w:r>
      <w:r w:rsidRPr="001D5AD2">
        <w:t> per cent (figure</w:t>
      </w:r>
      <w:r w:rsidR="00C97555">
        <w:t> </w:t>
      </w:r>
      <w:r w:rsidRPr="001D5AD2">
        <w:t>4.1</w:t>
      </w:r>
      <w:r w:rsidR="00C92821">
        <w:t>1</w:t>
      </w:r>
      <w:r w:rsidRPr="001D5AD2">
        <w:t xml:space="preserve">). </w:t>
      </w:r>
      <w:r w:rsidR="00813CE9" w:rsidRPr="00813CE9">
        <w:t>Retention rates can exceed 100 per cent for a variety of reasons, including student transfers between jurisdictions</w:t>
      </w:r>
      <w:r w:rsidR="0080220E" w:rsidRPr="0080220E">
        <w:t xml:space="preserve"> </w:t>
      </w:r>
      <w:r w:rsidR="0080220E">
        <w:t>and students repeating years</w:t>
      </w:r>
      <w:r w:rsidR="00813CE9" w:rsidRPr="00813CE9">
        <w:t>.</w:t>
      </w:r>
      <w:r w:rsidR="00813CE9">
        <w:t xml:space="preserve"> </w:t>
      </w:r>
      <w:r w:rsidRPr="001D5AD2">
        <w:t xml:space="preserve">High rates are to be expected, because normal year level progression </w:t>
      </w:r>
      <w:r w:rsidRPr="00666ECE">
        <w:t xml:space="preserve">means students in year 10 are generally of an age at which schooling is compulsory. </w:t>
      </w:r>
    </w:p>
    <w:p w:rsidR="00666ECE" w:rsidRPr="00666ECE" w:rsidRDefault="00666ECE" w:rsidP="00483D1F">
      <w:pPr>
        <w:pStyle w:val="BodyText"/>
      </w:pPr>
      <w:r w:rsidRPr="00666ECE">
        <w:lastRenderedPageBreak/>
        <w:t xml:space="preserve">Retention rates for </w:t>
      </w:r>
      <w:r w:rsidR="005E564E">
        <w:t>Aboriginal and Torres Strait Islander</w:t>
      </w:r>
      <w:r w:rsidRPr="00666ECE">
        <w:t xml:space="preserve"> students provide one measure of the equity of access to schooling. Retention rates to year 10 for </w:t>
      </w:r>
      <w:r w:rsidR="005E564E">
        <w:t>Aboriginal and Torres Strait Islander</w:t>
      </w:r>
      <w:r w:rsidRPr="00666ECE">
        <w:t xml:space="preserve"> students were lower than those for non-Indigenous students and all students in </w:t>
      </w:r>
      <w:r w:rsidR="000401F1">
        <w:t>some</w:t>
      </w:r>
      <w:r w:rsidRPr="00666ECE">
        <w:t xml:space="preserve"> jurisdictions, with </w:t>
      </w:r>
      <w:r w:rsidR="00711273">
        <w:t xml:space="preserve">a </w:t>
      </w:r>
      <w:r w:rsidRPr="00666ECE">
        <w:t xml:space="preserve">national retention rate for </w:t>
      </w:r>
      <w:r w:rsidR="00530C4B">
        <w:t>Aboriginal and Torres Strait Islander</w:t>
      </w:r>
      <w:r w:rsidRPr="00666ECE">
        <w:t xml:space="preserve"> </w:t>
      </w:r>
      <w:r w:rsidRPr="009762F7">
        <w:t xml:space="preserve">students of </w:t>
      </w:r>
      <w:r w:rsidR="00EF1CE5" w:rsidRPr="009762F7">
        <w:t>98.</w:t>
      </w:r>
      <w:r w:rsidR="000401F1">
        <w:t>1</w:t>
      </w:r>
      <w:r w:rsidRPr="009762F7">
        <w:t xml:space="preserve"> per cent, </w:t>
      </w:r>
      <w:r w:rsidR="004856D3">
        <w:t>3.</w:t>
      </w:r>
      <w:r w:rsidR="000401F1">
        <w:t>6</w:t>
      </w:r>
      <w:r w:rsidRPr="009762F7">
        <w:t xml:space="preserve"> percentage points lower than that for non-Indigenous students and </w:t>
      </w:r>
      <w:r w:rsidR="000401F1">
        <w:t>3.4</w:t>
      </w:r>
      <w:r w:rsidR="00EB7A11" w:rsidRPr="009762F7">
        <w:t xml:space="preserve"> </w:t>
      </w:r>
      <w:r w:rsidRPr="009762F7">
        <w:t xml:space="preserve">percentage </w:t>
      </w:r>
      <w:r w:rsidRPr="00EF1CE5">
        <w:t>points lower than that for all students (figure 4.1</w:t>
      </w:r>
      <w:r w:rsidR="007275F7">
        <w:t>1</w:t>
      </w:r>
      <w:r w:rsidRPr="00EF1CE5">
        <w:t>).</w:t>
      </w:r>
    </w:p>
    <w:p w:rsidR="00937F52" w:rsidRDefault="00937F52" w:rsidP="0078036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37F52" w:rsidTr="0078036C">
        <w:tc>
          <w:tcPr>
            <w:tcW w:w="8771" w:type="dxa"/>
            <w:tcBorders>
              <w:top w:val="single" w:sz="6" w:space="0" w:color="78A22F"/>
              <w:left w:val="nil"/>
              <w:bottom w:val="nil"/>
              <w:right w:val="nil"/>
            </w:tcBorders>
            <w:shd w:val="clear" w:color="auto" w:fill="auto"/>
          </w:tcPr>
          <w:p w:rsidR="00937F52" w:rsidRPr="00176D3F" w:rsidRDefault="00937F52" w:rsidP="00937F52">
            <w:pPr>
              <w:pStyle w:val="FigureTitle"/>
            </w:pPr>
            <w:r w:rsidRPr="00784A05">
              <w:rPr>
                <w:b w:val="0"/>
              </w:rPr>
              <w:t xml:space="preserve">Figure </w:t>
            </w:r>
            <w:r w:rsidR="00B70781">
              <w:rPr>
                <w:b w:val="0"/>
              </w:rPr>
              <w:t>4.</w:t>
            </w:r>
            <w:r w:rsidR="005953B6">
              <w:rPr>
                <w:b w:val="0"/>
                <w:noProof/>
              </w:rPr>
              <w:t>11</w:t>
            </w:r>
            <w:r>
              <w:tab/>
            </w:r>
            <w:r w:rsidRPr="00937F52">
              <w:t>Apparent retention rate from year 7 or 8 to year 10, full time secondary students, all schools, 201</w:t>
            </w:r>
            <w:r>
              <w:t>3</w:t>
            </w:r>
            <w:r w:rsidRPr="00937F52">
              <w:rPr>
                <w:rStyle w:val="NoteLabel"/>
                <w:b/>
              </w:rPr>
              <w:t>a, b, c, d, e</w:t>
            </w:r>
          </w:p>
        </w:tc>
      </w:tr>
      <w:tr w:rsidR="00937F52" w:rsidTr="0078036C">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37F52" w:rsidTr="0078036C">
              <w:trPr>
                <w:jc w:val="center"/>
              </w:trPr>
              <w:tc>
                <w:tcPr>
                  <w:tcW w:w="5000" w:type="pct"/>
                  <w:tcBorders>
                    <w:top w:val="nil"/>
                    <w:bottom w:val="nil"/>
                  </w:tcBorders>
                </w:tcPr>
                <w:p w:rsidR="00937F52" w:rsidRDefault="00DC200A" w:rsidP="0078036C">
                  <w:pPr>
                    <w:pStyle w:val="Figure"/>
                    <w:spacing w:before="60" w:after="60"/>
                  </w:pPr>
                  <w:r>
                    <w:rPr>
                      <w:noProof/>
                    </w:rPr>
                    <w:drawing>
                      <wp:inline distT="0" distB="0" distL="0" distR="0">
                        <wp:extent cx="5391150" cy="2686050"/>
                        <wp:effectExtent l="0" t="0" r="0" b="0"/>
                        <wp:docPr id="11" name="Picture 11" descr="Figure 4.11 Apparent retention rate from year 7 or 8 to year 10, full time secondary students, all schools,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937F52" w:rsidRDefault="00937F52" w:rsidP="0078036C">
            <w:pPr>
              <w:pStyle w:val="Figure"/>
            </w:pPr>
          </w:p>
        </w:tc>
      </w:tr>
      <w:tr w:rsidR="00937F52" w:rsidRPr="00176D3F" w:rsidTr="0078036C">
        <w:tc>
          <w:tcPr>
            <w:tcW w:w="8771" w:type="dxa"/>
            <w:tcBorders>
              <w:top w:val="nil"/>
              <w:left w:val="nil"/>
              <w:bottom w:val="nil"/>
              <w:right w:val="nil"/>
            </w:tcBorders>
            <w:shd w:val="clear" w:color="auto" w:fill="auto"/>
          </w:tcPr>
          <w:p w:rsidR="00937F52" w:rsidRPr="00176D3F" w:rsidRDefault="00937F52" w:rsidP="00813CE9">
            <w:pPr>
              <w:pStyle w:val="Note"/>
            </w:pPr>
            <w:proofErr w:type="spellStart"/>
            <w:r>
              <w:rPr>
                <w:rStyle w:val="NoteLabel"/>
              </w:rPr>
              <w:t>a</w:t>
            </w:r>
            <w:proofErr w:type="spellEnd"/>
            <w:r>
              <w:t xml:space="preserve"> </w:t>
            </w:r>
            <w:r w:rsidRPr="00937F52">
              <w:t xml:space="preserve">Apparent retention rates are affected by factors that vary across jurisdictions. For this reason, variations in apparent retention rates over time within jurisdictions may be more useful than comparisons across jurisdictions. </w:t>
            </w:r>
            <w:r w:rsidRPr="0005160C">
              <w:rPr>
                <w:rStyle w:val="NoteLabel"/>
              </w:rPr>
              <w:t>b</w:t>
            </w:r>
            <w:r w:rsidRPr="00937F52">
              <w:t> Retention rates can exceed 100 per cent for a variety of reasons, including student transfers between jurisdictions</w:t>
            </w:r>
            <w:r w:rsidR="0080220E">
              <w:t xml:space="preserve"> and students repeating years</w:t>
            </w:r>
            <w:r w:rsidRPr="00937F52">
              <w:t xml:space="preserve">. </w:t>
            </w:r>
            <w:r w:rsidRPr="0005160C">
              <w:rPr>
                <w:rStyle w:val="NoteLabel"/>
              </w:rPr>
              <w:t>c</w:t>
            </w:r>
            <w:r w:rsidRPr="00937F52">
              <w:t xml:space="preserve"> The standard apparent retention rate calculation excludes part time students, which has implications for the interpretation of results for all jurisdictions (table 4.4). </w:t>
            </w:r>
            <w:r w:rsidRPr="0005160C">
              <w:rPr>
                <w:rStyle w:val="NoteLabel"/>
              </w:rPr>
              <w:t>d</w:t>
            </w:r>
            <w:r w:rsidRPr="00937F52">
              <w:t xml:space="preserve"> Ungraded students are not included in the calculation of apparent retention rates. </w:t>
            </w:r>
            <w:r w:rsidRPr="0005160C">
              <w:rPr>
                <w:rStyle w:val="NoteLabel"/>
              </w:rPr>
              <w:t>e</w:t>
            </w:r>
            <w:r w:rsidRPr="00937F52">
              <w:t xml:space="preserve"> Some students' Indigenous status is not stated. Consequently, the number of </w:t>
            </w:r>
            <w:r w:rsidR="0005160C">
              <w:t>Aboriginal and Torres Strait Islander</w:t>
            </w:r>
            <w:r w:rsidRPr="00937F52">
              <w:t xml:space="preserve"> students counted in the </w:t>
            </w:r>
            <w:r w:rsidR="0005160C">
              <w:t>Aboriginal and Torres Strait Islander</w:t>
            </w:r>
            <w:r w:rsidRPr="00937F52">
              <w:t xml:space="preserve"> rates may be under</w:t>
            </w:r>
            <w:r w:rsidRPr="00937F52">
              <w:noBreakHyphen/>
              <w:t>represented in some jurisdictions. Students for whom Indigenous status is not stated are included in the data for 'non</w:t>
            </w:r>
            <w:r w:rsidR="00813CE9">
              <w:noBreakHyphen/>
            </w:r>
            <w:r w:rsidRPr="00937F52">
              <w:t>Indigenous students', and are included in the data for 'all students'.</w:t>
            </w:r>
          </w:p>
        </w:tc>
      </w:tr>
      <w:tr w:rsidR="00937F52" w:rsidRPr="00176D3F" w:rsidTr="0078036C">
        <w:tc>
          <w:tcPr>
            <w:tcW w:w="8771" w:type="dxa"/>
            <w:tcBorders>
              <w:top w:val="nil"/>
              <w:left w:val="nil"/>
              <w:bottom w:val="nil"/>
              <w:right w:val="nil"/>
            </w:tcBorders>
            <w:shd w:val="clear" w:color="auto" w:fill="auto"/>
          </w:tcPr>
          <w:p w:rsidR="00937F52" w:rsidRPr="00176D3F" w:rsidRDefault="00937F52" w:rsidP="008A76CD">
            <w:pPr>
              <w:pStyle w:val="Source"/>
            </w:pPr>
            <w:r>
              <w:rPr>
                <w:i/>
              </w:rPr>
              <w:t>S</w:t>
            </w:r>
            <w:r w:rsidRPr="00784A05">
              <w:rPr>
                <w:i/>
              </w:rPr>
              <w:t>ource</w:t>
            </w:r>
            <w:r w:rsidRPr="00176D3F">
              <w:t xml:space="preserve">: </w:t>
            </w:r>
            <w:r w:rsidRPr="00937F52">
              <w:t>ABS (201</w:t>
            </w:r>
            <w:r w:rsidR="0005160C">
              <w:t>4</w:t>
            </w:r>
            <w:r w:rsidRPr="00937F52">
              <w:t xml:space="preserve">) </w:t>
            </w:r>
            <w:r w:rsidRPr="00937F52">
              <w:rPr>
                <w:i/>
              </w:rPr>
              <w:t>Schools Australia 201</w:t>
            </w:r>
            <w:r w:rsidR="0005160C">
              <w:rPr>
                <w:i/>
              </w:rPr>
              <w:t>3</w:t>
            </w:r>
            <w:r w:rsidRPr="00937F52">
              <w:t xml:space="preserve">, Cat. no. 4221.0; table </w:t>
            </w:r>
            <w:proofErr w:type="spellStart"/>
            <w:r w:rsidRPr="00937F52">
              <w:t>4A.1</w:t>
            </w:r>
            <w:r w:rsidR="008A76CD">
              <w:t>86</w:t>
            </w:r>
            <w:proofErr w:type="spellEnd"/>
            <w:r>
              <w:t>.</w:t>
            </w:r>
          </w:p>
        </w:tc>
      </w:tr>
      <w:tr w:rsidR="00937F52" w:rsidTr="0078036C">
        <w:tc>
          <w:tcPr>
            <w:tcW w:w="8771" w:type="dxa"/>
            <w:tcBorders>
              <w:top w:val="nil"/>
              <w:left w:val="nil"/>
              <w:bottom w:val="single" w:sz="6" w:space="0" w:color="78A22F"/>
              <w:right w:val="nil"/>
            </w:tcBorders>
            <w:shd w:val="clear" w:color="auto" w:fill="auto"/>
          </w:tcPr>
          <w:p w:rsidR="00937F52" w:rsidRDefault="00937F52" w:rsidP="0078036C">
            <w:pPr>
              <w:pStyle w:val="Figurespace"/>
            </w:pPr>
          </w:p>
        </w:tc>
      </w:tr>
      <w:tr w:rsidR="00937F52" w:rsidRPr="000863A5" w:rsidTr="0078036C">
        <w:tc>
          <w:tcPr>
            <w:tcW w:w="8771" w:type="dxa"/>
            <w:tcBorders>
              <w:top w:val="single" w:sz="6" w:space="0" w:color="78A22F"/>
              <w:left w:val="nil"/>
              <w:bottom w:val="nil"/>
              <w:right w:val="nil"/>
            </w:tcBorders>
          </w:tcPr>
          <w:p w:rsidR="00937F52" w:rsidRPr="00626D32" w:rsidRDefault="00937F52" w:rsidP="0078036C">
            <w:pPr>
              <w:pStyle w:val="BoxSpaceBelow"/>
            </w:pPr>
          </w:p>
        </w:tc>
      </w:tr>
    </w:tbl>
    <w:p w:rsidR="00666ECE" w:rsidRPr="00666ECE" w:rsidRDefault="00666ECE" w:rsidP="00483D1F">
      <w:pPr>
        <w:pStyle w:val="BodyText"/>
      </w:pPr>
      <w:r w:rsidRPr="00666ECE">
        <w:t xml:space="preserve">The national apparent retention rate from the commencement of secondary schooling at year 7 or year </w:t>
      </w:r>
      <w:r w:rsidRPr="00EB7A11">
        <w:t>8 (figure 4.</w:t>
      </w:r>
      <w:r w:rsidR="008B5ED3">
        <w:t>2</w:t>
      </w:r>
      <w:r w:rsidRPr="00EB7A11">
        <w:t xml:space="preserve"> shows the differences across jurisdictions) to year 10 for all full time students was </w:t>
      </w:r>
      <w:r w:rsidR="00F52F4D" w:rsidRPr="00EB7A11">
        <w:t>98.</w:t>
      </w:r>
      <w:r w:rsidR="000401F1">
        <w:t>3</w:t>
      </w:r>
      <w:r w:rsidR="00F52F4D" w:rsidRPr="00EB7A11">
        <w:t xml:space="preserve"> </w:t>
      </w:r>
      <w:r w:rsidRPr="00EB7A11">
        <w:t>per cent in 200</w:t>
      </w:r>
      <w:r w:rsidR="000401F1">
        <w:t>5</w:t>
      </w:r>
      <w:r w:rsidRPr="00EB7A11">
        <w:t xml:space="preserve">, rising to </w:t>
      </w:r>
      <w:r w:rsidR="00F52F4D" w:rsidRPr="00EB7A11">
        <w:t>99.</w:t>
      </w:r>
      <w:r w:rsidR="000401F1">
        <w:t>8</w:t>
      </w:r>
      <w:r w:rsidRPr="00EB7A11">
        <w:t xml:space="preserve"> per cent in 200</w:t>
      </w:r>
      <w:r w:rsidR="000401F1">
        <w:t>9</w:t>
      </w:r>
      <w:r w:rsidRPr="00EB7A11">
        <w:t xml:space="preserve"> and </w:t>
      </w:r>
      <w:r w:rsidR="00F52F4D" w:rsidRPr="00EB7A11">
        <w:t>101.</w:t>
      </w:r>
      <w:r w:rsidR="000401F1">
        <w:t>5</w:t>
      </w:r>
      <w:r w:rsidRPr="00EB7A11">
        <w:t xml:space="preserve"> per cent in 201</w:t>
      </w:r>
      <w:r w:rsidR="000401F1">
        <w:t>3</w:t>
      </w:r>
      <w:r w:rsidRPr="00EB7A11">
        <w:t xml:space="preserve"> (figure 4.1</w:t>
      </w:r>
      <w:r w:rsidR="007275F7">
        <w:t>2</w:t>
      </w:r>
      <w:r w:rsidRPr="00EB7A11">
        <w:t xml:space="preserve">). Data for intervening years and by Indigenous status are in </w:t>
      </w:r>
      <w:r w:rsidRPr="00666ECE">
        <w:t>table</w:t>
      </w:r>
      <w:r w:rsidR="008B5ED3">
        <w:t> </w:t>
      </w:r>
      <w:proofErr w:type="spellStart"/>
      <w:r w:rsidRPr="00666ECE">
        <w:t>4A.1</w:t>
      </w:r>
      <w:r w:rsidR="008B5ED3">
        <w:t>88</w:t>
      </w:r>
      <w:proofErr w:type="spellEnd"/>
      <w:r w:rsidRPr="00666ECE">
        <w:t>. Data for government schools and non</w:t>
      </w:r>
      <w:r w:rsidRPr="00666ECE">
        <w:noBreakHyphen/>
        <w:t xml:space="preserve">government schools are in tables </w:t>
      </w:r>
      <w:proofErr w:type="spellStart"/>
      <w:r w:rsidRPr="00666ECE">
        <w:t>4A.1</w:t>
      </w:r>
      <w:r w:rsidR="008A76CD">
        <w:t>89</w:t>
      </w:r>
      <w:proofErr w:type="spellEnd"/>
      <w:r w:rsidRPr="00666ECE">
        <w:t xml:space="preserve"> and </w:t>
      </w:r>
      <w:proofErr w:type="spellStart"/>
      <w:r w:rsidRPr="00666ECE">
        <w:t>4A.</w:t>
      </w:r>
      <w:r w:rsidR="008A76CD">
        <w:t>190</w:t>
      </w:r>
      <w:proofErr w:type="spellEnd"/>
      <w:r w:rsidRPr="00666ECE">
        <w:t>.</w:t>
      </w:r>
    </w:p>
    <w:p w:rsidR="00937F52" w:rsidRDefault="00937F52" w:rsidP="0078036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37F52" w:rsidTr="0078036C">
        <w:tc>
          <w:tcPr>
            <w:tcW w:w="8771" w:type="dxa"/>
            <w:tcBorders>
              <w:top w:val="single" w:sz="6" w:space="0" w:color="78A22F"/>
              <w:left w:val="nil"/>
              <w:bottom w:val="nil"/>
              <w:right w:val="nil"/>
            </w:tcBorders>
            <w:shd w:val="clear" w:color="auto" w:fill="auto"/>
          </w:tcPr>
          <w:p w:rsidR="00937F52" w:rsidRPr="00176D3F" w:rsidRDefault="00937F52" w:rsidP="00937F52">
            <w:pPr>
              <w:pStyle w:val="FigureTitle"/>
            </w:pPr>
            <w:r w:rsidRPr="00784A05">
              <w:rPr>
                <w:b w:val="0"/>
              </w:rPr>
              <w:t xml:space="preserve">Figure </w:t>
            </w:r>
            <w:r w:rsidR="00B70781">
              <w:rPr>
                <w:b w:val="0"/>
              </w:rPr>
              <w:t>4.</w:t>
            </w:r>
            <w:r w:rsidR="005953B6">
              <w:rPr>
                <w:b w:val="0"/>
                <w:noProof/>
              </w:rPr>
              <w:t>12</w:t>
            </w:r>
            <w:r>
              <w:tab/>
            </w:r>
            <w:r w:rsidRPr="00937F52">
              <w:t>Apparent retention rate from year 7 or 8 to year 10, full time secondary students, all schools</w:t>
            </w:r>
            <w:r w:rsidRPr="00937F52">
              <w:rPr>
                <w:rStyle w:val="NoteLabel"/>
                <w:b/>
              </w:rPr>
              <w:t>a, b, c, d</w:t>
            </w:r>
          </w:p>
        </w:tc>
      </w:tr>
      <w:tr w:rsidR="00937F52" w:rsidTr="0078036C">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37F52" w:rsidTr="0078036C">
              <w:trPr>
                <w:jc w:val="center"/>
              </w:trPr>
              <w:tc>
                <w:tcPr>
                  <w:tcW w:w="5000" w:type="pct"/>
                  <w:tcBorders>
                    <w:top w:val="nil"/>
                    <w:bottom w:val="nil"/>
                  </w:tcBorders>
                </w:tcPr>
                <w:p w:rsidR="00937F52" w:rsidRDefault="00DC200A" w:rsidP="0078036C">
                  <w:pPr>
                    <w:pStyle w:val="Figure"/>
                    <w:spacing w:before="60" w:after="60"/>
                  </w:pPr>
                  <w:r>
                    <w:rPr>
                      <w:noProof/>
                    </w:rPr>
                    <w:drawing>
                      <wp:inline distT="0" distB="0" distL="0" distR="0">
                        <wp:extent cx="5391150" cy="2686050"/>
                        <wp:effectExtent l="0" t="0" r="0" b="0"/>
                        <wp:docPr id="12" name="Picture 12" descr="Figure 4.12 Apparent retention rate from year 7 or 8 to year 10, full time secondary students, all school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937F52" w:rsidRDefault="00937F52" w:rsidP="0078036C">
            <w:pPr>
              <w:pStyle w:val="Figure"/>
            </w:pPr>
          </w:p>
        </w:tc>
      </w:tr>
      <w:tr w:rsidR="00937F52" w:rsidRPr="00176D3F" w:rsidTr="0078036C">
        <w:tc>
          <w:tcPr>
            <w:tcW w:w="8771" w:type="dxa"/>
            <w:tcBorders>
              <w:top w:val="nil"/>
              <w:left w:val="nil"/>
              <w:bottom w:val="nil"/>
              <w:right w:val="nil"/>
            </w:tcBorders>
            <w:shd w:val="clear" w:color="auto" w:fill="auto"/>
          </w:tcPr>
          <w:p w:rsidR="00937F52" w:rsidRPr="00176D3F" w:rsidRDefault="00937F52" w:rsidP="0068677C">
            <w:pPr>
              <w:pStyle w:val="Note"/>
            </w:pPr>
            <w:proofErr w:type="spellStart"/>
            <w:r>
              <w:rPr>
                <w:rStyle w:val="NoteLabel"/>
              </w:rPr>
              <w:t>a</w:t>
            </w:r>
            <w:proofErr w:type="spellEnd"/>
            <w:r>
              <w:t xml:space="preserve"> </w:t>
            </w:r>
            <w:r w:rsidRPr="00937F52">
              <w:t xml:space="preserve">Apparent retention rates are affected by factors that vary across jurisdictions. For this reason, variations in apparent retention rates over time within jurisdictions may be more useful than comparisons across jurisdictions. </w:t>
            </w:r>
            <w:r w:rsidRPr="0005160C">
              <w:rPr>
                <w:rStyle w:val="NoteLabel"/>
              </w:rPr>
              <w:t>b</w:t>
            </w:r>
            <w:r w:rsidRPr="00937F52">
              <w:t xml:space="preserve"> The standard apparent retention rate calculation excludes part time students, which has implications for the interpretation of results for all jurisdictions (table 4.4). </w:t>
            </w:r>
            <w:r w:rsidRPr="0005160C">
              <w:rPr>
                <w:rStyle w:val="NoteLabel"/>
              </w:rPr>
              <w:t>c</w:t>
            </w:r>
            <w:r w:rsidRPr="00937F52">
              <w:t> Ungraded students are not included in the calculation of apparent retention rates. This exclusion has particular implications for the NT</w:t>
            </w:r>
            <w:r w:rsidR="00813CE9">
              <w:t xml:space="preserve"> (</w:t>
            </w:r>
            <w:r w:rsidRPr="00937F52">
              <w:t>which ha</w:t>
            </w:r>
            <w:r w:rsidR="00813CE9">
              <w:t>d</w:t>
            </w:r>
            <w:r w:rsidRPr="00937F52">
              <w:t xml:space="preserve"> a high proportion of </w:t>
            </w:r>
            <w:r w:rsidR="00813CE9">
              <w:t xml:space="preserve">ungraded students </w:t>
            </w:r>
            <w:r w:rsidRPr="00937F52">
              <w:t>prior to 2008</w:t>
            </w:r>
            <w:r w:rsidR="00813CE9">
              <w:t>).</w:t>
            </w:r>
            <w:r w:rsidRPr="00937F52">
              <w:rPr>
                <w:b/>
              </w:rPr>
              <w:t xml:space="preserve"> </w:t>
            </w:r>
            <w:r w:rsidRPr="0005160C">
              <w:rPr>
                <w:rStyle w:val="NoteLabel"/>
              </w:rPr>
              <w:t>d</w:t>
            </w:r>
            <w:r w:rsidRPr="00937F52">
              <w:t> Retention rates can exceed 100</w:t>
            </w:r>
            <w:r w:rsidR="0068677C">
              <w:t> </w:t>
            </w:r>
            <w:r w:rsidRPr="00937F52">
              <w:t>per</w:t>
            </w:r>
            <w:r w:rsidR="0068677C">
              <w:t> </w:t>
            </w:r>
            <w:r w:rsidRPr="00937F52">
              <w:t>cent for a variety of reasons, including student transfers between jurisdictions</w:t>
            </w:r>
            <w:r w:rsidR="0080220E">
              <w:t xml:space="preserve"> and students repeating years</w:t>
            </w:r>
            <w:r w:rsidRPr="00937F52">
              <w:t>.</w:t>
            </w:r>
          </w:p>
        </w:tc>
      </w:tr>
      <w:tr w:rsidR="00937F52" w:rsidRPr="00176D3F" w:rsidTr="0078036C">
        <w:tc>
          <w:tcPr>
            <w:tcW w:w="8771" w:type="dxa"/>
            <w:tcBorders>
              <w:top w:val="nil"/>
              <w:left w:val="nil"/>
              <w:bottom w:val="nil"/>
              <w:right w:val="nil"/>
            </w:tcBorders>
            <w:shd w:val="clear" w:color="auto" w:fill="auto"/>
          </w:tcPr>
          <w:p w:rsidR="00937F52" w:rsidRPr="00176D3F" w:rsidRDefault="00937F52" w:rsidP="008A76CD">
            <w:pPr>
              <w:pStyle w:val="Source"/>
            </w:pPr>
            <w:r>
              <w:rPr>
                <w:i/>
              </w:rPr>
              <w:t>S</w:t>
            </w:r>
            <w:r w:rsidRPr="00784A05">
              <w:rPr>
                <w:i/>
              </w:rPr>
              <w:t>ource</w:t>
            </w:r>
            <w:r w:rsidRPr="00176D3F">
              <w:t xml:space="preserve">: </w:t>
            </w:r>
            <w:r w:rsidRPr="00937F52">
              <w:t>ABS (201</w:t>
            </w:r>
            <w:r w:rsidR="0005160C">
              <w:t>4</w:t>
            </w:r>
            <w:r w:rsidRPr="00937F52">
              <w:t xml:space="preserve">) </w:t>
            </w:r>
            <w:r w:rsidRPr="00937F52">
              <w:rPr>
                <w:i/>
              </w:rPr>
              <w:t>Schools Australia 201</w:t>
            </w:r>
            <w:r w:rsidR="0005160C">
              <w:rPr>
                <w:i/>
              </w:rPr>
              <w:t>3</w:t>
            </w:r>
            <w:r w:rsidRPr="00937F52">
              <w:t xml:space="preserve">, Cat. no. 4221.0; table </w:t>
            </w:r>
            <w:proofErr w:type="spellStart"/>
            <w:r w:rsidRPr="00937F52">
              <w:t>4A.1</w:t>
            </w:r>
            <w:r w:rsidR="008A76CD">
              <w:t>88</w:t>
            </w:r>
            <w:proofErr w:type="spellEnd"/>
            <w:r w:rsidRPr="00937F52">
              <w:t>.</w:t>
            </w:r>
          </w:p>
        </w:tc>
      </w:tr>
      <w:tr w:rsidR="00937F52" w:rsidTr="0078036C">
        <w:tc>
          <w:tcPr>
            <w:tcW w:w="8771" w:type="dxa"/>
            <w:tcBorders>
              <w:top w:val="nil"/>
              <w:left w:val="nil"/>
              <w:bottom w:val="single" w:sz="6" w:space="0" w:color="78A22F"/>
              <w:right w:val="nil"/>
            </w:tcBorders>
            <w:shd w:val="clear" w:color="auto" w:fill="auto"/>
          </w:tcPr>
          <w:p w:rsidR="00937F52" w:rsidRDefault="00937F52" w:rsidP="0078036C">
            <w:pPr>
              <w:pStyle w:val="Figurespace"/>
            </w:pPr>
          </w:p>
        </w:tc>
      </w:tr>
      <w:tr w:rsidR="00937F52" w:rsidRPr="000863A5" w:rsidTr="0078036C">
        <w:tc>
          <w:tcPr>
            <w:tcW w:w="8771" w:type="dxa"/>
            <w:tcBorders>
              <w:top w:val="single" w:sz="6" w:space="0" w:color="78A22F"/>
              <w:left w:val="nil"/>
              <w:bottom w:val="nil"/>
              <w:right w:val="nil"/>
            </w:tcBorders>
          </w:tcPr>
          <w:p w:rsidR="00937F52" w:rsidRPr="00626D32" w:rsidRDefault="00937F52" w:rsidP="0078036C">
            <w:pPr>
              <w:pStyle w:val="BoxSpaceBelow"/>
            </w:pPr>
          </w:p>
        </w:tc>
      </w:tr>
    </w:tbl>
    <w:p w:rsidR="00666ECE" w:rsidRDefault="00666ECE" w:rsidP="00483D1F">
      <w:pPr>
        <w:pStyle w:val="BodyText"/>
      </w:pPr>
      <w:r w:rsidRPr="00F52F4D">
        <w:t>The national apparent retention rate, from the commencement of secondary school at year</w:t>
      </w:r>
      <w:r w:rsidR="00813CE9">
        <w:t> </w:t>
      </w:r>
      <w:r w:rsidRPr="00F52F4D">
        <w:t>7 or 8 (figure 4.</w:t>
      </w:r>
      <w:r w:rsidR="00FF2AB3">
        <w:t>2</w:t>
      </w:r>
      <w:r w:rsidRPr="00EB7A11">
        <w:t xml:space="preserve"> shows the differences across jurisdictions) to year 12, for all full time students was </w:t>
      </w:r>
      <w:r w:rsidR="00F52F4D" w:rsidRPr="00EB7A11">
        <w:t>75.</w:t>
      </w:r>
      <w:r w:rsidR="000401F1">
        <w:t>3</w:t>
      </w:r>
      <w:r w:rsidRPr="00EB7A11">
        <w:t xml:space="preserve"> per cent in 200</w:t>
      </w:r>
      <w:r w:rsidR="000401F1">
        <w:t>5</w:t>
      </w:r>
      <w:r w:rsidRPr="00EB7A11">
        <w:t xml:space="preserve">, rising to </w:t>
      </w:r>
      <w:r w:rsidR="000401F1">
        <w:t>81.6</w:t>
      </w:r>
      <w:r w:rsidRPr="00EB7A11">
        <w:t xml:space="preserve"> per cent </w:t>
      </w:r>
      <w:r w:rsidRPr="00F52F4D">
        <w:t>in 201</w:t>
      </w:r>
      <w:r w:rsidR="000401F1">
        <w:t>3</w:t>
      </w:r>
      <w:r w:rsidRPr="00F52F4D">
        <w:t xml:space="preserve"> (figure</w:t>
      </w:r>
      <w:r w:rsidR="003F0641">
        <w:t> </w:t>
      </w:r>
      <w:r w:rsidRPr="00F52F4D">
        <w:t>4.1</w:t>
      </w:r>
      <w:r w:rsidR="007275F7">
        <w:t>3</w:t>
      </w:r>
      <w:r w:rsidRPr="00F52F4D">
        <w:t>). Data for intervening years and by Indigenous status are in table </w:t>
      </w:r>
      <w:proofErr w:type="spellStart"/>
      <w:r w:rsidRPr="00F52F4D">
        <w:t>4A.1</w:t>
      </w:r>
      <w:r w:rsidR="008A76CD">
        <w:t>88</w:t>
      </w:r>
      <w:proofErr w:type="spellEnd"/>
      <w:r w:rsidRPr="00F52F4D">
        <w:t xml:space="preserve">. Data for government schools and non-government schools are in tables </w:t>
      </w:r>
      <w:proofErr w:type="spellStart"/>
      <w:r w:rsidRPr="00F52F4D">
        <w:t>4A.1</w:t>
      </w:r>
      <w:r w:rsidR="008A76CD">
        <w:t>89</w:t>
      </w:r>
      <w:proofErr w:type="spellEnd"/>
      <w:r w:rsidRPr="00F52F4D">
        <w:t xml:space="preserve"> and </w:t>
      </w:r>
      <w:proofErr w:type="spellStart"/>
      <w:r w:rsidRPr="00F52F4D">
        <w:t>4A.1</w:t>
      </w:r>
      <w:r w:rsidR="008A76CD">
        <w:t>90</w:t>
      </w:r>
      <w:proofErr w:type="spellEnd"/>
      <w:r w:rsidRPr="00F52F4D">
        <w:t>.</w:t>
      </w:r>
    </w:p>
    <w:p w:rsidR="00514EB2" w:rsidRPr="00666ECE" w:rsidRDefault="00514EB2" w:rsidP="00A11734">
      <w:pPr>
        <w:pStyle w:val="BodyText"/>
        <w:shd w:val="clear" w:color="auto" w:fill="FFFFFF" w:themeFill="background1"/>
      </w:pPr>
      <w:r w:rsidRPr="00666ECE">
        <w:t xml:space="preserve">Retention rates </w:t>
      </w:r>
      <w:r w:rsidR="008B5ED3">
        <w:t xml:space="preserve">from year 7 or </w:t>
      </w:r>
      <w:r>
        <w:t xml:space="preserve">8 </w:t>
      </w:r>
      <w:r w:rsidRPr="00666ECE">
        <w:t>to year 1</w:t>
      </w:r>
      <w:r>
        <w:t>2</w:t>
      </w:r>
      <w:r w:rsidRPr="00666ECE">
        <w:t xml:space="preserve"> for </w:t>
      </w:r>
      <w:r w:rsidR="000401F1">
        <w:t>Aboriginal and Torres Strait Islander</w:t>
      </w:r>
      <w:r w:rsidRPr="00666ECE">
        <w:t xml:space="preserve"> students </w:t>
      </w:r>
      <w:r>
        <w:t xml:space="preserve">in all schools </w:t>
      </w:r>
      <w:r w:rsidRPr="00666ECE">
        <w:t xml:space="preserve">were lower than those for non-Indigenous students and all students in </w:t>
      </w:r>
      <w:r w:rsidR="004A253D">
        <w:t>all</w:t>
      </w:r>
      <w:r w:rsidRPr="00666ECE">
        <w:t xml:space="preserve"> jurisdictions</w:t>
      </w:r>
      <w:r w:rsidR="004A253D">
        <w:t xml:space="preserve"> in 201</w:t>
      </w:r>
      <w:r w:rsidR="000401F1">
        <w:t>3</w:t>
      </w:r>
      <w:r w:rsidRPr="00666ECE">
        <w:t xml:space="preserve">, with </w:t>
      </w:r>
      <w:r>
        <w:t xml:space="preserve">a </w:t>
      </w:r>
      <w:r w:rsidRPr="00666ECE">
        <w:t xml:space="preserve">national retention rate for </w:t>
      </w:r>
      <w:r w:rsidR="00530C4B">
        <w:t>Aboriginal and Torres Strait Islander</w:t>
      </w:r>
      <w:r w:rsidRPr="00666ECE">
        <w:t xml:space="preserve"> </w:t>
      </w:r>
      <w:r w:rsidRPr="009762F7">
        <w:t xml:space="preserve">students of </w:t>
      </w:r>
      <w:r>
        <w:t>5</w:t>
      </w:r>
      <w:r w:rsidR="000401F1">
        <w:t>5</w:t>
      </w:r>
      <w:r>
        <w:t>.1</w:t>
      </w:r>
      <w:r w:rsidRPr="009762F7">
        <w:t xml:space="preserve"> per cent, </w:t>
      </w:r>
      <w:r w:rsidR="000401F1" w:rsidRPr="00A11734">
        <w:rPr>
          <w:shd w:val="clear" w:color="auto" w:fill="FFFFFF" w:themeFill="background1"/>
        </w:rPr>
        <w:t>27.</w:t>
      </w:r>
      <w:r w:rsidR="007B3ABE" w:rsidRPr="00A11734">
        <w:rPr>
          <w:shd w:val="clear" w:color="auto" w:fill="FFFFFF" w:themeFill="background1"/>
        </w:rPr>
        <w:t>8</w:t>
      </w:r>
      <w:r w:rsidR="00137849" w:rsidRPr="00A11734">
        <w:rPr>
          <w:shd w:val="clear" w:color="auto" w:fill="FFFFFF" w:themeFill="background1"/>
        </w:rPr>
        <w:t xml:space="preserve"> </w:t>
      </w:r>
      <w:r w:rsidRPr="00A11734">
        <w:rPr>
          <w:shd w:val="clear" w:color="auto" w:fill="FFFFFF" w:themeFill="background1"/>
        </w:rPr>
        <w:t>percentage points lower than that for non</w:t>
      </w:r>
      <w:r w:rsidR="0025099B" w:rsidRPr="00A11734">
        <w:rPr>
          <w:shd w:val="clear" w:color="auto" w:fill="FFFFFF" w:themeFill="background1"/>
        </w:rPr>
        <w:noBreakHyphen/>
      </w:r>
      <w:r w:rsidRPr="00A11734">
        <w:rPr>
          <w:shd w:val="clear" w:color="auto" w:fill="FFFFFF" w:themeFill="background1"/>
        </w:rPr>
        <w:t xml:space="preserve">Indigenous students </w:t>
      </w:r>
      <w:r w:rsidR="008B5ED3" w:rsidRPr="00A11734">
        <w:rPr>
          <w:shd w:val="clear" w:color="auto" w:fill="FFFFFF" w:themeFill="background1"/>
        </w:rPr>
        <w:t>(82.</w:t>
      </w:r>
      <w:r w:rsidR="007B3ABE" w:rsidRPr="00A11734">
        <w:rPr>
          <w:shd w:val="clear" w:color="auto" w:fill="FFFFFF" w:themeFill="background1"/>
        </w:rPr>
        <w:t>9</w:t>
      </w:r>
      <w:r w:rsidR="008B5ED3" w:rsidRPr="00A11734">
        <w:rPr>
          <w:shd w:val="clear" w:color="auto" w:fill="FFFFFF" w:themeFill="background1"/>
        </w:rPr>
        <w:t xml:space="preserve"> per cent)</w:t>
      </w:r>
      <w:r w:rsidR="008B5ED3" w:rsidRPr="00813CE9">
        <w:t xml:space="preserve"> </w:t>
      </w:r>
      <w:r w:rsidRPr="00813CE9">
        <w:t xml:space="preserve">and </w:t>
      </w:r>
      <w:r w:rsidR="000401F1" w:rsidRPr="00813CE9">
        <w:rPr>
          <w:shd w:val="clear" w:color="auto" w:fill="FFFFFF" w:themeFill="background1"/>
        </w:rPr>
        <w:t xml:space="preserve">26.5 </w:t>
      </w:r>
      <w:r w:rsidRPr="00813CE9">
        <w:t>percentage points lower than that for all students</w:t>
      </w:r>
      <w:r w:rsidR="008B5ED3" w:rsidRPr="00813CE9">
        <w:t xml:space="preserve"> (81.6 per cent)</w:t>
      </w:r>
      <w:r w:rsidRPr="00813CE9">
        <w:t xml:space="preserve"> (</w:t>
      </w:r>
      <w:r w:rsidR="00DE74EC" w:rsidRPr="00813CE9">
        <w:t>table</w:t>
      </w:r>
      <w:r w:rsidR="0025099B">
        <w:t> </w:t>
      </w:r>
      <w:proofErr w:type="spellStart"/>
      <w:r w:rsidR="00DE74EC">
        <w:t>4A.1</w:t>
      </w:r>
      <w:r w:rsidR="008A76CD">
        <w:t>88</w:t>
      </w:r>
      <w:proofErr w:type="spellEnd"/>
      <w:r w:rsidRPr="00EF1CE5">
        <w:t>).</w:t>
      </w:r>
    </w:p>
    <w:p w:rsidR="00937F52" w:rsidRDefault="00937F52" w:rsidP="0078036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37F52" w:rsidTr="0078036C">
        <w:tc>
          <w:tcPr>
            <w:tcW w:w="8771" w:type="dxa"/>
            <w:tcBorders>
              <w:top w:val="single" w:sz="6" w:space="0" w:color="78A22F"/>
              <w:left w:val="nil"/>
              <w:bottom w:val="nil"/>
              <w:right w:val="nil"/>
            </w:tcBorders>
            <w:shd w:val="clear" w:color="auto" w:fill="auto"/>
          </w:tcPr>
          <w:p w:rsidR="00937F52" w:rsidRPr="00176D3F" w:rsidRDefault="00937F52" w:rsidP="00937F52">
            <w:pPr>
              <w:pStyle w:val="FigureTitle"/>
            </w:pPr>
            <w:r w:rsidRPr="00784A05">
              <w:rPr>
                <w:b w:val="0"/>
              </w:rPr>
              <w:t xml:space="preserve">Figure </w:t>
            </w:r>
            <w:r w:rsidR="00B70781">
              <w:rPr>
                <w:b w:val="0"/>
              </w:rPr>
              <w:t>4.</w:t>
            </w:r>
            <w:r w:rsidR="005953B6">
              <w:rPr>
                <w:b w:val="0"/>
                <w:noProof/>
              </w:rPr>
              <w:t>13</w:t>
            </w:r>
            <w:r>
              <w:tab/>
            </w:r>
            <w:r w:rsidRPr="00937F52">
              <w:t>Apparent retention rate from year 7 or 8 to year 12, full time secondary students, all schools</w:t>
            </w:r>
            <w:r w:rsidRPr="00937F52">
              <w:rPr>
                <w:rStyle w:val="NoteLabel"/>
                <w:b/>
              </w:rPr>
              <w:t>a, b, c</w:t>
            </w:r>
          </w:p>
        </w:tc>
      </w:tr>
      <w:tr w:rsidR="00937F52" w:rsidTr="0078036C">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37F52" w:rsidTr="0078036C">
              <w:trPr>
                <w:jc w:val="center"/>
              </w:trPr>
              <w:tc>
                <w:tcPr>
                  <w:tcW w:w="5000" w:type="pct"/>
                  <w:tcBorders>
                    <w:top w:val="nil"/>
                    <w:bottom w:val="nil"/>
                  </w:tcBorders>
                </w:tcPr>
                <w:p w:rsidR="00937F52" w:rsidRDefault="00DC200A" w:rsidP="0078036C">
                  <w:pPr>
                    <w:pStyle w:val="Figure"/>
                    <w:spacing w:before="60" w:after="60"/>
                  </w:pPr>
                  <w:r>
                    <w:rPr>
                      <w:noProof/>
                    </w:rPr>
                    <w:drawing>
                      <wp:inline distT="0" distB="0" distL="0" distR="0">
                        <wp:extent cx="5391150" cy="2686050"/>
                        <wp:effectExtent l="0" t="0" r="0" b="0"/>
                        <wp:docPr id="13" name="Picture 13" descr="Figure 4.13 Apparent retention rate from year 7 or 8 to year 12, full time secondary students, all school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937F52" w:rsidRDefault="00937F52" w:rsidP="0078036C">
            <w:pPr>
              <w:pStyle w:val="Figure"/>
            </w:pPr>
          </w:p>
        </w:tc>
      </w:tr>
      <w:tr w:rsidR="00937F52" w:rsidRPr="00176D3F" w:rsidTr="0078036C">
        <w:tc>
          <w:tcPr>
            <w:tcW w:w="8771" w:type="dxa"/>
            <w:tcBorders>
              <w:top w:val="nil"/>
              <w:left w:val="nil"/>
              <w:bottom w:val="nil"/>
              <w:right w:val="nil"/>
            </w:tcBorders>
            <w:shd w:val="clear" w:color="auto" w:fill="auto"/>
          </w:tcPr>
          <w:p w:rsidR="00937F52" w:rsidRPr="00176D3F" w:rsidRDefault="00937F52" w:rsidP="00A67DE1">
            <w:pPr>
              <w:pStyle w:val="Note"/>
            </w:pPr>
            <w:proofErr w:type="spellStart"/>
            <w:r>
              <w:rPr>
                <w:rStyle w:val="NoteLabel"/>
              </w:rPr>
              <w:t>a</w:t>
            </w:r>
            <w:proofErr w:type="spellEnd"/>
            <w:r>
              <w:t xml:space="preserve"> </w:t>
            </w:r>
            <w:r w:rsidRPr="00937F52">
              <w:t xml:space="preserve"> Apparent retention rates are affected by factors that vary across jurisdictions. For this reason, variations in apparent retention rates over time within jurisdictions may be more useful than comparisons across jurisdictions. </w:t>
            </w:r>
            <w:r w:rsidRPr="0005160C">
              <w:rPr>
                <w:rStyle w:val="NoteLabel"/>
              </w:rPr>
              <w:t>b</w:t>
            </w:r>
            <w:r w:rsidRPr="00937F52">
              <w:t xml:space="preserve"> The standard apparent retention rate calculation excludes part time students, which has implications for the interpretation of results for all jurisdictions (table 4.4). </w:t>
            </w:r>
            <w:r w:rsidR="00813CE9" w:rsidRPr="00813CE9">
              <w:rPr>
                <w:rStyle w:val="NoteLabel"/>
              </w:rPr>
              <w:t xml:space="preserve">c </w:t>
            </w:r>
            <w:r w:rsidR="00813CE9" w:rsidRPr="00937F52">
              <w:t>Ungraded students are not included in the calculation of apparent retention rates. This exclusion has particular implications for the NT</w:t>
            </w:r>
            <w:r w:rsidR="00813CE9">
              <w:t xml:space="preserve"> (</w:t>
            </w:r>
            <w:r w:rsidR="00813CE9" w:rsidRPr="00937F52">
              <w:t>which ha</w:t>
            </w:r>
            <w:r w:rsidR="00813CE9">
              <w:t>d</w:t>
            </w:r>
            <w:r w:rsidR="00813CE9" w:rsidRPr="00937F52">
              <w:t xml:space="preserve"> a high proportion of </w:t>
            </w:r>
            <w:r w:rsidR="00813CE9">
              <w:t xml:space="preserve">ungraded students </w:t>
            </w:r>
            <w:r w:rsidR="00813CE9" w:rsidRPr="00937F52">
              <w:t>prior to 2008</w:t>
            </w:r>
            <w:r w:rsidR="00813CE9">
              <w:t>).</w:t>
            </w:r>
          </w:p>
        </w:tc>
      </w:tr>
      <w:tr w:rsidR="00937F52" w:rsidRPr="00176D3F" w:rsidTr="0078036C">
        <w:tc>
          <w:tcPr>
            <w:tcW w:w="8771" w:type="dxa"/>
            <w:tcBorders>
              <w:top w:val="nil"/>
              <w:left w:val="nil"/>
              <w:bottom w:val="nil"/>
              <w:right w:val="nil"/>
            </w:tcBorders>
            <w:shd w:val="clear" w:color="auto" w:fill="auto"/>
          </w:tcPr>
          <w:p w:rsidR="00937F52" w:rsidRPr="00176D3F" w:rsidRDefault="00937F52" w:rsidP="008A76CD">
            <w:pPr>
              <w:pStyle w:val="Source"/>
            </w:pPr>
            <w:r>
              <w:rPr>
                <w:i/>
              </w:rPr>
              <w:t>S</w:t>
            </w:r>
            <w:r w:rsidRPr="00784A05">
              <w:rPr>
                <w:i/>
              </w:rPr>
              <w:t>ource</w:t>
            </w:r>
            <w:r w:rsidRPr="00176D3F">
              <w:t xml:space="preserve">: </w:t>
            </w:r>
            <w:r w:rsidRPr="00937F52">
              <w:t>ABS (201</w:t>
            </w:r>
            <w:r w:rsidR="0005160C">
              <w:t>4</w:t>
            </w:r>
            <w:r w:rsidRPr="00937F52">
              <w:t xml:space="preserve">) </w:t>
            </w:r>
            <w:r w:rsidRPr="00937F52">
              <w:rPr>
                <w:i/>
              </w:rPr>
              <w:t>Schools Australia 201</w:t>
            </w:r>
            <w:r w:rsidR="0005160C">
              <w:rPr>
                <w:i/>
              </w:rPr>
              <w:t>3</w:t>
            </w:r>
            <w:r w:rsidRPr="00937F52">
              <w:t xml:space="preserve">, Cat. no. 4221.0; table </w:t>
            </w:r>
            <w:proofErr w:type="spellStart"/>
            <w:r w:rsidRPr="00937F52">
              <w:t>4A.1</w:t>
            </w:r>
            <w:r w:rsidR="008A76CD">
              <w:t>88</w:t>
            </w:r>
            <w:proofErr w:type="spellEnd"/>
            <w:r w:rsidRPr="00937F52">
              <w:t>.</w:t>
            </w:r>
          </w:p>
        </w:tc>
      </w:tr>
      <w:tr w:rsidR="00937F52" w:rsidTr="0078036C">
        <w:tc>
          <w:tcPr>
            <w:tcW w:w="8771" w:type="dxa"/>
            <w:tcBorders>
              <w:top w:val="nil"/>
              <w:left w:val="nil"/>
              <w:bottom w:val="single" w:sz="6" w:space="0" w:color="78A22F"/>
              <w:right w:val="nil"/>
            </w:tcBorders>
            <w:shd w:val="clear" w:color="auto" w:fill="auto"/>
          </w:tcPr>
          <w:p w:rsidR="00937F52" w:rsidRDefault="00937F52" w:rsidP="0078036C">
            <w:pPr>
              <w:pStyle w:val="Figurespace"/>
            </w:pPr>
          </w:p>
        </w:tc>
      </w:tr>
      <w:tr w:rsidR="00937F52" w:rsidRPr="000863A5" w:rsidTr="0078036C">
        <w:tc>
          <w:tcPr>
            <w:tcW w:w="8771" w:type="dxa"/>
            <w:tcBorders>
              <w:top w:val="single" w:sz="6" w:space="0" w:color="78A22F"/>
              <w:left w:val="nil"/>
              <w:bottom w:val="nil"/>
              <w:right w:val="nil"/>
            </w:tcBorders>
          </w:tcPr>
          <w:p w:rsidR="00937F52" w:rsidRPr="00626D32" w:rsidRDefault="00937F52" w:rsidP="0078036C">
            <w:pPr>
              <w:pStyle w:val="BoxSpaceBelow"/>
            </w:pPr>
          </w:p>
        </w:tc>
      </w:tr>
    </w:tbl>
    <w:p w:rsidR="00666ECE" w:rsidRPr="00666ECE" w:rsidRDefault="00666ECE" w:rsidP="00483D1F">
      <w:pPr>
        <w:pStyle w:val="BodyText"/>
      </w:pPr>
      <w:r w:rsidRPr="00666ECE">
        <w:t>The apparent rate of retention from year 10 to year 12 has been derived by expressing the number of full time school students enrolled in year 12 in 201</w:t>
      </w:r>
      <w:r w:rsidR="00790630">
        <w:t>3</w:t>
      </w:r>
      <w:r w:rsidRPr="00666ECE">
        <w:t xml:space="preserve"> as a proportion of the number of full time school students enrolled in year 10 in 20</w:t>
      </w:r>
      <w:r w:rsidR="00643280">
        <w:t>1</w:t>
      </w:r>
      <w:r w:rsidR="00790630">
        <w:t>1</w:t>
      </w:r>
      <w:r w:rsidRPr="00666ECE">
        <w:t xml:space="preserve">. </w:t>
      </w:r>
    </w:p>
    <w:p w:rsidR="00666ECE" w:rsidRPr="00666ECE" w:rsidRDefault="00666ECE" w:rsidP="00483D1F">
      <w:pPr>
        <w:pStyle w:val="BodyText"/>
      </w:pPr>
      <w:r w:rsidRPr="00666ECE">
        <w:t>Factors affecting apparent retention can combine to result in a year 12 cohort that is substantially different in composition from the corresponding year 10 cohort — for example:</w:t>
      </w:r>
      <w:r w:rsidR="0055265A">
        <w:t xml:space="preserve"> </w:t>
      </w:r>
    </w:p>
    <w:p w:rsidR="00666ECE" w:rsidRPr="00483D1F" w:rsidRDefault="00666ECE" w:rsidP="00483D1F">
      <w:pPr>
        <w:pStyle w:val="ListBullet"/>
      </w:pPr>
      <w:r w:rsidRPr="00483D1F">
        <w:t xml:space="preserve">in SA, if part time students </w:t>
      </w:r>
      <w:r w:rsidR="004856D3" w:rsidRPr="00483D1F">
        <w:t xml:space="preserve">for all schools </w:t>
      </w:r>
      <w:r w:rsidRPr="00483D1F">
        <w:t>are included in the 201</w:t>
      </w:r>
      <w:r w:rsidR="00790630" w:rsidRPr="00483D1F">
        <w:t>3</w:t>
      </w:r>
      <w:r w:rsidRPr="00483D1F">
        <w:t xml:space="preserve"> year 12 total, then the apparent retention rate </w:t>
      </w:r>
      <w:r w:rsidRPr="007128C9">
        <w:rPr>
          <w:shd w:val="clear" w:color="auto" w:fill="FFFFFF" w:themeFill="background1"/>
        </w:rPr>
        <w:t xml:space="preserve">becomes </w:t>
      </w:r>
      <w:r w:rsidR="007128C9" w:rsidRPr="007128C9">
        <w:rPr>
          <w:shd w:val="clear" w:color="auto" w:fill="FFFFFF" w:themeFill="background1"/>
        </w:rPr>
        <w:t>93.4</w:t>
      </w:r>
      <w:r w:rsidRPr="007128C9">
        <w:rPr>
          <w:shd w:val="clear" w:color="auto" w:fill="FFFFFF" w:themeFill="background1"/>
        </w:rPr>
        <w:t xml:space="preserve"> per</w:t>
      </w:r>
      <w:r w:rsidRPr="00483D1F">
        <w:t xml:space="preserve"> cent, compared with </w:t>
      </w:r>
      <w:r w:rsidR="007128C9">
        <w:t>87.8</w:t>
      </w:r>
      <w:r w:rsidRPr="00483D1F">
        <w:t xml:space="preserve"> per cent for full time students only (table </w:t>
      </w:r>
      <w:proofErr w:type="spellStart"/>
      <w:r w:rsidRPr="00483D1F">
        <w:t>4A.1</w:t>
      </w:r>
      <w:r w:rsidR="008A76CD">
        <w:t>87</w:t>
      </w:r>
      <w:proofErr w:type="spellEnd"/>
      <w:r w:rsidRPr="00483D1F">
        <w:t>)</w:t>
      </w:r>
    </w:p>
    <w:p w:rsidR="00666ECE" w:rsidRPr="00483D1F" w:rsidRDefault="00666ECE" w:rsidP="00483D1F">
      <w:pPr>
        <w:pStyle w:val="ListBullet"/>
      </w:pPr>
      <w:r w:rsidRPr="00483D1F">
        <w:t xml:space="preserve">young people may choose to complete their post compulsory education in the TAFE system rather than continue at school, and may do so after periods of time spent away from the formal education system. </w:t>
      </w:r>
    </w:p>
    <w:p w:rsidR="00666ECE" w:rsidRPr="00666ECE" w:rsidRDefault="00666ECE" w:rsidP="00483D1F">
      <w:pPr>
        <w:pStyle w:val="BodyText"/>
      </w:pPr>
      <w:r w:rsidRPr="0065269E">
        <w:t>Nationally</w:t>
      </w:r>
      <w:r w:rsidRPr="00EB7A11">
        <w:t xml:space="preserve">, the apparent retention rate from year 10 to year 12 for all schools was </w:t>
      </w:r>
      <w:r w:rsidR="00790630">
        <w:t>80.7</w:t>
      </w:r>
      <w:r w:rsidR="0025099B">
        <w:t> </w:t>
      </w:r>
      <w:r w:rsidRPr="00EB7A11">
        <w:t>per</w:t>
      </w:r>
      <w:r w:rsidR="0025099B">
        <w:t> </w:t>
      </w:r>
      <w:r w:rsidRPr="00EB7A11">
        <w:t>cent in 201</w:t>
      </w:r>
      <w:r w:rsidR="00790630">
        <w:t>3</w:t>
      </w:r>
      <w:r w:rsidRPr="00EB7A11">
        <w:t xml:space="preserve">. The rate for government schools was </w:t>
      </w:r>
      <w:r w:rsidR="00EB7A11" w:rsidRPr="00EB7A11">
        <w:t>7</w:t>
      </w:r>
      <w:r w:rsidR="00790630">
        <w:t>6</w:t>
      </w:r>
      <w:r w:rsidR="00EB7A11" w:rsidRPr="00EB7A11">
        <w:t>.</w:t>
      </w:r>
      <w:r w:rsidR="00321BBB">
        <w:t>7</w:t>
      </w:r>
      <w:r w:rsidR="0065269E" w:rsidRPr="00EB7A11">
        <w:t xml:space="preserve"> </w:t>
      </w:r>
      <w:r w:rsidRPr="00EB7A11">
        <w:t>per cent, and for non</w:t>
      </w:r>
      <w:r w:rsidR="0025099B">
        <w:noBreakHyphen/>
      </w:r>
      <w:r w:rsidRPr="00EB7A11">
        <w:t xml:space="preserve">government schools was </w:t>
      </w:r>
      <w:r w:rsidR="00790630">
        <w:t>87.0</w:t>
      </w:r>
      <w:r w:rsidR="00AF7181" w:rsidRPr="00EB7A11">
        <w:t xml:space="preserve"> </w:t>
      </w:r>
      <w:r w:rsidRPr="00EB7A11">
        <w:t>per</w:t>
      </w:r>
      <w:r w:rsidR="00AF7181" w:rsidRPr="00EB7A11">
        <w:t xml:space="preserve"> </w:t>
      </w:r>
      <w:r w:rsidRPr="00EB7A11">
        <w:t xml:space="preserve">cent. The apparent </w:t>
      </w:r>
      <w:r w:rsidRPr="0065269E">
        <w:t>retention rates for both government schools and non</w:t>
      </w:r>
      <w:r w:rsidRPr="0065269E">
        <w:noBreakHyphen/>
        <w:t>government</w:t>
      </w:r>
      <w:r w:rsidRPr="00666ECE">
        <w:t xml:space="preserve"> schools varied across jurisdictions (figure 4.1</w:t>
      </w:r>
      <w:r w:rsidR="00FF2AB3">
        <w:t>4</w:t>
      </w:r>
      <w:r w:rsidRPr="00666ECE">
        <w:t>).</w:t>
      </w:r>
    </w:p>
    <w:p w:rsidR="0099070E" w:rsidRDefault="0099070E" w:rsidP="0078036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9070E" w:rsidTr="0078036C">
        <w:tc>
          <w:tcPr>
            <w:tcW w:w="8771" w:type="dxa"/>
            <w:tcBorders>
              <w:top w:val="single" w:sz="6" w:space="0" w:color="78A22F"/>
              <w:left w:val="nil"/>
              <w:bottom w:val="nil"/>
              <w:right w:val="nil"/>
            </w:tcBorders>
            <w:shd w:val="clear" w:color="auto" w:fill="auto"/>
          </w:tcPr>
          <w:p w:rsidR="0099070E" w:rsidRPr="00176D3F" w:rsidRDefault="0099070E" w:rsidP="0099070E">
            <w:pPr>
              <w:pStyle w:val="FigureTitle"/>
            </w:pPr>
            <w:r w:rsidRPr="00784A05">
              <w:rPr>
                <w:b w:val="0"/>
              </w:rPr>
              <w:t xml:space="preserve">Figure </w:t>
            </w:r>
            <w:r w:rsidR="00B70781">
              <w:rPr>
                <w:b w:val="0"/>
              </w:rPr>
              <w:t>4.</w:t>
            </w:r>
            <w:r w:rsidR="005953B6">
              <w:rPr>
                <w:b w:val="0"/>
                <w:noProof/>
              </w:rPr>
              <w:t>14</w:t>
            </w:r>
            <w:r>
              <w:tab/>
            </w:r>
            <w:r w:rsidRPr="0099070E">
              <w:t>Apparent retention rate from year 10 to year 12, full time secondary students, 201</w:t>
            </w:r>
            <w:r>
              <w:t>3</w:t>
            </w:r>
            <w:r w:rsidRPr="0099070E">
              <w:rPr>
                <w:rStyle w:val="NoteLabel"/>
                <w:b/>
              </w:rPr>
              <w:t>a, b, c, d</w:t>
            </w:r>
          </w:p>
        </w:tc>
      </w:tr>
      <w:tr w:rsidR="0099070E" w:rsidTr="0078036C">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9070E" w:rsidTr="0078036C">
              <w:trPr>
                <w:jc w:val="center"/>
              </w:trPr>
              <w:tc>
                <w:tcPr>
                  <w:tcW w:w="5000" w:type="pct"/>
                  <w:tcBorders>
                    <w:top w:val="nil"/>
                    <w:bottom w:val="nil"/>
                  </w:tcBorders>
                </w:tcPr>
                <w:p w:rsidR="0099070E" w:rsidRDefault="00DC200A" w:rsidP="0078036C">
                  <w:pPr>
                    <w:pStyle w:val="Figure"/>
                    <w:spacing w:before="60" w:after="60"/>
                  </w:pPr>
                  <w:r>
                    <w:rPr>
                      <w:noProof/>
                    </w:rPr>
                    <w:drawing>
                      <wp:inline distT="0" distB="0" distL="0" distR="0">
                        <wp:extent cx="5391150" cy="2686050"/>
                        <wp:effectExtent l="0" t="0" r="0" b="0"/>
                        <wp:docPr id="14" name="Picture 14" descr="Figure 4.14 Apparent retention rate from year 10 to year 12, full time secondary students,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99070E" w:rsidRDefault="0099070E" w:rsidP="0078036C">
            <w:pPr>
              <w:pStyle w:val="Figure"/>
            </w:pPr>
          </w:p>
        </w:tc>
      </w:tr>
      <w:tr w:rsidR="0099070E" w:rsidRPr="00176D3F" w:rsidTr="0078036C">
        <w:tc>
          <w:tcPr>
            <w:tcW w:w="8771" w:type="dxa"/>
            <w:tcBorders>
              <w:top w:val="nil"/>
              <w:left w:val="nil"/>
              <w:bottom w:val="nil"/>
              <w:right w:val="nil"/>
            </w:tcBorders>
            <w:shd w:val="clear" w:color="auto" w:fill="auto"/>
          </w:tcPr>
          <w:p w:rsidR="0099070E" w:rsidRPr="00176D3F" w:rsidRDefault="0099070E" w:rsidP="0068677C">
            <w:pPr>
              <w:pStyle w:val="Note"/>
            </w:pPr>
            <w:proofErr w:type="spellStart"/>
            <w:r>
              <w:rPr>
                <w:rStyle w:val="NoteLabel"/>
              </w:rPr>
              <w:t>a</w:t>
            </w:r>
            <w:proofErr w:type="spellEnd"/>
            <w:r>
              <w:t xml:space="preserve"> </w:t>
            </w:r>
            <w:r w:rsidRPr="0099070E">
              <w:t xml:space="preserve">Apparent retention rates are affected by factors that vary across jurisdictions. For this reason, variations in apparent retention rates over time within jurisdictions may be more useful than comparisons across jurisdictions. </w:t>
            </w:r>
            <w:r w:rsidRPr="0005160C">
              <w:rPr>
                <w:rStyle w:val="NoteLabel"/>
              </w:rPr>
              <w:t>b</w:t>
            </w:r>
            <w:r w:rsidRPr="0099070E">
              <w:t xml:space="preserve"> Retention rates can exceed 100 per cent for a variety of reasons, including student transfers between jurisdictions and government and non-government schools after the base year. </w:t>
            </w:r>
            <w:r w:rsidRPr="0005160C">
              <w:rPr>
                <w:rStyle w:val="NoteLabel"/>
              </w:rPr>
              <w:t>c</w:t>
            </w:r>
            <w:r w:rsidRPr="0099070E">
              <w:t xml:space="preserve"> The standard apparent retention rate calculation excludes part time students, which has implications for the interpretation of results for all jurisdictions (table 4.4). </w:t>
            </w:r>
            <w:r w:rsidRPr="0005160C">
              <w:rPr>
                <w:rStyle w:val="NoteLabel"/>
              </w:rPr>
              <w:t>d</w:t>
            </w:r>
            <w:r w:rsidRPr="0099070E">
              <w:t> Ungraded students are not included in the calculation of apparent retention rates.</w:t>
            </w:r>
          </w:p>
        </w:tc>
      </w:tr>
      <w:tr w:rsidR="0099070E" w:rsidRPr="00176D3F" w:rsidTr="0078036C">
        <w:tc>
          <w:tcPr>
            <w:tcW w:w="8771" w:type="dxa"/>
            <w:tcBorders>
              <w:top w:val="nil"/>
              <w:left w:val="nil"/>
              <w:bottom w:val="nil"/>
              <w:right w:val="nil"/>
            </w:tcBorders>
            <w:shd w:val="clear" w:color="auto" w:fill="auto"/>
          </w:tcPr>
          <w:p w:rsidR="0099070E" w:rsidRPr="00176D3F" w:rsidRDefault="0099070E" w:rsidP="00BA4E34">
            <w:pPr>
              <w:pStyle w:val="Source"/>
            </w:pPr>
            <w:r>
              <w:rPr>
                <w:i/>
              </w:rPr>
              <w:t>S</w:t>
            </w:r>
            <w:r w:rsidRPr="00784A05">
              <w:rPr>
                <w:i/>
              </w:rPr>
              <w:t>ource</w:t>
            </w:r>
            <w:r w:rsidRPr="00176D3F">
              <w:t xml:space="preserve">: </w:t>
            </w:r>
            <w:r w:rsidRPr="0099070E">
              <w:t>ABS (201</w:t>
            </w:r>
            <w:r w:rsidR="0005160C">
              <w:t>4</w:t>
            </w:r>
            <w:r w:rsidRPr="0099070E">
              <w:t xml:space="preserve">) </w:t>
            </w:r>
            <w:r w:rsidRPr="0099070E">
              <w:rPr>
                <w:i/>
              </w:rPr>
              <w:t>Schools Australia 201</w:t>
            </w:r>
            <w:r w:rsidR="0005160C">
              <w:rPr>
                <w:i/>
              </w:rPr>
              <w:t>3</w:t>
            </w:r>
            <w:r w:rsidRPr="0099070E">
              <w:t xml:space="preserve">, Cat. no. 4221.0; table </w:t>
            </w:r>
            <w:proofErr w:type="spellStart"/>
            <w:r w:rsidRPr="0099070E">
              <w:t>4A.1</w:t>
            </w:r>
            <w:r w:rsidR="00BA4E34">
              <w:t>87</w:t>
            </w:r>
            <w:proofErr w:type="spellEnd"/>
            <w:r w:rsidRPr="0099070E">
              <w:t>.</w:t>
            </w:r>
          </w:p>
        </w:tc>
      </w:tr>
      <w:tr w:rsidR="0099070E" w:rsidTr="0078036C">
        <w:tc>
          <w:tcPr>
            <w:tcW w:w="8771" w:type="dxa"/>
            <w:tcBorders>
              <w:top w:val="nil"/>
              <w:left w:val="nil"/>
              <w:bottom w:val="single" w:sz="6" w:space="0" w:color="78A22F"/>
              <w:right w:val="nil"/>
            </w:tcBorders>
            <w:shd w:val="clear" w:color="auto" w:fill="auto"/>
          </w:tcPr>
          <w:p w:rsidR="0099070E" w:rsidRDefault="0099070E" w:rsidP="0078036C">
            <w:pPr>
              <w:pStyle w:val="Figurespace"/>
            </w:pPr>
          </w:p>
        </w:tc>
      </w:tr>
      <w:tr w:rsidR="0099070E" w:rsidRPr="000863A5" w:rsidTr="0078036C">
        <w:tc>
          <w:tcPr>
            <w:tcW w:w="8771" w:type="dxa"/>
            <w:tcBorders>
              <w:top w:val="single" w:sz="6" w:space="0" w:color="78A22F"/>
              <w:left w:val="nil"/>
              <w:bottom w:val="nil"/>
              <w:right w:val="nil"/>
            </w:tcBorders>
          </w:tcPr>
          <w:p w:rsidR="0099070E" w:rsidRPr="00626D32" w:rsidRDefault="0099070E" w:rsidP="0078036C">
            <w:pPr>
              <w:pStyle w:val="BoxSpaceBelow"/>
            </w:pPr>
          </w:p>
        </w:tc>
      </w:tr>
    </w:tbl>
    <w:p w:rsidR="00666ECE" w:rsidRPr="00EB7A11" w:rsidRDefault="00666ECE" w:rsidP="00483D1F">
      <w:pPr>
        <w:pStyle w:val="BodyText"/>
      </w:pPr>
      <w:r w:rsidRPr="00EB7A11">
        <w:t xml:space="preserve">For government and non-government schools, apparent rates of retention from year 10 to year 12 for </w:t>
      </w:r>
      <w:r w:rsidR="00790630">
        <w:t>Aboriginal and Torres Strait Islander</w:t>
      </w:r>
      <w:r w:rsidRPr="00EB7A11">
        <w:t xml:space="preserve"> students in 20</w:t>
      </w:r>
      <w:r w:rsidR="0055265A" w:rsidRPr="00EB7A11">
        <w:t>1</w:t>
      </w:r>
      <w:r w:rsidR="00790630">
        <w:t>3</w:t>
      </w:r>
      <w:r w:rsidRPr="00EB7A11">
        <w:t xml:space="preserve"> were consistently low</w:t>
      </w:r>
      <w:r w:rsidR="004856D3">
        <w:t xml:space="preserve">er than rates for all students </w:t>
      </w:r>
      <w:r w:rsidRPr="00EB7A11">
        <w:t>but varied across jurisdictions (figure</w:t>
      </w:r>
      <w:r w:rsidR="004856D3">
        <w:t>s 4.1</w:t>
      </w:r>
      <w:r w:rsidR="00FF2AB3">
        <w:t>4</w:t>
      </w:r>
      <w:r w:rsidR="004A253D">
        <w:t xml:space="preserve"> and </w:t>
      </w:r>
      <w:r w:rsidRPr="00EB7A11">
        <w:t>4.1</w:t>
      </w:r>
      <w:r w:rsidR="00FF2AB3">
        <w:t>5</w:t>
      </w:r>
      <w:r w:rsidRPr="00EB7A11">
        <w:t xml:space="preserve">). In interpreting </w:t>
      </w:r>
      <w:r w:rsidR="00790630">
        <w:t>Aboriginal and Torres Strait Islander</w:t>
      </w:r>
      <w:r w:rsidR="00711273" w:rsidRPr="00EB7A11">
        <w:t xml:space="preserve"> apparent retention rates</w:t>
      </w:r>
      <w:r w:rsidRPr="00EB7A11">
        <w:t>, it should be noted that</w:t>
      </w:r>
      <w:r w:rsidR="0019719B" w:rsidRPr="00EB7A11">
        <w:t>,</w:t>
      </w:r>
      <w:r w:rsidRPr="00EB7A11">
        <w:t xml:space="preserve"> </w:t>
      </w:r>
      <w:bookmarkStart w:id="15" w:name="OLE_LINK75"/>
      <w:bookmarkStart w:id="16" w:name="OLE_LINK78"/>
      <w:r w:rsidR="0019719B" w:rsidRPr="00EB7A11">
        <w:t xml:space="preserve">nationally, </w:t>
      </w:r>
      <w:r w:rsidR="000D0319" w:rsidRPr="00EB7A11">
        <w:t>1.</w:t>
      </w:r>
      <w:r w:rsidR="00790630">
        <w:t>9</w:t>
      </w:r>
      <w:r w:rsidR="000D0319" w:rsidRPr="00EB7A11">
        <w:t xml:space="preserve"> </w:t>
      </w:r>
      <w:r w:rsidRPr="00EB7A11">
        <w:t xml:space="preserve">per cent of </w:t>
      </w:r>
      <w:r w:rsidR="00790630">
        <w:t>Aboriginal and Torres Strait Islander</w:t>
      </w:r>
      <w:r w:rsidRPr="00EB7A11">
        <w:t xml:space="preserve"> students left school before year 10 (figure 4.1</w:t>
      </w:r>
      <w:r w:rsidR="00FF2AB3">
        <w:t>1</w:t>
      </w:r>
      <w:r w:rsidR="003F1874" w:rsidRPr="00EB7A11">
        <w:t xml:space="preserve"> and table </w:t>
      </w:r>
      <w:proofErr w:type="spellStart"/>
      <w:r w:rsidR="003F1874" w:rsidRPr="00EB7A11">
        <w:t>4A.1</w:t>
      </w:r>
      <w:r w:rsidR="00BA4E34">
        <w:t>86</w:t>
      </w:r>
      <w:proofErr w:type="spellEnd"/>
      <w:r w:rsidRPr="00EB7A11">
        <w:t>), and so are not included in the base year for retention from year 10 to year 12</w:t>
      </w:r>
      <w:bookmarkEnd w:id="15"/>
      <w:bookmarkEnd w:id="16"/>
      <w:r w:rsidRPr="00EB7A11">
        <w:t xml:space="preserve">. Further, </w:t>
      </w:r>
      <w:r w:rsidR="00790630">
        <w:t>Aboriginal and Torres Strait Islander</w:t>
      </w:r>
      <w:r w:rsidRPr="00EB7A11">
        <w:t xml:space="preserve"> students made </w:t>
      </w:r>
      <w:r w:rsidRPr="005E564E">
        <w:rPr>
          <w:shd w:val="clear" w:color="auto" w:fill="FFFFFF" w:themeFill="background1"/>
        </w:rPr>
        <w:t xml:space="preserve">up </w:t>
      </w:r>
      <w:r w:rsidR="0065269E" w:rsidRPr="005E564E">
        <w:rPr>
          <w:shd w:val="clear" w:color="auto" w:fill="FFFFFF" w:themeFill="background1"/>
        </w:rPr>
        <w:t>6.</w:t>
      </w:r>
      <w:r w:rsidR="005E564E" w:rsidRPr="005E564E">
        <w:rPr>
          <w:shd w:val="clear" w:color="auto" w:fill="FFFFFF" w:themeFill="background1"/>
        </w:rPr>
        <w:t>5</w:t>
      </w:r>
      <w:r w:rsidR="00BA1CEC" w:rsidRPr="00EB7A11">
        <w:t xml:space="preserve"> </w:t>
      </w:r>
      <w:r w:rsidRPr="00EB7A11">
        <w:t>per</w:t>
      </w:r>
      <w:r w:rsidR="00BA1CEC" w:rsidRPr="00EB7A11">
        <w:t xml:space="preserve"> </w:t>
      </w:r>
      <w:r w:rsidRPr="00EB7A11">
        <w:t xml:space="preserve">cent of all students in government schools compared with </w:t>
      </w:r>
      <w:r w:rsidR="0065269E" w:rsidRPr="00EB7A11">
        <w:t>2.</w:t>
      </w:r>
      <w:r w:rsidR="005E564E">
        <w:t>3</w:t>
      </w:r>
      <w:r w:rsidR="0065269E" w:rsidRPr="00EB7A11">
        <w:t> </w:t>
      </w:r>
      <w:r w:rsidRPr="00EB7A11">
        <w:t>per</w:t>
      </w:r>
      <w:r w:rsidR="0065269E" w:rsidRPr="00EB7A11">
        <w:t> </w:t>
      </w:r>
      <w:r w:rsidRPr="00EB7A11">
        <w:t xml:space="preserve">cent in non-government schools and some jurisdictions have very low numbers of </w:t>
      </w:r>
      <w:r w:rsidR="00790630">
        <w:t>Aboriginal and Torres Strait Islander</w:t>
      </w:r>
      <w:r w:rsidRPr="00EB7A11">
        <w:t xml:space="preserve"> students (table 4.5).</w:t>
      </w:r>
    </w:p>
    <w:p w:rsidR="00666ECE" w:rsidRPr="00666ECE" w:rsidRDefault="00666ECE" w:rsidP="00483D1F">
      <w:pPr>
        <w:pStyle w:val="BodyText"/>
      </w:pPr>
      <w:r w:rsidRPr="00EB7A11">
        <w:t xml:space="preserve">Nationally, </w:t>
      </w:r>
      <w:r w:rsidR="00790630">
        <w:t>Aboriginal and Torres Strait Islander</w:t>
      </w:r>
      <w:r w:rsidRPr="00EB7A11">
        <w:t xml:space="preserve"> retention from year 10 to year 12 for all schools in 201</w:t>
      </w:r>
      <w:r w:rsidR="00190D67">
        <w:t>3</w:t>
      </w:r>
      <w:r w:rsidRPr="00EB7A11">
        <w:t xml:space="preserve"> was </w:t>
      </w:r>
      <w:r w:rsidR="00190D67">
        <w:t>55.8</w:t>
      </w:r>
      <w:r w:rsidRPr="00EB7A11">
        <w:t xml:space="preserve"> per cent (figure 4.1</w:t>
      </w:r>
      <w:r w:rsidR="00FF2AB3">
        <w:t>5</w:t>
      </w:r>
      <w:r w:rsidRPr="00EB7A11">
        <w:t xml:space="preserve">), compared with </w:t>
      </w:r>
      <w:r w:rsidR="00190D67">
        <w:t>81.9</w:t>
      </w:r>
      <w:r w:rsidR="003F0641" w:rsidRPr="00EB7A11">
        <w:t xml:space="preserve"> per </w:t>
      </w:r>
      <w:r w:rsidRPr="00EB7A11">
        <w:t>cent for non</w:t>
      </w:r>
      <w:r w:rsidR="0025099B">
        <w:noBreakHyphen/>
      </w:r>
      <w:r w:rsidRPr="00EB7A11">
        <w:t xml:space="preserve">Indigenous students (table </w:t>
      </w:r>
      <w:proofErr w:type="spellStart"/>
      <w:r w:rsidRPr="00EB7A11">
        <w:t>4A.1</w:t>
      </w:r>
      <w:r w:rsidR="00BA4E34">
        <w:t>88</w:t>
      </w:r>
      <w:proofErr w:type="spellEnd"/>
      <w:r w:rsidRPr="00EB7A11">
        <w:t xml:space="preserve">). However, </w:t>
      </w:r>
      <w:r w:rsidR="00790630">
        <w:t>Aboriginal and Torres Strait Islander</w:t>
      </w:r>
      <w:r w:rsidRPr="00EB7A11">
        <w:t xml:space="preserve"> retention from year 10 to year 12 for all schools has risen from </w:t>
      </w:r>
      <w:r w:rsidR="00190D67">
        <w:t>45.3</w:t>
      </w:r>
      <w:r w:rsidR="00746562" w:rsidRPr="00EB7A11">
        <w:t xml:space="preserve"> </w:t>
      </w:r>
      <w:r w:rsidRPr="00EB7A11">
        <w:t>per</w:t>
      </w:r>
      <w:r w:rsidR="00746562" w:rsidRPr="00EB7A11">
        <w:t xml:space="preserve"> </w:t>
      </w:r>
      <w:r w:rsidRPr="00EB7A11">
        <w:t>cent in 200</w:t>
      </w:r>
      <w:r w:rsidR="00190D67">
        <w:t>5</w:t>
      </w:r>
      <w:r w:rsidRPr="00EB7A11">
        <w:t xml:space="preserve">, with the gap between </w:t>
      </w:r>
      <w:r w:rsidR="00530C4B">
        <w:t>Aboriginal and Torres Strait Islander</w:t>
      </w:r>
      <w:r w:rsidRPr="00EB7A11">
        <w:t xml:space="preserve"> students and non-Indigenous students decreasing from </w:t>
      </w:r>
      <w:r w:rsidR="00AB5749" w:rsidRPr="00EB7A11">
        <w:t>32.</w:t>
      </w:r>
      <w:r w:rsidR="00190D67">
        <w:t>2</w:t>
      </w:r>
      <w:r w:rsidR="00AB5749" w:rsidRPr="00EB7A11">
        <w:t xml:space="preserve"> </w:t>
      </w:r>
      <w:r w:rsidRPr="00EB7A11">
        <w:t>percentage points in 200</w:t>
      </w:r>
      <w:r w:rsidR="00190D67">
        <w:t>5</w:t>
      </w:r>
      <w:r w:rsidRPr="00EB7A11">
        <w:t xml:space="preserve"> to </w:t>
      </w:r>
      <w:r w:rsidR="00AB5749" w:rsidRPr="00EB7A11">
        <w:t>2</w:t>
      </w:r>
      <w:r w:rsidR="00190D67">
        <w:t>6</w:t>
      </w:r>
      <w:r w:rsidR="00AB5749" w:rsidRPr="00EB7A11">
        <w:t>.1</w:t>
      </w:r>
      <w:r w:rsidRPr="00EB7A11">
        <w:t xml:space="preserve"> percentage points in 201</w:t>
      </w:r>
      <w:r w:rsidR="007B3ABE">
        <w:t>3</w:t>
      </w:r>
      <w:r w:rsidRPr="00EB7A11">
        <w:t xml:space="preserve"> (table </w:t>
      </w:r>
      <w:proofErr w:type="spellStart"/>
      <w:r w:rsidRPr="00666ECE">
        <w:t>4A.1</w:t>
      </w:r>
      <w:r w:rsidR="00C92821">
        <w:t>88</w:t>
      </w:r>
      <w:proofErr w:type="spellEnd"/>
      <w:r w:rsidRPr="00666ECE">
        <w:t>).</w:t>
      </w:r>
    </w:p>
    <w:p w:rsidR="00937F52" w:rsidRDefault="00937F52" w:rsidP="0078036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37F52" w:rsidTr="0078036C">
        <w:tc>
          <w:tcPr>
            <w:tcW w:w="8771" w:type="dxa"/>
            <w:tcBorders>
              <w:top w:val="single" w:sz="6" w:space="0" w:color="78A22F"/>
              <w:left w:val="nil"/>
              <w:bottom w:val="nil"/>
              <w:right w:val="nil"/>
            </w:tcBorders>
            <w:shd w:val="clear" w:color="auto" w:fill="auto"/>
          </w:tcPr>
          <w:p w:rsidR="00937F52" w:rsidRPr="00176D3F" w:rsidRDefault="00937F52" w:rsidP="007B3ABE">
            <w:pPr>
              <w:pStyle w:val="FigureTitle"/>
            </w:pPr>
            <w:r w:rsidRPr="00784A05">
              <w:rPr>
                <w:b w:val="0"/>
              </w:rPr>
              <w:t xml:space="preserve">Figure </w:t>
            </w:r>
            <w:r w:rsidR="00B70781">
              <w:rPr>
                <w:b w:val="0"/>
              </w:rPr>
              <w:t>4.</w:t>
            </w:r>
            <w:r w:rsidR="005953B6">
              <w:rPr>
                <w:b w:val="0"/>
                <w:noProof/>
              </w:rPr>
              <w:t>15</w:t>
            </w:r>
            <w:r>
              <w:tab/>
            </w:r>
            <w:r w:rsidRPr="00937F52">
              <w:t xml:space="preserve">Apparent retention rates from year 10 to year 12, </w:t>
            </w:r>
            <w:r w:rsidR="007B3ABE">
              <w:t>Aboriginal and Torres Strait Islander</w:t>
            </w:r>
            <w:r w:rsidRPr="00937F52">
              <w:t xml:space="preserve"> full time secondary students, 201</w:t>
            </w:r>
            <w:r w:rsidR="0099070E">
              <w:t>3</w:t>
            </w:r>
            <w:r w:rsidRPr="00937F52">
              <w:rPr>
                <w:rStyle w:val="NoteLabel"/>
                <w:b/>
              </w:rPr>
              <w:t>a, b, c, d</w:t>
            </w:r>
          </w:p>
        </w:tc>
      </w:tr>
      <w:tr w:rsidR="00937F52" w:rsidTr="0078036C">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37F52" w:rsidTr="0078036C">
              <w:trPr>
                <w:jc w:val="center"/>
              </w:trPr>
              <w:tc>
                <w:tcPr>
                  <w:tcW w:w="5000" w:type="pct"/>
                  <w:tcBorders>
                    <w:top w:val="nil"/>
                    <w:bottom w:val="nil"/>
                  </w:tcBorders>
                </w:tcPr>
                <w:p w:rsidR="00937F52" w:rsidRDefault="00DC200A" w:rsidP="0078036C">
                  <w:pPr>
                    <w:pStyle w:val="Figure"/>
                    <w:spacing w:before="60" w:after="60"/>
                  </w:pPr>
                  <w:r>
                    <w:rPr>
                      <w:noProof/>
                    </w:rPr>
                    <w:drawing>
                      <wp:inline distT="0" distB="0" distL="0" distR="0">
                        <wp:extent cx="5391150" cy="2867025"/>
                        <wp:effectExtent l="0" t="0" r="0" b="9525"/>
                        <wp:docPr id="15" name="Picture 15" descr="Figure 4.15 Apparent retention rates from year 10 to year 12, Aboriginal and Torres Strait Islander full time secondary students,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91150" cy="2867025"/>
                                </a:xfrm>
                                <a:prstGeom prst="rect">
                                  <a:avLst/>
                                </a:prstGeom>
                                <a:noFill/>
                                <a:ln>
                                  <a:noFill/>
                                </a:ln>
                              </pic:spPr>
                            </pic:pic>
                          </a:graphicData>
                        </a:graphic>
                      </wp:inline>
                    </w:drawing>
                  </w:r>
                </w:p>
              </w:tc>
            </w:tr>
          </w:tbl>
          <w:p w:rsidR="00937F52" w:rsidRDefault="00937F52" w:rsidP="0078036C">
            <w:pPr>
              <w:pStyle w:val="Figure"/>
            </w:pPr>
          </w:p>
        </w:tc>
      </w:tr>
      <w:tr w:rsidR="00937F52" w:rsidRPr="00176D3F" w:rsidTr="0078036C">
        <w:tc>
          <w:tcPr>
            <w:tcW w:w="8771" w:type="dxa"/>
            <w:tcBorders>
              <w:top w:val="nil"/>
              <w:left w:val="nil"/>
              <w:bottom w:val="nil"/>
              <w:right w:val="nil"/>
            </w:tcBorders>
            <w:shd w:val="clear" w:color="auto" w:fill="auto"/>
          </w:tcPr>
          <w:p w:rsidR="00937F52" w:rsidRPr="00176D3F" w:rsidRDefault="00937F52" w:rsidP="008B5ED3">
            <w:pPr>
              <w:pStyle w:val="Note"/>
            </w:pPr>
            <w:proofErr w:type="spellStart"/>
            <w:r>
              <w:rPr>
                <w:rStyle w:val="NoteLabel"/>
              </w:rPr>
              <w:t>a</w:t>
            </w:r>
            <w:proofErr w:type="spellEnd"/>
            <w:r>
              <w:t xml:space="preserve"> </w:t>
            </w:r>
            <w:r w:rsidRPr="00937F52">
              <w:t xml:space="preserve">Apparent retention rates are affected by factors that vary across jurisdictions. For this reason, variations in apparent retention rates over time within jurisdictions may be more useful than comparisons across jurisdictions (see tables </w:t>
            </w:r>
            <w:proofErr w:type="spellStart"/>
            <w:r w:rsidRPr="00937F52">
              <w:t>4A.1</w:t>
            </w:r>
            <w:r w:rsidR="00BA4E34">
              <w:t>88</w:t>
            </w:r>
            <w:proofErr w:type="spellEnd"/>
            <w:r w:rsidRPr="00937F52">
              <w:t>–1</w:t>
            </w:r>
            <w:r w:rsidR="00BA4E34">
              <w:t>90</w:t>
            </w:r>
            <w:r w:rsidRPr="00937F52">
              <w:t xml:space="preserve">). </w:t>
            </w:r>
            <w:r w:rsidRPr="0005160C">
              <w:rPr>
                <w:rStyle w:val="NoteLabel"/>
              </w:rPr>
              <w:t>b</w:t>
            </w:r>
            <w:r w:rsidRPr="00937F52">
              <w:t xml:space="preserve"> The standard apparent retention rate calculation excludes part time students, which has implications for the interpretation of results for all jurisdictions (table 4.4). </w:t>
            </w:r>
            <w:r w:rsidRPr="0005160C">
              <w:rPr>
                <w:rStyle w:val="NoteLabel"/>
              </w:rPr>
              <w:t>c</w:t>
            </w:r>
            <w:r w:rsidRPr="00937F52">
              <w:rPr>
                <w:b/>
              </w:rPr>
              <w:t> </w:t>
            </w:r>
            <w:r w:rsidRPr="00937F52">
              <w:t xml:space="preserve">Ungraded students are not included in the calculation of apparent retention rates. </w:t>
            </w:r>
            <w:r w:rsidRPr="0005160C">
              <w:rPr>
                <w:rStyle w:val="NoteLabel"/>
              </w:rPr>
              <w:t>d</w:t>
            </w:r>
            <w:r w:rsidRPr="00937F52">
              <w:t xml:space="preserve"> Some students' Indigenous status is not stated. Consequently, </w:t>
            </w:r>
            <w:r w:rsidR="008B5ED3" w:rsidRPr="00937F52">
              <w:t xml:space="preserve">in these rates </w:t>
            </w:r>
            <w:r w:rsidR="0005160C">
              <w:t>Aboriginal and Torres Strait Islander</w:t>
            </w:r>
            <w:r w:rsidRPr="00937F52">
              <w:t xml:space="preserve"> students may be under</w:t>
            </w:r>
            <w:r w:rsidRPr="00937F52">
              <w:noBreakHyphen/>
              <w:t>represented in some jurisdictions.</w:t>
            </w:r>
          </w:p>
        </w:tc>
      </w:tr>
      <w:tr w:rsidR="00937F52" w:rsidRPr="00176D3F" w:rsidTr="0078036C">
        <w:tc>
          <w:tcPr>
            <w:tcW w:w="8771" w:type="dxa"/>
            <w:tcBorders>
              <w:top w:val="nil"/>
              <w:left w:val="nil"/>
              <w:bottom w:val="nil"/>
              <w:right w:val="nil"/>
            </w:tcBorders>
            <w:shd w:val="clear" w:color="auto" w:fill="auto"/>
          </w:tcPr>
          <w:p w:rsidR="00937F52" w:rsidRPr="00176D3F" w:rsidRDefault="00937F52" w:rsidP="00BA4E34">
            <w:pPr>
              <w:pStyle w:val="Source"/>
            </w:pPr>
            <w:r>
              <w:rPr>
                <w:i/>
              </w:rPr>
              <w:t>S</w:t>
            </w:r>
            <w:r w:rsidRPr="00784A05">
              <w:rPr>
                <w:i/>
              </w:rPr>
              <w:t>ource</w:t>
            </w:r>
            <w:r w:rsidRPr="00176D3F">
              <w:t xml:space="preserve">: </w:t>
            </w:r>
            <w:r w:rsidRPr="00937F52">
              <w:t>ABS (201</w:t>
            </w:r>
            <w:r w:rsidR="0005160C">
              <w:t>4</w:t>
            </w:r>
            <w:r w:rsidRPr="00937F52">
              <w:t xml:space="preserve">) </w:t>
            </w:r>
            <w:r w:rsidRPr="00937F52">
              <w:rPr>
                <w:i/>
              </w:rPr>
              <w:t>Schools Australia 201</w:t>
            </w:r>
            <w:r w:rsidR="0005160C">
              <w:rPr>
                <w:i/>
              </w:rPr>
              <w:t>3</w:t>
            </w:r>
            <w:r w:rsidRPr="00937F52">
              <w:t xml:space="preserve">, Cat. no. 4221.0; tables </w:t>
            </w:r>
            <w:proofErr w:type="spellStart"/>
            <w:r w:rsidRPr="00937F52">
              <w:t>4A.</w:t>
            </w:r>
            <w:r w:rsidR="00BA4E34">
              <w:t>188</w:t>
            </w:r>
            <w:proofErr w:type="spellEnd"/>
            <w:r w:rsidRPr="00937F52">
              <w:t>–1</w:t>
            </w:r>
            <w:r w:rsidR="00BA4E34">
              <w:t>90</w:t>
            </w:r>
            <w:r w:rsidRPr="00937F52">
              <w:t>.</w:t>
            </w:r>
          </w:p>
        </w:tc>
      </w:tr>
      <w:tr w:rsidR="00937F52" w:rsidTr="0078036C">
        <w:tc>
          <w:tcPr>
            <w:tcW w:w="8771" w:type="dxa"/>
            <w:tcBorders>
              <w:top w:val="nil"/>
              <w:left w:val="nil"/>
              <w:bottom w:val="single" w:sz="6" w:space="0" w:color="78A22F"/>
              <w:right w:val="nil"/>
            </w:tcBorders>
            <w:shd w:val="clear" w:color="auto" w:fill="auto"/>
          </w:tcPr>
          <w:p w:rsidR="00937F52" w:rsidRDefault="00937F52" w:rsidP="0078036C">
            <w:pPr>
              <w:pStyle w:val="Figurespace"/>
            </w:pPr>
          </w:p>
        </w:tc>
      </w:tr>
      <w:tr w:rsidR="00937F52" w:rsidRPr="000863A5" w:rsidTr="0078036C">
        <w:tc>
          <w:tcPr>
            <w:tcW w:w="8771" w:type="dxa"/>
            <w:tcBorders>
              <w:top w:val="single" w:sz="6" w:space="0" w:color="78A22F"/>
              <w:left w:val="nil"/>
              <w:bottom w:val="nil"/>
              <w:right w:val="nil"/>
            </w:tcBorders>
          </w:tcPr>
          <w:p w:rsidR="00937F52" w:rsidRPr="00626D32" w:rsidRDefault="00937F52" w:rsidP="0078036C">
            <w:pPr>
              <w:pStyle w:val="BoxSpaceBelow"/>
            </w:pPr>
          </w:p>
        </w:tc>
      </w:tr>
    </w:tbl>
    <w:p w:rsidR="00666ECE" w:rsidRPr="00666ECE" w:rsidRDefault="00666ECE" w:rsidP="00483D1F">
      <w:pPr>
        <w:pStyle w:val="BodyText"/>
      </w:pPr>
      <w:r w:rsidRPr="00666ECE">
        <w:t xml:space="preserve">Nationally, apparent </w:t>
      </w:r>
      <w:r w:rsidRPr="00A33EA2">
        <w:t xml:space="preserve">rates </w:t>
      </w:r>
      <w:r w:rsidRPr="00EB7A11">
        <w:t xml:space="preserve">of retention for all full time students from year 10 to year 12 </w:t>
      </w:r>
      <w:r w:rsidR="00DE74EC">
        <w:t>rose</w:t>
      </w:r>
      <w:r w:rsidR="00326539" w:rsidRPr="00EB7A11">
        <w:t xml:space="preserve"> slightly from</w:t>
      </w:r>
      <w:r w:rsidRPr="00EB7A11">
        <w:t xml:space="preserve"> </w:t>
      </w:r>
      <w:r w:rsidR="00190D67">
        <w:t>76.5</w:t>
      </w:r>
      <w:r w:rsidRPr="00EB7A11">
        <w:t xml:space="preserve"> per cent </w:t>
      </w:r>
      <w:r w:rsidR="00326539" w:rsidRPr="00EB7A11">
        <w:t>in</w:t>
      </w:r>
      <w:r w:rsidRPr="00EB7A11">
        <w:t xml:space="preserve"> 200</w:t>
      </w:r>
      <w:r w:rsidR="00190D67">
        <w:t>5</w:t>
      </w:r>
      <w:r w:rsidRPr="00EB7A11">
        <w:t xml:space="preserve"> to </w:t>
      </w:r>
      <w:r w:rsidR="00190D67">
        <w:t>80.7</w:t>
      </w:r>
      <w:r w:rsidRPr="00EB7A11">
        <w:t xml:space="preserve"> per cent in 201</w:t>
      </w:r>
      <w:r w:rsidR="00190D67">
        <w:t>3</w:t>
      </w:r>
      <w:r w:rsidRPr="00EB7A11">
        <w:t xml:space="preserve"> (figure 4.1</w:t>
      </w:r>
      <w:r w:rsidR="00FF2AB3">
        <w:t>6</w:t>
      </w:r>
      <w:r w:rsidRPr="00EB7A11">
        <w:t>). Data for intervening years and by Indigenous status are in table</w:t>
      </w:r>
      <w:r w:rsidR="00137849">
        <w:t xml:space="preserve"> </w:t>
      </w:r>
      <w:proofErr w:type="spellStart"/>
      <w:r w:rsidRPr="00EB7A11">
        <w:t>4A.1</w:t>
      </w:r>
      <w:r w:rsidR="00BA4E34">
        <w:t>88</w:t>
      </w:r>
      <w:proofErr w:type="spellEnd"/>
      <w:r w:rsidRPr="00EB7A11">
        <w:t xml:space="preserve">. Data for government schools and </w:t>
      </w:r>
      <w:r w:rsidRPr="00666ECE">
        <w:t xml:space="preserve">non-government schools are in tables </w:t>
      </w:r>
      <w:proofErr w:type="spellStart"/>
      <w:r w:rsidRPr="00666ECE">
        <w:t>4A.1</w:t>
      </w:r>
      <w:r w:rsidR="00BA4E34">
        <w:t>89</w:t>
      </w:r>
      <w:proofErr w:type="spellEnd"/>
      <w:r w:rsidRPr="00666ECE">
        <w:t xml:space="preserve"> and </w:t>
      </w:r>
      <w:proofErr w:type="spellStart"/>
      <w:r w:rsidRPr="00666ECE">
        <w:t>4A.1</w:t>
      </w:r>
      <w:r w:rsidR="00BA4E34">
        <w:t>90</w:t>
      </w:r>
      <w:proofErr w:type="spellEnd"/>
      <w:r w:rsidRPr="00666ECE">
        <w:t>.</w:t>
      </w:r>
    </w:p>
    <w:p w:rsidR="0099070E" w:rsidRDefault="0099070E" w:rsidP="0078036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9070E" w:rsidTr="0078036C">
        <w:tc>
          <w:tcPr>
            <w:tcW w:w="8771" w:type="dxa"/>
            <w:tcBorders>
              <w:top w:val="single" w:sz="6" w:space="0" w:color="78A22F"/>
              <w:left w:val="nil"/>
              <w:bottom w:val="nil"/>
              <w:right w:val="nil"/>
            </w:tcBorders>
            <w:shd w:val="clear" w:color="auto" w:fill="auto"/>
          </w:tcPr>
          <w:p w:rsidR="0099070E" w:rsidRPr="00176D3F" w:rsidRDefault="0099070E" w:rsidP="007B3ABE">
            <w:pPr>
              <w:pStyle w:val="FigureTitle"/>
            </w:pPr>
            <w:r w:rsidRPr="00784A05">
              <w:rPr>
                <w:b w:val="0"/>
              </w:rPr>
              <w:t xml:space="preserve">Figure </w:t>
            </w:r>
            <w:r w:rsidR="00B70781">
              <w:rPr>
                <w:b w:val="0"/>
              </w:rPr>
              <w:t>4.</w:t>
            </w:r>
            <w:r w:rsidR="005953B6">
              <w:rPr>
                <w:b w:val="0"/>
                <w:noProof/>
              </w:rPr>
              <w:t>16</w:t>
            </w:r>
            <w:r>
              <w:tab/>
            </w:r>
            <w:r w:rsidR="00E724E6" w:rsidRPr="00E724E6">
              <w:t xml:space="preserve">Apparent retention </w:t>
            </w:r>
            <w:r w:rsidR="007B3ABE">
              <w:t xml:space="preserve">rates </w:t>
            </w:r>
            <w:r w:rsidR="00E724E6" w:rsidRPr="00E724E6">
              <w:t>from year 10 to year 12, full time secondary students, all schools</w:t>
            </w:r>
            <w:r w:rsidR="00E724E6" w:rsidRPr="00E724E6">
              <w:rPr>
                <w:rStyle w:val="NoteLabel"/>
                <w:b/>
              </w:rPr>
              <w:t>a, b, c</w:t>
            </w:r>
          </w:p>
        </w:tc>
      </w:tr>
      <w:tr w:rsidR="0099070E" w:rsidTr="0078036C">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9070E" w:rsidTr="0078036C">
              <w:trPr>
                <w:jc w:val="center"/>
              </w:trPr>
              <w:tc>
                <w:tcPr>
                  <w:tcW w:w="5000" w:type="pct"/>
                  <w:tcBorders>
                    <w:top w:val="nil"/>
                    <w:bottom w:val="nil"/>
                  </w:tcBorders>
                </w:tcPr>
                <w:p w:rsidR="0099070E" w:rsidRDefault="00DC200A" w:rsidP="0078036C">
                  <w:pPr>
                    <w:pStyle w:val="Figure"/>
                    <w:spacing w:before="60" w:after="60"/>
                  </w:pPr>
                  <w:r>
                    <w:rPr>
                      <w:noProof/>
                    </w:rPr>
                    <w:drawing>
                      <wp:inline distT="0" distB="0" distL="0" distR="0">
                        <wp:extent cx="5391150" cy="2686050"/>
                        <wp:effectExtent l="0" t="0" r="0" b="0"/>
                        <wp:docPr id="16" name="Picture 16" descr="Figure 4.16 Apparent retention rates from year 10 to year 12, full time secondary students, all school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99070E" w:rsidRDefault="0099070E" w:rsidP="0078036C">
            <w:pPr>
              <w:pStyle w:val="Figure"/>
            </w:pPr>
          </w:p>
        </w:tc>
      </w:tr>
      <w:tr w:rsidR="0099070E" w:rsidRPr="00176D3F" w:rsidTr="0078036C">
        <w:tc>
          <w:tcPr>
            <w:tcW w:w="8771" w:type="dxa"/>
            <w:tcBorders>
              <w:top w:val="nil"/>
              <w:left w:val="nil"/>
              <w:bottom w:val="nil"/>
              <w:right w:val="nil"/>
            </w:tcBorders>
            <w:shd w:val="clear" w:color="auto" w:fill="auto"/>
          </w:tcPr>
          <w:p w:rsidR="0099070E" w:rsidRPr="00176D3F" w:rsidRDefault="0099070E" w:rsidP="00A67DE1">
            <w:pPr>
              <w:pStyle w:val="Note"/>
            </w:pPr>
            <w:proofErr w:type="spellStart"/>
            <w:r>
              <w:rPr>
                <w:rStyle w:val="NoteLabel"/>
              </w:rPr>
              <w:t>a</w:t>
            </w:r>
            <w:proofErr w:type="spellEnd"/>
            <w:r>
              <w:t xml:space="preserve"> </w:t>
            </w:r>
            <w:r w:rsidR="00E724E6" w:rsidRPr="00E724E6">
              <w:t xml:space="preserve">Apparent retention rates are affected by factors that vary across jurisdictions. For this reason, variations in apparent retention rates over time within jurisdictions may be more useful than comparisons across jurisdictions. </w:t>
            </w:r>
            <w:r w:rsidR="00E724E6" w:rsidRPr="0005160C">
              <w:rPr>
                <w:rStyle w:val="NoteLabel"/>
              </w:rPr>
              <w:t>b</w:t>
            </w:r>
            <w:r w:rsidR="00E724E6" w:rsidRPr="00E724E6">
              <w:t xml:space="preserve"> The standard apparent retention rate calculation excludes part time students, which has implications for the interpretation of results for all jurisdictions (table 4.4). </w:t>
            </w:r>
            <w:r w:rsidR="00813CE9" w:rsidRPr="00813CE9">
              <w:rPr>
                <w:rStyle w:val="NoteLabel"/>
              </w:rPr>
              <w:t xml:space="preserve">c </w:t>
            </w:r>
            <w:r w:rsidR="00813CE9" w:rsidRPr="00937F52">
              <w:t>Ungraded students are not included in the calculation of apparent retention rates. This exclusion has particular implications for the NT</w:t>
            </w:r>
            <w:r w:rsidR="00813CE9">
              <w:t xml:space="preserve"> (</w:t>
            </w:r>
            <w:r w:rsidR="00813CE9" w:rsidRPr="00937F52">
              <w:t>which ha</w:t>
            </w:r>
            <w:r w:rsidR="00813CE9">
              <w:t>d</w:t>
            </w:r>
            <w:r w:rsidR="00813CE9" w:rsidRPr="00937F52">
              <w:t xml:space="preserve"> a high proportion of </w:t>
            </w:r>
            <w:r w:rsidR="00813CE9">
              <w:t xml:space="preserve">ungraded students </w:t>
            </w:r>
            <w:r w:rsidR="00813CE9" w:rsidRPr="00937F52">
              <w:t>prior to 2008</w:t>
            </w:r>
            <w:r w:rsidR="00813CE9">
              <w:t>).</w:t>
            </w:r>
          </w:p>
        </w:tc>
      </w:tr>
      <w:tr w:rsidR="0099070E" w:rsidRPr="00176D3F" w:rsidTr="0078036C">
        <w:tc>
          <w:tcPr>
            <w:tcW w:w="8771" w:type="dxa"/>
            <w:tcBorders>
              <w:top w:val="nil"/>
              <w:left w:val="nil"/>
              <w:bottom w:val="nil"/>
              <w:right w:val="nil"/>
            </w:tcBorders>
            <w:shd w:val="clear" w:color="auto" w:fill="auto"/>
          </w:tcPr>
          <w:p w:rsidR="0099070E" w:rsidRPr="00176D3F" w:rsidRDefault="00E724E6" w:rsidP="00BA4E34">
            <w:pPr>
              <w:pStyle w:val="Source"/>
            </w:pPr>
            <w:r>
              <w:rPr>
                <w:i/>
              </w:rPr>
              <w:t>S</w:t>
            </w:r>
            <w:r w:rsidR="0099070E" w:rsidRPr="00784A05">
              <w:rPr>
                <w:i/>
              </w:rPr>
              <w:t>ource</w:t>
            </w:r>
            <w:r w:rsidR="0099070E" w:rsidRPr="00176D3F">
              <w:t xml:space="preserve">: </w:t>
            </w:r>
            <w:r w:rsidRPr="00E724E6">
              <w:t>ABS (201</w:t>
            </w:r>
            <w:r w:rsidR="0005160C">
              <w:t>4</w:t>
            </w:r>
            <w:r w:rsidRPr="00E724E6">
              <w:t xml:space="preserve">) </w:t>
            </w:r>
            <w:r w:rsidRPr="00E724E6">
              <w:rPr>
                <w:i/>
              </w:rPr>
              <w:t>Schools Australia 201</w:t>
            </w:r>
            <w:r w:rsidR="0005160C">
              <w:rPr>
                <w:i/>
              </w:rPr>
              <w:t>3</w:t>
            </w:r>
            <w:r w:rsidRPr="00E724E6">
              <w:t xml:space="preserve">, Cat. no. 4221.0; table </w:t>
            </w:r>
            <w:proofErr w:type="spellStart"/>
            <w:r w:rsidRPr="00E724E6">
              <w:t>4A.1</w:t>
            </w:r>
            <w:r w:rsidR="00BA4E34">
              <w:t>88</w:t>
            </w:r>
            <w:proofErr w:type="spellEnd"/>
            <w:r>
              <w:t>.</w:t>
            </w:r>
          </w:p>
        </w:tc>
      </w:tr>
      <w:tr w:rsidR="0099070E" w:rsidTr="0078036C">
        <w:tc>
          <w:tcPr>
            <w:tcW w:w="8771" w:type="dxa"/>
            <w:tcBorders>
              <w:top w:val="nil"/>
              <w:left w:val="nil"/>
              <w:bottom w:val="single" w:sz="6" w:space="0" w:color="78A22F"/>
              <w:right w:val="nil"/>
            </w:tcBorders>
            <w:shd w:val="clear" w:color="auto" w:fill="auto"/>
          </w:tcPr>
          <w:p w:rsidR="0099070E" w:rsidRDefault="0099070E" w:rsidP="0078036C">
            <w:pPr>
              <w:pStyle w:val="Figurespace"/>
            </w:pPr>
          </w:p>
        </w:tc>
      </w:tr>
      <w:tr w:rsidR="0099070E" w:rsidRPr="000863A5" w:rsidTr="0078036C">
        <w:tc>
          <w:tcPr>
            <w:tcW w:w="8771" w:type="dxa"/>
            <w:tcBorders>
              <w:top w:val="single" w:sz="6" w:space="0" w:color="78A22F"/>
              <w:left w:val="nil"/>
              <w:bottom w:val="nil"/>
              <w:right w:val="nil"/>
            </w:tcBorders>
          </w:tcPr>
          <w:p w:rsidR="0099070E" w:rsidRPr="00626D32" w:rsidRDefault="0099070E" w:rsidP="0078036C">
            <w:pPr>
              <w:pStyle w:val="BoxSpaceBelow"/>
            </w:pPr>
          </w:p>
        </w:tc>
      </w:tr>
    </w:tbl>
    <w:p w:rsidR="00666ECE" w:rsidRPr="00666ECE" w:rsidRDefault="00666ECE" w:rsidP="007B0AE2">
      <w:pPr>
        <w:pStyle w:val="Heading4"/>
      </w:pPr>
      <w:r w:rsidRPr="00666ECE">
        <w:t>Efficiency</w:t>
      </w:r>
    </w:p>
    <w:p w:rsidR="00666ECE" w:rsidRDefault="00666ECE" w:rsidP="0089766B">
      <w:pPr>
        <w:pStyle w:val="BodyText"/>
      </w:pPr>
      <w:r w:rsidRPr="00666ECE">
        <w:t xml:space="preserve">Governments have an interest in achieving the best results from their expenditure on schooling, both as owners and operators of government schools, and as major providers of funds to the non-government school sector. An objective of the Steering Committee is to publish comparable estimates of costs. Ideally, such comparison should include the full range of costs to government. Where the full costs cannot </w:t>
      </w:r>
      <w:r w:rsidRPr="00E97CD0">
        <w:t xml:space="preserve">be measured, estimating costs on a consistent basis is the best approach. Table </w:t>
      </w:r>
      <w:proofErr w:type="spellStart"/>
      <w:r w:rsidRPr="00E97CD0">
        <w:t>4A.</w:t>
      </w:r>
      <w:r w:rsidR="009807CA">
        <w:t>21</w:t>
      </w:r>
      <w:proofErr w:type="spellEnd"/>
      <w:r w:rsidRPr="00E97CD0">
        <w:t xml:space="preserve"> shows the treatment of assets by school education agencies. Table </w:t>
      </w:r>
      <w:proofErr w:type="spellStart"/>
      <w:r w:rsidRPr="00E97CD0">
        <w:t>4A.1</w:t>
      </w:r>
      <w:r w:rsidR="0013774C">
        <w:t>1</w:t>
      </w:r>
      <w:proofErr w:type="spellEnd"/>
      <w:r w:rsidRPr="00E97CD0">
        <w:t xml:space="preserve"> shows</w:t>
      </w:r>
      <w:r w:rsidRPr="00666ECE">
        <w:t xml:space="preserve"> information on the comparability of the source expenditure data for government schools used for this chapter. </w:t>
      </w:r>
      <w:r w:rsidR="009110FE">
        <w:t>Box 4.</w:t>
      </w:r>
      <w:r w:rsidR="00FF2AB3">
        <w:t>5</w:t>
      </w:r>
      <w:r w:rsidR="009110FE">
        <w:t xml:space="preserve"> includes information on identification and allocation of funding for the Report.</w:t>
      </w:r>
      <w:r w:rsidR="00C279A5">
        <w:t xml:space="preserve"> </w:t>
      </w:r>
    </w:p>
    <w:p w:rsidR="00CD37FD" w:rsidRDefault="00CD37F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D37FD" w:rsidTr="00751345">
        <w:tc>
          <w:tcPr>
            <w:tcW w:w="8771" w:type="dxa"/>
            <w:tcBorders>
              <w:top w:val="single" w:sz="6" w:space="0" w:color="78A22F"/>
              <w:left w:val="nil"/>
              <w:bottom w:val="nil"/>
              <w:right w:val="nil"/>
            </w:tcBorders>
            <w:shd w:val="clear" w:color="auto" w:fill="F2F2F2"/>
          </w:tcPr>
          <w:p w:rsidR="00CD37FD" w:rsidRDefault="00CD37FD">
            <w:pPr>
              <w:pStyle w:val="BoxTitle"/>
            </w:pPr>
            <w:r>
              <w:rPr>
                <w:b w:val="0"/>
              </w:rPr>
              <w:t xml:space="preserve">Box </w:t>
            </w:r>
            <w:r w:rsidR="00B70781">
              <w:rPr>
                <w:b w:val="0"/>
              </w:rPr>
              <w:t>4.</w:t>
            </w:r>
            <w:r w:rsidR="005953B6">
              <w:rPr>
                <w:b w:val="0"/>
                <w:noProof/>
              </w:rPr>
              <w:t>5</w:t>
            </w:r>
            <w:r>
              <w:tab/>
            </w:r>
            <w:r w:rsidRPr="00CD37FD">
              <w:t>School expenditure data reported in this chapter</w:t>
            </w:r>
          </w:p>
        </w:tc>
      </w:tr>
      <w:tr w:rsidR="00CD37FD" w:rsidTr="00751345">
        <w:trPr>
          <w:cantSplit/>
        </w:trPr>
        <w:tc>
          <w:tcPr>
            <w:tcW w:w="8771" w:type="dxa"/>
            <w:tcBorders>
              <w:top w:val="nil"/>
              <w:left w:val="nil"/>
              <w:bottom w:val="nil"/>
              <w:right w:val="nil"/>
            </w:tcBorders>
            <w:shd w:val="clear" w:color="auto" w:fill="F2F2F2"/>
          </w:tcPr>
          <w:p w:rsidR="00CD37FD" w:rsidRPr="00CD37FD" w:rsidRDefault="00CD37FD" w:rsidP="00CD37FD">
            <w:pPr>
              <w:pStyle w:val="Box"/>
            </w:pPr>
            <w:r w:rsidRPr="00CD37FD">
              <w:t>Efficiency indicators in this chapter (years 2008-09 to 2012-13) are based on financial year recurrent expenditure on government and non</w:t>
            </w:r>
            <w:r w:rsidRPr="00CD37FD">
              <w:noBreakHyphen/>
              <w:t>government schools by the Australian Government and State and Territory governments. Capital expenditure is generally excluded, but as the National Schools Specific Purpose Payment (</w:t>
            </w:r>
            <w:proofErr w:type="spellStart"/>
            <w:r w:rsidRPr="00CD37FD">
              <w:t>SPP</w:t>
            </w:r>
            <w:proofErr w:type="spellEnd"/>
            <w:r w:rsidRPr="00CD37FD">
              <w:t xml:space="preserve">) cannot be separated into capital and recurrent expenditure, the </w:t>
            </w:r>
            <w:proofErr w:type="spellStart"/>
            <w:r w:rsidRPr="00CD37FD">
              <w:t>SPP</w:t>
            </w:r>
            <w:proofErr w:type="spellEnd"/>
            <w:r w:rsidRPr="00CD37FD">
              <w:t xml:space="preserve"> is treated as recurrent expenditure in this chapter. Expenditure relating to funding sources other than government (such as parent contributions and fees) are excluded. </w:t>
            </w:r>
          </w:p>
          <w:p w:rsidR="00CD37FD" w:rsidRPr="00EC4AB8" w:rsidRDefault="00CD37FD" w:rsidP="00CD37FD">
            <w:pPr>
              <w:pStyle w:val="BoxHeading1"/>
            </w:pPr>
            <w:r w:rsidRPr="00EC4AB8">
              <w:t>Sources of data — government recurrent expenditure on government schools</w:t>
            </w:r>
          </w:p>
          <w:p w:rsidR="00CD37FD" w:rsidRPr="00EC4AB8" w:rsidRDefault="00CD37FD" w:rsidP="00CD37FD">
            <w:pPr>
              <w:pStyle w:val="Box"/>
            </w:pPr>
            <w:r w:rsidRPr="00EC4AB8">
              <w:t>Total recurrent expenditure on government schools is unpublished data sourced from the National Schools Statistical Collection, under the auspices of t</w:t>
            </w:r>
            <w:r>
              <w:t>he Education Council</w:t>
            </w:r>
            <w:r w:rsidR="008B5ED3">
              <w:t>.</w:t>
            </w:r>
          </w:p>
          <w:p w:rsidR="00CD37FD" w:rsidRPr="00CD37FD" w:rsidRDefault="00CD37FD" w:rsidP="00CD37FD">
            <w:pPr>
              <w:pStyle w:val="BoxListBullet"/>
            </w:pPr>
            <w:r w:rsidRPr="00CD37FD">
              <w:t xml:space="preserve">Each State and Territory government reports to the </w:t>
            </w:r>
            <w:r>
              <w:t>Education Council</w:t>
            </w:r>
            <w:r w:rsidRPr="00CD37FD">
              <w:t xml:space="preserve"> on its expenditure on government schools (see table </w:t>
            </w:r>
            <w:proofErr w:type="spellStart"/>
            <w:r w:rsidRPr="00CD37FD">
              <w:t>4A.10</w:t>
            </w:r>
            <w:proofErr w:type="spellEnd"/>
            <w:r w:rsidRPr="00CD37FD">
              <w:t>).</w:t>
            </w:r>
          </w:p>
          <w:p w:rsidR="00CD37FD" w:rsidRPr="00CD37FD" w:rsidRDefault="00CD37FD" w:rsidP="00CD37FD">
            <w:pPr>
              <w:pStyle w:val="BoxListBullet"/>
            </w:pPr>
            <w:r w:rsidRPr="00CD37FD">
              <w:t xml:space="preserve">The Australian Government reports its allocation to each State and Territory for government schools, consistent with Treasury Final Budget Outcomes (including the National Schools </w:t>
            </w:r>
            <w:proofErr w:type="spellStart"/>
            <w:r w:rsidRPr="00CD37FD">
              <w:t>SPP</w:t>
            </w:r>
            <w:proofErr w:type="spellEnd"/>
            <w:r w:rsidRPr="00CD37FD">
              <w:t xml:space="preserve"> and a range of National Partnerships (NP) payments (see table </w:t>
            </w:r>
            <w:proofErr w:type="spellStart"/>
            <w:r w:rsidRPr="00CD37FD">
              <w:t>4A.9</w:t>
            </w:r>
            <w:proofErr w:type="spellEnd"/>
            <w:r w:rsidRPr="00CD37FD">
              <w:t xml:space="preserve">). </w:t>
            </w:r>
            <w:r w:rsidR="003A3EA4">
              <w:t>NP payments fluctuate from year to year.</w:t>
            </w:r>
          </w:p>
          <w:p w:rsidR="00CD37FD" w:rsidRPr="00CD37FD" w:rsidRDefault="00CD37FD" w:rsidP="00CD37FD">
            <w:pPr>
              <w:pStyle w:val="BoxListBullet"/>
            </w:pPr>
            <w:r w:rsidRPr="00CD37FD">
              <w:t>To avoid double counting, Australian Government allocations are subtracted from the State and Territory expenditure to identify ‘net’ State and Territory government expenditure (tables </w:t>
            </w:r>
            <w:proofErr w:type="spellStart"/>
            <w:r w:rsidRPr="00CD37FD">
              <w:t>4A.7</w:t>
            </w:r>
            <w:proofErr w:type="spellEnd"/>
            <w:r w:rsidR="00B213DA">
              <w:t>-</w:t>
            </w:r>
            <w:r w:rsidRPr="00CD37FD">
              <w:t xml:space="preserve">8). </w:t>
            </w:r>
          </w:p>
          <w:p w:rsidR="00CD37FD" w:rsidRPr="00EC4AB8" w:rsidRDefault="00CD37FD" w:rsidP="00CD37FD">
            <w:pPr>
              <w:pStyle w:val="Box"/>
            </w:pPr>
            <w:r w:rsidRPr="00EC4AB8">
              <w:t xml:space="preserve">The </w:t>
            </w:r>
            <w:r>
              <w:t>Education Council</w:t>
            </w:r>
            <w:r w:rsidRPr="00EC4AB8">
              <w:t xml:space="preserve"> provides unpublished data on the user cost of capital for government schools, imputed as 8 per cent of the written down value of assets (table </w:t>
            </w:r>
            <w:proofErr w:type="spellStart"/>
            <w:r w:rsidRPr="00EC4AB8">
              <w:t>4A.1</w:t>
            </w:r>
            <w:r>
              <w:t>9</w:t>
            </w:r>
            <w:proofErr w:type="spellEnd"/>
            <w:r w:rsidRPr="00EC4AB8">
              <w:t xml:space="preserve">). </w:t>
            </w:r>
          </w:p>
          <w:p w:rsidR="00CD37FD" w:rsidRPr="00EC4AB8" w:rsidRDefault="00CD37FD" w:rsidP="00CD37FD">
            <w:pPr>
              <w:pStyle w:val="BoxHeading1"/>
            </w:pPr>
            <w:r w:rsidRPr="00EC4AB8">
              <w:t>Sources of data — government recurrent expenditure on non-government schools.</w:t>
            </w:r>
          </w:p>
          <w:p w:rsidR="00CD37FD" w:rsidRPr="00EC4AB8" w:rsidRDefault="00CD37FD" w:rsidP="00CD37FD">
            <w:pPr>
              <w:pStyle w:val="Box"/>
            </w:pPr>
            <w:r w:rsidRPr="00EC4AB8">
              <w:t xml:space="preserve">Total recurrent expenditure on non-government schools is a combination of unpublished data from the </w:t>
            </w:r>
            <w:proofErr w:type="spellStart"/>
            <w:r w:rsidRPr="00EC4AB8">
              <w:t>NSSC</w:t>
            </w:r>
            <w:proofErr w:type="spellEnd"/>
            <w:r w:rsidRPr="00EC4AB8">
              <w:t xml:space="preserve"> and unpublished data sourced directly from </w:t>
            </w:r>
            <w:r w:rsidR="008B5ED3">
              <w:t>State and Territory governments.</w:t>
            </w:r>
          </w:p>
          <w:p w:rsidR="00CD37FD" w:rsidRPr="00CD37FD" w:rsidRDefault="00CD37FD" w:rsidP="00CD37FD">
            <w:pPr>
              <w:pStyle w:val="BoxListBullet"/>
            </w:pPr>
            <w:r w:rsidRPr="00CD37FD">
              <w:t>Each State and Territory government provides unpublished data on its contributions to non</w:t>
            </w:r>
            <w:r w:rsidR="00C37AC5">
              <w:noBreakHyphen/>
            </w:r>
            <w:r w:rsidRPr="00CD37FD">
              <w:t xml:space="preserve">government schools (tables </w:t>
            </w:r>
            <w:proofErr w:type="spellStart"/>
            <w:r w:rsidRPr="00CD37FD">
              <w:t>4A.7</w:t>
            </w:r>
            <w:proofErr w:type="spellEnd"/>
            <w:r w:rsidR="00B213DA">
              <w:t>-</w:t>
            </w:r>
            <w:r w:rsidRPr="00CD37FD">
              <w:t xml:space="preserve">8). </w:t>
            </w:r>
          </w:p>
          <w:p w:rsidR="00CD37FD" w:rsidRPr="00CD37FD" w:rsidRDefault="00CD37FD" w:rsidP="003A3EA4">
            <w:pPr>
              <w:pStyle w:val="BoxListBullet"/>
            </w:pPr>
            <w:r w:rsidRPr="00CD37FD">
              <w:t>The Australian Government reports its allocation to each State and Territory for non</w:t>
            </w:r>
            <w:r w:rsidRPr="00CD37FD">
              <w:noBreakHyphen/>
              <w:t xml:space="preserve">government schools, consistent with Treasury Final Budget Outcomes (including the National Schools </w:t>
            </w:r>
            <w:proofErr w:type="spellStart"/>
            <w:r w:rsidRPr="00CD37FD">
              <w:t>SPP</w:t>
            </w:r>
            <w:proofErr w:type="spellEnd"/>
            <w:r w:rsidRPr="00CD37FD">
              <w:t xml:space="preserve"> and a range of National Partnerships [NP] payments [see table</w:t>
            </w:r>
            <w:r w:rsidR="00B213DA">
              <w:t> </w:t>
            </w:r>
            <w:proofErr w:type="spellStart"/>
            <w:r w:rsidRPr="00CD37FD">
              <w:t>4A.9</w:t>
            </w:r>
            <w:proofErr w:type="spellEnd"/>
            <w:r w:rsidRPr="00CD37FD">
              <w:t xml:space="preserve">]). </w:t>
            </w:r>
            <w:r w:rsidR="003A3EA4" w:rsidRPr="003A3EA4">
              <w:t>NP payments fluctuate from year to year.</w:t>
            </w:r>
          </w:p>
          <w:p w:rsidR="00CD37FD" w:rsidRPr="00CD37FD" w:rsidRDefault="00CD37FD" w:rsidP="00CD37FD">
            <w:pPr>
              <w:pStyle w:val="BoxListBullet"/>
            </w:pPr>
            <w:r w:rsidRPr="00CD37FD">
              <w:t>Together these comprise total government recurrent expenditure on non</w:t>
            </w:r>
            <w:r w:rsidRPr="00CD37FD">
              <w:noBreakHyphen/>
              <w:t xml:space="preserve">government schools (tables </w:t>
            </w:r>
            <w:proofErr w:type="spellStart"/>
            <w:r w:rsidRPr="00CD37FD">
              <w:t>4A.7</w:t>
            </w:r>
            <w:proofErr w:type="spellEnd"/>
            <w:r w:rsidR="00B213DA">
              <w:t>-8</w:t>
            </w:r>
            <w:r w:rsidRPr="00CD37FD">
              <w:t>).</w:t>
            </w:r>
          </w:p>
          <w:p w:rsidR="00CD37FD" w:rsidRPr="00EC4AB8" w:rsidRDefault="00CD37FD" w:rsidP="00CD37FD">
            <w:pPr>
              <w:pStyle w:val="Box"/>
            </w:pPr>
            <w:r w:rsidRPr="00EC4AB8">
              <w:t>Table</w:t>
            </w:r>
            <w:r>
              <w:t>s</w:t>
            </w:r>
            <w:r w:rsidRPr="00EC4AB8">
              <w:t xml:space="preserve"> </w:t>
            </w:r>
            <w:proofErr w:type="spellStart"/>
            <w:r w:rsidRPr="00EC4AB8">
              <w:t>4A.7</w:t>
            </w:r>
            <w:proofErr w:type="spellEnd"/>
            <w:r>
              <w:t xml:space="preserve">–8 </w:t>
            </w:r>
            <w:r w:rsidRPr="00EC4AB8">
              <w:t xml:space="preserve">also include expenditure </w:t>
            </w:r>
            <w:r>
              <w:t xml:space="preserve">data from government sources </w:t>
            </w:r>
            <w:r w:rsidRPr="00EC4AB8">
              <w:t xml:space="preserve">for all schools. </w:t>
            </w:r>
          </w:p>
          <w:p w:rsidR="00CD37FD" w:rsidRPr="00EC4AB8" w:rsidRDefault="00CD37FD" w:rsidP="00CD37FD">
            <w:pPr>
              <w:pStyle w:val="BoxHeading1"/>
            </w:pPr>
            <w:r w:rsidRPr="00EC4AB8">
              <w:t>Derivation of performance indicators</w:t>
            </w:r>
          </w:p>
          <w:p w:rsidR="00CD37FD" w:rsidRDefault="00CD37FD" w:rsidP="00CD37FD">
            <w:pPr>
              <w:pStyle w:val="Box"/>
            </w:pPr>
            <w:r w:rsidRPr="00CD37FD">
              <w:t xml:space="preserve">Expenditure in the various categories identified above is divided by the numbers of FTE students to derive measures of cost per FTE student (tables </w:t>
            </w:r>
            <w:proofErr w:type="spellStart"/>
            <w:r w:rsidRPr="00CD37FD">
              <w:t>4A.12</w:t>
            </w:r>
            <w:proofErr w:type="spellEnd"/>
            <w:r w:rsidRPr="00CD37FD">
              <w:t>–18 and figures 4.</w:t>
            </w:r>
            <w:r w:rsidR="008B5ED3">
              <w:t>17</w:t>
            </w:r>
            <w:r w:rsidRPr="00CD37FD">
              <w:t>–</w:t>
            </w:r>
            <w:r w:rsidR="008B5ED3">
              <w:t>20</w:t>
            </w:r>
            <w:r w:rsidRPr="00CD37FD">
              <w:t xml:space="preserve">). The numbers of FTE students (table </w:t>
            </w:r>
            <w:proofErr w:type="spellStart"/>
            <w:r w:rsidRPr="00CD37FD">
              <w:t>4A.6</w:t>
            </w:r>
            <w:proofErr w:type="spellEnd"/>
            <w:r w:rsidRPr="00CD37FD">
              <w:t>) are drawn from the ABS publication Schools Australia 201</w:t>
            </w:r>
            <w:r>
              <w:t>3</w:t>
            </w:r>
            <w:r w:rsidRPr="00CD37FD">
              <w:t xml:space="preserve"> (ABS 201</w:t>
            </w:r>
            <w:r>
              <w:t>4</w:t>
            </w:r>
            <w:r w:rsidRPr="00CD37FD">
              <w:t>) and averaged over two calendar years to match the financial year expenditure data.</w:t>
            </w:r>
          </w:p>
          <w:p w:rsidR="00315070" w:rsidRPr="00315070" w:rsidRDefault="00315070" w:rsidP="00315070">
            <w:pPr>
              <w:pStyle w:val="Box"/>
              <w:spacing w:before="0"/>
              <w:jc w:val="right"/>
              <w:rPr>
                <w:sz w:val="18"/>
                <w:szCs w:val="18"/>
              </w:rPr>
            </w:pPr>
            <w:r w:rsidRPr="00315070">
              <w:rPr>
                <w:sz w:val="18"/>
                <w:szCs w:val="18"/>
              </w:rPr>
              <w:t>(continued next page)</w:t>
            </w:r>
          </w:p>
        </w:tc>
      </w:tr>
      <w:tr w:rsidR="00CD37FD" w:rsidTr="00751345">
        <w:trPr>
          <w:cantSplit/>
        </w:trPr>
        <w:tc>
          <w:tcPr>
            <w:tcW w:w="8771" w:type="dxa"/>
            <w:tcBorders>
              <w:top w:val="nil"/>
              <w:left w:val="nil"/>
              <w:bottom w:val="single" w:sz="6" w:space="0" w:color="78A22F"/>
              <w:right w:val="nil"/>
            </w:tcBorders>
            <w:shd w:val="clear" w:color="auto" w:fill="F2F2F2"/>
          </w:tcPr>
          <w:p w:rsidR="00CD37FD" w:rsidRDefault="00CD37FD">
            <w:pPr>
              <w:pStyle w:val="Box"/>
              <w:spacing w:before="0" w:line="120" w:lineRule="exact"/>
            </w:pPr>
          </w:p>
        </w:tc>
      </w:tr>
    </w:tbl>
    <w:p w:rsidR="00CD37FD" w:rsidRDefault="00CD37F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D37FD" w:rsidTr="00751345">
        <w:tc>
          <w:tcPr>
            <w:tcW w:w="8771" w:type="dxa"/>
            <w:tcBorders>
              <w:top w:val="single" w:sz="6" w:space="0" w:color="78A22F"/>
              <w:left w:val="nil"/>
              <w:bottom w:val="nil"/>
              <w:right w:val="nil"/>
            </w:tcBorders>
            <w:shd w:val="clear" w:color="auto" w:fill="F2F2F2"/>
          </w:tcPr>
          <w:p w:rsidR="00CD37FD" w:rsidRDefault="00CD37FD" w:rsidP="008B5ED3">
            <w:pPr>
              <w:pStyle w:val="BoxTitle"/>
            </w:pPr>
            <w:r>
              <w:rPr>
                <w:b w:val="0"/>
              </w:rPr>
              <w:t xml:space="preserve">Box </w:t>
            </w:r>
            <w:r w:rsidR="00B70781">
              <w:rPr>
                <w:b w:val="0"/>
              </w:rPr>
              <w:t>4.</w:t>
            </w:r>
            <w:r w:rsidR="008B5ED3">
              <w:rPr>
                <w:b w:val="0"/>
              </w:rPr>
              <w:t>5</w:t>
            </w:r>
            <w:r>
              <w:tab/>
            </w:r>
            <w:r w:rsidR="00315070" w:rsidRPr="00315070">
              <w:rPr>
                <w:b w:val="0"/>
                <w:sz w:val="18"/>
                <w:szCs w:val="18"/>
              </w:rPr>
              <w:t>(</w:t>
            </w:r>
            <w:r w:rsidRPr="00315070">
              <w:rPr>
                <w:b w:val="0"/>
                <w:sz w:val="18"/>
                <w:szCs w:val="18"/>
              </w:rPr>
              <w:t>continued</w:t>
            </w:r>
            <w:r w:rsidR="00315070">
              <w:rPr>
                <w:b w:val="0"/>
                <w:sz w:val="18"/>
                <w:szCs w:val="18"/>
              </w:rPr>
              <w:t>)</w:t>
            </w:r>
          </w:p>
        </w:tc>
      </w:tr>
      <w:tr w:rsidR="00CD37FD" w:rsidTr="00751345">
        <w:trPr>
          <w:cantSplit/>
        </w:trPr>
        <w:tc>
          <w:tcPr>
            <w:tcW w:w="8771" w:type="dxa"/>
            <w:tcBorders>
              <w:top w:val="nil"/>
              <w:left w:val="nil"/>
              <w:bottom w:val="nil"/>
              <w:right w:val="nil"/>
            </w:tcBorders>
            <w:shd w:val="clear" w:color="auto" w:fill="F2F2F2"/>
          </w:tcPr>
          <w:p w:rsidR="00CD37FD" w:rsidRPr="00CD37FD" w:rsidRDefault="00CD37FD" w:rsidP="00CD37FD">
            <w:pPr>
              <w:pStyle w:val="BoxHeading1"/>
            </w:pPr>
            <w:r w:rsidRPr="00CD37FD">
              <w:t xml:space="preserve">Legislative framework </w:t>
            </w:r>
          </w:p>
          <w:p w:rsidR="00CD37FD" w:rsidRPr="00CD37FD" w:rsidRDefault="00CD37FD" w:rsidP="00CD37FD">
            <w:pPr>
              <w:pStyle w:val="Box"/>
            </w:pPr>
            <w:r w:rsidRPr="00CD37FD">
              <w:t>In 2009</w:t>
            </w:r>
            <w:r w:rsidR="008B5ED3">
              <w:t>,</w:t>
            </w:r>
            <w:r w:rsidRPr="00CD37FD">
              <w:t xml:space="preserve"> </w:t>
            </w:r>
            <w:proofErr w:type="spellStart"/>
            <w:r w:rsidRPr="00CD37FD">
              <w:t>COAG</w:t>
            </w:r>
            <w:proofErr w:type="spellEnd"/>
            <w:r w:rsidRPr="00CD37FD">
              <w:t xml:space="preserve"> agreed to a new framework for federal financial relations. The major element of Australian Government funding is provided through the National Schools </w:t>
            </w:r>
            <w:proofErr w:type="spellStart"/>
            <w:r w:rsidRPr="00CD37FD">
              <w:t>SPP</w:t>
            </w:r>
            <w:proofErr w:type="spellEnd"/>
            <w:r w:rsidRPr="00CD37FD">
              <w:t xml:space="preserve"> under the Intergovernmental Agreement on Federal Financial Relations, and State and Territory governments have discretion as to how to apply the National Schools </w:t>
            </w:r>
            <w:proofErr w:type="spellStart"/>
            <w:r w:rsidRPr="00CD37FD">
              <w:t>SPP</w:t>
            </w:r>
            <w:proofErr w:type="spellEnd"/>
            <w:r w:rsidRPr="00CD37FD">
              <w:t xml:space="preserve"> to achieve the agreed outcomes. The non-government schools funding component of the National Schools </w:t>
            </w:r>
            <w:proofErr w:type="spellStart"/>
            <w:r w:rsidRPr="00CD37FD">
              <w:t>SPP</w:t>
            </w:r>
            <w:proofErr w:type="spellEnd"/>
            <w:r w:rsidRPr="00CD37FD">
              <w:t xml:space="preserve"> is determined by the </w:t>
            </w:r>
            <w:r w:rsidRPr="00CD37FD">
              <w:rPr>
                <w:i/>
              </w:rPr>
              <w:t xml:space="preserve">Schools Assistance Act 2008. </w:t>
            </w:r>
            <w:r w:rsidRPr="00CD37FD">
              <w:t>States and territories fund school education under their own legislation.</w:t>
            </w:r>
          </w:p>
          <w:p w:rsidR="00CD37FD" w:rsidRPr="00CD37FD" w:rsidRDefault="00CD37FD" w:rsidP="00CD37FD">
            <w:pPr>
              <w:pStyle w:val="BoxHeading1"/>
            </w:pPr>
            <w:r w:rsidRPr="00CD37FD">
              <w:t>Changes in recurrent expenditure between years — Australian Government</w:t>
            </w:r>
          </w:p>
          <w:p w:rsidR="00CD37FD" w:rsidRPr="00CD37FD" w:rsidRDefault="00CD37FD" w:rsidP="00CD37FD">
            <w:pPr>
              <w:pStyle w:val="Box"/>
            </w:pPr>
            <w:r w:rsidRPr="00CD37FD">
              <w:t>Average Government School Recurrent Costs (</w:t>
            </w:r>
            <w:proofErr w:type="spellStart"/>
            <w:r w:rsidRPr="00CD37FD">
              <w:t>AGSRC</w:t>
            </w:r>
            <w:proofErr w:type="spellEnd"/>
            <w:r w:rsidRPr="00CD37FD">
              <w:t xml:space="preserve">) is the benchmark for Australian Government recurrent funding levels for both government and non-government schools. </w:t>
            </w:r>
          </w:p>
          <w:p w:rsidR="00CD37FD" w:rsidRPr="00CD37FD" w:rsidRDefault="00CD37FD" w:rsidP="00CD37FD">
            <w:pPr>
              <w:pStyle w:val="Box"/>
            </w:pPr>
            <w:r w:rsidRPr="00CD37FD">
              <w:t xml:space="preserve">The primary and secondary </w:t>
            </w:r>
            <w:proofErr w:type="spellStart"/>
            <w:r w:rsidRPr="00CD37FD">
              <w:t>AGSRC</w:t>
            </w:r>
            <w:proofErr w:type="spellEnd"/>
            <w:r w:rsidRPr="00CD37FD">
              <w:t xml:space="preserve"> amounts are the national averages based on total recurrent State and Territory expenditure per government </w:t>
            </w:r>
            <w:r w:rsidR="0021626A" w:rsidRPr="0021626A">
              <w:t>primary school stud</w:t>
            </w:r>
            <w:r w:rsidR="0021626A">
              <w:t xml:space="preserve">ent and secondary school </w:t>
            </w:r>
            <w:r w:rsidRPr="00CD37FD">
              <w:t xml:space="preserve">student, for expenditure data submitted to </w:t>
            </w:r>
            <w:r>
              <w:t>the Education Council</w:t>
            </w:r>
            <w:r w:rsidRPr="00CD37FD">
              <w:t>. Capital</w:t>
            </w:r>
            <w:r w:rsidR="00B213DA">
              <w:noBreakHyphen/>
            </w:r>
            <w:r w:rsidRPr="00CD37FD">
              <w:t xml:space="preserve">related costs such as user cost of capital and depreciation are excluded from </w:t>
            </w:r>
            <w:proofErr w:type="spellStart"/>
            <w:r w:rsidRPr="00CD37FD">
              <w:t>AGSRC</w:t>
            </w:r>
            <w:proofErr w:type="spellEnd"/>
            <w:r w:rsidRPr="00CD37FD">
              <w:t xml:space="preserve">, and accrual expenses are also adjusted to a cash basis. These </w:t>
            </w:r>
            <w:proofErr w:type="spellStart"/>
            <w:r w:rsidRPr="00CD37FD">
              <w:t>AGSRC</w:t>
            </w:r>
            <w:proofErr w:type="spellEnd"/>
            <w:r w:rsidRPr="00CD37FD">
              <w:t xml:space="preserve"> amounts are changed annually to reflect movements in the data.</w:t>
            </w:r>
          </w:p>
          <w:p w:rsidR="00CD37FD" w:rsidRPr="00CD37FD" w:rsidRDefault="00CD37FD" w:rsidP="00CD37FD">
            <w:pPr>
              <w:pStyle w:val="Box"/>
            </w:pPr>
            <w:r w:rsidRPr="00CD37FD">
              <w:t xml:space="preserve">For government schools, annual changes in Australian Government recurrent payments reflect the changes to the </w:t>
            </w:r>
            <w:proofErr w:type="spellStart"/>
            <w:r w:rsidRPr="00CD37FD">
              <w:t>AGSRC</w:t>
            </w:r>
            <w:proofErr w:type="spellEnd"/>
            <w:r w:rsidRPr="00CD37FD">
              <w:t xml:space="preserve"> and the changes in full time equivalent enrolments in government schools. These payments are included in the National Schools </w:t>
            </w:r>
            <w:proofErr w:type="spellStart"/>
            <w:r w:rsidRPr="00CD37FD">
              <w:t>SPP</w:t>
            </w:r>
            <w:proofErr w:type="spellEnd"/>
            <w:r w:rsidRPr="00CD37FD">
              <w:t xml:space="preserve"> allocated to states and territories. </w:t>
            </w:r>
          </w:p>
          <w:p w:rsidR="00CD37FD" w:rsidRPr="00CD37FD" w:rsidRDefault="00CD37FD" w:rsidP="00CD37FD">
            <w:pPr>
              <w:pStyle w:val="Box"/>
            </w:pPr>
            <w:r w:rsidRPr="00CD37FD">
              <w:t xml:space="preserve">For non-government schools, Australian Government recurrent payments are also based on enrolments and a proportion of </w:t>
            </w:r>
            <w:proofErr w:type="spellStart"/>
            <w:r w:rsidRPr="00CD37FD">
              <w:t>AGSRC</w:t>
            </w:r>
            <w:proofErr w:type="spellEnd"/>
            <w:r w:rsidRPr="00CD37FD">
              <w:t xml:space="preserve"> calculated for each school (taking account of the school’s </w:t>
            </w:r>
            <w:proofErr w:type="spellStart"/>
            <w:r w:rsidRPr="00CD37FD">
              <w:t>socio-economic</w:t>
            </w:r>
            <w:proofErr w:type="spellEnd"/>
            <w:r w:rsidRPr="00CD37FD">
              <w:t xml:space="preserve"> status based on student location and other funding arrangements). These payments are included in the National Schools </w:t>
            </w:r>
            <w:proofErr w:type="spellStart"/>
            <w:r w:rsidRPr="00CD37FD">
              <w:t>SPP</w:t>
            </w:r>
            <w:proofErr w:type="spellEnd"/>
            <w:r w:rsidRPr="00CD37FD">
              <w:t xml:space="preserve"> and are paid to non-government schools and systems through the states and territories. </w:t>
            </w:r>
          </w:p>
          <w:p w:rsidR="00CD37FD" w:rsidRPr="00CD37FD" w:rsidRDefault="00CD37FD" w:rsidP="00CD37FD">
            <w:pPr>
              <w:pStyle w:val="Box"/>
            </w:pPr>
            <w:r w:rsidRPr="00CD37FD">
              <w:t>For both government and non-government schools, Australian Government National Partnership allocations are also used to calculate expenditure in this Report.</w:t>
            </w:r>
            <w:r w:rsidR="003A3EA4">
              <w:t xml:space="preserve"> These</w:t>
            </w:r>
            <w:r w:rsidR="003A3EA4" w:rsidRPr="003A3EA4">
              <w:t xml:space="preserve"> payments fluctuate from year to year</w:t>
            </w:r>
            <w:r w:rsidR="0021626A">
              <w:t xml:space="preserve"> </w:t>
            </w:r>
            <w:r w:rsidR="0021626A" w:rsidRPr="0021626A">
              <w:t>in line with funding arrangements</w:t>
            </w:r>
            <w:r w:rsidR="003A3EA4" w:rsidRPr="003A3EA4">
              <w:t>.</w:t>
            </w:r>
          </w:p>
          <w:p w:rsidR="00CD37FD" w:rsidRPr="00CD37FD" w:rsidRDefault="00CD37FD" w:rsidP="00CD37FD">
            <w:pPr>
              <w:pStyle w:val="BoxHeading1"/>
            </w:pPr>
            <w:r w:rsidRPr="00CD37FD">
              <w:t>Changes in recurrent expenditure between years — State and Territory governments</w:t>
            </w:r>
          </w:p>
          <w:p w:rsidR="00CD37FD" w:rsidRDefault="00CD37FD" w:rsidP="008B5ED3">
            <w:pPr>
              <w:pStyle w:val="Box"/>
            </w:pPr>
            <w:r w:rsidRPr="00CD37FD">
              <w:t xml:space="preserve">In general, </w:t>
            </w:r>
            <w:r w:rsidR="008B5ED3">
              <w:t>S</w:t>
            </w:r>
            <w:r w:rsidRPr="00CD37FD">
              <w:t xml:space="preserve">tate and </w:t>
            </w:r>
            <w:r w:rsidR="008B5ED3">
              <w:t>T</w:t>
            </w:r>
            <w:r w:rsidRPr="00CD37FD">
              <w:t>erritory government schools systems are funded based on a variety of formulas to determine a school’s recurrent or base allocation, with weightings and multipliers added for students facing disadvantage. For non-government schools, State and Territory governments also provide funding for recurrent and targeted purposes, usually through per capita allocations. Indexation of costs is normally applied to these funding arrangements for both the government and non-government school sectors. Changes in overall funding by State and Territory governments across years is affected by all these factors, including enrolment numbers</w:t>
            </w:r>
            <w:r w:rsidR="008B5ED3">
              <w:t xml:space="preserve"> and</w:t>
            </w:r>
            <w:r w:rsidRPr="00CD37FD">
              <w:t xml:space="preserve"> school size</w:t>
            </w:r>
            <w:r w:rsidR="008B5ED3">
              <w:t>,</w:t>
            </w:r>
            <w:r w:rsidRPr="00CD37FD">
              <w:t xml:space="preserve"> location and staffing profiles.</w:t>
            </w:r>
          </w:p>
        </w:tc>
      </w:tr>
      <w:tr w:rsidR="00CD37FD" w:rsidTr="00751345">
        <w:trPr>
          <w:cantSplit/>
        </w:trPr>
        <w:tc>
          <w:tcPr>
            <w:tcW w:w="8771" w:type="dxa"/>
            <w:tcBorders>
              <w:top w:val="nil"/>
              <w:left w:val="nil"/>
              <w:bottom w:val="nil"/>
              <w:right w:val="nil"/>
            </w:tcBorders>
            <w:shd w:val="clear" w:color="auto" w:fill="F2F2F2"/>
          </w:tcPr>
          <w:p w:rsidR="00CD37FD" w:rsidRDefault="00466214" w:rsidP="005834AA">
            <w:pPr>
              <w:pStyle w:val="BoxSource"/>
            </w:pPr>
            <w:r>
              <w:rPr>
                <w:i/>
              </w:rPr>
              <w:t>Source</w:t>
            </w:r>
            <w:r w:rsidRPr="00466214">
              <w:t xml:space="preserve">: </w:t>
            </w:r>
            <w:r w:rsidR="00CD37FD" w:rsidRPr="00466214">
              <w:t>ACARA (201</w:t>
            </w:r>
            <w:r w:rsidR="00490911">
              <w:t>3</w:t>
            </w:r>
            <w:r w:rsidR="00CD37FD" w:rsidRPr="00466214">
              <w:t>); Australian Government Department of Education (unpublished).</w:t>
            </w:r>
          </w:p>
        </w:tc>
      </w:tr>
      <w:tr w:rsidR="00CD37FD" w:rsidTr="00751345">
        <w:trPr>
          <w:cantSplit/>
        </w:trPr>
        <w:tc>
          <w:tcPr>
            <w:tcW w:w="8771" w:type="dxa"/>
            <w:tcBorders>
              <w:top w:val="nil"/>
              <w:left w:val="nil"/>
              <w:bottom w:val="single" w:sz="6" w:space="0" w:color="78A22F"/>
              <w:right w:val="nil"/>
            </w:tcBorders>
            <w:shd w:val="clear" w:color="auto" w:fill="F2F2F2"/>
          </w:tcPr>
          <w:p w:rsidR="00CD37FD" w:rsidRDefault="00CD37FD">
            <w:pPr>
              <w:pStyle w:val="Box"/>
              <w:spacing w:before="0" w:line="120" w:lineRule="exact"/>
            </w:pPr>
          </w:p>
        </w:tc>
      </w:tr>
      <w:tr w:rsidR="00CD37FD" w:rsidRPr="000863A5" w:rsidTr="00751345">
        <w:tc>
          <w:tcPr>
            <w:tcW w:w="8771" w:type="dxa"/>
            <w:tcBorders>
              <w:top w:val="single" w:sz="6" w:space="0" w:color="78A22F"/>
              <w:left w:val="nil"/>
              <w:bottom w:val="nil"/>
              <w:right w:val="nil"/>
            </w:tcBorders>
          </w:tcPr>
          <w:p w:rsidR="00CD37FD" w:rsidRPr="00626D32" w:rsidRDefault="00CD37FD" w:rsidP="00751345">
            <w:pPr>
              <w:pStyle w:val="BoxSpaceBelow"/>
            </w:pPr>
          </w:p>
        </w:tc>
      </w:tr>
    </w:tbl>
    <w:p w:rsidR="00CD37FD" w:rsidRPr="007B0AE2" w:rsidRDefault="00CD37FD" w:rsidP="007B0AE2">
      <w:pPr>
        <w:pStyle w:val="Heading5"/>
      </w:pPr>
      <w:r w:rsidRPr="007B0AE2">
        <w:lastRenderedPageBreak/>
        <w:t>Recurrent expenditure per student</w:t>
      </w:r>
    </w:p>
    <w:p w:rsidR="00666ECE" w:rsidRDefault="00666ECE" w:rsidP="0089766B">
      <w:pPr>
        <w:pStyle w:val="BodyText"/>
      </w:pPr>
      <w:r w:rsidRPr="00666ECE">
        <w:t>‘Recurrent expenditure per student’ is an indicator of governments’ objective to fund and/or provide education in an efficient manner (box 4.</w:t>
      </w:r>
      <w:r w:rsidR="00FF2AB3">
        <w:t>6</w:t>
      </w:r>
      <w:r w:rsidRPr="00666ECE">
        <w:t xml:space="preserve">). </w:t>
      </w:r>
    </w:p>
    <w:p w:rsidR="00CD37FD" w:rsidRDefault="00CD37F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D37FD" w:rsidTr="00751345">
        <w:tc>
          <w:tcPr>
            <w:tcW w:w="8771" w:type="dxa"/>
            <w:tcBorders>
              <w:top w:val="single" w:sz="6" w:space="0" w:color="78A22F"/>
              <w:left w:val="nil"/>
              <w:bottom w:val="nil"/>
              <w:right w:val="nil"/>
            </w:tcBorders>
            <w:shd w:val="clear" w:color="auto" w:fill="F2F2F2"/>
          </w:tcPr>
          <w:p w:rsidR="00CD37FD" w:rsidRDefault="00CD37FD">
            <w:pPr>
              <w:pStyle w:val="BoxTitle"/>
            </w:pPr>
            <w:r>
              <w:rPr>
                <w:b w:val="0"/>
              </w:rPr>
              <w:t xml:space="preserve">Box </w:t>
            </w:r>
            <w:r w:rsidR="00FF2AB3">
              <w:rPr>
                <w:b w:val="0"/>
              </w:rPr>
              <w:t>4.</w:t>
            </w:r>
            <w:r w:rsidR="005953B6">
              <w:rPr>
                <w:b w:val="0"/>
                <w:noProof/>
              </w:rPr>
              <w:t>6</w:t>
            </w:r>
            <w:r>
              <w:tab/>
            </w:r>
            <w:r w:rsidRPr="00CD37FD">
              <w:t>Recurrent expenditure per student</w:t>
            </w:r>
          </w:p>
        </w:tc>
      </w:tr>
      <w:tr w:rsidR="00CD37FD" w:rsidTr="00751345">
        <w:trPr>
          <w:cantSplit/>
        </w:trPr>
        <w:tc>
          <w:tcPr>
            <w:tcW w:w="8771" w:type="dxa"/>
            <w:tcBorders>
              <w:top w:val="nil"/>
              <w:left w:val="nil"/>
              <w:bottom w:val="nil"/>
              <w:right w:val="nil"/>
            </w:tcBorders>
            <w:shd w:val="clear" w:color="auto" w:fill="F2F2F2"/>
          </w:tcPr>
          <w:p w:rsidR="00CD37FD" w:rsidRPr="00CD37FD" w:rsidRDefault="00CD37FD" w:rsidP="00CD37FD">
            <w:pPr>
              <w:pStyle w:val="Box"/>
            </w:pPr>
            <w:r w:rsidRPr="00CD37FD">
              <w:t>Recurrent expenditure per student’ is defined by two measures:</w:t>
            </w:r>
          </w:p>
          <w:p w:rsidR="00CD37FD" w:rsidRPr="00CD37FD" w:rsidRDefault="00CD37FD" w:rsidP="005E564E">
            <w:pPr>
              <w:pStyle w:val="BoxListBullet"/>
            </w:pPr>
            <w:r w:rsidRPr="00CD37FD">
              <w:t>government recurrent expenditure per FTE student, reported for government schools and disaggregated by in</w:t>
            </w:r>
            <w:r w:rsidRPr="00CD37FD">
              <w:noBreakHyphen/>
              <w:t>scho</w:t>
            </w:r>
            <w:r w:rsidR="008B5ED3">
              <w:t>ol primary, in-school secondary</w:t>
            </w:r>
            <w:r w:rsidRPr="00CD37FD">
              <w:t xml:space="preserve"> </w:t>
            </w:r>
            <w:r w:rsidR="008B5ED3">
              <w:t xml:space="preserve">and </w:t>
            </w:r>
            <w:r w:rsidRPr="00CD37FD">
              <w:t>out-of-school services; and for non-government schools</w:t>
            </w:r>
          </w:p>
          <w:p w:rsidR="00CD37FD" w:rsidRPr="00CD37FD" w:rsidRDefault="00CD37FD" w:rsidP="005E564E">
            <w:pPr>
              <w:pStyle w:val="BoxListBullet"/>
            </w:pPr>
            <w:r w:rsidRPr="00CD37FD">
              <w:t>government recurrent staff expenditure per FTE student in government schools. Expenditure on staff is the major component of spending on schools.</w:t>
            </w:r>
          </w:p>
          <w:p w:rsidR="00CD37FD" w:rsidRPr="005E564E" w:rsidRDefault="00CD37FD" w:rsidP="005E564E">
            <w:pPr>
              <w:pStyle w:val="Box"/>
            </w:pPr>
            <w:r w:rsidRPr="005E564E">
              <w:t>Both of these measures include user cost of capital for government schools (box 4.</w:t>
            </w:r>
            <w:r w:rsidR="00B213DA">
              <w:t>7</w:t>
            </w:r>
            <w:r w:rsidRPr="005E564E">
              <w:t>).</w:t>
            </w:r>
          </w:p>
          <w:p w:rsidR="00CD37FD" w:rsidRPr="005E564E" w:rsidRDefault="00CD37FD" w:rsidP="005E564E">
            <w:pPr>
              <w:pStyle w:val="Box"/>
            </w:pPr>
            <w:r w:rsidRPr="005E564E">
              <w:t xml:space="preserve">Holding other factors constant, a low or decreasing government recurrent expenditure or staff expenditure per FTE student may represent better or improved efficiency. </w:t>
            </w:r>
          </w:p>
          <w:p w:rsidR="00CD37FD" w:rsidRPr="005E564E" w:rsidRDefault="00CD37FD" w:rsidP="005E564E">
            <w:pPr>
              <w:pStyle w:val="Box"/>
            </w:pPr>
            <w:r w:rsidRPr="005E564E">
              <w:t>Care should be taken in interpretation of efficiency data as:</w:t>
            </w:r>
          </w:p>
          <w:p w:rsidR="00CD37FD" w:rsidRPr="00CD37FD" w:rsidRDefault="00CD37FD" w:rsidP="005E564E">
            <w:pPr>
              <w:pStyle w:val="BoxListBullet"/>
            </w:pPr>
            <w:r w:rsidRPr="00CD37FD">
              <w:t xml:space="preserve">a number of factors beyond the control of governments, such as economies of scale, a high proportion of geographically remote students and/or a dispersed population, and migration across states and territories, may influence expenditure. This Report does not make any cost adjustments based on these or other factors </w:t>
            </w:r>
          </w:p>
          <w:p w:rsidR="00CD37FD" w:rsidRPr="00CD37FD" w:rsidRDefault="00CD37FD" w:rsidP="005E564E">
            <w:pPr>
              <w:pStyle w:val="BoxListBullet"/>
            </w:pPr>
            <w:r w:rsidRPr="00CD37FD">
              <w:t xml:space="preserve">efficiency data should be interpreted within the context of the effectiveness and equity indicators to derive an holistic view of performance. While high or increasing expenditure per student may reflect deteriorating efficiency, it may also reflect changes in aspects of schooling (increasing school leaving age, improving outcomes for </w:t>
            </w:r>
            <w:r w:rsidR="00530C4B">
              <w:t>Aboriginal and Torres Strait Islander</w:t>
            </w:r>
            <w:r w:rsidRPr="00CD37FD">
              <w:t xml:space="preserve"> students and students from low </w:t>
            </w:r>
            <w:proofErr w:type="spellStart"/>
            <w:r w:rsidRPr="00CD37FD">
              <w:t>socio-economic</w:t>
            </w:r>
            <w:proofErr w:type="spellEnd"/>
            <w:r w:rsidRPr="00CD37FD">
              <w:t xml:space="preserve"> backgrounds, broader curricula or enhancing teacher quality), or the characteristics of the education environment (such as population dispersion)</w:t>
            </w:r>
          </w:p>
          <w:p w:rsidR="00CD37FD" w:rsidRPr="00CD37FD" w:rsidRDefault="00CD37FD" w:rsidP="005E564E">
            <w:pPr>
              <w:pStyle w:val="BoxListBullet"/>
            </w:pPr>
            <w:r w:rsidRPr="00CD37FD">
              <w:t>the staff expenditure per student measure is partial in nature, as it does not reflect the full cost per student. The basis for allocation of numbers of staff between teaching and non</w:t>
            </w:r>
            <w:r w:rsidR="0025099B">
              <w:noBreakHyphen/>
            </w:r>
            <w:r w:rsidRPr="00CD37FD">
              <w:t xml:space="preserve">teaching roles and the allocation of staff expenditure may differ. While high or increasing government expenditure on staff per student may reflect lower efficiency, it may also reflect improvements in teacher quality. </w:t>
            </w:r>
          </w:p>
          <w:p w:rsidR="00CD37FD" w:rsidRPr="00CD37FD" w:rsidRDefault="00CD37FD" w:rsidP="00CD37FD">
            <w:pPr>
              <w:pStyle w:val="Box"/>
            </w:pPr>
            <w:r w:rsidRPr="00CD37FD">
              <w:t xml:space="preserve">Data reported for all measures in this indicator are </w:t>
            </w:r>
          </w:p>
          <w:p w:rsidR="00CD37FD" w:rsidRPr="00CD37FD" w:rsidRDefault="00CD37FD" w:rsidP="005E564E">
            <w:pPr>
              <w:pStyle w:val="BoxListBullet"/>
            </w:pPr>
            <w:r w:rsidRPr="00CD37FD">
              <w:t>comparable (subject to caveats) across jurisdictions and over time</w:t>
            </w:r>
          </w:p>
          <w:p w:rsidR="00CD37FD" w:rsidRPr="00CD37FD" w:rsidRDefault="00CD37FD" w:rsidP="005E564E">
            <w:pPr>
              <w:pStyle w:val="BoxListBullet"/>
            </w:pPr>
            <w:r w:rsidRPr="00CD37FD">
              <w:t>complete for the current reporting period (subject to caveats). All required 201</w:t>
            </w:r>
            <w:r w:rsidR="00E36862">
              <w:t>2</w:t>
            </w:r>
            <w:r w:rsidRPr="00CD37FD">
              <w:t>-1</w:t>
            </w:r>
            <w:r w:rsidR="00E36862">
              <w:t>3</w:t>
            </w:r>
            <w:r w:rsidRPr="00CD37FD">
              <w:t xml:space="preserve"> data are available for all jurisdictions providing the service.</w:t>
            </w:r>
          </w:p>
          <w:p w:rsidR="00CD37FD" w:rsidRDefault="00CD37FD" w:rsidP="005E564E">
            <w:pPr>
              <w:pStyle w:val="Box"/>
            </w:pPr>
            <w:r w:rsidRPr="00CD37FD">
              <w:t xml:space="preserve">Information about data quality for this indicator is at </w:t>
            </w:r>
            <w:proofErr w:type="spellStart"/>
            <w:r w:rsidR="00723DDD" w:rsidRPr="00963842">
              <w:t>www.pc.gov.au</w:t>
            </w:r>
            <w:proofErr w:type="spellEnd"/>
            <w:r w:rsidR="00723DDD" w:rsidRPr="00963842">
              <w:t>/</w:t>
            </w:r>
            <w:proofErr w:type="spellStart"/>
            <w:r w:rsidR="005E564E" w:rsidRPr="00963842">
              <w:t>rogs</w:t>
            </w:r>
            <w:proofErr w:type="spellEnd"/>
            <w:r w:rsidR="005E564E" w:rsidRPr="00963842">
              <w:t>/2015</w:t>
            </w:r>
            <w:r w:rsidR="00723DDD">
              <w:rPr>
                <w:rStyle w:val="Hyperlink"/>
              </w:rPr>
              <w:t>.</w:t>
            </w:r>
          </w:p>
        </w:tc>
      </w:tr>
      <w:tr w:rsidR="00CD37FD" w:rsidTr="00751345">
        <w:trPr>
          <w:cantSplit/>
        </w:trPr>
        <w:tc>
          <w:tcPr>
            <w:tcW w:w="8771" w:type="dxa"/>
            <w:tcBorders>
              <w:top w:val="nil"/>
              <w:left w:val="nil"/>
              <w:bottom w:val="single" w:sz="6" w:space="0" w:color="78A22F"/>
              <w:right w:val="nil"/>
            </w:tcBorders>
            <w:shd w:val="clear" w:color="auto" w:fill="F2F2F2"/>
          </w:tcPr>
          <w:p w:rsidR="00CD37FD" w:rsidRDefault="00CD37FD">
            <w:pPr>
              <w:pStyle w:val="Box"/>
              <w:spacing w:before="0" w:line="120" w:lineRule="exact"/>
            </w:pPr>
          </w:p>
        </w:tc>
      </w:tr>
      <w:tr w:rsidR="00CD37FD" w:rsidRPr="000863A5" w:rsidTr="00751345">
        <w:tc>
          <w:tcPr>
            <w:tcW w:w="8771" w:type="dxa"/>
            <w:tcBorders>
              <w:top w:val="single" w:sz="6" w:space="0" w:color="78A22F"/>
              <w:left w:val="nil"/>
              <w:bottom w:val="nil"/>
              <w:right w:val="nil"/>
            </w:tcBorders>
          </w:tcPr>
          <w:p w:rsidR="00CD37FD" w:rsidRPr="00626D32" w:rsidRDefault="00CD37FD" w:rsidP="00751345">
            <w:pPr>
              <w:pStyle w:val="BoxSpaceBelow"/>
            </w:pPr>
          </w:p>
        </w:tc>
      </w:tr>
    </w:tbl>
    <w:p w:rsidR="00666ECE" w:rsidRPr="0089766B" w:rsidRDefault="00666ECE" w:rsidP="00666ECE">
      <w:pPr>
        <w:spacing w:before="240" w:line="320" w:lineRule="atLeast"/>
        <w:jc w:val="both"/>
        <w:rPr>
          <w:rStyle w:val="BodyTextChar"/>
        </w:rPr>
      </w:pPr>
      <w:r w:rsidRPr="0089766B">
        <w:rPr>
          <w:rStyle w:val="BodyTextChar"/>
        </w:rPr>
        <w:t xml:space="preserve">Nationally, </w:t>
      </w:r>
      <w:r w:rsidR="00326539" w:rsidRPr="0089766B">
        <w:rPr>
          <w:rStyle w:val="BodyTextChar"/>
        </w:rPr>
        <w:t>in 201</w:t>
      </w:r>
      <w:r w:rsidR="005E564E" w:rsidRPr="0089766B">
        <w:rPr>
          <w:rStyle w:val="BodyTextChar"/>
        </w:rPr>
        <w:t>2</w:t>
      </w:r>
      <w:r w:rsidR="00326539" w:rsidRPr="0089766B">
        <w:rPr>
          <w:rStyle w:val="BodyTextChar"/>
        </w:rPr>
        <w:t>-1</w:t>
      </w:r>
      <w:r w:rsidR="005E564E" w:rsidRPr="0089766B">
        <w:rPr>
          <w:rStyle w:val="BodyTextChar"/>
        </w:rPr>
        <w:t>3</w:t>
      </w:r>
      <w:r w:rsidR="00326539" w:rsidRPr="0089766B">
        <w:rPr>
          <w:rStyle w:val="BodyTextChar"/>
        </w:rPr>
        <w:t xml:space="preserve">, </w:t>
      </w:r>
      <w:r w:rsidRPr="0089766B">
        <w:rPr>
          <w:rStyle w:val="BodyTextChar"/>
        </w:rPr>
        <w:t>in-school government expenditure per FTE student in government primary schools was $</w:t>
      </w:r>
      <w:r w:rsidR="002B1D5E" w:rsidRPr="0089766B">
        <w:rPr>
          <w:rStyle w:val="BodyTextChar"/>
        </w:rPr>
        <w:t>13</w:t>
      </w:r>
      <w:r w:rsidRPr="0089766B">
        <w:rPr>
          <w:rStyle w:val="BodyTextChar"/>
        </w:rPr>
        <w:t> </w:t>
      </w:r>
      <w:r w:rsidR="009738E5" w:rsidRPr="0089766B">
        <w:rPr>
          <w:rStyle w:val="BodyTextChar"/>
        </w:rPr>
        <w:t>7</w:t>
      </w:r>
      <w:r w:rsidR="00530C4B" w:rsidRPr="0089766B">
        <w:rPr>
          <w:rStyle w:val="BodyTextChar"/>
        </w:rPr>
        <w:t>63</w:t>
      </w:r>
      <w:r w:rsidRPr="0089766B">
        <w:rPr>
          <w:rStyle w:val="BodyTextChar"/>
        </w:rPr>
        <w:t xml:space="preserve"> and in government secondary schools was $</w:t>
      </w:r>
      <w:r w:rsidR="002B1D5E" w:rsidRPr="0089766B">
        <w:rPr>
          <w:rStyle w:val="BodyTextChar"/>
        </w:rPr>
        <w:t>1</w:t>
      </w:r>
      <w:r w:rsidR="009738E5" w:rsidRPr="0089766B">
        <w:rPr>
          <w:rStyle w:val="BodyTextChar"/>
        </w:rPr>
        <w:t>6</w:t>
      </w:r>
      <w:r w:rsidRPr="0089766B">
        <w:rPr>
          <w:rStyle w:val="BodyTextChar"/>
        </w:rPr>
        <w:t> </w:t>
      </w:r>
      <w:r w:rsidR="00530C4B" w:rsidRPr="0089766B">
        <w:rPr>
          <w:rStyle w:val="BodyTextChar"/>
        </w:rPr>
        <w:t>852</w:t>
      </w:r>
      <w:r w:rsidRPr="0089766B">
        <w:rPr>
          <w:rStyle w:val="BodyTextChar"/>
        </w:rPr>
        <w:t>. Out</w:t>
      </w:r>
      <w:r w:rsidRPr="0089766B">
        <w:rPr>
          <w:rStyle w:val="BodyTextChar"/>
        </w:rPr>
        <w:noBreakHyphen/>
        <w:t>of</w:t>
      </w:r>
      <w:r w:rsidRPr="0089766B">
        <w:rPr>
          <w:rStyle w:val="BodyTextChar"/>
        </w:rPr>
        <w:noBreakHyphen/>
        <w:t>school government expenditure per FTE student in all government schools was $</w:t>
      </w:r>
      <w:r w:rsidR="002B1D5E" w:rsidRPr="0089766B">
        <w:rPr>
          <w:rStyle w:val="BodyTextChar"/>
        </w:rPr>
        <w:t>7</w:t>
      </w:r>
      <w:r w:rsidR="00530C4B" w:rsidRPr="0089766B">
        <w:rPr>
          <w:rStyle w:val="BodyTextChar"/>
        </w:rPr>
        <w:t>57</w:t>
      </w:r>
      <w:r w:rsidRPr="0089766B">
        <w:rPr>
          <w:rStyle w:val="BodyTextChar"/>
        </w:rPr>
        <w:t xml:space="preserve"> in 201</w:t>
      </w:r>
      <w:r w:rsidR="005E564E" w:rsidRPr="0089766B">
        <w:rPr>
          <w:rStyle w:val="BodyTextChar"/>
        </w:rPr>
        <w:t>2</w:t>
      </w:r>
      <w:r w:rsidRPr="0089766B">
        <w:rPr>
          <w:rStyle w:val="BodyTextChar"/>
        </w:rPr>
        <w:t>-1</w:t>
      </w:r>
      <w:r w:rsidR="005E564E" w:rsidRPr="0089766B">
        <w:rPr>
          <w:rStyle w:val="BodyTextChar"/>
        </w:rPr>
        <w:t>3</w:t>
      </w:r>
      <w:r w:rsidRPr="0089766B">
        <w:rPr>
          <w:rStyle w:val="BodyTextChar"/>
        </w:rPr>
        <w:t xml:space="preserve"> (figure 4.1</w:t>
      </w:r>
      <w:r w:rsidR="00FF2AB3">
        <w:rPr>
          <w:rStyle w:val="BodyTextChar"/>
        </w:rPr>
        <w:t>7</w:t>
      </w:r>
      <w:r w:rsidRPr="0089766B">
        <w:rPr>
          <w:rStyle w:val="BodyTextChar"/>
        </w:rPr>
        <w:t>).</w:t>
      </w:r>
    </w:p>
    <w:p w:rsidR="001E65D8" w:rsidRDefault="001E65D8" w:rsidP="001E65D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E65D8" w:rsidTr="001E65D8">
        <w:tc>
          <w:tcPr>
            <w:tcW w:w="8771" w:type="dxa"/>
            <w:tcBorders>
              <w:top w:val="single" w:sz="6" w:space="0" w:color="78A22F"/>
              <w:left w:val="nil"/>
              <w:bottom w:val="nil"/>
              <w:right w:val="nil"/>
            </w:tcBorders>
            <w:shd w:val="clear" w:color="auto" w:fill="auto"/>
          </w:tcPr>
          <w:p w:rsidR="001E65D8" w:rsidRPr="00176D3F" w:rsidRDefault="001E65D8" w:rsidP="001E65D8">
            <w:pPr>
              <w:pStyle w:val="FigureTitle"/>
            </w:pPr>
            <w:r w:rsidRPr="00784A05">
              <w:rPr>
                <w:b w:val="0"/>
              </w:rPr>
              <w:t xml:space="preserve">Figure </w:t>
            </w:r>
            <w:r w:rsidR="00B70781">
              <w:rPr>
                <w:b w:val="0"/>
              </w:rPr>
              <w:t>4.</w:t>
            </w:r>
            <w:r w:rsidR="005953B6">
              <w:rPr>
                <w:b w:val="0"/>
                <w:noProof/>
              </w:rPr>
              <w:t>17</w:t>
            </w:r>
            <w:r>
              <w:tab/>
            </w:r>
            <w:r w:rsidRPr="001E65D8">
              <w:t>Government recurrent expenditure per FTE student, government schools, 201</w:t>
            </w:r>
            <w:r>
              <w:t>2</w:t>
            </w:r>
            <w:r w:rsidRPr="001E65D8">
              <w:t>-1</w:t>
            </w:r>
            <w:r>
              <w:t>3</w:t>
            </w:r>
            <w:r w:rsidRPr="00490911">
              <w:rPr>
                <w:rStyle w:val="NoteLabel"/>
                <w:b/>
              </w:rPr>
              <w:t>a, b</w:t>
            </w:r>
          </w:p>
        </w:tc>
      </w:tr>
      <w:tr w:rsidR="001E65D8" w:rsidTr="001E65D8">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E65D8" w:rsidTr="001E65D8">
              <w:trPr>
                <w:jc w:val="center"/>
              </w:trPr>
              <w:tc>
                <w:tcPr>
                  <w:tcW w:w="5000" w:type="pct"/>
                  <w:tcBorders>
                    <w:top w:val="nil"/>
                    <w:bottom w:val="nil"/>
                  </w:tcBorders>
                </w:tcPr>
                <w:p w:rsidR="001E65D8" w:rsidRDefault="00DC200A" w:rsidP="001E65D8">
                  <w:pPr>
                    <w:pStyle w:val="Figure"/>
                    <w:spacing w:before="60" w:after="60"/>
                  </w:pPr>
                  <w:r>
                    <w:rPr>
                      <w:noProof/>
                    </w:rPr>
                    <w:drawing>
                      <wp:inline distT="0" distB="0" distL="0" distR="0">
                        <wp:extent cx="5381625" cy="2647950"/>
                        <wp:effectExtent l="0" t="0" r="9525" b="0"/>
                        <wp:docPr id="17" name="Picture 17" descr="Figure 4.17 Government recurrent expenditure per FTE student, government schools,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81625" cy="2647950"/>
                                </a:xfrm>
                                <a:prstGeom prst="rect">
                                  <a:avLst/>
                                </a:prstGeom>
                                <a:noFill/>
                                <a:ln>
                                  <a:noFill/>
                                </a:ln>
                              </pic:spPr>
                            </pic:pic>
                          </a:graphicData>
                        </a:graphic>
                      </wp:inline>
                    </w:drawing>
                  </w:r>
                </w:p>
              </w:tc>
            </w:tr>
          </w:tbl>
          <w:p w:rsidR="001E65D8" w:rsidRDefault="001E65D8" w:rsidP="001E65D8">
            <w:pPr>
              <w:pStyle w:val="Figure"/>
            </w:pPr>
          </w:p>
        </w:tc>
      </w:tr>
      <w:tr w:rsidR="001E65D8" w:rsidRPr="00176D3F" w:rsidTr="001E65D8">
        <w:tc>
          <w:tcPr>
            <w:tcW w:w="8771" w:type="dxa"/>
            <w:tcBorders>
              <w:top w:val="nil"/>
              <w:left w:val="nil"/>
              <w:bottom w:val="nil"/>
              <w:right w:val="nil"/>
            </w:tcBorders>
            <w:shd w:val="clear" w:color="auto" w:fill="auto"/>
          </w:tcPr>
          <w:p w:rsidR="001E65D8" w:rsidRPr="00176D3F" w:rsidRDefault="001E65D8" w:rsidP="001E65D8">
            <w:pPr>
              <w:pStyle w:val="Note"/>
            </w:pPr>
            <w:r>
              <w:rPr>
                <w:rStyle w:val="NoteLabel"/>
              </w:rPr>
              <w:t>a</w:t>
            </w:r>
            <w:r>
              <w:t xml:space="preserve"> </w:t>
            </w:r>
            <w:r w:rsidRPr="001E65D8">
              <w:t xml:space="preserve">See notes to table </w:t>
            </w:r>
            <w:proofErr w:type="spellStart"/>
            <w:r w:rsidRPr="001E65D8">
              <w:t>4A.14</w:t>
            </w:r>
            <w:proofErr w:type="spellEnd"/>
            <w:r w:rsidRPr="001E65D8">
              <w:t xml:space="preserve"> for definitions and data caveats. </w:t>
            </w:r>
            <w:r w:rsidRPr="002532CC">
              <w:rPr>
                <w:rStyle w:val="NoteLabel"/>
              </w:rPr>
              <w:t>b</w:t>
            </w:r>
            <w:r w:rsidRPr="001E65D8">
              <w:t> Payroll tax estimates include notional payroll tax for WA and the ACT, which are payroll tax exempt.</w:t>
            </w:r>
          </w:p>
        </w:tc>
      </w:tr>
      <w:tr w:rsidR="001E65D8" w:rsidRPr="00176D3F" w:rsidTr="001E65D8">
        <w:tc>
          <w:tcPr>
            <w:tcW w:w="8771" w:type="dxa"/>
            <w:tcBorders>
              <w:top w:val="nil"/>
              <w:left w:val="nil"/>
              <w:bottom w:val="nil"/>
              <w:right w:val="nil"/>
            </w:tcBorders>
            <w:shd w:val="clear" w:color="auto" w:fill="auto"/>
          </w:tcPr>
          <w:p w:rsidR="001E65D8" w:rsidRPr="00176D3F" w:rsidRDefault="001E65D8" w:rsidP="00490911">
            <w:pPr>
              <w:pStyle w:val="Source"/>
            </w:pPr>
            <w:r>
              <w:rPr>
                <w:i/>
              </w:rPr>
              <w:t>S</w:t>
            </w:r>
            <w:r w:rsidRPr="00784A05">
              <w:rPr>
                <w:i/>
              </w:rPr>
              <w:t>ource</w:t>
            </w:r>
            <w:r w:rsidRPr="00176D3F">
              <w:t xml:space="preserve">: </w:t>
            </w:r>
            <w:r w:rsidRPr="001E65D8">
              <w:t>ABS (201</w:t>
            </w:r>
            <w:r w:rsidR="00490911">
              <w:t>4</w:t>
            </w:r>
            <w:r w:rsidRPr="001E65D8">
              <w:t xml:space="preserve">) </w:t>
            </w:r>
            <w:r w:rsidRPr="001E65D8">
              <w:rPr>
                <w:i/>
              </w:rPr>
              <w:t>Schools Australia 201</w:t>
            </w:r>
            <w:r w:rsidR="00490911">
              <w:rPr>
                <w:i/>
              </w:rPr>
              <w:t>3</w:t>
            </w:r>
            <w:r w:rsidRPr="001E65D8">
              <w:t xml:space="preserve">, Cat. no. 4221.0; </w:t>
            </w:r>
            <w:r w:rsidR="00490911">
              <w:t>Education Council</w:t>
            </w:r>
            <w:r w:rsidRPr="001E65D8">
              <w:t xml:space="preserve"> (unpublished) </w:t>
            </w:r>
            <w:proofErr w:type="spellStart"/>
            <w:r w:rsidRPr="001E65D8">
              <w:t>NSSC</w:t>
            </w:r>
            <w:proofErr w:type="spellEnd"/>
            <w:r w:rsidRPr="001E65D8">
              <w:t xml:space="preserve">; table </w:t>
            </w:r>
            <w:proofErr w:type="spellStart"/>
            <w:r w:rsidRPr="001E65D8">
              <w:t>4A.14</w:t>
            </w:r>
            <w:proofErr w:type="spellEnd"/>
            <w:r w:rsidRPr="001E65D8">
              <w:t>.</w:t>
            </w:r>
          </w:p>
        </w:tc>
      </w:tr>
      <w:tr w:rsidR="001E65D8" w:rsidTr="001E65D8">
        <w:tc>
          <w:tcPr>
            <w:tcW w:w="8771" w:type="dxa"/>
            <w:tcBorders>
              <w:top w:val="nil"/>
              <w:left w:val="nil"/>
              <w:bottom w:val="single" w:sz="6" w:space="0" w:color="78A22F"/>
              <w:right w:val="nil"/>
            </w:tcBorders>
            <w:shd w:val="clear" w:color="auto" w:fill="auto"/>
          </w:tcPr>
          <w:p w:rsidR="001E65D8" w:rsidRDefault="001E65D8" w:rsidP="001E65D8">
            <w:pPr>
              <w:pStyle w:val="Figurespace"/>
            </w:pPr>
          </w:p>
        </w:tc>
      </w:tr>
      <w:tr w:rsidR="001E65D8" w:rsidRPr="000863A5" w:rsidTr="001E65D8">
        <w:tc>
          <w:tcPr>
            <w:tcW w:w="8771" w:type="dxa"/>
            <w:tcBorders>
              <w:top w:val="single" w:sz="6" w:space="0" w:color="78A22F"/>
              <w:left w:val="nil"/>
              <w:bottom w:val="nil"/>
              <w:right w:val="nil"/>
            </w:tcBorders>
          </w:tcPr>
          <w:p w:rsidR="001E65D8" w:rsidRPr="00626D32" w:rsidRDefault="001E65D8" w:rsidP="001E65D8">
            <w:pPr>
              <w:pStyle w:val="BoxSpaceBelow"/>
            </w:pPr>
          </w:p>
        </w:tc>
      </w:tr>
    </w:tbl>
    <w:p w:rsidR="00666ECE" w:rsidRPr="00666ECE" w:rsidRDefault="00666ECE" w:rsidP="0089766B">
      <w:pPr>
        <w:pStyle w:val="BodyText"/>
      </w:pPr>
      <w:r w:rsidRPr="00666ECE">
        <w:t xml:space="preserve">Nationally, </w:t>
      </w:r>
      <w:r w:rsidR="00326539">
        <w:t>in 201</w:t>
      </w:r>
      <w:r w:rsidR="00530C4B">
        <w:t>2</w:t>
      </w:r>
      <w:r w:rsidR="00326539">
        <w:t>-1</w:t>
      </w:r>
      <w:r w:rsidR="00530C4B">
        <w:t>3</w:t>
      </w:r>
      <w:r w:rsidR="00326539">
        <w:t xml:space="preserve">, </w:t>
      </w:r>
      <w:r w:rsidRPr="00666ECE">
        <w:t xml:space="preserve">government expenditure per FTE student in all government </w:t>
      </w:r>
      <w:r w:rsidRPr="009738E5">
        <w:t>schools was $</w:t>
      </w:r>
      <w:r w:rsidR="002B1D5E" w:rsidRPr="009738E5">
        <w:t>15</w:t>
      </w:r>
      <w:r w:rsidRPr="009738E5">
        <w:t> </w:t>
      </w:r>
      <w:r w:rsidR="009738E5" w:rsidRPr="009738E5">
        <w:t>7</w:t>
      </w:r>
      <w:r w:rsidR="00530C4B">
        <w:t>03</w:t>
      </w:r>
      <w:r w:rsidRPr="009738E5">
        <w:t xml:space="preserve">. It increased </w:t>
      </w:r>
      <w:r w:rsidRPr="00E97CD0">
        <w:t>in average annual real terms between 200</w:t>
      </w:r>
      <w:r w:rsidR="00530C4B">
        <w:t>8</w:t>
      </w:r>
      <w:r w:rsidRPr="00E97CD0">
        <w:t>-0</w:t>
      </w:r>
      <w:r w:rsidR="00530C4B">
        <w:t>9</w:t>
      </w:r>
      <w:r w:rsidRPr="00E97CD0">
        <w:t xml:space="preserve"> and 201</w:t>
      </w:r>
      <w:r w:rsidR="00530C4B">
        <w:t>2</w:t>
      </w:r>
      <w:r w:rsidRPr="00E97CD0">
        <w:t>-</w:t>
      </w:r>
      <w:r w:rsidRPr="00AF57AE">
        <w:t>1</w:t>
      </w:r>
      <w:r w:rsidR="00530C4B">
        <w:t>3</w:t>
      </w:r>
      <w:r w:rsidRPr="00AF57AE">
        <w:t xml:space="preserve"> by </w:t>
      </w:r>
      <w:r w:rsidR="00530C4B">
        <w:t>1.</w:t>
      </w:r>
      <w:r w:rsidR="00170688">
        <w:t>0</w:t>
      </w:r>
      <w:r w:rsidRPr="00AF57AE">
        <w:t xml:space="preserve"> per </w:t>
      </w:r>
      <w:r w:rsidRPr="00666ECE">
        <w:t>cent per year (figure 4.1</w:t>
      </w:r>
      <w:r w:rsidR="00FF2AB3">
        <w:t>8</w:t>
      </w:r>
      <w:r w:rsidRPr="00666ECE">
        <w:t>).</w:t>
      </w:r>
      <w:r w:rsidR="009A52FC">
        <w:t xml:space="preserve"> Data for years 200</w:t>
      </w:r>
      <w:r w:rsidR="00530C4B">
        <w:t>3</w:t>
      </w:r>
      <w:r w:rsidR="009A52FC">
        <w:t>-0</w:t>
      </w:r>
      <w:r w:rsidR="00530C4B">
        <w:t>4</w:t>
      </w:r>
      <w:r w:rsidR="009A52FC">
        <w:t xml:space="preserve"> to 201</w:t>
      </w:r>
      <w:r w:rsidR="00530C4B">
        <w:t>2</w:t>
      </w:r>
      <w:r w:rsidR="009A52FC">
        <w:t>-</w:t>
      </w:r>
      <w:r w:rsidR="009738E5">
        <w:t>1</w:t>
      </w:r>
      <w:r w:rsidR="00530C4B">
        <w:t>3</w:t>
      </w:r>
      <w:r w:rsidR="009738E5">
        <w:t xml:space="preserve"> are included in table</w:t>
      </w:r>
      <w:r w:rsidR="0013774C">
        <w:t>s</w:t>
      </w:r>
      <w:r w:rsidR="009738E5">
        <w:t xml:space="preserve"> </w:t>
      </w:r>
      <w:proofErr w:type="spellStart"/>
      <w:r w:rsidR="009738E5" w:rsidRPr="00104AF2">
        <w:rPr>
          <w:shd w:val="clear" w:color="auto" w:fill="FFFFFF" w:themeFill="background1"/>
        </w:rPr>
        <w:t>4A.1</w:t>
      </w:r>
      <w:r w:rsidR="0013774C" w:rsidRPr="00104AF2">
        <w:rPr>
          <w:shd w:val="clear" w:color="auto" w:fill="FFFFFF" w:themeFill="background1"/>
        </w:rPr>
        <w:t>2</w:t>
      </w:r>
      <w:proofErr w:type="spellEnd"/>
      <w:r w:rsidR="0013774C" w:rsidRPr="00104AF2">
        <w:rPr>
          <w:shd w:val="clear" w:color="auto" w:fill="FFFFFF" w:themeFill="background1"/>
        </w:rPr>
        <w:t xml:space="preserve"> (real values) and </w:t>
      </w:r>
      <w:proofErr w:type="spellStart"/>
      <w:r w:rsidR="0013774C" w:rsidRPr="00104AF2">
        <w:rPr>
          <w:shd w:val="clear" w:color="auto" w:fill="FFFFFF" w:themeFill="background1"/>
        </w:rPr>
        <w:t>4A.13</w:t>
      </w:r>
      <w:proofErr w:type="spellEnd"/>
      <w:r w:rsidR="0013774C" w:rsidRPr="00104AF2">
        <w:rPr>
          <w:shd w:val="clear" w:color="auto" w:fill="FFFFFF" w:themeFill="background1"/>
        </w:rPr>
        <w:t xml:space="preserve"> (nominal values)</w:t>
      </w:r>
      <w:r w:rsidR="009738E5" w:rsidRPr="00104AF2">
        <w:rPr>
          <w:shd w:val="clear" w:color="auto" w:fill="FFFFFF" w:themeFill="background1"/>
        </w:rPr>
        <w:t>.</w:t>
      </w:r>
    </w:p>
    <w:p w:rsidR="001E65D8" w:rsidRDefault="001E65D8" w:rsidP="001E65D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E65D8" w:rsidTr="001E65D8">
        <w:tc>
          <w:tcPr>
            <w:tcW w:w="8771" w:type="dxa"/>
            <w:tcBorders>
              <w:top w:val="single" w:sz="6" w:space="0" w:color="78A22F"/>
              <w:left w:val="nil"/>
              <w:bottom w:val="nil"/>
              <w:right w:val="nil"/>
            </w:tcBorders>
            <w:shd w:val="clear" w:color="auto" w:fill="auto"/>
          </w:tcPr>
          <w:p w:rsidR="001E65D8" w:rsidRPr="00176D3F" w:rsidRDefault="001E65D8" w:rsidP="001E65D8">
            <w:pPr>
              <w:pStyle w:val="FigureTitle"/>
            </w:pPr>
            <w:r w:rsidRPr="00784A05">
              <w:rPr>
                <w:b w:val="0"/>
              </w:rPr>
              <w:t xml:space="preserve">Figure </w:t>
            </w:r>
            <w:r w:rsidR="00B70781">
              <w:rPr>
                <w:b w:val="0"/>
              </w:rPr>
              <w:t>4.</w:t>
            </w:r>
            <w:r w:rsidR="005953B6">
              <w:rPr>
                <w:b w:val="0"/>
                <w:noProof/>
              </w:rPr>
              <w:t>18</w:t>
            </w:r>
            <w:r>
              <w:tab/>
            </w:r>
            <w:r w:rsidRPr="001E65D8">
              <w:t>Government real recurrent expenditure per FTE student, government schools (201</w:t>
            </w:r>
            <w:r>
              <w:t>2</w:t>
            </w:r>
            <w:r w:rsidRPr="001E65D8">
              <w:t>-1</w:t>
            </w:r>
            <w:r>
              <w:t>3</w:t>
            </w:r>
            <w:r w:rsidRPr="001E65D8">
              <w:t xml:space="preserve"> dollars)</w:t>
            </w:r>
            <w:r w:rsidRPr="00490911">
              <w:rPr>
                <w:rStyle w:val="NoteLabel"/>
                <w:b/>
              </w:rPr>
              <w:t>a, b, c</w:t>
            </w:r>
            <w:r w:rsidRPr="001E65D8">
              <w:t xml:space="preserve"> </w:t>
            </w:r>
          </w:p>
        </w:tc>
      </w:tr>
      <w:tr w:rsidR="001E65D8" w:rsidTr="001E65D8">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E65D8" w:rsidTr="00770673">
              <w:trPr>
                <w:trHeight w:val="4282"/>
                <w:jc w:val="center"/>
              </w:trPr>
              <w:tc>
                <w:tcPr>
                  <w:tcW w:w="5000" w:type="pct"/>
                  <w:tcBorders>
                    <w:top w:val="nil"/>
                    <w:bottom w:val="nil"/>
                  </w:tcBorders>
                </w:tcPr>
                <w:p w:rsidR="001E65D8" w:rsidRDefault="00DC200A" w:rsidP="001E65D8">
                  <w:pPr>
                    <w:pStyle w:val="Figure"/>
                    <w:spacing w:before="60" w:after="60"/>
                  </w:pPr>
                  <w:r>
                    <w:rPr>
                      <w:noProof/>
                    </w:rPr>
                    <w:drawing>
                      <wp:inline distT="0" distB="0" distL="0" distR="0">
                        <wp:extent cx="5372100" cy="2638425"/>
                        <wp:effectExtent l="0" t="0" r="0" b="9525"/>
                        <wp:docPr id="18" name="Picture 18" descr="Figure 4.18 Government real recurrent expenditure per FTE student, government schools (2012-13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72100" cy="2638425"/>
                                </a:xfrm>
                                <a:prstGeom prst="rect">
                                  <a:avLst/>
                                </a:prstGeom>
                                <a:noFill/>
                                <a:ln>
                                  <a:noFill/>
                                </a:ln>
                              </pic:spPr>
                            </pic:pic>
                          </a:graphicData>
                        </a:graphic>
                      </wp:inline>
                    </w:drawing>
                  </w:r>
                </w:p>
              </w:tc>
            </w:tr>
          </w:tbl>
          <w:p w:rsidR="001E65D8" w:rsidRDefault="001E65D8" w:rsidP="001E65D8">
            <w:pPr>
              <w:pStyle w:val="Figure"/>
            </w:pPr>
          </w:p>
        </w:tc>
      </w:tr>
      <w:tr w:rsidR="001E65D8" w:rsidRPr="00176D3F" w:rsidTr="001E65D8">
        <w:tc>
          <w:tcPr>
            <w:tcW w:w="8771" w:type="dxa"/>
            <w:tcBorders>
              <w:top w:val="nil"/>
              <w:left w:val="nil"/>
              <w:bottom w:val="nil"/>
              <w:right w:val="nil"/>
            </w:tcBorders>
            <w:shd w:val="clear" w:color="auto" w:fill="auto"/>
          </w:tcPr>
          <w:p w:rsidR="001E65D8" w:rsidRPr="00176D3F" w:rsidRDefault="001E65D8" w:rsidP="00137849">
            <w:pPr>
              <w:pStyle w:val="Note"/>
            </w:pPr>
            <w:r>
              <w:rPr>
                <w:rStyle w:val="NoteLabel"/>
              </w:rPr>
              <w:t>a</w:t>
            </w:r>
            <w:r w:rsidRPr="001E65D8">
              <w:t xml:space="preserve"> See notes to table </w:t>
            </w:r>
            <w:proofErr w:type="spellStart"/>
            <w:r w:rsidRPr="001E65D8">
              <w:t>4A.12</w:t>
            </w:r>
            <w:proofErr w:type="spellEnd"/>
            <w:r w:rsidRPr="001E65D8">
              <w:t xml:space="preserve"> for definitions and data caveats. </w:t>
            </w:r>
            <w:r w:rsidRPr="002532CC">
              <w:rPr>
                <w:rStyle w:val="NoteLabel"/>
              </w:rPr>
              <w:t>b</w:t>
            </w:r>
            <w:r w:rsidRPr="001E65D8">
              <w:t> </w:t>
            </w:r>
            <w:r w:rsidR="00137849" w:rsidRPr="00137849">
              <w:t>Time series financial data are adjusted to 201</w:t>
            </w:r>
            <w:r w:rsidR="00137849">
              <w:t>2</w:t>
            </w:r>
            <w:r w:rsidR="00137849" w:rsidRPr="00137849">
              <w:t>-1</w:t>
            </w:r>
            <w:r w:rsidR="00137849">
              <w:t>3</w:t>
            </w:r>
            <w:r w:rsidR="00137849" w:rsidRPr="00137849">
              <w:t xml:space="preserve"> dollars using the General Government Final Consumption Expenditure (</w:t>
            </w:r>
            <w:proofErr w:type="spellStart"/>
            <w:r w:rsidR="00137849" w:rsidRPr="00137849">
              <w:t>GGFCE</w:t>
            </w:r>
            <w:proofErr w:type="spellEnd"/>
            <w:r w:rsidR="00137849" w:rsidRPr="00137849">
              <w:t>) chain price deflator (201</w:t>
            </w:r>
            <w:r w:rsidR="00137849">
              <w:t>2</w:t>
            </w:r>
            <w:r w:rsidR="00137849" w:rsidRPr="00137849">
              <w:t>-1</w:t>
            </w:r>
            <w:r w:rsidR="00137849">
              <w:t>3</w:t>
            </w:r>
            <w:r w:rsidR="00137849" w:rsidRPr="00137849">
              <w:t xml:space="preserve"> = 100) (table </w:t>
            </w:r>
            <w:proofErr w:type="spellStart"/>
            <w:r w:rsidR="00137849" w:rsidRPr="00137849">
              <w:t>2A.51</w:t>
            </w:r>
            <w:proofErr w:type="spellEnd"/>
            <w:r w:rsidR="00137849" w:rsidRPr="00137849">
              <w:t>). See chapter 2 (sections 2.5-6) for details.</w:t>
            </w:r>
            <w:r w:rsidR="00137849">
              <w:t xml:space="preserve"> </w:t>
            </w:r>
            <w:r w:rsidRPr="002532CC">
              <w:rPr>
                <w:rStyle w:val="NoteLabel"/>
              </w:rPr>
              <w:t>c</w:t>
            </w:r>
            <w:r w:rsidRPr="001E65D8">
              <w:t> Payroll tax estimates include notional payroll tax for WA and the ACT, which are payroll tax exempt.</w:t>
            </w:r>
          </w:p>
        </w:tc>
      </w:tr>
      <w:tr w:rsidR="001E65D8" w:rsidRPr="00176D3F" w:rsidTr="001E65D8">
        <w:tc>
          <w:tcPr>
            <w:tcW w:w="8771" w:type="dxa"/>
            <w:tcBorders>
              <w:top w:val="nil"/>
              <w:left w:val="nil"/>
              <w:bottom w:val="nil"/>
              <w:right w:val="nil"/>
            </w:tcBorders>
            <w:shd w:val="clear" w:color="auto" w:fill="auto"/>
          </w:tcPr>
          <w:p w:rsidR="001E65D8" w:rsidRPr="00176D3F" w:rsidRDefault="001E65D8" w:rsidP="00770673">
            <w:pPr>
              <w:pStyle w:val="Source"/>
            </w:pPr>
            <w:r>
              <w:rPr>
                <w:i/>
              </w:rPr>
              <w:t>S</w:t>
            </w:r>
            <w:r w:rsidRPr="00784A05">
              <w:rPr>
                <w:i/>
              </w:rPr>
              <w:t>ource</w:t>
            </w:r>
            <w:r w:rsidRPr="00176D3F">
              <w:t xml:space="preserve">: </w:t>
            </w:r>
            <w:r w:rsidRPr="001E65D8">
              <w:t>ABS (201</w:t>
            </w:r>
            <w:r w:rsidR="00770673">
              <w:t>4</w:t>
            </w:r>
            <w:r w:rsidRPr="001E65D8">
              <w:t xml:space="preserve">) </w:t>
            </w:r>
            <w:r w:rsidRPr="001E65D8">
              <w:rPr>
                <w:i/>
              </w:rPr>
              <w:t>Schools Australia 201</w:t>
            </w:r>
            <w:r w:rsidR="00770673">
              <w:rPr>
                <w:i/>
              </w:rPr>
              <w:t>3</w:t>
            </w:r>
            <w:r w:rsidRPr="001E65D8">
              <w:t xml:space="preserve">, Cat. no. 4221.0; </w:t>
            </w:r>
            <w:r w:rsidR="00490911">
              <w:t>Education Council</w:t>
            </w:r>
            <w:r w:rsidRPr="001E65D8">
              <w:t xml:space="preserve"> (unpublished) </w:t>
            </w:r>
            <w:proofErr w:type="spellStart"/>
            <w:r w:rsidRPr="001E65D8">
              <w:t>NSSC</w:t>
            </w:r>
            <w:proofErr w:type="spellEnd"/>
            <w:r w:rsidRPr="001E65D8">
              <w:t xml:space="preserve">; table </w:t>
            </w:r>
            <w:proofErr w:type="spellStart"/>
            <w:r w:rsidRPr="001E65D8">
              <w:t>4A.12</w:t>
            </w:r>
            <w:proofErr w:type="spellEnd"/>
            <w:r w:rsidRPr="001E65D8">
              <w:t>.</w:t>
            </w:r>
          </w:p>
        </w:tc>
      </w:tr>
      <w:tr w:rsidR="001E65D8" w:rsidTr="001E65D8">
        <w:tc>
          <w:tcPr>
            <w:tcW w:w="8771" w:type="dxa"/>
            <w:tcBorders>
              <w:top w:val="nil"/>
              <w:left w:val="nil"/>
              <w:bottom w:val="single" w:sz="6" w:space="0" w:color="78A22F"/>
              <w:right w:val="nil"/>
            </w:tcBorders>
            <w:shd w:val="clear" w:color="auto" w:fill="auto"/>
          </w:tcPr>
          <w:p w:rsidR="001E65D8" w:rsidRDefault="001E65D8" w:rsidP="001E65D8">
            <w:pPr>
              <w:pStyle w:val="Figurespace"/>
            </w:pPr>
          </w:p>
        </w:tc>
      </w:tr>
      <w:tr w:rsidR="001E65D8" w:rsidRPr="000863A5" w:rsidTr="001E65D8">
        <w:tc>
          <w:tcPr>
            <w:tcW w:w="8771" w:type="dxa"/>
            <w:tcBorders>
              <w:top w:val="single" w:sz="6" w:space="0" w:color="78A22F"/>
              <w:left w:val="nil"/>
              <w:bottom w:val="nil"/>
              <w:right w:val="nil"/>
            </w:tcBorders>
          </w:tcPr>
          <w:p w:rsidR="001E65D8" w:rsidRPr="00626D32" w:rsidRDefault="001E65D8" w:rsidP="001E65D8">
            <w:pPr>
              <w:pStyle w:val="BoxSpaceBelow"/>
            </w:pPr>
          </w:p>
        </w:tc>
      </w:tr>
    </w:tbl>
    <w:p w:rsidR="009A52FC" w:rsidRPr="00666ECE" w:rsidRDefault="00666ECE" w:rsidP="0089766B">
      <w:pPr>
        <w:pStyle w:val="BodyText"/>
      </w:pPr>
      <w:r w:rsidRPr="00666ECE">
        <w:t>Nationally</w:t>
      </w:r>
      <w:r w:rsidR="00326539">
        <w:t>, in 201</w:t>
      </w:r>
      <w:r w:rsidR="00530C4B">
        <w:t>2</w:t>
      </w:r>
      <w:r w:rsidR="00326539">
        <w:t>-</w:t>
      </w:r>
      <w:r w:rsidR="00326539" w:rsidRPr="006216A4">
        <w:t>1</w:t>
      </w:r>
      <w:r w:rsidR="00530C4B">
        <w:t>3</w:t>
      </w:r>
      <w:r w:rsidRPr="006216A4">
        <w:t>, government expenditure per FTE student in all non</w:t>
      </w:r>
      <w:r w:rsidR="003F0641">
        <w:noBreakHyphen/>
      </w:r>
      <w:r w:rsidRPr="006216A4">
        <w:t xml:space="preserve">government schools </w:t>
      </w:r>
      <w:r w:rsidRPr="0078036C">
        <w:rPr>
          <w:shd w:val="clear" w:color="auto" w:fill="FFFFFF" w:themeFill="background1"/>
        </w:rPr>
        <w:t>was $</w:t>
      </w:r>
      <w:r w:rsidR="00632170" w:rsidRPr="0078036C">
        <w:rPr>
          <w:shd w:val="clear" w:color="auto" w:fill="FFFFFF" w:themeFill="background1"/>
        </w:rPr>
        <w:t>8</w:t>
      </w:r>
      <w:r w:rsidR="0078036C" w:rsidRPr="0078036C">
        <w:rPr>
          <w:shd w:val="clear" w:color="auto" w:fill="FFFFFF" w:themeFill="background1"/>
        </w:rPr>
        <w:t>812</w:t>
      </w:r>
      <w:r w:rsidRPr="0078036C">
        <w:rPr>
          <w:shd w:val="clear" w:color="auto" w:fill="FFFFFF" w:themeFill="background1"/>
        </w:rPr>
        <w:t xml:space="preserve">. </w:t>
      </w:r>
      <w:bookmarkStart w:id="17" w:name="OLE_LINK79"/>
      <w:bookmarkStart w:id="18" w:name="OLE_LINK80"/>
      <w:r w:rsidRPr="0078036C">
        <w:rPr>
          <w:shd w:val="clear" w:color="auto" w:fill="FFFFFF" w:themeFill="background1"/>
        </w:rPr>
        <w:t>It increased in average</w:t>
      </w:r>
      <w:r w:rsidR="00292174" w:rsidRPr="0078036C">
        <w:rPr>
          <w:shd w:val="clear" w:color="auto" w:fill="FFFFFF" w:themeFill="background1"/>
        </w:rPr>
        <w:t xml:space="preserve"> annual real terms between 200</w:t>
      </w:r>
      <w:r w:rsidR="00530C4B" w:rsidRPr="0078036C">
        <w:rPr>
          <w:shd w:val="clear" w:color="auto" w:fill="FFFFFF" w:themeFill="background1"/>
        </w:rPr>
        <w:t>8</w:t>
      </w:r>
      <w:r w:rsidR="00292174" w:rsidRPr="0078036C">
        <w:rPr>
          <w:shd w:val="clear" w:color="auto" w:fill="FFFFFF" w:themeFill="background1"/>
        </w:rPr>
        <w:t>-</w:t>
      </w:r>
      <w:r w:rsidRPr="0078036C">
        <w:rPr>
          <w:shd w:val="clear" w:color="auto" w:fill="FFFFFF" w:themeFill="background1"/>
        </w:rPr>
        <w:t>0</w:t>
      </w:r>
      <w:r w:rsidR="00530C4B" w:rsidRPr="0078036C">
        <w:rPr>
          <w:shd w:val="clear" w:color="auto" w:fill="FFFFFF" w:themeFill="background1"/>
        </w:rPr>
        <w:t>9</w:t>
      </w:r>
      <w:r w:rsidRPr="0078036C">
        <w:rPr>
          <w:shd w:val="clear" w:color="auto" w:fill="FFFFFF" w:themeFill="background1"/>
        </w:rPr>
        <w:t xml:space="preserve"> and 201</w:t>
      </w:r>
      <w:r w:rsidR="00530C4B" w:rsidRPr="0078036C">
        <w:rPr>
          <w:shd w:val="clear" w:color="auto" w:fill="FFFFFF" w:themeFill="background1"/>
        </w:rPr>
        <w:t>2</w:t>
      </w:r>
      <w:r w:rsidR="008B5ED3">
        <w:rPr>
          <w:shd w:val="clear" w:color="auto" w:fill="FFFFFF" w:themeFill="background1"/>
        </w:rPr>
        <w:noBreakHyphen/>
      </w:r>
      <w:r w:rsidRPr="0078036C">
        <w:rPr>
          <w:shd w:val="clear" w:color="auto" w:fill="FFFFFF" w:themeFill="background1"/>
        </w:rPr>
        <w:t>1</w:t>
      </w:r>
      <w:r w:rsidR="00530C4B" w:rsidRPr="0078036C">
        <w:rPr>
          <w:shd w:val="clear" w:color="auto" w:fill="FFFFFF" w:themeFill="background1"/>
        </w:rPr>
        <w:t>3</w:t>
      </w:r>
      <w:r w:rsidRPr="0078036C">
        <w:rPr>
          <w:shd w:val="clear" w:color="auto" w:fill="FFFFFF" w:themeFill="background1"/>
        </w:rPr>
        <w:t xml:space="preserve"> by </w:t>
      </w:r>
      <w:r w:rsidR="001D0D31" w:rsidRPr="0078036C">
        <w:rPr>
          <w:shd w:val="clear" w:color="auto" w:fill="FFFFFF" w:themeFill="background1"/>
        </w:rPr>
        <w:t>3.</w:t>
      </w:r>
      <w:r w:rsidR="0078036C" w:rsidRPr="0078036C">
        <w:rPr>
          <w:shd w:val="clear" w:color="auto" w:fill="FFFFFF" w:themeFill="background1"/>
        </w:rPr>
        <w:t>7</w:t>
      </w:r>
      <w:r w:rsidRPr="0078036C">
        <w:rPr>
          <w:shd w:val="clear" w:color="auto" w:fill="FFFFFF" w:themeFill="background1"/>
        </w:rPr>
        <w:t xml:space="preserve"> per cent</w:t>
      </w:r>
      <w:r w:rsidRPr="00104AF2">
        <w:rPr>
          <w:shd w:val="clear" w:color="auto" w:fill="FFFFFF" w:themeFill="background1"/>
        </w:rPr>
        <w:t xml:space="preserve"> per year (figure 4.1</w:t>
      </w:r>
      <w:r w:rsidR="00FF2AB3">
        <w:rPr>
          <w:shd w:val="clear" w:color="auto" w:fill="FFFFFF" w:themeFill="background1"/>
        </w:rPr>
        <w:t>9</w:t>
      </w:r>
      <w:r w:rsidRPr="00104AF2">
        <w:rPr>
          <w:shd w:val="clear" w:color="auto" w:fill="FFFFFF" w:themeFill="background1"/>
        </w:rPr>
        <w:t>).</w:t>
      </w:r>
      <w:r w:rsidR="009A52FC" w:rsidRPr="00104AF2">
        <w:rPr>
          <w:shd w:val="clear" w:color="auto" w:fill="FFFFFF" w:themeFill="background1"/>
        </w:rPr>
        <w:t xml:space="preserve"> Data for years 200</w:t>
      </w:r>
      <w:r w:rsidR="00530C4B">
        <w:rPr>
          <w:shd w:val="clear" w:color="auto" w:fill="FFFFFF" w:themeFill="background1"/>
        </w:rPr>
        <w:t>3</w:t>
      </w:r>
      <w:r w:rsidR="009A52FC" w:rsidRPr="00104AF2">
        <w:rPr>
          <w:shd w:val="clear" w:color="auto" w:fill="FFFFFF" w:themeFill="background1"/>
        </w:rPr>
        <w:t>-0</w:t>
      </w:r>
      <w:r w:rsidR="00530C4B">
        <w:rPr>
          <w:shd w:val="clear" w:color="auto" w:fill="FFFFFF" w:themeFill="background1"/>
        </w:rPr>
        <w:t>4</w:t>
      </w:r>
      <w:r w:rsidR="009A52FC" w:rsidRPr="00104AF2">
        <w:rPr>
          <w:shd w:val="clear" w:color="auto" w:fill="FFFFFF" w:themeFill="background1"/>
        </w:rPr>
        <w:t xml:space="preserve"> to 201</w:t>
      </w:r>
      <w:r w:rsidR="00530C4B">
        <w:rPr>
          <w:shd w:val="clear" w:color="auto" w:fill="FFFFFF" w:themeFill="background1"/>
        </w:rPr>
        <w:t>2</w:t>
      </w:r>
      <w:r w:rsidR="009A52FC" w:rsidRPr="00104AF2">
        <w:rPr>
          <w:shd w:val="clear" w:color="auto" w:fill="FFFFFF" w:themeFill="background1"/>
        </w:rPr>
        <w:t>-1</w:t>
      </w:r>
      <w:r w:rsidR="00530C4B">
        <w:rPr>
          <w:shd w:val="clear" w:color="auto" w:fill="FFFFFF" w:themeFill="background1"/>
        </w:rPr>
        <w:t>3</w:t>
      </w:r>
      <w:r w:rsidR="009A52FC" w:rsidRPr="00104AF2">
        <w:rPr>
          <w:shd w:val="clear" w:color="auto" w:fill="FFFFFF" w:themeFill="background1"/>
        </w:rPr>
        <w:t xml:space="preserve"> are included in table </w:t>
      </w:r>
      <w:proofErr w:type="spellStart"/>
      <w:r w:rsidR="009A52FC" w:rsidRPr="00104AF2">
        <w:rPr>
          <w:shd w:val="clear" w:color="auto" w:fill="FFFFFF" w:themeFill="background1"/>
        </w:rPr>
        <w:t>4A.1</w:t>
      </w:r>
      <w:r w:rsidR="0013774C" w:rsidRPr="00104AF2">
        <w:rPr>
          <w:shd w:val="clear" w:color="auto" w:fill="FFFFFF" w:themeFill="background1"/>
        </w:rPr>
        <w:t>5</w:t>
      </w:r>
      <w:proofErr w:type="spellEnd"/>
      <w:r w:rsidR="0013774C" w:rsidRPr="00104AF2">
        <w:rPr>
          <w:shd w:val="clear" w:color="auto" w:fill="FFFFFF" w:themeFill="background1"/>
        </w:rPr>
        <w:t xml:space="preserve"> (real values) and </w:t>
      </w:r>
      <w:proofErr w:type="spellStart"/>
      <w:r w:rsidR="0013774C" w:rsidRPr="00104AF2">
        <w:rPr>
          <w:shd w:val="clear" w:color="auto" w:fill="FFFFFF" w:themeFill="background1"/>
        </w:rPr>
        <w:t>4A.16</w:t>
      </w:r>
      <w:proofErr w:type="spellEnd"/>
      <w:r w:rsidR="0013774C" w:rsidRPr="00104AF2">
        <w:rPr>
          <w:shd w:val="clear" w:color="auto" w:fill="FFFFFF" w:themeFill="background1"/>
        </w:rPr>
        <w:t xml:space="preserve"> (nominal values)</w:t>
      </w:r>
      <w:r w:rsidR="009A52FC" w:rsidRPr="00104AF2">
        <w:rPr>
          <w:shd w:val="clear" w:color="auto" w:fill="FFFFFF" w:themeFill="background1"/>
        </w:rPr>
        <w:t>.</w:t>
      </w:r>
    </w:p>
    <w:bookmarkEnd w:id="17"/>
    <w:bookmarkEnd w:id="18"/>
    <w:p w:rsidR="001E65D8" w:rsidRDefault="001E65D8" w:rsidP="001E65D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E65D8" w:rsidTr="001E65D8">
        <w:tc>
          <w:tcPr>
            <w:tcW w:w="8771" w:type="dxa"/>
            <w:tcBorders>
              <w:top w:val="single" w:sz="6" w:space="0" w:color="78A22F"/>
              <w:left w:val="nil"/>
              <w:bottom w:val="nil"/>
              <w:right w:val="nil"/>
            </w:tcBorders>
            <w:shd w:val="clear" w:color="auto" w:fill="auto"/>
          </w:tcPr>
          <w:p w:rsidR="001E65D8" w:rsidRPr="00176D3F" w:rsidRDefault="001E65D8" w:rsidP="00177564">
            <w:pPr>
              <w:pStyle w:val="FigureTitle"/>
            </w:pPr>
            <w:r w:rsidRPr="00784A05">
              <w:rPr>
                <w:b w:val="0"/>
              </w:rPr>
              <w:t xml:space="preserve">Figure </w:t>
            </w:r>
            <w:r w:rsidR="00B70781">
              <w:rPr>
                <w:b w:val="0"/>
              </w:rPr>
              <w:t>4.</w:t>
            </w:r>
            <w:r w:rsidR="005953B6">
              <w:rPr>
                <w:b w:val="0"/>
                <w:noProof/>
              </w:rPr>
              <w:t>19</w:t>
            </w:r>
            <w:r>
              <w:tab/>
            </w:r>
            <w:r w:rsidRPr="001E65D8">
              <w:t>Government real recurrent expenditure per FTE student, non</w:t>
            </w:r>
            <w:r w:rsidRPr="001E65D8">
              <w:noBreakHyphen/>
              <w:t>government schools (201</w:t>
            </w:r>
            <w:r w:rsidR="00177564">
              <w:t>2</w:t>
            </w:r>
            <w:r w:rsidRPr="001E65D8">
              <w:t>-1</w:t>
            </w:r>
            <w:r w:rsidR="00177564">
              <w:t>3</w:t>
            </w:r>
            <w:r w:rsidRPr="001E65D8">
              <w:t xml:space="preserve"> dollars)</w:t>
            </w:r>
            <w:r w:rsidRPr="00490911">
              <w:rPr>
                <w:rStyle w:val="NoteLabel"/>
                <w:b/>
              </w:rPr>
              <w:t>a, b, c</w:t>
            </w:r>
          </w:p>
        </w:tc>
      </w:tr>
      <w:tr w:rsidR="001E65D8" w:rsidTr="001E65D8">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E65D8" w:rsidTr="001E65D8">
              <w:trPr>
                <w:jc w:val="center"/>
              </w:trPr>
              <w:tc>
                <w:tcPr>
                  <w:tcW w:w="5000" w:type="pct"/>
                  <w:tcBorders>
                    <w:top w:val="nil"/>
                    <w:bottom w:val="nil"/>
                  </w:tcBorders>
                </w:tcPr>
                <w:p w:rsidR="001E65D8" w:rsidRDefault="00DC200A" w:rsidP="001E65D8">
                  <w:pPr>
                    <w:pStyle w:val="Figure"/>
                    <w:spacing w:before="60" w:after="60"/>
                  </w:pPr>
                  <w:r>
                    <w:rPr>
                      <w:noProof/>
                    </w:rPr>
                    <w:drawing>
                      <wp:inline distT="0" distB="0" distL="0" distR="0">
                        <wp:extent cx="5381625" cy="2647950"/>
                        <wp:effectExtent l="0" t="0" r="9525" b="0"/>
                        <wp:docPr id="19" name="Picture 19" descr="Figure 4.19 Government real recurrent expenditure per FTE student, non-government schools (2012-13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81625" cy="2647950"/>
                                </a:xfrm>
                                <a:prstGeom prst="rect">
                                  <a:avLst/>
                                </a:prstGeom>
                                <a:noFill/>
                                <a:ln>
                                  <a:noFill/>
                                </a:ln>
                              </pic:spPr>
                            </pic:pic>
                          </a:graphicData>
                        </a:graphic>
                      </wp:inline>
                    </w:drawing>
                  </w:r>
                </w:p>
              </w:tc>
            </w:tr>
          </w:tbl>
          <w:p w:rsidR="001E65D8" w:rsidRDefault="001E65D8" w:rsidP="001E65D8">
            <w:pPr>
              <w:pStyle w:val="Figure"/>
            </w:pPr>
          </w:p>
        </w:tc>
      </w:tr>
      <w:tr w:rsidR="001E65D8" w:rsidRPr="00176D3F" w:rsidTr="001E65D8">
        <w:tc>
          <w:tcPr>
            <w:tcW w:w="8771" w:type="dxa"/>
            <w:tcBorders>
              <w:top w:val="nil"/>
              <w:left w:val="nil"/>
              <w:bottom w:val="nil"/>
              <w:right w:val="nil"/>
            </w:tcBorders>
            <w:shd w:val="clear" w:color="auto" w:fill="auto"/>
          </w:tcPr>
          <w:p w:rsidR="001E65D8" w:rsidRPr="00176D3F" w:rsidRDefault="001E65D8" w:rsidP="00770673">
            <w:pPr>
              <w:pStyle w:val="Note"/>
            </w:pPr>
            <w:r>
              <w:rPr>
                <w:rStyle w:val="NoteLabel"/>
              </w:rPr>
              <w:t>a</w:t>
            </w:r>
            <w:r>
              <w:t xml:space="preserve"> </w:t>
            </w:r>
            <w:r w:rsidRPr="001E65D8">
              <w:t xml:space="preserve">See notes to table </w:t>
            </w:r>
            <w:proofErr w:type="spellStart"/>
            <w:r w:rsidRPr="001E65D8">
              <w:t>4A.15</w:t>
            </w:r>
            <w:proofErr w:type="spellEnd"/>
            <w:r w:rsidRPr="001E65D8">
              <w:t xml:space="preserve"> for definitions and data caveats. </w:t>
            </w:r>
            <w:r w:rsidRPr="002532CC">
              <w:rPr>
                <w:rStyle w:val="NoteLabel"/>
              </w:rPr>
              <w:t>b</w:t>
            </w:r>
            <w:r w:rsidRPr="001E65D8">
              <w:t> </w:t>
            </w:r>
            <w:r w:rsidR="00137849" w:rsidRPr="00137849">
              <w:t>Time series financial data are adjusted to 201</w:t>
            </w:r>
            <w:r w:rsidR="00137849">
              <w:t>2</w:t>
            </w:r>
            <w:r w:rsidR="00137849" w:rsidRPr="00137849">
              <w:t>-1</w:t>
            </w:r>
            <w:r w:rsidR="00137849">
              <w:t>3</w:t>
            </w:r>
            <w:r w:rsidR="00137849" w:rsidRPr="00137849">
              <w:t xml:space="preserve"> dollars using the General Government Final Consumption Expenditure (</w:t>
            </w:r>
            <w:proofErr w:type="spellStart"/>
            <w:r w:rsidR="00137849" w:rsidRPr="00137849">
              <w:t>GGFCE</w:t>
            </w:r>
            <w:proofErr w:type="spellEnd"/>
            <w:r w:rsidR="00137849" w:rsidRPr="00137849">
              <w:t>) chain price deflator (201</w:t>
            </w:r>
            <w:r w:rsidR="00137849">
              <w:t>2</w:t>
            </w:r>
            <w:r w:rsidR="00137849" w:rsidRPr="00137849">
              <w:t>-1</w:t>
            </w:r>
            <w:r w:rsidR="00137849">
              <w:t>3</w:t>
            </w:r>
            <w:r w:rsidR="00137849" w:rsidRPr="00137849">
              <w:t xml:space="preserve"> = 100) (table </w:t>
            </w:r>
            <w:proofErr w:type="spellStart"/>
            <w:r w:rsidR="00137849" w:rsidRPr="00137849">
              <w:t>2A.51</w:t>
            </w:r>
            <w:proofErr w:type="spellEnd"/>
            <w:r w:rsidR="00137849" w:rsidRPr="00137849">
              <w:t>). See chapter 2 (sections 2.5-6) for details</w:t>
            </w:r>
            <w:r w:rsidRPr="001E65D8">
              <w:t xml:space="preserve">. </w:t>
            </w:r>
            <w:r w:rsidRPr="002532CC">
              <w:rPr>
                <w:rStyle w:val="NoteLabel"/>
              </w:rPr>
              <w:t>c</w:t>
            </w:r>
            <w:r w:rsidRPr="001E65D8">
              <w:t> Data are the sum of Australian Government specific purpose payments for non-government schools, and State and Territory government payments to non-government schools. Data on State and Territory government payments to non-government schools are not fully comparable across jurisdictions.</w:t>
            </w:r>
          </w:p>
        </w:tc>
      </w:tr>
      <w:tr w:rsidR="001E65D8" w:rsidRPr="00176D3F" w:rsidTr="001E65D8">
        <w:tc>
          <w:tcPr>
            <w:tcW w:w="8771" w:type="dxa"/>
            <w:tcBorders>
              <w:top w:val="nil"/>
              <w:left w:val="nil"/>
              <w:bottom w:val="nil"/>
              <w:right w:val="nil"/>
            </w:tcBorders>
            <w:shd w:val="clear" w:color="auto" w:fill="auto"/>
          </w:tcPr>
          <w:p w:rsidR="001E65D8" w:rsidRPr="00176D3F" w:rsidRDefault="001E65D8" w:rsidP="00490911">
            <w:pPr>
              <w:pStyle w:val="Source"/>
            </w:pPr>
            <w:r>
              <w:rPr>
                <w:i/>
              </w:rPr>
              <w:t>S</w:t>
            </w:r>
            <w:r w:rsidRPr="00784A05">
              <w:rPr>
                <w:i/>
              </w:rPr>
              <w:t>ource</w:t>
            </w:r>
            <w:r w:rsidRPr="00176D3F">
              <w:t xml:space="preserve">: </w:t>
            </w:r>
            <w:r w:rsidRPr="001E65D8">
              <w:t>ABS (201</w:t>
            </w:r>
            <w:r w:rsidR="00490911">
              <w:t>4</w:t>
            </w:r>
            <w:r w:rsidRPr="001E65D8">
              <w:t xml:space="preserve">) </w:t>
            </w:r>
            <w:r w:rsidRPr="001E65D8">
              <w:rPr>
                <w:i/>
              </w:rPr>
              <w:t>Schools Australia 201</w:t>
            </w:r>
            <w:r w:rsidR="00490911">
              <w:rPr>
                <w:i/>
              </w:rPr>
              <w:t>3</w:t>
            </w:r>
            <w:r w:rsidRPr="001E65D8">
              <w:t xml:space="preserve">, Cat. no. 4221.0; Australian Government Department of Education (unpublished); State and Territory governments (unpublished); table </w:t>
            </w:r>
            <w:proofErr w:type="spellStart"/>
            <w:r w:rsidRPr="001E65D8">
              <w:t>4A.15</w:t>
            </w:r>
            <w:proofErr w:type="spellEnd"/>
            <w:r w:rsidRPr="001E65D8">
              <w:t>.</w:t>
            </w:r>
          </w:p>
        </w:tc>
      </w:tr>
      <w:tr w:rsidR="001E65D8" w:rsidTr="001E65D8">
        <w:tc>
          <w:tcPr>
            <w:tcW w:w="8771" w:type="dxa"/>
            <w:tcBorders>
              <w:top w:val="nil"/>
              <w:left w:val="nil"/>
              <w:bottom w:val="single" w:sz="6" w:space="0" w:color="78A22F"/>
              <w:right w:val="nil"/>
            </w:tcBorders>
            <w:shd w:val="clear" w:color="auto" w:fill="auto"/>
          </w:tcPr>
          <w:p w:rsidR="001E65D8" w:rsidRDefault="001E65D8" w:rsidP="001E65D8">
            <w:pPr>
              <w:pStyle w:val="Figurespace"/>
            </w:pPr>
          </w:p>
        </w:tc>
      </w:tr>
      <w:tr w:rsidR="001E65D8" w:rsidRPr="000863A5" w:rsidTr="001E65D8">
        <w:tc>
          <w:tcPr>
            <w:tcW w:w="8771" w:type="dxa"/>
            <w:tcBorders>
              <w:top w:val="single" w:sz="6" w:space="0" w:color="78A22F"/>
              <w:left w:val="nil"/>
              <w:bottom w:val="nil"/>
              <w:right w:val="nil"/>
            </w:tcBorders>
          </w:tcPr>
          <w:p w:rsidR="001E65D8" w:rsidRPr="00626D32" w:rsidRDefault="001E65D8" w:rsidP="001E65D8">
            <w:pPr>
              <w:pStyle w:val="BoxSpaceBelow"/>
            </w:pPr>
          </w:p>
        </w:tc>
      </w:tr>
    </w:tbl>
    <w:p w:rsidR="009738E5" w:rsidRPr="00666ECE" w:rsidRDefault="00666ECE" w:rsidP="0089766B">
      <w:pPr>
        <w:pStyle w:val="BodyText"/>
      </w:pPr>
      <w:r w:rsidRPr="00666ECE">
        <w:t xml:space="preserve">Nationally, </w:t>
      </w:r>
      <w:r w:rsidR="00292174">
        <w:t>in 201</w:t>
      </w:r>
      <w:r w:rsidR="00530C4B">
        <w:t>2</w:t>
      </w:r>
      <w:r w:rsidR="00292174">
        <w:t>-1</w:t>
      </w:r>
      <w:r w:rsidR="00530C4B">
        <w:t>3</w:t>
      </w:r>
      <w:r w:rsidR="00292174">
        <w:t xml:space="preserve">, </w:t>
      </w:r>
      <w:r w:rsidRPr="00666ECE">
        <w:t xml:space="preserve">government recurrent </w:t>
      </w:r>
      <w:r w:rsidRPr="006216A4">
        <w:t>expenditure per FTE student in all schools (government plus non-</w:t>
      </w:r>
      <w:r w:rsidRPr="00104AF2">
        <w:rPr>
          <w:shd w:val="clear" w:color="auto" w:fill="FFFFFF" w:themeFill="background1"/>
        </w:rPr>
        <w:t xml:space="preserve">government) was </w:t>
      </w:r>
      <w:r w:rsidRPr="0078036C">
        <w:rPr>
          <w:shd w:val="clear" w:color="auto" w:fill="FFFFFF" w:themeFill="background1"/>
        </w:rPr>
        <w:t>$</w:t>
      </w:r>
      <w:r w:rsidR="001D0D31" w:rsidRPr="0078036C">
        <w:rPr>
          <w:shd w:val="clear" w:color="auto" w:fill="FFFFFF" w:themeFill="background1"/>
        </w:rPr>
        <w:t>13 2</w:t>
      </w:r>
      <w:r w:rsidR="0078036C" w:rsidRPr="0078036C">
        <w:rPr>
          <w:shd w:val="clear" w:color="auto" w:fill="FFFFFF" w:themeFill="background1"/>
        </w:rPr>
        <w:t>98</w:t>
      </w:r>
      <w:r w:rsidRPr="0078036C">
        <w:rPr>
          <w:shd w:val="clear" w:color="auto" w:fill="FFFFFF" w:themeFill="background1"/>
        </w:rPr>
        <w:t xml:space="preserve">. It increased </w:t>
      </w:r>
      <w:r w:rsidR="00AC290D" w:rsidRPr="0078036C">
        <w:rPr>
          <w:shd w:val="clear" w:color="auto" w:fill="FFFFFF" w:themeFill="background1"/>
        </w:rPr>
        <w:t>in average annual real terms</w:t>
      </w:r>
      <w:r w:rsidRPr="0078036C">
        <w:rPr>
          <w:shd w:val="clear" w:color="auto" w:fill="FFFFFF" w:themeFill="background1"/>
        </w:rPr>
        <w:t xml:space="preserve"> between 200</w:t>
      </w:r>
      <w:r w:rsidR="00530C4B" w:rsidRPr="0078036C">
        <w:rPr>
          <w:shd w:val="clear" w:color="auto" w:fill="FFFFFF" w:themeFill="background1"/>
        </w:rPr>
        <w:t>8</w:t>
      </w:r>
      <w:r w:rsidRPr="0078036C">
        <w:rPr>
          <w:shd w:val="clear" w:color="auto" w:fill="FFFFFF" w:themeFill="background1"/>
        </w:rPr>
        <w:t>-0</w:t>
      </w:r>
      <w:r w:rsidR="00530C4B" w:rsidRPr="0078036C">
        <w:rPr>
          <w:shd w:val="clear" w:color="auto" w:fill="FFFFFF" w:themeFill="background1"/>
        </w:rPr>
        <w:t>9</w:t>
      </w:r>
      <w:r w:rsidRPr="0078036C">
        <w:rPr>
          <w:shd w:val="clear" w:color="auto" w:fill="FFFFFF" w:themeFill="background1"/>
        </w:rPr>
        <w:t xml:space="preserve"> and 201</w:t>
      </w:r>
      <w:r w:rsidR="00530C4B" w:rsidRPr="0078036C">
        <w:rPr>
          <w:shd w:val="clear" w:color="auto" w:fill="FFFFFF" w:themeFill="background1"/>
        </w:rPr>
        <w:t>2</w:t>
      </w:r>
      <w:r w:rsidRPr="0078036C">
        <w:rPr>
          <w:shd w:val="clear" w:color="auto" w:fill="FFFFFF" w:themeFill="background1"/>
        </w:rPr>
        <w:t>-1</w:t>
      </w:r>
      <w:r w:rsidR="00530C4B" w:rsidRPr="0078036C">
        <w:rPr>
          <w:shd w:val="clear" w:color="auto" w:fill="FFFFFF" w:themeFill="background1"/>
        </w:rPr>
        <w:t>3</w:t>
      </w:r>
      <w:r w:rsidRPr="0078036C">
        <w:rPr>
          <w:shd w:val="clear" w:color="auto" w:fill="FFFFFF" w:themeFill="background1"/>
        </w:rPr>
        <w:t xml:space="preserve"> by </w:t>
      </w:r>
      <w:r w:rsidR="0078036C" w:rsidRPr="0078036C">
        <w:rPr>
          <w:shd w:val="clear" w:color="auto" w:fill="FFFFFF" w:themeFill="background1"/>
        </w:rPr>
        <w:t>1</w:t>
      </w:r>
      <w:r w:rsidR="001D0D31" w:rsidRPr="0078036C">
        <w:rPr>
          <w:shd w:val="clear" w:color="auto" w:fill="FFFFFF" w:themeFill="background1"/>
        </w:rPr>
        <w:t>.5</w:t>
      </w:r>
      <w:r w:rsidRPr="0078036C">
        <w:rPr>
          <w:shd w:val="clear" w:color="auto" w:fill="FFFFFF" w:themeFill="background1"/>
        </w:rPr>
        <w:t xml:space="preserve"> per cent</w:t>
      </w:r>
      <w:r w:rsidRPr="00104AF2">
        <w:rPr>
          <w:shd w:val="clear" w:color="auto" w:fill="FFFFFF" w:themeFill="background1"/>
        </w:rPr>
        <w:t xml:space="preserve"> per year (table </w:t>
      </w:r>
      <w:proofErr w:type="spellStart"/>
      <w:r w:rsidRPr="00104AF2">
        <w:rPr>
          <w:shd w:val="clear" w:color="auto" w:fill="FFFFFF" w:themeFill="background1"/>
        </w:rPr>
        <w:t>4A.1</w:t>
      </w:r>
      <w:r w:rsidR="0013774C" w:rsidRPr="00104AF2">
        <w:rPr>
          <w:shd w:val="clear" w:color="auto" w:fill="FFFFFF" w:themeFill="background1"/>
        </w:rPr>
        <w:t>7</w:t>
      </w:r>
      <w:proofErr w:type="spellEnd"/>
      <w:r w:rsidRPr="00104AF2">
        <w:rPr>
          <w:shd w:val="clear" w:color="auto" w:fill="FFFFFF" w:themeFill="background1"/>
        </w:rPr>
        <w:t>).</w:t>
      </w:r>
      <w:r w:rsidR="009A52FC" w:rsidRPr="00104AF2">
        <w:rPr>
          <w:shd w:val="clear" w:color="auto" w:fill="FFFFFF" w:themeFill="background1"/>
        </w:rPr>
        <w:t xml:space="preserve"> Data for years 200</w:t>
      </w:r>
      <w:r w:rsidR="00530C4B">
        <w:rPr>
          <w:shd w:val="clear" w:color="auto" w:fill="FFFFFF" w:themeFill="background1"/>
        </w:rPr>
        <w:t>3</w:t>
      </w:r>
      <w:r w:rsidR="008B5ED3">
        <w:rPr>
          <w:shd w:val="clear" w:color="auto" w:fill="FFFFFF" w:themeFill="background1"/>
        </w:rPr>
        <w:noBreakHyphen/>
      </w:r>
      <w:r w:rsidR="009A52FC" w:rsidRPr="00104AF2">
        <w:rPr>
          <w:shd w:val="clear" w:color="auto" w:fill="FFFFFF" w:themeFill="background1"/>
        </w:rPr>
        <w:t>0</w:t>
      </w:r>
      <w:r w:rsidR="00530C4B">
        <w:rPr>
          <w:shd w:val="clear" w:color="auto" w:fill="FFFFFF" w:themeFill="background1"/>
        </w:rPr>
        <w:t>4</w:t>
      </w:r>
      <w:r w:rsidR="009A52FC" w:rsidRPr="00104AF2">
        <w:rPr>
          <w:shd w:val="clear" w:color="auto" w:fill="FFFFFF" w:themeFill="background1"/>
        </w:rPr>
        <w:t xml:space="preserve"> to 201</w:t>
      </w:r>
      <w:r w:rsidR="00530C4B">
        <w:rPr>
          <w:shd w:val="clear" w:color="auto" w:fill="FFFFFF" w:themeFill="background1"/>
        </w:rPr>
        <w:t>2</w:t>
      </w:r>
      <w:r w:rsidR="009A52FC" w:rsidRPr="00104AF2">
        <w:rPr>
          <w:shd w:val="clear" w:color="auto" w:fill="FFFFFF" w:themeFill="background1"/>
        </w:rPr>
        <w:t>-</w:t>
      </w:r>
      <w:r w:rsidR="009738E5" w:rsidRPr="00104AF2">
        <w:rPr>
          <w:shd w:val="clear" w:color="auto" w:fill="FFFFFF" w:themeFill="background1"/>
        </w:rPr>
        <w:t>1</w:t>
      </w:r>
      <w:r w:rsidR="00530C4B">
        <w:rPr>
          <w:shd w:val="clear" w:color="auto" w:fill="FFFFFF" w:themeFill="background1"/>
        </w:rPr>
        <w:t>3</w:t>
      </w:r>
      <w:r w:rsidR="009738E5" w:rsidRPr="00104AF2">
        <w:rPr>
          <w:shd w:val="clear" w:color="auto" w:fill="FFFFFF" w:themeFill="background1"/>
        </w:rPr>
        <w:t xml:space="preserve"> are included in table </w:t>
      </w:r>
      <w:proofErr w:type="spellStart"/>
      <w:r w:rsidR="009738E5" w:rsidRPr="00104AF2">
        <w:rPr>
          <w:shd w:val="clear" w:color="auto" w:fill="FFFFFF" w:themeFill="background1"/>
        </w:rPr>
        <w:t>4A.1</w:t>
      </w:r>
      <w:r w:rsidR="0013774C" w:rsidRPr="00104AF2">
        <w:rPr>
          <w:shd w:val="clear" w:color="auto" w:fill="FFFFFF" w:themeFill="background1"/>
        </w:rPr>
        <w:t>7</w:t>
      </w:r>
      <w:proofErr w:type="spellEnd"/>
      <w:r w:rsidR="0013774C" w:rsidRPr="00104AF2">
        <w:rPr>
          <w:shd w:val="clear" w:color="auto" w:fill="FFFFFF" w:themeFill="background1"/>
        </w:rPr>
        <w:t xml:space="preserve"> (real values) and </w:t>
      </w:r>
      <w:proofErr w:type="spellStart"/>
      <w:r w:rsidR="0013774C" w:rsidRPr="00104AF2">
        <w:rPr>
          <w:shd w:val="clear" w:color="auto" w:fill="FFFFFF" w:themeFill="background1"/>
        </w:rPr>
        <w:t>4A.18</w:t>
      </w:r>
      <w:proofErr w:type="spellEnd"/>
      <w:r w:rsidR="0013774C" w:rsidRPr="00104AF2">
        <w:rPr>
          <w:shd w:val="clear" w:color="auto" w:fill="FFFFFF" w:themeFill="background1"/>
        </w:rPr>
        <w:t xml:space="preserve"> (nominal values)</w:t>
      </w:r>
      <w:r w:rsidR="009738E5" w:rsidRPr="00104AF2">
        <w:rPr>
          <w:shd w:val="clear" w:color="auto" w:fill="FFFFFF" w:themeFill="background1"/>
        </w:rPr>
        <w:t>.</w:t>
      </w:r>
    </w:p>
    <w:p w:rsidR="00666ECE" w:rsidRPr="009738E5" w:rsidRDefault="00666ECE" w:rsidP="0089766B">
      <w:pPr>
        <w:pStyle w:val="BodyText"/>
      </w:pPr>
      <w:r w:rsidRPr="00E97CD0">
        <w:t xml:space="preserve">Government recurrent </w:t>
      </w:r>
      <w:r w:rsidRPr="009738E5">
        <w:t>expenditure on staff in government schools accounted for $</w:t>
      </w:r>
      <w:r w:rsidR="009738E5" w:rsidRPr="009738E5">
        <w:t>23.</w:t>
      </w:r>
      <w:r w:rsidR="00651320">
        <w:t>4</w:t>
      </w:r>
      <w:r w:rsidR="00530C4B">
        <w:t> </w:t>
      </w:r>
      <w:r w:rsidRPr="009738E5">
        <w:t>billion (</w:t>
      </w:r>
      <w:r w:rsidR="002B1D5E" w:rsidRPr="009738E5">
        <w:t>63.</w:t>
      </w:r>
      <w:r w:rsidR="009738E5" w:rsidRPr="009738E5">
        <w:t>6</w:t>
      </w:r>
      <w:r w:rsidRPr="009738E5">
        <w:t xml:space="preserve"> per cent) of total recurrent expenditure in 201</w:t>
      </w:r>
      <w:r w:rsidR="00530C4B">
        <w:t>2</w:t>
      </w:r>
      <w:r w:rsidRPr="009738E5">
        <w:t>-1</w:t>
      </w:r>
      <w:r w:rsidR="00530C4B">
        <w:t>3</w:t>
      </w:r>
      <w:r w:rsidRPr="009738E5">
        <w:t xml:space="preserve"> (table </w:t>
      </w:r>
      <w:proofErr w:type="spellStart"/>
      <w:r w:rsidRPr="009738E5">
        <w:t>4A.</w:t>
      </w:r>
      <w:r w:rsidR="0013774C">
        <w:t>10</w:t>
      </w:r>
      <w:proofErr w:type="spellEnd"/>
      <w:r w:rsidRPr="009738E5">
        <w:t>). Nationally, expenditure on staff per FTE student was $</w:t>
      </w:r>
      <w:r w:rsidR="002B1D5E" w:rsidRPr="009738E5">
        <w:t>8</w:t>
      </w:r>
      <w:r w:rsidR="00530C4B">
        <w:t>870</w:t>
      </w:r>
      <w:r w:rsidRPr="009738E5">
        <w:t xml:space="preserve"> for in-school primary, $</w:t>
      </w:r>
      <w:r w:rsidR="002B1D5E" w:rsidRPr="009738E5">
        <w:t xml:space="preserve">10 </w:t>
      </w:r>
      <w:r w:rsidR="00530C4B">
        <w:t>594</w:t>
      </w:r>
      <w:r w:rsidRPr="009738E5">
        <w:t xml:space="preserve"> for in-school secondary and $</w:t>
      </w:r>
      <w:r w:rsidR="00D26BF4" w:rsidRPr="009738E5">
        <w:t>4</w:t>
      </w:r>
      <w:r w:rsidR="00530C4B">
        <w:t>57</w:t>
      </w:r>
      <w:r w:rsidRPr="009738E5">
        <w:t xml:space="preserve"> for out-of-school (figure 4.</w:t>
      </w:r>
      <w:r w:rsidR="00FF2AB3">
        <w:t>20</w:t>
      </w:r>
      <w:r w:rsidRPr="009738E5">
        <w:t>).</w:t>
      </w:r>
    </w:p>
    <w:p w:rsidR="001E65D8" w:rsidRDefault="001E65D8" w:rsidP="001E65D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E65D8" w:rsidTr="001E65D8">
        <w:tc>
          <w:tcPr>
            <w:tcW w:w="8771" w:type="dxa"/>
            <w:tcBorders>
              <w:top w:val="single" w:sz="6" w:space="0" w:color="78A22F"/>
              <w:left w:val="nil"/>
              <w:bottom w:val="nil"/>
              <w:right w:val="nil"/>
            </w:tcBorders>
            <w:shd w:val="clear" w:color="auto" w:fill="auto"/>
          </w:tcPr>
          <w:p w:rsidR="001E65D8" w:rsidRPr="00176D3F" w:rsidRDefault="001E65D8" w:rsidP="00177564">
            <w:pPr>
              <w:pStyle w:val="FigureTitle"/>
            </w:pPr>
            <w:r w:rsidRPr="00784A05">
              <w:rPr>
                <w:b w:val="0"/>
              </w:rPr>
              <w:t xml:space="preserve">Figure </w:t>
            </w:r>
            <w:r w:rsidR="00B70781">
              <w:rPr>
                <w:b w:val="0"/>
              </w:rPr>
              <w:t>4.</w:t>
            </w:r>
            <w:r w:rsidR="005953B6">
              <w:rPr>
                <w:b w:val="0"/>
                <w:noProof/>
              </w:rPr>
              <w:t>20</w:t>
            </w:r>
            <w:r>
              <w:tab/>
            </w:r>
            <w:r w:rsidRPr="001E65D8">
              <w:t>Government recurrent expenditure on staff in government schools, per FTE student, 201</w:t>
            </w:r>
            <w:r w:rsidR="00177564">
              <w:t>2</w:t>
            </w:r>
            <w:r w:rsidRPr="001E65D8">
              <w:t>-1</w:t>
            </w:r>
            <w:r w:rsidR="00177564">
              <w:t>3</w:t>
            </w:r>
            <w:r w:rsidRPr="00490911">
              <w:rPr>
                <w:rStyle w:val="NoteLabel"/>
                <w:b/>
              </w:rPr>
              <w:t>a, b</w:t>
            </w:r>
          </w:p>
        </w:tc>
      </w:tr>
      <w:tr w:rsidR="001E65D8" w:rsidTr="001E65D8">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E65D8" w:rsidTr="001E65D8">
              <w:trPr>
                <w:jc w:val="center"/>
              </w:trPr>
              <w:tc>
                <w:tcPr>
                  <w:tcW w:w="5000" w:type="pct"/>
                  <w:tcBorders>
                    <w:top w:val="nil"/>
                    <w:bottom w:val="nil"/>
                  </w:tcBorders>
                </w:tcPr>
                <w:p w:rsidR="001E65D8" w:rsidRDefault="00DC200A" w:rsidP="001E65D8">
                  <w:pPr>
                    <w:pStyle w:val="Figure"/>
                    <w:spacing w:before="60" w:after="60"/>
                  </w:pPr>
                  <w:r>
                    <w:rPr>
                      <w:noProof/>
                    </w:rPr>
                    <w:drawing>
                      <wp:inline distT="0" distB="0" distL="0" distR="0">
                        <wp:extent cx="5381625" cy="2647950"/>
                        <wp:effectExtent l="0" t="0" r="9525" b="0"/>
                        <wp:docPr id="20" name="Picture 20" descr="Figure 4.20 Government recurrent expenditure on staff in government schools, per FTE student,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81625" cy="2647950"/>
                                </a:xfrm>
                                <a:prstGeom prst="rect">
                                  <a:avLst/>
                                </a:prstGeom>
                                <a:noFill/>
                                <a:ln>
                                  <a:noFill/>
                                </a:ln>
                              </pic:spPr>
                            </pic:pic>
                          </a:graphicData>
                        </a:graphic>
                      </wp:inline>
                    </w:drawing>
                  </w:r>
                </w:p>
              </w:tc>
            </w:tr>
          </w:tbl>
          <w:p w:rsidR="001E65D8" w:rsidRDefault="001E65D8" w:rsidP="001E65D8">
            <w:pPr>
              <w:pStyle w:val="Figure"/>
            </w:pPr>
          </w:p>
        </w:tc>
      </w:tr>
      <w:tr w:rsidR="001E65D8" w:rsidRPr="00176D3F" w:rsidTr="001E65D8">
        <w:tc>
          <w:tcPr>
            <w:tcW w:w="8771" w:type="dxa"/>
            <w:tcBorders>
              <w:top w:val="nil"/>
              <w:left w:val="nil"/>
              <w:bottom w:val="nil"/>
              <w:right w:val="nil"/>
            </w:tcBorders>
            <w:shd w:val="clear" w:color="auto" w:fill="auto"/>
          </w:tcPr>
          <w:p w:rsidR="001E65D8" w:rsidRPr="00176D3F" w:rsidRDefault="001E65D8" w:rsidP="001E65D8">
            <w:pPr>
              <w:pStyle w:val="Note"/>
            </w:pPr>
            <w:r>
              <w:rPr>
                <w:rStyle w:val="NoteLabel"/>
              </w:rPr>
              <w:t>a</w:t>
            </w:r>
            <w:r>
              <w:t xml:space="preserve"> </w:t>
            </w:r>
            <w:r w:rsidRPr="001E65D8">
              <w:t xml:space="preserve"> See notes to table </w:t>
            </w:r>
            <w:proofErr w:type="spellStart"/>
            <w:r w:rsidRPr="001E65D8">
              <w:t>4A.14</w:t>
            </w:r>
            <w:proofErr w:type="spellEnd"/>
            <w:r w:rsidRPr="001E65D8">
              <w:t xml:space="preserve"> for definitions and data caveats. </w:t>
            </w:r>
            <w:r w:rsidRPr="002532CC">
              <w:rPr>
                <w:rStyle w:val="NoteLabel"/>
              </w:rPr>
              <w:t>b</w:t>
            </w:r>
            <w:r w:rsidRPr="001E65D8">
              <w:t> Expenditure on staff includes teaching staff and other staff, and includes expenditure on redundancy payments.</w:t>
            </w:r>
          </w:p>
        </w:tc>
      </w:tr>
      <w:tr w:rsidR="001E65D8" w:rsidRPr="00176D3F" w:rsidTr="001E65D8">
        <w:tc>
          <w:tcPr>
            <w:tcW w:w="8771" w:type="dxa"/>
            <w:tcBorders>
              <w:top w:val="nil"/>
              <w:left w:val="nil"/>
              <w:bottom w:val="nil"/>
              <w:right w:val="nil"/>
            </w:tcBorders>
            <w:shd w:val="clear" w:color="auto" w:fill="auto"/>
          </w:tcPr>
          <w:p w:rsidR="001E65D8" w:rsidRPr="00176D3F" w:rsidRDefault="001E65D8" w:rsidP="00490911">
            <w:pPr>
              <w:pStyle w:val="Source"/>
            </w:pPr>
            <w:r>
              <w:rPr>
                <w:i/>
              </w:rPr>
              <w:t>S</w:t>
            </w:r>
            <w:r w:rsidRPr="00784A05">
              <w:rPr>
                <w:i/>
              </w:rPr>
              <w:t>ource</w:t>
            </w:r>
            <w:r w:rsidRPr="00176D3F">
              <w:t xml:space="preserve">: </w:t>
            </w:r>
            <w:r w:rsidRPr="001E65D8">
              <w:t>ABS (201</w:t>
            </w:r>
            <w:r w:rsidR="00490911">
              <w:t>4</w:t>
            </w:r>
            <w:r w:rsidRPr="001E65D8">
              <w:t xml:space="preserve">) </w:t>
            </w:r>
            <w:r w:rsidRPr="001E65D8">
              <w:rPr>
                <w:i/>
              </w:rPr>
              <w:t>Schools Australia 2012</w:t>
            </w:r>
            <w:r w:rsidRPr="001E65D8">
              <w:t xml:space="preserve">, Cat. no. 4221.0; </w:t>
            </w:r>
            <w:r w:rsidR="00490911">
              <w:t>Education Council</w:t>
            </w:r>
            <w:r w:rsidRPr="001E65D8">
              <w:t xml:space="preserve"> (unpublished) </w:t>
            </w:r>
            <w:proofErr w:type="spellStart"/>
            <w:r w:rsidRPr="001E65D8">
              <w:t>NSSC</w:t>
            </w:r>
            <w:proofErr w:type="spellEnd"/>
            <w:r w:rsidRPr="001E65D8">
              <w:t xml:space="preserve">; table </w:t>
            </w:r>
            <w:proofErr w:type="spellStart"/>
            <w:r w:rsidRPr="001E65D8">
              <w:t>4A.14</w:t>
            </w:r>
            <w:proofErr w:type="spellEnd"/>
            <w:r w:rsidRPr="001E65D8">
              <w:t>.</w:t>
            </w:r>
          </w:p>
        </w:tc>
      </w:tr>
      <w:tr w:rsidR="001E65D8" w:rsidTr="001E65D8">
        <w:tc>
          <w:tcPr>
            <w:tcW w:w="8771" w:type="dxa"/>
            <w:tcBorders>
              <w:top w:val="nil"/>
              <w:left w:val="nil"/>
              <w:bottom w:val="single" w:sz="6" w:space="0" w:color="78A22F"/>
              <w:right w:val="nil"/>
            </w:tcBorders>
            <w:shd w:val="clear" w:color="auto" w:fill="auto"/>
          </w:tcPr>
          <w:p w:rsidR="001E65D8" w:rsidRDefault="001E65D8" w:rsidP="001E65D8">
            <w:pPr>
              <w:pStyle w:val="Figurespace"/>
            </w:pPr>
          </w:p>
        </w:tc>
      </w:tr>
      <w:tr w:rsidR="001E65D8" w:rsidRPr="000863A5" w:rsidTr="001E65D8">
        <w:tc>
          <w:tcPr>
            <w:tcW w:w="8771" w:type="dxa"/>
            <w:tcBorders>
              <w:top w:val="single" w:sz="6" w:space="0" w:color="78A22F"/>
              <w:left w:val="nil"/>
              <w:bottom w:val="nil"/>
              <w:right w:val="nil"/>
            </w:tcBorders>
          </w:tcPr>
          <w:p w:rsidR="001E65D8" w:rsidRPr="00626D32" w:rsidRDefault="001E65D8" w:rsidP="001E65D8">
            <w:pPr>
              <w:pStyle w:val="BoxSpaceBelow"/>
            </w:pPr>
          </w:p>
        </w:tc>
      </w:tr>
    </w:tbl>
    <w:p w:rsidR="00666ECE" w:rsidRPr="00666ECE" w:rsidRDefault="00666ECE" w:rsidP="00466214">
      <w:pPr>
        <w:pStyle w:val="Heading5"/>
      </w:pPr>
      <w:r w:rsidRPr="00666ECE">
        <w:t>User cost of capital per student</w:t>
      </w:r>
    </w:p>
    <w:p w:rsidR="00666ECE" w:rsidRDefault="00666ECE" w:rsidP="0089766B">
      <w:pPr>
        <w:pStyle w:val="BodyText"/>
      </w:pPr>
      <w:r w:rsidRPr="00BA1CEC">
        <w:t>‘User cost of capital (</w:t>
      </w:r>
      <w:proofErr w:type="spellStart"/>
      <w:r w:rsidRPr="00BA1CEC">
        <w:t>UCC</w:t>
      </w:r>
      <w:proofErr w:type="spellEnd"/>
      <w:r w:rsidRPr="00BA1CEC">
        <w:t xml:space="preserve">) per student’ is an indicator of governments’ </w:t>
      </w:r>
      <w:r w:rsidR="000F12AB" w:rsidRPr="00BA1CEC">
        <w:t xml:space="preserve">use </w:t>
      </w:r>
      <w:r w:rsidR="002F792C" w:rsidRPr="00BA1CEC">
        <w:t xml:space="preserve">of </w:t>
      </w:r>
      <w:r w:rsidR="000F12AB" w:rsidRPr="00BA1CEC">
        <w:t xml:space="preserve">capital assets to </w:t>
      </w:r>
      <w:r w:rsidRPr="00BA1CEC">
        <w:t>provide education (box 4.</w:t>
      </w:r>
      <w:r w:rsidR="00FF2AB3">
        <w:t>7</w:t>
      </w:r>
      <w:r w:rsidR="00A71945">
        <w:t>)</w:t>
      </w:r>
      <w:r w:rsidRPr="00BA1CEC">
        <w:t>.</w:t>
      </w:r>
    </w:p>
    <w:p w:rsidR="00530C4B" w:rsidRDefault="00530C4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30C4B" w:rsidTr="00751345">
        <w:tc>
          <w:tcPr>
            <w:tcW w:w="8771" w:type="dxa"/>
            <w:tcBorders>
              <w:top w:val="single" w:sz="6" w:space="0" w:color="78A22F"/>
              <w:left w:val="nil"/>
              <w:bottom w:val="nil"/>
              <w:right w:val="nil"/>
            </w:tcBorders>
            <w:shd w:val="clear" w:color="auto" w:fill="F2F2F2"/>
          </w:tcPr>
          <w:p w:rsidR="00530C4B" w:rsidRDefault="00530C4B">
            <w:pPr>
              <w:pStyle w:val="BoxTitle"/>
            </w:pPr>
            <w:r>
              <w:rPr>
                <w:b w:val="0"/>
              </w:rPr>
              <w:t xml:space="preserve">Box </w:t>
            </w:r>
            <w:r w:rsidR="00B70781">
              <w:rPr>
                <w:b w:val="0"/>
              </w:rPr>
              <w:t>4.</w:t>
            </w:r>
            <w:r w:rsidR="005953B6">
              <w:rPr>
                <w:b w:val="0"/>
                <w:noProof/>
              </w:rPr>
              <w:t>7</w:t>
            </w:r>
            <w:r>
              <w:tab/>
            </w:r>
            <w:r w:rsidRPr="00530C4B">
              <w:t>User cost of capital per student</w:t>
            </w:r>
          </w:p>
        </w:tc>
      </w:tr>
      <w:tr w:rsidR="00530C4B" w:rsidTr="00751345">
        <w:trPr>
          <w:cantSplit/>
        </w:trPr>
        <w:tc>
          <w:tcPr>
            <w:tcW w:w="8771" w:type="dxa"/>
            <w:tcBorders>
              <w:top w:val="nil"/>
              <w:left w:val="nil"/>
              <w:bottom w:val="nil"/>
              <w:right w:val="nil"/>
            </w:tcBorders>
            <w:shd w:val="clear" w:color="auto" w:fill="F2F2F2"/>
          </w:tcPr>
          <w:p w:rsidR="00530C4B" w:rsidRPr="00530C4B" w:rsidRDefault="000E5B08" w:rsidP="00530C4B">
            <w:pPr>
              <w:pStyle w:val="Box"/>
            </w:pPr>
            <w:r>
              <w:t>‘</w:t>
            </w:r>
            <w:proofErr w:type="spellStart"/>
            <w:r w:rsidR="00530C4B" w:rsidRPr="00530C4B">
              <w:t>UCC</w:t>
            </w:r>
            <w:proofErr w:type="spellEnd"/>
            <w:r w:rsidR="00530C4B" w:rsidRPr="00530C4B">
              <w:t xml:space="preserve"> per student’ is defined as the notional costs to governments of the funds tied up in capital (for example, land and buildings owned by government schools) used to produce services, per FTE student. The notional </w:t>
            </w:r>
            <w:proofErr w:type="spellStart"/>
            <w:r w:rsidR="00530C4B" w:rsidRPr="00530C4B">
              <w:t>UCC</w:t>
            </w:r>
            <w:proofErr w:type="spellEnd"/>
            <w:r w:rsidR="00530C4B" w:rsidRPr="00530C4B">
              <w:t xml:space="preserve"> makes explicit the opportunity cost of using the funds to provide services rather than investing elsewhere or retiring debt. When comparing the costs of government services, it is important to account for the notional </w:t>
            </w:r>
            <w:proofErr w:type="spellStart"/>
            <w:r w:rsidR="00530C4B" w:rsidRPr="00530C4B">
              <w:t>UCC</w:t>
            </w:r>
            <w:proofErr w:type="spellEnd"/>
            <w:r w:rsidR="00530C4B" w:rsidRPr="00530C4B">
              <w:t xml:space="preserve"> because it is:</w:t>
            </w:r>
          </w:p>
          <w:p w:rsidR="00530C4B" w:rsidRPr="00530C4B" w:rsidRDefault="00530C4B" w:rsidP="00530C4B">
            <w:pPr>
              <w:pStyle w:val="BoxListBullet"/>
            </w:pPr>
            <w:r w:rsidRPr="00530C4B">
              <w:t>often a significant component of the cost of services</w:t>
            </w:r>
          </w:p>
          <w:p w:rsidR="00530C4B" w:rsidRPr="00530C4B" w:rsidRDefault="00530C4B" w:rsidP="00530C4B">
            <w:pPr>
              <w:pStyle w:val="BoxListBullet"/>
            </w:pPr>
            <w:r w:rsidRPr="00530C4B">
              <w:t>often treated inconsistently (that is, included in the costs of services delivered by most non</w:t>
            </w:r>
            <w:r w:rsidR="000E5B08">
              <w:noBreakHyphen/>
            </w:r>
            <w:r w:rsidRPr="00530C4B">
              <w:t xml:space="preserve">government service providers, but effectively costed at zero for many government service providers). </w:t>
            </w:r>
          </w:p>
          <w:p w:rsidR="00530C4B" w:rsidRPr="00530C4B" w:rsidRDefault="00530C4B" w:rsidP="00530C4B">
            <w:pPr>
              <w:pStyle w:val="Box"/>
            </w:pPr>
            <w:r w:rsidRPr="00530C4B">
              <w:t xml:space="preserve">Notional </w:t>
            </w:r>
            <w:proofErr w:type="spellStart"/>
            <w:r w:rsidRPr="00530C4B">
              <w:t>UCC</w:t>
            </w:r>
            <w:proofErr w:type="spellEnd"/>
            <w:r w:rsidRPr="00530C4B">
              <w:t xml:space="preserve"> reflects the annual </w:t>
            </w:r>
            <w:proofErr w:type="spellStart"/>
            <w:r w:rsidRPr="00530C4B">
              <w:t>UCC</w:t>
            </w:r>
            <w:proofErr w:type="spellEnd"/>
            <w:r w:rsidRPr="00530C4B">
              <w:t xml:space="preserve"> per FTE student, and is set at 8 per cent of the value of non-current physical assets, which are re-valued over time.</w:t>
            </w:r>
          </w:p>
          <w:p w:rsidR="00530C4B" w:rsidRPr="00530C4B" w:rsidRDefault="00530C4B" w:rsidP="00530C4B">
            <w:pPr>
              <w:pStyle w:val="Box"/>
            </w:pPr>
            <w:r w:rsidRPr="00530C4B">
              <w:t xml:space="preserve">Holding other factors constant, a low or decreasing </w:t>
            </w:r>
            <w:proofErr w:type="spellStart"/>
            <w:r w:rsidRPr="00530C4B">
              <w:t>UCC</w:t>
            </w:r>
            <w:proofErr w:type="spellEnd"/>
            <w:r w:rsidRPr="00530C4B">
              <w:t xml:space="preserve"> per student may represent better or improved efficiency. </w:t>
            </w:r>
          </w:p>
          <w:p w:rsidR="00530C4B" w:rsidRPr="00530C4B" w:rsidRDefault="00530C4B" w:rsidP="00530C4B">
            <w:pPr>
              <w:pStyle w:val="Box"/>
            </w:pPr>
            <w:r w:rsidRPr="00530C4B">
              <w:t xml:space="preserve">Efficiency data are difficult to interpret and this indicator in particular is only partial in nature, as it does not reflect the full cost per student. While high or increasing </w:t>
            </w:r>
            <w:proofErr w:type="spellStart"/>
            <w:r w:rsidRPr="00530C4B">
              <w:t>UCC</w:t>
            </w:r>
            <w:proofErr w:type="spellEnd"/>
            <w:r w:rsidRPr="00530C4B">
              <w:t xml:space="preserve"> per student may reflect deteriorating efficiency, it may also reflect changes in aspects of schooling (broader curricula, enhanced facilities), or the characteristics of the education environment (such as population dispersion and/or rapid growth and more geographically remote students). Similarly, low or decreasing </w:t>
            </w:r>
            <w:proofErr w:type="spellStart"/>
            <w:r w:rsidRPr="00530C4B">
              <w:t>UCC</w:t>
            </w:r>
            <w:proofErr w:type="spellEnd"/>
            <w:r w:rsidRPr="00530C4B">
              <w:t xml:space="preserve"> per student may reflect improving efficiency or lower quality (less effective education) or fewer facilities or reduced capital maintenance. </w:t>
            </w:r>
          </w:p>
          <w:p w:rsidR="00530C4B" w:rsidRPr="00530C4B" w:rsidRDefault="00530C4B" w:rsidP="00530C4B">
            <w:pPr>
              <w:pStyle w:val="Box"/>
            </w:pPr>
            <w:r w:rsidRPr="00530C4B">
              <w:t xml:space="preserve">Fluctuations in asset values such as land market values, the varying proportions of the written down value of assets which relates to land and the interval between revaluations (which vary from annual to five yearly), may affect </w:t>
            </w:r>
            <w:proofErr w:type="spellStart"/>
            <w:r w:rsidR="000E5B08">
              <w:t>UCC</w:t>
            </w:r>
            <w:proofErr w:type="spellEnd"/>
            <w:r w:rsidRPr="00530C4B">
              <w:t xml:space="preserve"> across jurisdictions and within jurisdictions over time. Values also fluctuate across jurisdictions due to variations in accounting policies.</w:t>
            </w:r>
          </w:p>
          <w:p w:rsidR="00530C4B" w:rsidRPr="00530C4B" w:rsidRDefault="00530C4B" w:rsidP="00530C4B">
            <w:pPr>
              <w:pStyle w:val="Box"/>
            </w:pPr>
            <w:r w:rsidRPr="00530C4B">
              <w:t>Efficiency data need to be interpreted within the context of the effectiveness and equity indicators to derive an holistic view of performance.</w:t>
            </w:r>
          </w:p>
          <w:p w:rsidR="00530C4B" w:rsidRPr="00530C4B" w:rsidRDefault="00530C4B" w:rsidP="00530C4B">
            <w:pPr>
              <w:pStyle w:val="Box"/>
            </w:pPr>
            <w:r w:rsidRPr="00530C4B">
              <w:t>Data reported for this indicator are:</w:t>
            </w:r>
          </w:p>
          <w:p w:rsidR="00530C4B" w:rsidRPr="00530C4B" w:rsidRDefault="00530C4B" w:rsidP="00530C4B">
            <w:pPr>
              <w:pStyle w:val="BoxListBullet"/>
            </w:pPr>
            <w:r w:rsidRPr="00530C4B">
              <w:t>comparable (subject to caveats) within jurisdictions over time but are not comparable across jurisdictions</w:t>
            </w:r>
          </w:p>
          <w:p w:rsidR="00530C4B" w:rsidRPr="00530C4B" w:rsidRDefault="00530C4B" w:rsidP="00530C4B">
            <w:pPr>
              <w:pStyle w:val="BoxListBullet"/>
            </w:pPr>
            <w:r w:rsidRPr="00530C4B">
              <w:t>complete for the current reporting period (subject to caveats). All required 201</w:t>
            </w:r>
            <w:r w:rsidR="0025099B">
              <w:t>2</w:t>
            </w:r>
            <w:r w:rsidRPr="00530C4B">
              <w:t>-1</w:t>
            </w:r>
            <w:r w:rsidR="0025099B">
              <w:t>3</w:t>
            </w:r>
            <w:r w:rsidRPr="00530C4B">
              <w:t xml:space="preserve"> data are available for all jurisdictions providing the service.</w:t>
            </w:r>
          </w:p>
          <w:p w:rsidR="00530C4B" w:rsidRDefault="00530C4B" w:rsidP="0025099B">
            <w:pPr>
              <w:pStyle w:val="Box"/>
            </w:pPr>
            <w:r w:rsidRPr="00530C4B">
              <w:t xml:space="preserve">Information about data quality for this indicator is at </w:t>
            </w:r>
            <w:proofErr w:type="spellStart"/>
            <w:r w:rsidR="00723DDD" w:rsidRPr="00963842">
              <w:t>www.pc.gov.au</w:t>
            </w:r>
            <w:proofErr w:type="spellEnd"/>
            <w:r w:rsidR="00723DDD" w:rsidRPr="00963842">
              <w:t>/</w:t>
            </w:r>
            <w:proofErr w:type="spellStart"/>
            <w:r w:rsidR="0025099B" w:rsidRPr="00963842">
              <w:t>rogs</w:t>
            </w:r>
            <w:proofErr w:type="spellEnd"/>
            <w:r w:rsidR="0025099B" w:rsidRPr="00963842">
              <w:t>/2015</w:t>
            </w:r>
            <w:r w:rsidRPr="00530C4B">
              <w:t>.</w:t>
            </w:r>
          </w:p>
        </w:tc>
      </w:tr>
      <w:tr w:rsidR="00530C4B" w:rsidTr="00751345">
        <w:trPr>
          <w:cantSplit/>
        </w:trPr>
        <w:tc>
          <w:tcPr>
            <w:tcW w:w="8771" w:type="dxa"/>
            <w:tcBorders>
              <w:top w:val="nil"/>
              <w:left w:val="nil"/>
              <w:bottom w:val="single" w:sz="6" w:space="0" w:color="78A22F"/>
              <w:right w:val="nil"/>
            </w:tcBorders>
            <w:shd w:val="clear" w:color="auto" w:fill="F2F2F2"/>
          </w:tcPr>
          <w:p w:rsidR="00530C4B" w:rsidRDefault="00530C4B">
            <w:pPr>
              <w:pStyle w:val="Box"/>
              <w:spacing w:before="0" w:line="120" w:lineRule="exact"/>
            </w:pPr>
          </w:p>
        </w:tc>
      </w:tr>
      <w:tr w:rsidR="00530C4B" w:rsidRPr="000863A5" w:rsidTr="00751345">
        <w:tc>
          <w:tcPr>
            <w:tcW w:w="8771" w:type="dxa"/>
            <w:tcBorders>
              <w:top w:val="single" w:sz="6" w:space="0" w:color="78A22F"/>
              <w:left w:val="nil"/>
              <w:bottom w:val="nil"/>
              <w:right w:val="nil"/>
            </w:tcBorders>
          </w:tcPr>
          <w:p w:rsidR="00530C4B" w:rsidRPr="00626D32" w:rsidRDefault="00530C4B" w:rsidP="00751345">
            <w:pPr>
              <w:pStyle w:val="BoxSpaceBelow"/>
            </w:pPr>
          </w:p>
        </w:tc>
      </w:tr>
    </w:tbl>
    <w:p w:rsidR="00666ECE" w:rsidRPr="00666ECE" w:rsidRDefault="00666ECE" w:rsidP="0089766B">
      <w:pPr>
        <w:pStyle w:val="BodyText"/>
      </w:pPr>
      <w:r w:rsidRPr="00BA1CEC">
        <w:t xml:space="preserve">The notional </w:t>
      </w:r>
      <w:proofErr w:type="spellStart"/>
      <w:r w:rsidRPr="00BA1CEC">
        <w:t>UCC</w:t>
      </w:r>
      <w:proofErr w:type="spellEnd"/>
      <w:r w:rsidRPr="00BA1CEC">
        <w:t xml:space="preserve"> per FTE government school student in 201</w:t>
      </w:r>
      <w:r w:rsidR="00530C4B">
        <w:t>2</w:t>
      </w:r>
      <w:r w:rsidRPr="00BA1CEC">
        <w:t>-1</w:t>
      </w:r>
      <w:r w:rsidR="00530C4B">
        <w:t>3</w:t>
      </w:r>
      <w:r w:rsidRPr="00BA1CEC">
        <w:t xml:space="preserve"> </w:t>
      </w:r>
      <w:r w:rsidRPr="009738E5">
        <w:t xml:space="preserve">averaged </w:t>
      </w:r>
      <w:r w:rsidRPr="0079166F">
        <w:rPr>
          <w:shd w:val="clear" w:color="auto" w:fill="FFFFFF" w:themeFill="background1"/>
        </w:rPr>
        <w:t>$</w:t>
      </w:r>
      <w:r w:rsidR="009738E5" w:rsidRPr="0079166F">
        <w:rPr>
          <w:shd w:val="clear" w:color="auto" w:fill="FFFFFF" w:themeFill="background1"/>
        </w:rPr>
        <w:t>2</w:t>
      </w:r>
      <w:r w:rsidR="00530C4B" w:rsidRPr="0079166F">
        <w:rPr>
          <w:shd w:val="clear" w:color="auto" w:fill="FFFFFF" w:themeFill="background1"/>
        </w:rPr>
        <w:t>3</w:t>
      </w:r>
      <w:r w:rsidR="00331F26" w:rsidRPr="0079166F">
        <w:rPr>
          <w:shd w:val="clear" w:color="auto" w:fill="FFFFFF" w:themeFill="background1"/>
        </w:rPr>
        <w:t>86</w:t>
      </w:r>
      <w:r w:rsidRPr="009738E5">
        <w:t xml:space="preserve"> </w:t>
      </w:r>
      <w:r w:rsidRPr="00BA1CEC">
        <w:t xml:space="preserve">nationally (table </w:t>
      </w:r>
      <w:proofErr w:type="spellStart"/>
      <w:r w:rsidRPr="00BA1CEC">
        <w:t>4A.</w:t>
      </w:r>
      <w:r w:rsidR="0013774C">
        <w:t>20</w:t>
      </w:r>
      <w:proofErr w:type="spellEnd"/>
      <w:r w:rsidRPr="00BA1CEC">
        <w:t>). Data from 200</w:t>
      </w:r>
      <w:r w:rsidR="00530C4B">
        <w:t>3</w:t>
      </w:r>
      <w:r w:rsidRPr="00BA1CEC">
        <w:t>-0</w:t>
      </w:r>
      <w:r w:rsidR="00530C4B">
        <w:t>4</w:t>
      </w:r>
      <w:r w:rsidRPr="00BA1CEC">
        <w:t xml:space="preserve"> to 201</w:t>
      </w:r>
      <w:r w:rsidR="00530C4B">
        <w:t>2</w:t>
      </w:r>
      <w:r w:rsidRPr="00BA1CEC">
        <w:t>-1</w:t>
      </w:r>
      <w:r w:rsidR="00530C4B">
        <w:t>3</w:t>
      </w:r>
      <w:r w:rsidRPr="00BA1CEC">
        <w:t xml:space="preserve"> showing the various components of the written down value of assets are included in table </w:t>
      </w:r>
      <w:proofErr w:type="spellStart"/>
      <w:r w:rsidRPr="00BA1CEC">
        <w:t>4A.</w:t>
      </w:r>
      <w:r w:rsidR="0013774C">
        <w:t>19</w:t>
      </w:r>
      <w:proofErr w:type="spellEnd"/>
      <w:r w:rsidRPr="00BA1CEC">
        <w:t xml:space="preserve">. Information on the treatment of assets for each </w:t>
      </w:r>
      <w:r w:rsidR="00C43085">
        <w:t>S</w:t>
      </w:r>
      <w:r w:rsidRPr="00BA1CEC">
        <w:t xml:space="preserve">tate and </w:t>
      </w:r>
      <w:r w:rsidR="00C43085">
        <w:t>T</w:t>
      </w:r>
      <w:r w:rsidRPr="00BA1CEC">
        <w:t xml:space="preserve">erritory, including the most recent year of revaluation, is in table </w:t>
      </w:r>
      <w:proofErr w:type="spellStart"/>
      <w:r w:rsidRPr="00BA1CEC">
        <w:t>4A.</w:t>
      </w:r>
      <w:r w:rsidR="0013774C">
        <w:t>21</w:t>
      </w:r>
      <w:proofErr w:type="spellEnd"/>
      <w:r w:rsidRPr="00BA1CEC">
        <w:t>.</w:t>
      </w:r>
    </w:p>
    <w:p w:rsidR="00666ECE" w:rsidRPr="00666ECE" w:rsidRDefault="00666ECE" w:rsidP="007B0AE2">
      <w:pPr>
        <w:pStyle w:val="Heading5"/>
      </w:pPr>
      <w:r w:rsidRPr="00666ECE">
        <w:lastRenderedPageBreak/>
        <w:t>Student-to-staff ratio</w:t>
      </w:r>
    </w:p>
    <w:p w:rsidR="00666ECE" w:rsidRDefault="00666ECE" w:rsidP="0089766B">
      <w:pPr>
        <w:pStyle w:val="BodyText"/>
      </w:pPr>
      <w:r w:rsidRPr="00666ECE">
        <w:t>‘Student-to-staff ratio’ is an indicator of governments’ objective to provide education in an efficient manner (box 4.</w:t>
      </w:r>
      <w:r w:rsidR="00FF2AB3">
        <w:t>8</w:t>
      </w:r>
      <w:r w:rsidRPr="00666ECE">
        <w:t>).</w:t>
      </w:r>
    </w:p>
    <w:p w:rsidR="00FA667D" w:rsidRDefault="00FA667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A667D" w:rsidTr="00751345">
        <w:tc>
          <w:tcPr>
            <w:tcW w:w="8771" w:type="dxa"/>
            <w:tcBorders>
              <w:top w:val="single" w:sz="6" w:space="0" w:color="78A22F"/>
              <w:left w:val="nil"/>
              <w:bottom w:val="nil"/>
              <w:right w:val="nil"/>
            </w:tcBorders>
            <w:shd w:val="clear" w:color="auto" w:fill="F2F2F2"/>
          </w:tcPr>
          <w:p w:rsidR="00FA667D" w:rsidRDefault="00FA667D">
            <w:pPr>
              <w:pStyle w:val="BoxTitle"/>
            </w:pPr>
            <w:r>
              <w:rPr>
                <w:b w:val="0"/>
              </w:rPr>
              <w:t xml:space="preserve">Box </w:t>
            </w:r>
            <w:r w:rsidR="00B70781">
              <w:rPr>
                <w:b w:val="0"/>
              </w:rPr>
              <w:t>4.</w:t>
            </w:r>
            <w:r w:rsidR="005953B6">
              <w:rPr>
                <w:b w:val="0"/>
                <w:noProof/>
              </w:rPr>
              <w:t>8</w:t>
            </w:r>
            <w:r>
              <w:tab/>
            </w:r>
            <w:r w:rsidRPr="00FA667D">
              <w:t>Student-to-staff ratio</w:t>
            </w:r>
          </w:p>
        </w:tc>
      </w:tr>
      <w:tr w:rsidR="00FA667D" w:rsidTr="00751345">
        <w:trPr>
          <w:cantSplit/>
        </w:trPr>
        <w:tc>
          <w:tcPr>
            <w:tcW w:w="8771" w:type="dxa"/>
            <w:tcBorders>
              <w:top w:val="nil"/>
              <w:left w:val="nil"/>
              <w:bottom w:val="nil"/>
              <w:right w:val="nil"/>
            </w:tcBorders>
            <w:shd w:val="clear" w:color="auto" w:fill="F2F2F2"/>
          </w:tcPr>
          <w:p w:rsidR="00FA667D" w:rsidRPr="00FA667D" w:rsidRDefault="00FA667D" w:rsidP="00FA667D">
            <w:pPr>
              <w:pStyle w:val="Box"/>
            </w:pPr>
            <w:r w:rsidRPr="00FA667D">
              <w:t>The ‘student-to-staff ratio’ is defined as the number of FTE students per FTE staff. Data are reported for primary, secondary and all schools, and for teaching and non-teaching staff. The student-to-staff ratio presents the number of students per teacher, where teachers are classified in a way that can be compared across jurisdictions. However, the ratio is not a measure of class size.</w:t>
            </w:r>
          </w:p>
          <w:p w:rsidR="00FA667D" w:rsidRPr="00FA667D" w:rsidRDefault="00FA667D" w:rsidP="00FA667D">
            <w:pPr>
              <w:pStyle w:val="Box"/>
            </w:pPr>
            <w:r w:rsidRPr="00FA667D">
              <w:t>A low ratio means there are a small number of students per teacher. Holding other factors constant, a high or increasing student</w:t>
            </w:r>
            <w:r w:rsidRPr="00FA667D">
              <w:noBreakHyphen/>
              <w:t>to</w:t>
            </w:r>
            <w:r w:rsidRPr="00FA667D">
              <w:noBreakHyphen/>
              <w:t>teacher ratio represents better or improved efficiency. While a low or decreasing student-to-teacher ratio may reflect decreasing efficiency, it may also reflect a higher quality education system, if a lower ratio leads to better student outcomes.</w:t>
            </w:r>
          </w:p>
          <w:p w:rsidR="00FA667D" w:rsidRPr="00FA667D" w:rsidRDefault="00FA667D" w:rsidP="00FA667D">
            <w:pPr>
              <w:pStyle w:val="Box"/>
            </w:pPr>
            <w:r w:rsidRPr="00FA667D">
              <w:t>Care should be taken in interpretation of efficiency data:</w:t>
            </w:r>
          </w:p>
          <w:p w:rsidR="00FA667D" w:rsidRPr="00FA667D" w:rsidRDefault="00FA667D" w:rsidP="00FA667D">
            <w:pPr>
              <w:pStyle w:val="BoxListBullet"/>
            </w:pPr>
            <w:r w:rsidRPr="00FA667D">
              <w:t>efficiency data should be interpreted within the context of the effectiveness and equity indicators to derive an holistic view of performance. The student-to-staff ratio is aggregated across all subjects and year levels, and does not distinguish between subjects and/or year levels where different ratios may be appropriate</w:t>
            </w:r>
          </w:p>
          <w:p w:rsidR="00FA667D" w:rsidRPr="00FA667D" w:rsidRDefault="00FA667D" w:rsidP="00FA667D">
            <w:pPr>
              <w:pStyle w:val="BoxListBullet"/>
            </w:pPr>
            <w:r w:rsidRPr="00FA667D">
              <w:t>the student-to-staff ratio is affected by factors that may differ across the states and territories, including population dispersion (leading to a larger proportion of small schools), the proportion of special needs students, the degree to which administrative work is undertaken by people classified as teachers (such as principals, deputy principals and senior teachers), and the level of other inputs to school education (for example, non</w:t>
            </w:r>
            <w:r w:rsidR="000E5B08">
              <w:noBreakHyphen/>
            </w:r>
            <w:r w:rsidRPr="00FA667D">
              <w:t>teaching staff, computers, books and laboratory equipment).</w:t>
            </w:r>
          </w:p>
          <w:p w:rsidR="00FA667D" w:rsidRPr="00FA667D" w:rsidRDefault="00FA667D" w:rsidP="00FA667D">
            <w:pPr>
              <w:pStyle w:val="Box"/>
            </w:pPr>
            <w:r w:rsidRPr="00FA667D">
              <w:t xml:space="preserve">Data reported for this indicator are </w:t>
            </w:r>
          </w:p>
          <w:p w:rsidR="00FA667D" w:rsidRPr="00FA667D" w:rsidRDefault="00FA667D" w:rsidP="00FA667D">
            <w:pPr>
              <w:pStyle w:val="BoxListBullet"/>
            </w:pPr>
            <w:r w:rsidRPr="00FA667D">
              <w:t>comparable (subject to caveats) across jurisdictions and over time</w:t>
            </w:r>
          </w:p>
          <w:p w:rsidR="00FA667D" w:rsidRPr="00FA667D" w:rsidRDefault="00FA667D" w:rsidP="00FA667D">
            <w:pPr>
              <w:pStyle w:val="BoxListBullet"/>
            </w:pPr>
            <w:r w:rsidRPr="00FA667D">
              <w:t>complete for the current reporting period (subject to caveats). All required 201</w:t>
            </w:r>
            <w:r w:rsidR="0068677C">
              <w:t>3</w:t>
            </w:r>
            <w:r w:rsidRPr="00FA667D">
              <w:t xml:space="preserve"> data are available for all jurisdictions providing the service.</w:t>
            </w:r>
          </w:p>
          <w:p w:rsidR="00FA667D" w:rsidRDefault="00FA667D" w:rsidP="00FA667D">
            <w:pPr>
              <w:pStyle w:val="Box"/>
            </w:pPr>
            <w:r w:rsidRPr="00FA667D">
              <w:t xml:space="preserve">Information about data quality for this indicator is at </w:t>
            </w:r>
            <w:proofErr w:type="spellStart"/>
            <w:r w:rsidR="00723DDD" w:rsidRPr="00963842">
              <w:t>www.pc.gov.au</w:t>
            </w:r>
            <w:proofErr w:type="spellEnd"/>
            <w:r w:rsidR="00723DDD" w:rsidRPr="00963842">
              <w:t>/</w:t>
            </w:r>
            <w:proofErr w:type="spellStart"/>
            <w:r w:rsidRPr="00963842">
              <w:t>rogs</w:t>
            </w:r>
            <w:proofErr w:type="spellEnd"/>
            <w:r w:rsidRPr="00963842">
              <w:t>/2015</w:t>
            </w:r>
            <w:r w:rsidRPr="00FA667D">
              <w:t>.</w:t>
            </w:r>
          </w:p>
        </w:tc>
      </w:tr>
      <w:tr w:rsidR="00FA667D" w:rsidTr="00751345">
        <w:trPr>
          <w:cantSplit/>
        </w:trPr>
        <w:tc>
          <w:tcPr>
            <w:tcW w:w="8771" w:type="dxa"/>
            <w:tcBorders>
              <w:top w:val="nil"/>
              <w:left w:val="nil"/>
              <w:bottom w:val="single" w:sz="6" w:space="0" w:color="78A22F"/>
              <w:right w:val="nil"/>
            </w:tcBorders>
            <w:shd w:val="clear" w:color="auto" w:fill="F2F2F2"/>
          </w:tcPr>
          <w:p w:rsidR="00FA667D" w:rsidRDefault="00FA667D">
            <w:pPr>
              <w:pStyle w:val="Box"/>
              <w:spacing w:before="0" w:line="120" w:lineRule="exact"/>
            </w:pPr>
          </w:p>
        </w:tc>
      </w:tr>
      <w:tr w:rsidR="00FA667D" w:rsidRPr="000863A5" w:rsidTr="00751345">
        <w:tc>
          <w:tcPr>
            <w:tcW w:w="8771" w:type="dxa"/>
            <w:tcBorders>
              <w:top w:val="single" w:sz="6" w:space="0" w:color="78A22F"/>
              <w:left w:val="nil"/>
              <w:bottom w:val="nil"/>
              <w:right w:val="nil"/>
            </w:tcBorders>
          </w:tcPr>
          <w:p w:rsidR="00FA667D" w:rsidRPr="00626D32" w:rsidRDefault="00FA667D" w:rsidP="00751345">
            <w:pPr>
              <w:pStyle w:val="BoxSpaceBelow"/>
            </w:pPr>
          </w:p>
        </w:tc>
      </w:tr>
    </w:tbl>
    <w:p w:rsidR="00666ECE" w:rsidRPr="009738E5" w:rsidRDefault="00666ECE" w:rsidP="0089766B">
      <w:pPr>
        <w:pStyle w:val="BodyText"/>
      </w:pPr>
      <w:r w:rsidRPr="009738E5">
        <w:t>Nationally in 201</w:t>
      </w:r>
      <w:r w:rsidR="006F7099">
        <w:t>3</w:t>
      </w:r>
      <w:r w:rsidRPr="009738E5">
        <w:t xml:space="preserve">, the student-to-teacher ratio for government primary schools was </w:t>
      </w:r>
      <w:r w:rsidR="001C01FD" w:rsidRPr="009738E5">
        <w:t>15.</w:t>
      </w:r>
      <w:r w:rsidR="006F7099">
        <w:t>4</w:t>
      </w:r>
      <w:r w:rsidRPr="009738E5">
        <w:t xml:space="preserve"> and for non-government primary schools was </w:t>
      </w:r>
      <w:r w:rsidR="001C01FD" w:rsidRPr="009738E5">
        <w:t>16.</w:t>
      </w:r>
      <w:r w:rsidR="006F7099">
        <w:t>1</w:t>
      </w:r>
      <w:r w:rsidRPr="009738E5">
        <w:t xml:space="preserve">. For all primary schools, the </w:t>
      </w:r>
      <w:r w:rsidR="00D43188">
        <w:br/>
      </w:r>
      <w:r w:rsidRPr="009738E5">
        <w:t xml:space="preserve">student-to-teacher ratio was </w:t>
      </w:r>
      <w:r w:rsidR="001C01FD" w:rsidRPr="009738E5">
        <w:t>15.</w:t>
      </w:r>
      <w:r w:rsidR="006F7099">
        <w:t>6</w:t>
      </w:r>
      <w:r w:rsidR="001C01FD" w:rsidRPr="009738E5">
        <w:t xml:space="preserve"> </w:t>
      </w:r>
      <w:r w:rsidRPr="009738E5">
        <w:t>(figure 4.</w:t>
      </w:r>
      <w:r w:rsidR="005004F7" w:rsidRPr="009738E5">
        <w:t>2</w:t>
      </w:r>
      <w:r w:rsidR="00FF2AB3">
        <w:t>1</w:t>
      </w:r>
      <w:r w:rsidRPr="009738E5">
        <w:t>).</w:t>
      </w:r>
    </w:p>
    <w:p w:rsidR="00E41D90" w:rsidRDefault="00E41D90" w:rsidP="00E41D9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41D90" w:rsidTr="00E41D90">
        <w:tc>
          <w:tcPr>
            <w:tcW w:w="8771" w:type="dxa"/>
            <w:tcBorders>
              <w:top w:val="single" w:sz="6" w:space="0" w:color="78A22F"/>
              <w:left w:val="nil"/>
              <w:bottom w:val="nil"/>
              <w:right w:val="nil"/>
            </w:tcBorders>
            <w:shd w:val="clear" w:color="auto" w:fill="auto"/>
          </w:tcPr>
          <w:p w:rsidR="00E41D90" w:rsidRPr="00176D3F" w:rsidRDefault="00E41D90" w:rsidP="00462886">
            <w:pPr>
              <w:pStyle w:val="FigureTitle"/>
            </w:pPr>
            <w:r w:rsidRPr="00784A05">
              <w:rPr>
                <w:b w:val="0"/>
              </w:rPr>
              <w:t xml:space="preserve">Figure </w:t>
            </w:r>
            <w:r w:rsidR="00B70781">
              <w:rPr>
                <w:b w:val="0"/>
              </w:rPr>
              <w:t>4.</w:t>
            </w:r>
            <w:r w:rsidR="005953B6">
              <w:rPr>
                <w:b w:val="0"/>
                <w:noProof/>
              </w:rPr>
              <w:t>21</w:t>
            </w:r>
            <w:r>
              <w:tab/>
            </w:r>
            <w:r w:rsidRPr="00E41D90">
              <w:t>Ratio of FTE students to FTE teaching staff, primary schools, 201</w:t>
            </w:r>
            <w:r w:rsidR="00462886">
              <w:t>3</w:t>
            </w:r>
            <w:r w:rsidRPr="00E41D90">
              <w:rPr>
                <w:rStyle w:val="NoteLabel"/>
                <w:b/>
              </w:rPr>
              <w:t>a</w:t>
            </w:r>
          </w:p>
        </w:tc>
      </w:tr>
      <w:tr w:rsidR="00E41D90" w:rsidTr="00E41D90">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E41D90" w:rsidTr="00E41D90">
              <w:trPr>
                <w:jc w:val="center"/>
              </w:trPr>
              <w:tc>
                <w:tcPr>
                  <w:tcW w:w="5000" w:type="pct"/>
                  <w:tcBorders>
                    <w:top w:val="nil"/>
                    <w:bottom w:val="nil"/>
                  </w:tcBorders>
                </w:tcPr>
                <w:p w:rsidR="00E41D90" w:rsidRDefault="00DC200A" w:rsidP="00E41D90">
                  <w:pPr>
                    <w:pStyle w:val="Figure"/>
                    <w:spacing w:before="60" w:after="60"/>
                  </w:pPr>
                  <w:r>
                    <w:rPr>
                      <w:noProof/>
                    </w:rPr>
                    <w:drawing>
                      <wp:inline distT="0" distB="0" distL="0" distR="0">
                        <wp:extent cx="5391150" cy="2638425"/>
                        <wp:effectExtent l="0" t="0" r="0" b="9525"/>
                        <wp:docPr id="21" name="Picture 21" descr="Figure 4.21 Ratio of FTE students to FTE teaching staff, primary schools,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91150" cy="2638425"/>
                                </a:xfrm>
                                <a:prstGeom prst="rect">
                                  <a:avLst/>
                                </a:prstGeom>
                                <a:noFill/>
                                <a:ln>
                                  <a:noFill/>
                                </a:ln>
                              </pic:spPr>
                            </pic:pic>
                          </a:graphicData>
                        </a:graphic>
                      </wp:inline>
                    </w:drawing>
                  </w:r>
                </w:p>
              </w:tc>
            </w:tr>
          </w:tbl>
          <w:p w:rsidR="00E41D90" w:rsidRDefault="00E41D90" w:rsidP="00E41D90">
            <w:pPr>
              <w:pStyle w:val="Figure"/>
            </w:pPr>
          </w:p>
        </w:tc>
      </w:tr>
      <w:tr w:rsidR="00E41D90" w:rsidRPr="00176D3F" w:rsidTr="00E41D90">
        <w:tc>
          <w:tcPr>
            <w:tcW w:w="8771" w:type="dxa"/>
            <w:tcBorders>
              <w:top w:val="nil"/>
              <w:left w:val="nil"/>
              <w:bottom w:val="nil"/>
              <w:right w:val="nil"/>
            </w:tcBorders>
            <w:shd w:val="clear" w:color="auto" w:fill="auto"/>
          </w:tcPr>
          <w:p w:rsidR="00E41D90" w:rsidRPr="00176D3F" w:rsidRDefault="00E41D90" w:rsidP="00E41D90">
            <w:pPr>
              <w:pStyle w:val="Note"/>
            </w:pPr>
            <w:r>
              <w:rPr>
                <w:rStyle w:val="NoteLabel"/>
              </w:rPr>
              <w:t>a</w:t>
            </w:r>
            <w:r w:rsidRPr="00E41D90">
              <w:sym w:font="Symbol" w:char="F020"/>
            </w:r>
            <w:r w:rsidRPr="00E41D90">
              <w:t xml:space="preserve"> See notes to table </w:t>
            </w:r>
            <w:proofErr w:type="spellStart"/>
            <w:r w:rsidRPr="00E41D90">
              <w:t>4A.22</w:t>
            </w:r>
            <w:proofErr w:type="spellEnd"/>
            <w:r w:rsidRPr="00E41D90">
              <w:t xml:space="preserve"> for definitions and data caveats.</w:t>
            </w:r>
          </w:p>
        </w:tc>
      </w:tr>
      <w:tr w:rsidR="00E41D90" w:rsidRPr="00176D3F" w:rsidTr="00E41D90">
        <w:tc>
          <w:tcPr>
            <w:tcW w:w="8771" w:type="dxa"/>
            <w:tcBorders>
              <w:top w:val="nil"/>
              <w:left w:val="nil"/>
              <w:bottom w:val="nil"/>
              <w:right w:val="nil"/>
            </w:tcBorders>
            <w:shd w:val="clear" w:color="auto" w:fill="auto"/>
          </w:tcPr>
          <w:p w:rsidR="00E41D90" w:rsidRPr="00176D3F" w:rsidRDefault="00E41D90" w:rsidP="00462886">
            <w:pPr>
              <w:pStyle w:val="Source"/>
            </w:pPr>
            <w:r>
              <w:rPr>
                <w:i/>
              </w:rPr>
              <w:t>S</w:t>
            </w:r>
            <w:r w:rsidRPr="00784A05">
              <w:rPr>
                <w:i/>
              </w:rPr>
              <w:t>ource</w:t>
            </w:r>
            <w:r w:rsidRPr="00176D3F">
              <w:t xml:space="preserve">: </w:t>
            </w:r>
            <w:r w:rsidRPr="00E41D90">
              <w:t>ABS (201</w:t>
            </w:r>
            <w:r w:rsidR="00462886">
              <w:t>4</w:t>
            </w:r>
            <w:r w:rsidRPr="00E41D90">
              <w:t xml:space="preserve">) </w:t>
            </w:r>
            <w:r w:rsidRPr="00E41D90">
              <w:rPr>
                <w:i/>
              </w:rPr>
              <w:t>Schools Australia 201</w:t>
            </w:r>
            <w:r w:rsidR="00462886">
              <w:rPr>
                <w:i/>
              </w:rPr>
              <w:t>3</w:t>
            </w:r>
            <w:r w:rsidRPr="00E41D90">
              <w:t xml:space="preserve">, Cat. no. 4221.0; table </w:t>
            </w:r>
            <w:proofErr w:type="spellStart"/>
            <w:r w:rsidRPr="00E41D90">
              <w:t>4A.22</w:t>
            </w:r>
            <w:proofErr w:type="spellEnd"/>
            <w:r>
              <w:t>.</w:t>
            </w:r>
          </w:p>
        </w:tc>
      </w:tr>
      <w:tr w:rsidR="00E41D90" w:rsidTr="00E41D90">
        <w:tc>
          <w:tcPr>
            <w:tcW w:w="8771" w:type="dxa"/>
            <w:tcBorders>
              <w:top w:val="nil"/>
              <w:left w:val="nil"/>
              <w:bottom w:val="single" w:sz="6" w:space="0" w:color="78A22F"/>
              <w:right w:val="nil"/>
            </w:tcBorders>
            <w:shd w:val="clear" w:color="auto" w:fill="auto"/>
          </w:tcPr>
          <w:p w:rsidR="00E41D90" w:rsidRDefault="00E41D90" w:rsidP="00E41D90">
            <w:pPr>
              <w:pStyle w:val="Figurespace"/>
            </w:pPr>
          </w:p>
        </w:tc>
      </w:tr>
      <w:tr w:rsidR="00E41D90" w:rsidRPr="000863A5" w:rsidTr="00E41D90">
        <w:tc>
          <w:tcPr>
            <w:tcW w:w="8771" w:type="dxa"/>
            <w:tcBorders>
              <w:top w:val="single" w:sz="6" w:space="0" w:color="78A22F"/>
              <w:left w:val="nil"/>
              <w:bottom w:val="nil"/>
              <w:right w:val="nil"/>
            </w:tcBorders>
          </w:tcPr>
          <w:p w:rsidR="00E41D90" w:rsidRPr="00626D32" w:rsidRDefault="00E41D90" w:rsidP="00E41D90">
            <w:pPr>
              <w:pStyle w:val="BoxSpaceBelow"/>
            </w:pPr>
          </w:p>
        </w:tc>
      </w:tr>
    </w:tbl>
    <w:p w:rsidR="0089766B" w:rsidRDefault="00666ECE" w:rsidP="0089766B">
      <w:pPr>
        <w:pStyle w:val="BodyText"/>
      </w:pPr>
      <w:r w:rsidRPr="009738E5">
        <w:t>Nationally in 201</w:t>
      </w:r>
      <w:r w:rsidR="006F7099">
        <w:t>3</w:t>
      </w:r>
      <w:r w:rsidRPr="009738E5">
        <w:t xml:space="preserve">, the student-to-teacher ratio for government secondary schools was </w:t>
      </w:r>
      <w:r w:rsidR="001C01FD" w:rsidRPr="009738E5">
        <w:t>12.</w:t>
      </w:r>
      <w:r w:rsidR="006F7099">
        <w:t>4</w:t>
      </w:r>
      <w:r w:rsidRPr="009738E5">
        <w:t xml:space="preserve"> and for non-go</w:t>
      </w:r>
      <w:r w:rsidR="001C01FD" w:rsidRPr="009738E5">
        <w:t>vernment secondary schools, was 11.</w:t>
      </w:r>
      <w:r w:rsidR="009738E5" w:rsidRPr="009738E5">
        <w:t>5</w:t>
      </w:r>
      <w:r w:rsidRPr="009738E5">
        <w:t xml:space="preserve">. For all secondary schools, the student-to-teacher ratio was </w:t>
      </w:r>
      <w:r w:rsidR="001C01FD" w:rsidRPr="009738E5">
        <w:t>12.0</w:t>
      </w:r>
      <w:r w:rsidRPr="009738E5">
        <w:t xml:space="preserve"> (figure 4.</w:t>
      </w:r>
      <w:r w:rsidR="005004F7" w:rsidRPr="009738E5">
        <w:t>2</w:t>
      </w:r>
      <w:r w:rsidR="00FF2AB3">
        <w:t>2</w:t>
      </w:r>
      <w:r w:rsidRPr="009738E5">
        <w:t>).</w:t>
      </w:r>
    </w:p>
    <w:p w:rsidR="0089766B" w:rsidRDefault="0089766B">
      <w:pPr>
        <w:rPr>
          <w:szCs w:val="20"/>
        </w:rPr>
      </w:pPr>
      <w:r>
        <w:br w:type="page"/>
      </w:r>
    </w:p>
    <w:p w:rsidR="00E41D90" w:rsidRDefault="00E41D90" w:rsidP="00E41D9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41D90" w:rsidTr="00E41D90">
        <w:tc>
          <w:tcPr>
            <w:tcW w:w="8771" w:type="dxa"/>
            <w:tcBorders>
              <w:top w:val="single" w:sz="6" w:space="0" w:color="78A22F"/>
              <w:left w:val="nil"/>
              <w:bottom w:val="nil"/>
              <w:right w:val="nil"/>
            </w:tcBorders>
            <w:shd w:val="clear" w:color="auto" w:fill="auto"/>
          </w:tcPr>
          <w:p w:rsidR="00E41D90" w:rsidRPr="00176D3F" w:rsidRDefault="00E41D90" w:rsidP="00462886">
            <w:pPr>
              <w:pStyle w:val="FigureTitle"/>
            </w:pPr>
            <w:r w:rsidRPr="00784A05">
              <w:rPr>
                <w:b w:val="0"/>
              </w:rPr>
              <w:t xml:space="preserve">Figure </w:t>
            </w:r>
            <w:r w:rsidR="00B70781">
              <w:rPr>
                <w:b w:val="0"/>
              </w:rPr>
              <w:t>4.</w:t>
            </w:r>
            <w:r w:rsidR="005953B6">
              <w:rPr>
                <w:b w:val="0"/>
                <w:noProof/>
              </w:rPr>
              <w:t>22</w:t>
            </w:r>
            <w:r>
              <w:tab/>
            </w:r>
            <w:r w:rsidRPr="00E41D90">
              <w:t>Ratio of FTE students to FTE teaching staff, secondary schools, 201</w:t>
            </w:r>
            <w:r w:rsidR="00462886">
              <w:t>3</w:t>
            </w:r>
            <w:r w:rsidRPr="00E41D90">
              <w:rPr>
                <w:rStyle w:val="NoteLabel"/>
                <w:b/>
              </w:rPr>
              <w:t>a</w:t>
            </w:r>
          </w:p>
        </w:tc>
      </w:tr>
      <w:tr w:rsidR="00E41D90" w:rsidTr="00E41D90">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E41D90" w:rsidTr="00E41D90">
              <w:trPr>
                <w:jc w:val="center"/>
              </w:trPr>
              <w:tc>
                <w:tcPr>
                  <w:tcW w:w="5000" w:type="pct"/>
                  <w:tcBorders>
                    <w:top w:val="nil"/>
                    <w:bottom w:val="nil"/>
                  </w:tcBorders>
                </w:tcPr>
                <w:p w:rsidR="00E41D90" w:rsidRDefault="00DC200A" w:rsidP="00E41D90">
                  <w:pPr>
                    <w:pStyle w:val="Figure"/>
                    <w:spacing w:before="60" w:after="60"/>
                  </w:pPr>
                  <w:r>
                    <w:rPr>
                      <w:noProof/>
                    </w:rPr>
                    <w:drawing>
                      <wp:inline distT="0" distB="0" distL="0" distR="0">
                        <wp:extent cx="5381625" cy="2647950"/>
                        <wp:effectExtent l="0" t="0" r="9525" b="0"/>
                        <wp:docPr id="22" name="Picture 22" descr="Figure 4.22 Ratio of FTE students to FTE teaching staff, secondary schools,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81625" cy="2647950"/>
                                </a:xfrm>
                                <a:prstGeom prst="rect">
                                  <a:avLst/>
                                </a:prstGeom>
                                <a:noFill/>
                                <a:ln>
                                  <a:noFill/>
                                </a:ln>
                              </pic:spPr>
                            </pic:pic>
                          </a:graphicData>
                        </a:graphic>
                      </wp:inline>
                    </w:drawing>
                  </w:r>
                </w:p>
              </w:tc>
            </w:tr>
          </w:tbl>
          <w:p w:rsidR="00E41D90" w:rsidRDefault="00E41D90" w:rsidP="00E41D90">
            <w:pPr>
              <w:pStyle w:val="Figure"/>
            </w:pPr>
          </w:p>
        </w:tc>
      </w:tr>
      <w:tr w:rsidR="00E41D90" w:rsidRPr="00176D3F" w:rsidTr="00E41D90">
        <w:tc>
          <w:tcPr>
            <w:tcW w:w="8771" w:type="dxa"/>
            <w:tcBorders>
              <w:top w:val="nil"/>
              <w:left w:val="nil"/>
              <w:bottom w:val="nil"/>
              <w:right w:val="nil"/>
            </w:tcBorders>
            <w:shd w:val="clear" w:color="auto" w:fill="auto"/>
          </w:tcPr>
          <w:p w:rsidR="00E41D90" w:rsidRPr="00176D3F" w:rsidRDefault="00E41D90" w:rsidP="00E41D90">
            <w:pPr>
              <w:pStyle w:val="Note"/>
            </w:pPr>
            <w:r>
              <w:rPr>
                <w:rStyle w:val="NoteLabel"/>
              </w:rPr>
              <w:t>a</w:t>
            </w:r>
            <w:r>
              <w:t xml:space="preserve"> </w:t>
            </w:r>
            <w:r w:rsidRPr="00E41D90">
              <w:t xml:space="preserve">See notes to table </w:t>
            </w:r>
            <w:proofErr w:type="spellStart"/>
            <w:r w:rsidRPr="00E41D90">
              <w:t>4A.22</w:t>
            </w:r>
            <w:proofErr w:type="spellEnd"/>
            <w:r w:rsidRPr="00E41D90">
              <w:t xml:space="preserve"> f</w:t>
            </w:r>
            <w:r>
              <w:t>or definitions and data caveats.</w:t>
            </w:r>
          </w:p>
        </w:tc>
      </w:tr>
      <w:tr w:rsidR="00E41D90" w:rsidRPr="00176D3F" w:rsidTr="00E41D90">
        <w:tc>
          <w:tcPr>
            <w:tcW w:w="8771" w:type="dxa"/>
            <w:tcBorders>
              <w:top w:val="nil"/>
              <w:left w:val="nil"/>
              <w:bottom w:val="nil"/>
              <w:right w:val="nil"/>
            </w:tcBorders>
            <w:shd w:val="clear" w:color="auto" w:fill="auto"/>
          </w:tcPr>
          <w:p w:rsidR="00E41D90" w:rsidRPr="00176D3F" w:rsidRDefault="00E41D90" w:rsidP="00462886">
            <w:pPr>
              <w:pStyle w:val="Source"/>
            </w:pPr>
            <w:r>
              <w:rPr>
                <w:i/>
              </w:rPr>
              <w:t>S</w:t>
            </w:r>
            <w:r w:rsidRPr="00784A05">
              <w:rPr>
                <w:i/>
              </w:rPr>
              <w:t>ource</w:t>
            </w:r>
            <w:r w:rsidRPr="00176D3F">
              <w:t xml:space="preserve">: </w:t>
            </w:r>
            <w:r w:rsidRPr="00E41D90">
              <w:t>ABS (201</w:t>
            </w:r>
            <w:r w:rsidR="00462886">
              <w:t>4</w:t>
            </w:r>
            <w:r w:rsidRPr="00E41D90">
              <w:t xml:space="preserve">) </w:t>
            </w:r>
            <w:r w:rsidRPr="00E41D90">
              <w:rPr>
                <w:i/>
              </w:rPr>
              <w:t>Schools Australia 201</w:t>
            </w:r>
            <w:r w:rsidR="00462886">
              <w:rPr>
                <w:i/>
              </w:rPr>
              <w:t>3</w:t>
            </w:r>
            <w:r w:rsidRPr="00E41D90">
              <w:t xml:space="preserve">, Cat. no. 4221.0; table </w:t>
            </w:r>
            <w:proofErr w:type="spellStart"/>
            <w:r w:rsidRPr="00E41D90">
              <w:t>4A.22</w:t>
            </w:r>
            <w:proofErr w:type="spellEnd"/>
            <w:r>
              <w:t>.</w:t>
            </w:r>
          </w:p>
        </w:tc>
      </w:tr>
      <w:tr w:rsidR="00E41D90" w:rsidTr="00E41D90">
        <w:tc>
          <w:tcPr>
            <w:tcW w:w="8771" w:type="dxa"/>
            <w:tcBorders>
              <w:top w:val="nil"/>
              <w:left w:val="nil"/>
              <w:bottom w:val="single" w:sz="6" w:space="0" w:color="78A22F"/>
              <w:right w:val="nil"/>
            </w:tcBorders>
            <w:shd w:val="clear" w:color="auto" w:fill="auto"/>
          </w:tcPr>
          <w:p w:rsidR="00E41D90" w:rsidRDefault="00E41D90" w:rsidP="00E41D90">
            <w:pPr>
              <w:pStyle w:val="Figurespace"/>
            </w:pPr>
          </w:p>
        </w:tc>
      </w:tr>
      <w:tr w:rsidR="00E41D90" w:rsidRPr="000863A5" w:rsidTr="00E41D90">
        <w:tc>
          <w:tcPr>
            <w:tcW w:w="8771" w:type="dxa"/>
            <w:tcBorders>
              <w:top w:val="single" w:sz="6" w:space="0" w:color="78A22F"/>
              <w:left w:val="nil"/>
              <w:bottom w:val="nil"/>
              <w:right w:val="nil"/>
            </w:tcBorders>
          </w:tcPr>
          <w:p w:rsidR="00E41D90" w:rsidRPr="00626D32" w:rsidRDefault="00E41D90" w:rsidP="00E41D90">
            <w:pPr>
              <w:pStyle w:val="BoxSpaceBelow"/>
            </w:pPr>
          </w:p>
        </w:tc>
      </w:tr>
    </w:tbl>
    <w:p w:rsidR="00666ECE" w:rsidRPr="009738E5" w:rsidRDefault="00666ECE" w:rsidP="00666ECE">
      <w:pPr>
        <w:spacing w:before="240" w:line="320" w:lineRule="atLeast"/>
        <w:jc w:val="both"/>
        <w:rPr>
          <w:szCs w:val="20"/>
        </w:rPr>
      </w:pPr>
      <w:r w:rsidRPr="00666ECE">
        <w:rPr>
          <w:szCs w:val="20"/>
        </w:rPr>
        <w:t>Nationally in 201</w:t>
      </w:r>
      <w:r w:rsidR="006F7099">
        <w:rPr>
          <w:szCs w:val="20"/>
        </w:rPr>
        <w:t>3</w:t>
      </w:r>
      <w:r w:rsidRPr="00666ECE">
        <w:rPr>
          <w:szCs w:val="20"/>
        </w:rPr>
        <w:t xml:space="preserve">, the </w:t>
      </w:r>
      <w:r w:rsidRPr="009738E5">
        <w:rPr>
          <w:szCs w:val="20"/>
        </w:rPr>
        <w:t xml:space="preserve">student-to-teacher ratio for all government schools was </w:t>
      </w:r>
      <w:r w:rsidR="006F7099">
        <w:rPr>
          <w:szCs w:val="20"/>
        </w:rPr>
        <w:t>14.1</w:t>
      </w:r>
      <w:r w:rsidRPr="009738E5">
        <w:rPr>
          <w:szCs w:val="20"/>
        </w:rPr>
        <w:t xml:space="preserve"> and for all non-government schools was </w:t>
      </w:r>
      <w:r w:rsidR="003B5A5B" w:rsidRPr="009738E5">
        <w:rPr>
          <w:szCs w:val="20"/>
        </w:rPr>
        <w:t>13.6</w:t>
      </w:r>
      <w:r w:rsidRPr="009738E5">
        <w:rPr>
          <w:szCs w:val="20"/>
        </w:rPr>
        <w:t xml:space="preserve">. For all schools, the student-to-teacher ratio was </w:t>
      </w:r>
      <w:r w:rsidR="003B5A5B" w:rsidRPr="009738E5">
        <w:rPr>
          <w:szCs w:val="20"/>
        </w:rPr>
        <w:t>13.</w:t>
      </w:r>
      <w:r w:rsidR="006F7099">
        <w:rPr>
          <w:szCs w:val="20"/>
        </w:rPr>
        <w:t>9</w:t>
      </w:r>
      <w:r w:rsidRPr="009738E5">
        <w:rPr>
          <w:szCs w:val="20"/>
        </w:rPr>
        <w:t xml:space="preserve"> (table </w:t>
      </w:r>
      <w:proofErr w:type="spellStart"/>
      <w:r w:rsidRPr="009738E5">
        <w:rPr>
          <w:szCs w:val="20"/>
        </w:rPr>
        <w:t>4A.</w:t>
      </w:r>
      <w:r w:rsidR="009A48EC">
        <w:rPr>
          <w:szCs w:val="20"/>
        </w:rPr>
        <w:t>22</w:t>
      </w:r>
      <w:proofErr w:type="spellEnd"/>
      <w:r w:rsidRPr="009738E5">
        <w:rPr>
          <w:szCs w:val="20"/>
        </w:rPr>
        <w:t xml:space="preserve">). </w:t>
      </w:r>
    </w:p>
    <w:p w:rsidR="00666ECE" w:rsidRPr="00666ECE" w:rsidRDefault="00666ECE" w:rsidP="00666ECE">
      <w:pPr>
        <w:spacing w:before="240" w:line="320" w:lineRule="atLeast"/>
        <w:jc w:val="both"/>
        <w:rPr>
          <w:szCs w:val="20"/>
        </w:rPr>
      </w:pPr>
      <w:r w:rsidRPr="00666ECE">
        <w:rPr>
          <w:szCs w:val="20"/>
        </w:rPr>
        <w:t xml:space="preserve">Table </w:t>
      </w:r>
      <w:proofErr w:type="spellStart"/>
      <w:r w:rsidRPr="00666ECE">
        <w:rPr>
          <w:szCs w:val="20"/>
        </w:rPr>
        <w:t>4A.</w:t>
      </w:r>
      <w:r w:rsidR="009A48EC">
        <w:rPr>
          <w:szCs w:val="20"/>
        </w:rPr>
        <w:t>22</w:t>
      </w:r>
      <w:proofErr w:type="spellEnd"/>
      <w:r w:rsidRPr="00666ECE">
        <w:rPr>
          <w:szCs w:val="20"/>
        </w:rPr>
        <w:t xml:space="preserve"> provides further detail on student-to-staff ratios in 201</w:t>
      </w:r>
      <w:r w:rsidR="006F7099">
        <w:rPr>
          <w:szCs w:val="20"/>
        </w:rPr>
        <w:t>3</w:t>
      </w:r>
      <w:r w:rsidRPr="00666ECE">
        <w:rPr>
          <w:szCs w:val="20"/>
        </w:rPr>
        <w:t>, including those for non-teaching school staff and all staff, for all jurisdictions.</w:t>
      </w:r>
    </w:p>
    <w:p w:rsidR="00666ECE" w:rsidRPr="00666ECE" w:rsidRDefault="00666ECE" w:rsidP="00666ECE">
      <w:pPr>
        <w:spacing w:before="240" w:line="320" w:lineRule="atLeast"/>
        <w:jc w:val="both"/>
        <w:rPr>
          <w:szCs w:val="20"/>
        </w:rPr>
      </w:pPr>
      <w:r w:rsidRPr="00666ECE">
        <w:rPr>
          <w:szCs w:val="20"/>
        </w:rPr>
        <w:t xml:space="preserve">The </w:t>
      </w:r>
      <w:r w:rsidRPr="003B5A5B">
        <w:rPr>
          <w:szCs w:val="20"/>
        </w:rPr>
        <w:t>student-to-</w:t>
      </w:r>
      <w:r w:rsidRPr="009738E5">
        <w:rPr>
          <w:szCs w:val="20"/>
        </w:rPr>
        <w:t>teacher ratio for all schools (</w:t>
      </w:r>
      <w:r w:rsidR="0015169D">
        <w:rPr>
          <w:szCs w:val="20"/>
        </w:rPr>
        <w:t xml:space="preserve">government and non-government </w:t>
      </w:r>
      <w:r w:rsidRPr="009738E5">
        <w:rPr>
          <w:szCs w:val="20"/>
        </w:rPr>
        <w:t xml:space="preserve">primary and secondary combined) has decreased from </w:t>
      </w:r>
      <w:r w:rsidR="003B5A5B" w:rsidRPr="009738E5">
        <w:rPr>
          <w:szCs w:val="20"/>
        </w:rPr>
        <w:t>14.</w:t>
      </w:r>
      <w:r w:rsidR="001318DB">
        <w:rPr>
          <w:szCs w:val="20"/>
        </w:rPr>
        <w:t>2</w:t>
      </w:r>
      <w:r w:rsidRPr="009738E5">
        <w:rPr>
          <w:szCs w:val="20"/>
        </w:rPr>
        <w:t xml:space="preserve"> in 200</w:t>
      </w:r>
      <w:r w:rsidR="00462886">
        <w:rPr>
          <w:szCs w:val="20"/>
        </w:rPr>
        <w:t>5</w:t>
      </w:r>
      <w:r w:rsidRPr="009738E5">
        <w:rPr>
          <w:szCs w:val="20"/>
        </w:rPr>
        <w:t xml:space="preserve"> to </w:t>
      </w:r>
      <w:r w:rsidR="003B5A5B" w:rsidRPr="009738E5">
        <w:rPr>
          <w:szCs w:val="20"/>
        </w:rPr>
        <w:t>13.</w:t>
      </w:r>
      <w:r w:rsidR="006F7099">
        <w:rPr>
          <w:szCs w:val="20"/>
        </w:rPr>
        <w:t>9</w:t>
      </w:r>
      <w:r w:rsidRPr="009738E5">
        <w:rPr>
          <w:szCs w:val="20"/>
        </w:rPr>
        <w:t xml:space="preserve"> in 201</w:t>
      </w:r>
      <w:r w:rsidR="006F7099">
        <w:rPr>
          <w:szCs w:val="20"/>
        </w:rPr>
        <w:t>3</w:t>
      </w:r>
      <w:r w:rsidRPr="009738E5">
        <w:rPr>
          <w:szCs w:val="20"/>
        </w:rPr>
        <w:t xml:space="preserve"> </w:t>
      </w:r>
      <w:r w:rsidRPr="003B5A5B">
        <w:rPr>
          <w:szCs w:val="20"/>
        </w:rPr>
        <w:t>(figure 4.2</w:t>
      </w:r>
      <w:r w:rsidR="00FF2AB3">
        <w:rPr>
          <w:szCs w:val="20"/>
        </w:rPr>
        <w:t>3</w:t>
      </w:r>
      <w:r w:rsidRPr="003B5A5B">
        <w:rPr>
          <w:szCs w:val="20"/>
        </w:rPr>
        <w:t>). Data for intervening years and for government and non-government</w:t>
      </w:r>
      <w:r w:rsidRPr="00666ECE">
        <w:rPr>
          <w:szCs w:val="20"/>
        </w:rPr>
        <w:t xml:space="preserve"> schools are in table </w:t>
      </w:r>
      <w:proofErr w:type="spellStart"/>
      <w:r w:rsidRPr="00666ECE">
        <w:rPr>
          <w:szCs w:val="20"/>
        </w:rPr>
        <w:t>4A.</w:t>
      </w:r>
      <w:r w:rsidR="009A48EC">
        <w:rPr>
          <w:szCs w:val="20"/>
        </w:rPr>
        <w:t>23</w:t>
      </w:r>
      <w:proofErr w:type="spellEnd"/>
      <w:r w:rsidRPr="00666ECE">
        <w:rPr>
          <w:szCs w:val="20"/>
        </w:rPr>
        <w:t xml:space="preserve">. </w:t>
      </w:r>
    </w:p>
    <w:p w:rsidR="00462886" w:rsidRDefault="00462886" w:rsidP="0078036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62886" w:rsidTr="0078036C">
        <w:tc>
          <w:tcPr>
            <w:tcW w:w="8771" w:type="dxa"/>
            <w:tcBorders>
              <w:top w:val="single" w:sz="6" w:space="0" w:color="78A22F"/>
              <w:left w:val="nil"/>
              <w:bottom w:val="nil"/>
              <w:right w:val="nil"/>
            </w:tcBorders>
            <w:shd w:val="clear" w:color="auto" w:fill="auto"/>
          </w:tcPr>
          <w:p w:rsidR="00462886" w:rsidRPr="00176D3F" w:rsidRDefault="00462886" w:rsidP="00D26A1D">
            <w:pPr>
              <w:pStyle w:val="FigureTitle"/>
            </w:pPr>
            <w:r w:rsidRPr="00784A05">
              <w:rPr>
                <w:b w:val="0"/>
              </w:rPr>
              <w:t xml:space="preserve">Figure </w:t>
            </w:r>
            <w:r w:rsidR="00B70781">
              <w:rPr>
                <w:b w:val="0"/>
              </w:rPr>
              <w:t>4.</w:t>
            </w:r>
            <w:r w:rsidR="005953B6">
              <w:rPr>
                <w:b w:val="0"/>
                <w:noProof/>
              </w:rPr>
              <w:t>23</w:t>
            </w:r>
            <w:r>
              <w:tab/>
            </w:r>
            <w:r w:rsidRPr="00462886">
              <w:t>Ratio of FTE students to FTE teaching staff, all schools</w:t>
            </w:r>
            <w:r w:rsidRPr="00462886">
              <w:rPr>
                <w:rStyle w:val="NoteLabel"/>
                <w:b/>
              </w:rPr>
              <w:t>a, b</w:t>
            </w:r>
          </w:p>
        </w:tc>
      </w:tr>
      <w:tr w:rsidR="00462886" w:rsidTr="0078036C">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462886" w:rsidTr="0078036C">
              <w:trPr>
                <w:jc w:val="center"/>
              </w:trPr>
              <w:tc>
                <w:tcPr>
                  <w:tcW w:w="5000" w:type="pct"/>
                  <w:tcBorders>
                    <w:top w:val="nil"/>
                    <w:bottom w:val="nil"/>
                  </w:tcBorders>
                </w:tcPr>
                <w:p w:rsidR="00462886" w:rsidRDefault="00DC200A" w:rsidP="0078036C">
                  <w:pPr>
                    <w:pStyle w:val="Figure"/>
                    <w:spacing w:before="60" w:after="60"/>
                  </w:pPr>
                  <w:r>
                    <w:rPr>
                      <w:noProof/>
                    </w:rPr>
                    <w:drawing>
                      <wp:inline distT="0" distB="0" distL="0" distR="0">
                        <wp:extent cx="5381625" cy="2628900"/>
                        <wp:effectExtent l="0" t="0" r="9525" b="0"/>
                        <wp:docPr id="23" name="Picture 23" descr="Figure 4.23 Ratio of FTE students to FTE teaching staff, all school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381625" cy="2628900"/>
                                </a:xfrm>
                                <a:prstGeom prst="rect">
                                  <a:avLst/>
                                </a:prstGeom>
                                <a:noFill/>
                                <a:ln>
                                  <a:noFill/>
                                </a:ln>
                              </pic:spPr>
                            </pic:pic>
                          </a:graphicData>
                        </a:graphic>
                      </wp:inline>
                    </w:drawing>
                  </w:r>
                </w:p>
              </w:tc>
            </w:tr>
          </w:tbl>
          <w:p w:rsidR="00462886" w:rsidRDefault="00462886" w:rsidP="0078036C">
            <w:pPr>
              <w:pStyle w:val="Figure"/>
            </w:pPr>
          </w:p>
        </w:tc>
      </w:tr>
      <w:tr w:rsidR="00462886" w:rsidRPr="00176D3F" w:rsidTr="0078036C">
        <w:tc>
          <w:tcPr>
            <w:tcW w:w="8771" w:type="dxa"/>
            <w:tcBorders>
              <w:top w:val="nil"/>
              <w:left w:val="nil"/>
              <w:bottom w:val="nil"/>
              <w:right w:val="nil"/>
            </w:tcBorders>
            <w:shd w:val="clear" w:color="auto" w:fill="auto"/>
          </w:tcPr>
          <w:p w:rsidR="00462886" w:rsidRPr="00176D3F" w:rsidRDefault="00462886" w:rsidP="0078036C">
            <w:pPr>
              <w:pStyle w:val="Note"/>
            </w:pPr>
            <w:proofErr w:type="spellStart"/>
            <w:r>
              <w:rPr>
                <w:rStyle w:val="NoteLabel"/>
              </w:rPr>
              <w:t>a</w:t>
            </w:r>
            <w:proofErr w:type="spellEnd"/>
            <w:r w:rsidRPr="00462886">
              <w:sym w:font="Symbol" w:char="F020"/>
            </w:r>
            <w:r w:rsidRPr="00462886">
              <w:t xml:space="preserve"> Includes primary and secondary schools. </w:t>
            </w:r>
            <w:r w:rsidRPr="00820CF9">
              <w:rPr>
                <w:rStyle w:val="NoteLabel"/>
              </w:rPr>
              <w:t>b</w:t>
            </w:r>
            <w:r w:rsidRPr="00462886">
              <w:t xml:space="preserve"> See notes to table </w:t>
            </w:r>
            <w:proofErr w:type="spellStart"/>
            <w:r w:rsidRPr="00462886">
              <w:t>4A.23</w:t>
            </w:r>
            <w:proofErr w:type="spellEnd"/>
            <w:r w:rsidRPr="00462886">
              <w:t xml:space="preserve"> fo</w:t>
            </w:r>
            <w:r>
              <w:t>r definitions and data caveats.</w:t>
            </w:r>
          </w:p>
        </w:tc>
      </w:tr>
      <w:tr w:rsidR="00462886" w:rsidRPr="00176D3F" w:rsidTr="0078036C">
        <w:tc>
          <w:tcPr>
            <w:tcW w:w="8771" w:type="dxa"/>
            <w:tcBorders>
              <w:top w:val="nil"/>
              <w:left w:val="nil"/>
              <w:bottom w:val="nil"/>
              <w:right w:val="nil"/>
            </w:tcBorders>
            <w:shd w:val="clear" w:color="auto" w:fill="auto"/>
          </w:tcPr>
          <w:p w:rsidR="00462886" w:rsidRPr="00176D3F" w:rsidRDefault="00462886" w:rsidP="00462886">
            <w:pPr>
              <w:pStyle w:val="Source"/>
            </w:pPr>
            <w:r>
              <w:rPr>
                <w:i/>
              </w:rPr>
              <w:t>S</w:t>
            </w:r>
            <w:r w:rsidRPr="00784A05">
              <w:rPr>
                <w:i/>
              </w:rPr>
              <w:t>ource</w:t>
            </w:r>
            <w:r w:rsidRPr="00176D3F">
              <w:t xml:space="preserve">: </w:t>
            </w:r>
            <w:r w:rsidRPr="00462886">
              <w:t>ABS (201</w:t>
            </w:r>
            <w:r>
              <w:t>4</w:t>
            </w:r>
            <w:r w:rsidRPr="00462886">
              <w:t xml:space="preserve">) </w:t>
            </w:r>
            <w:r w:rsidRPr="00462886">
              <w:rPr>
                <w:i/>
              </w:rPr>
              <w:t>Schools Australia 201</w:t>
            </w:r>
            <w:r>
              <w:rPr>
                <w:i/>
              </w:rPr>
              <w:t xml:space="preserve">3 </w:t>
            </w:r>
            <w:r w:rsidRPr="00462886">
              <w:t xml:space="preserve">Cat. no. 4221.0; table </w:t>
            </w:r>
            <w:proofErr w:type="spellStart"/>
            <w:r w:rsidRPr="00462886">
              <w:t>4A.23</w:t>
            </w:r>
            <w:proofErr w:type="spellEnd"/>
            <w:r>
              <w:t>.</w:t>
            </w:r>
          </w:p>
        </w:tc>
      </w:tr>
      <w:tr w:rsidR="00462886" w:rsidTr="0078036C">
        <w:tc>
          <w:tcPr>
            <w:tcW w:w="8771" w:type="dxa"/>
            <w:tcBorders>
              <w:top w:val="nil"/>
              <w:left w:val="nil"/>
              <w:bottom w:val="single" w:sz="6" w:space="0" w:color="78A22F"/>
              <w:right w:val="nil"/>
            </w:tcBorders>
            <w:shd w:val="clear" w:color="auto" w:fill="auto"/>
          </w:tcPr>
          <w:p w:rsidR="00462886" w:rsidRDefault="00462886" w:rsidP="0078036C">
            <w:pPr>
              <w:pStyle w:val="Figurespace"/>
            </w:pPr>
          </w:p>
        </w:tc>
      </w:tr>
      <w:tr w:rsidR="00462886" w:rsidRPr="000863A5" w:rsidTr="0078036C">
        <w:tc>
          <w:tcPr>
            <w:tcW w:w="8771" w:type="dxa"/>
            <w:tcBorders>
              <w:top w:val="single" w:sz="6" w:space="0" w:color="78A22F"/>
              <w:left w:val="nil"/>
              <w:bottom w:val="nil"/>
              <w:right w:val="nil"/>
            </w:tcBorders>
          </w:tcPr>
          <w:p w:rsidR="00462886" w:rsidRPr="00626D32" w:rsidRDefault="00462886" w:rsidP="0078036C">
            <w:pPr>
              <w:pStyle w:val="BoxSpaceBelow"/>
            </w:pPr>
          </w:p>
        </w:tc>
      </w:tr>
    </w:tbl>
    <w:p w:rsidR="00666ECE" w:rsidRPr="00666ECE" w:rsidRDefault="00666ECE" w:rsidP="007B0AE2">
      <w:pPr>
        <w:pStyle w:val="Heading3"/>
      </w:pPr>
      <w:r w:rsidRPr="00666ECE">
        <w:t>Outcomes</w:t>
      </w:r>
    </w:p>
    <w:p w:rsidR="00666ECE" w:rsidRPr="00666ECE" w:rsidRDefault="00666ECE" w:rsidP="0089766B">
      <w:pPr>
        <w:pStyle w:val="BodyText"/>
      </w:pPr>
      <w:r w:rsidRPr="00666ECE">
        <w:t>Outcomes are the impact of services on the status of an individual or group (while outputs are the actual services delivered) (see chapter 1, section 1.5).</w:t>
      </w:r>
    </w:p>
    <w:p w:rsidR="00666ECE" w:rsidRPr="00666ECE" w:rsidRDefault="00666ECE" w:rsidP="007B0AE2">
      <w:pPr>
        <w:pStyle w:val="Heading4"/>
      </w:pPr>
      <w:r w:rsidRPr="00666ECE">
        <w:t>Nationally comparable learning outcomes</w:t>
      </w:r>
    </w:p>
    <w:p w:rsidR="00666ECE" w:rsidRPr="00666ECE" w:rsidRDefault="00C43085" w:rsidP="0089766B">
      <w:pPr>
        <w:pStyle w:val="BodyText"/>
      </w:pPr>
      <w:r>
        <w:t>Learning outcomes measure</w:t>
      </w:r>
      <w:r w:rsidR="00666ECE" w:rsidRPr="00666ECE">
        <w:t xml:space="preserve"> students’ attainment of a range of skills, in literacy and numeracy</w:t>
      </w:r>
      <w:r w:rsidR="00924EB2">
        <w:t>,</w:t>
      </w:r>
      <w:r w:rsidR="00666ECE" w:rsidRPr="00666ECE">
        <w:t xml:space="preserve"> and in areas such as science literacy, information and communication technology</w:t>
      </w:r>
      <w:r w:rsidR="00292174">
        <w:t>,</w:t>
      </w:r>
      <w:r w:rsidR="00666ECE" w:rsidRPr="00666ECE">
        <w:t xml:space="preserve"> and civics and citizenship.</w:t>
      </w:r>
    </w:p>
    <w:p w:rsidR="00666ECE" w:rsidRPr="00666ECE" w:rsidRDefault="00666ECE" w:rsidP="0089766B">
      <w:pPr>
        <w:pStyle w:val="BodyText"/>
      </w:pPr>
      <w:r w:rsidRPr="00666ECE">
        <w:t>The ‘learning outcomes’ indicator examines outcomes in these areas and draws on two main sources of information:</w:t>
      </w:r>
    </w:p>
    <w:p w:rsidR="00666ECE" w:rsidRPr="0089766B" w:rsidRDefault="00666ECE" w:rsidP="0089766B">
      <w:pPr>
        <w:pStyle w:val="ListBullet"/>
      </w:pPr>
      <w:r w:rsidRPr="0089766B">
        <w:t xml:space="preserve">the National Assessment Program </w:t>
      </w:r>
      <w:r w:rsidR="002112BD">
        <w:t>—</w:t>
      </w:r>
      <w:r w:rsidRPr="0089766B">
        <w:t xml:space="preserve"> Literacy and Numeracy (</w:t>
      </w:r>
      <w:proofErr w:type="spellStart"/>
      <w:r w:rsidRPr="0089766B">
        <w:t>NAPL</w:t>
      </w:r>
      <w:r w:rsidR="00292174" w:rsidRPr="0089766B">
        <w:t>AN</w:t>
      </w:r>
      <w:proofErr w:type="spellEnd"/>
      <w:r w:rsidR="00292174" w:rsidRPr="0089766B">
        <w:t>), and NAP sample assessments</w:t>
      </w:r>
      <w:r w:rsidRPr="0089766B">
        <w:t xml:space="preserve">. These are </w:t>
      </w:r>
      <w:proofErr w:type="spellStart"/>
      <w:r w:rsidR="00B03F1B" w:rsidRPr="0089766B">
        <w:t>SCSEEC</w:t>
      </w:r>
      <w:proofErr w:type="spellEnd"/>
      <w:r w:rsidR="002112BD">
        <w:t xml:space="preserve"> (now Education Council)</w:t>
      </w:r>
      <w:r w:rsidRPr="0089766B">
        <w:noBreakHyphen/>
        <w:t>endorsed tests developed to measure student performance in relation to the National Goals for Schooling</w:t>
      </w:r>
    </w:p>
    <w:p w:rsidR="00666ECE" w:rsidRPr="0089766B" w:rsidRDefault="00666ECE" w:rsidP="00A11734">
      <w:pPr>
        <w:pStyle w:val="ListBullet"/>
      </w:pPr>
      <w:r w:rsidRPr="0089766B">
        <w:t>Australia’s participa</w:t>
      </w:r>
      <w:r w:rsidR="00C43085" w:rsidRPr="0089766B">
        <w:t xml:space="preserve">tion in </w:t>
      </w:r>
      <w:r w:rsidR="00454CF4" w:rsidRPr="00A11734">
        <w:rPr>
          <w:shd w:val="clear" w:color="auto" w:fill="FFFFFF" w:themeFill="background1"/>
        </w:rPr>
        <w:t>four</w:t>
      </w:r>
      <w:r w:rsidR="00C43085" w:rsidRPr="00A11734">
        <w:rPr>
          <w:shd w:val="clear" w:color="auto" w:fill="FFFFFF" w:themeFill="background1"/>
        </w:rPr>
        <w:t xml:space="preserve"> int</w:t>
      </w:r>
      <w:r w:rsidR="00C43085" w:rsidRPr="0089766B">
        <w:t>ernational tests —</w:t>
      </w:r>
      <w:r w:rsidRPr="0089766B">
        <w:t xml:space="preserve"> the Organisation for Economic Co-operation and Development (OECD) </w:t>
      </w:r>
      <w:proofErr w:type="spellStart"/>
      <w:r w:rsidRPr="0089766B">
        <w:t>Programme</w:t>
      </w:r>
      <w:proofErr w:type="spellEnd"/>
      <w:r w:rsidRPr="0089766B">
        <w:t xml:space="preserve"> for </w:t>
      </w:r>
      <w:r w:rsidRPr="00A11734">
        <w:rPr>
          <w:shd w:val="clear" w:color="auto" w:fill="FFFFFF" w:themeFill="background1"/>
        </w:rPr>
        <w:t xml:space="preserve">International Student Assessment (PISA); the </w:t>
      </w:r>
      <w:r w:rsidR="00454CF4" w:rsidRPr="00A11734">
        <w:rPr>
          <w:shd w:val="clear" w:color="auto" w:fill="FFFFFF" w:themeFill="background1"/>
        </w:rPr>
        <w:t>International Associa</w:t>
      </w:r>
      <w:r w:rsidR="00F82743" w:rsidRPr="00A11734">
        <w:rPr>
          <w:shd w:val="clear" w:color="auto" w:fill="FFFFFF" w:themeFill="background1"/>
        </w:rPr>
        <w:t>tion for Educational Assessment</w:t>
      </w:r>
      <w:r w:rsidR="00454CF4" w:rsidRPr="00A11734">
        <w:rPr>
          <w:shd w:val="clear" w:color="auto" w:fill="FFFFFF" w:themeFill="background1"/>
        </w:rPr>
        <w:t xml:space="preserve"> (</w:t>
      </w:r>
      <w:proofErr w:type="spellStart"/>
      <w:r w:rsidR="00454CF4" w:rsidRPr="00A11734">
        <w:rPr>
          <w:shd w:val="clear" w:color="auto" w:fill="FFFFFF" w:themeFill="background1"/>
        </w:rPr>
        <w:t>IAEA</w:t>
      </w:r>
      <w:proofErr w:type="spellEnd"/>
      <w:r w:rsidR="00454CF4" w:rsidRPr="00A11734">
        <w:rPr>
          <w:shd w:val="clear" w:color="auto" w:fill="FFFFFF" w:themeFill="background1"/>
        </w:rPr>
        <w:t>)</w:t>
      </w:r>
      <w:r w:rsidR="00454CF4">
        <w:t xml:space="preserve"> </w:t>
      </w:r>
      <w:r w:rsidRPr="0089766B">
        <w:t>Trends in International Mathematics and Science Study (</w:t>
      </w:r>
      <w:proofErr w:type="spellStart"/>
      <w:r w:rsidRPr="0089766B">
        <w:t>TIMSS</w:t>
      </w:r>
      <w:proofErr w:type="spellEnd"/>
      <w:r w:rsidRPr="0089766B">
        <w:t>)</w:t>
      </w:r>
      <w:r w:rsidR="00F3718F" w:rsidRPr="0089766B">
        <w:t xml:space="preserve">; </w:t>
      </w:r>
      <w:r w:rsidR="00765CF2" w:rsidRPr="0089766B">
        <w:t xml:space="preserve">the Progress in </w:t>
      </w:r>
      <w:r w:rsidR="00765CF2" w:rsidRPr="0089766B">
        <w:lastRenderedPageBreak/>
        <w:t>International Reading Literacy Study (</w:t>
      </w:r>
      <w:proofErr w:type="spellStart"/>
      <w:r w:rsidR="00765CF2" w:rsidRPr="0089766B">
        <w:t>PIRLS</w:t>
      </w:r>
      <w:proofErr w:type="spellEnd"/>
      <w:r w:rsidR="00765CF2" w:rsidRPr="0089766B">
        <w:t>)</w:t>
      </w:r>
      <w:r w:rsidR="00F3718F" w:rsidRPr="0089766B">
        <w:t xml:space="preserve">; and the </w:t>
      </w:r>
      <w:proofErr w:type="spellStart"/>
      <w:r w:rsidR="00F3718F" w:rsidRPr="0089766B">
        <w:t>IEA</w:t>
      </w:r>
      <w:proofErr w:type="spellEnd"/>
      <w:r w:rsidR="00F3718F" w:rsidRPr="0089766B">
        <w:t xml:space="preserve"> International Computer and Information Literacy Study</w:t>
      </w:r>
      <w:r w:rsidR="00223E34" w:rsidRPr="0089766B">
        <w:t xml:space="preserve"> (</w:t>
      </w:r>
      <w:proofErr w:type="spellStart"/>
      <w:r w:rsidR="00223E34" w:rsidRPr="0089766B">
        <w:t>ICILS</w:t>
      </w:r>
      <w:proofErr w:type="spellEnd"/>
      <w:r w:rsidR="00223E34" w:rsidRPr="0089766B">
        <w:t>)</w:t>
      </w:r>
      <w:r w:rsidR="00AF57AE" w:rsidRPr="0089766B">
        <w:t>.</w:t>
      </w:r>
    </w:p>
    <w:p w:rsidR="00666ECE" w:rsidRPr="00666ECE" w:rsidRDefault="00666ECE" w:rsidP="00666ECE">
      <w:pPr>
        <w:keepNext/>
        <w:spacing w:before="480" w:line="320" w:lineRule="exact"/>
        <w:outlineLvl w:val="4"/>
        <w:rPr>
          <w:i/>
        </w:rPr>
      </w:pPr>
      <w:r w:rsidRPr="00666ECE">
        <w:rPr>
          <w:i/>
        </w:rPr>
        <w:t xml:space="preserve">National Assessment Program </w:t>
      </w:r>
    </w:p>
    <w:p w:rsidR="00666ECE" w:rsidRPr="00666ECE" w:rsidRDefault="00666ECE" w:rsidP="00C84FF2">
      <w:pPr>
        <w:pStyle w:val="BodyText"/>
        <w:spacing w:before="0"/>
      </w:pPr>
      <w:r w:rsidRPr="00666ECE">
        <w:t xml:space="preserve">This chapter reports proportions of students undertaking </w:t>
      </w:r>
      <w:proofErr w:type="spellStart"/>
      <w:r w:rsidRPr="00666ECE">
        <w:t>NAPLAN</w:t>
      </w:r>
      <w:proofErr w:type="spellEnd"/>
      <w:r w:rsidRPr="00666ECE">
        <w:t xml:space="preserve"> testing in years</w:t>
      </w:r>
      <w:r w:rsidR="00292174">
        <w:t> </w:t>
      </w:r>
      <w:r w:rsidRPr="00666ECE">
        <w:t xml:space="preserve">3, 5, 7 and 9 achieving the national minimum standard, and mean scale score learning outcomes, for reading, </w:t>
      </w:r>
      <w:r w:rsidR="00B03F1B">
        <w:t xml:space="preserve">persuasive </w:t>
      </w:r>
      <w:r w:rsidRPr="001E35A6">
        <w:t>writing and numeracy performance in 201</w:t>
      </w:r>
      <w:r w:rsidR="00C84FF2">
        <w:t>4</w:t>
      </w:r>
      <w:r w:rsidRPr="001E35A6">
        <w:t xml:space="preserve">, including by Indigenous status and </w:t>
      </w:r>
      <w:proofErr w:type="spellStart"/>
      <w:r w:rsidRPr="001E35A6">
        <w:t>geolocation</w:t>
      </w:r>
      <w:proofErr w:type="spellEnd"/>
      <w:r w:rsidRPr="001E35A6">
        <w:t xml:space="preserve">. Data comparing a range of </w:t>
      </w:r>
      <w:r w:rsidR="00B2059A">
        <w:t xml:space="preserve">time series </w:t>
      </w:r>
      <w:r w:rsidRPr="001E35A6">
        <w:t xml:space="preserve">outcomes </w:t>
      </w:r>
      <w:r w:rsidR="00B03F1B" w:rsidRPr="001E35A6">
        <w:t xml:space="preserve">from </w:t>
      </w:r>
      <w:r w:rsidRPr="001E35A6">
        <w:t>2008</w:t>
      </w:r>
      <w:r w:rsidR="00C84FF2">
        <w:t>–2014</w:t>
      </w:r>
      <w:r w:rsidR="0068677C">
        <w:t xml:space="preserve"> </w:t>
      </w:r>
      <w:r w:rsidR="00223E34">
        <w:t>and 201</w:t>
      </w:r>
      <w:r w:rsidR="00370228">
        <w:t>3</w:t>
      </w:r>
      <w:r w:rsidR="00C84FF2">
        <w:t>–</w:t>
      </w:r>
      <w:r w:rsidR="00B03F1B" w:rsidRPr="001E35A6">
        <w:t>201</w:t>
      </w:r>
      <w:r w:rsidR="00223E34">
        <w:t>4</w:t>
      </w:r>
      <w:r w:rsidRPr="001E35A6">
        <w:t xml:space="preserve"> for reading and numeracy are also included in </w:t>
      </w:r>
      <w:r w:rsidRPr="00666ECE">
        <w:t>the chapter</w:t>
      </w:r>
      <w:r w:rsidR="00C84FF2">
        <w:t>, as are data for cohort gains from 2008–2010–2012–2014 (years 3–5–7–9</w:t>
      </w:r>
      <w:r w:rsidR="00B2059A">
        <w:t>)</w:t>
      </w:r>
      <w:r w:rsidR="00C84FF2">
        <w:t xml:space="preserve"> for reading and numeracy.</w:t>
      </w:r>
      <w:r w:rsidRPr="00666ECE">
        <w:t xml:space="preserve"> </w:t>
      </w:r>
    </w:p>
    <w:p w:rsidR="00666ECE" w:rsidRPr="00666ECE" w:rsidRDefault="00666ECE" w:rsidP="00F979EC">
      <w:pPr>
        <w:pStyle w:val="BodyText"/>
        <w:shd w:val="clear" w:color="auto" w:fill="FFFFFF" w:themeFill="background1"/>
      </w:pPr>
      <w:r w:rsidRPr="00666ECE">
        <w:t>Achieving (but not exceeding) the national minimum standard represents achievement of the basic elements of literacy or numeracy for the year level. Students who have not achieved the national minimum standard for that year need focused intervention and additional support to help them achieve the skills they require to progress in schooling (</w:t>
      </w:r>
      <w:proofErr w:type="spellStart"/>
      <w:r w:rsidRPr="00F979EC">
        <w:rPr>
          <w:shd w:val="clear" w:color="auto" w:fill="FFFFFF" w:themeFill="background1"/>
        </w:rPr>
        <w:t>ACARA</w:t>
      </w:r>
      <w:proofErr w:type="spellEnd"/>
      <w:r w:rsidRPr="00F979EC">
        <w:rPr>
          <w:shd w:val="clear" w:color="auto" w:fill="FFFFFF" w:themeFill="background1"/>
        </w:rPr>
        <w:t xml:space="preserve"> </w:t>
      </w:r>
      <w:proofErr w:type="spellStart"/>
      <w:r w:rsidRPr="00F979EC">
        <w:rPr>
          <w:shd w:val="clear" w:color="auto" w:fill="FFFFFF" w:themeFill="background1"/>
        </w:rPr>
        <w:t>201</w:t>
      </w:r>
      <w:r w:rsidR="00C84FF2" w:rsidRPr="00F979EC">
        <w:rPr>
          <w:shd w:val="clear" w:color="auto" w:fill="FFFFFF" w:themeFill="background1"/>
        </w:rPr>
        <w:t>4a</w:t>
      </w:r>
      <w:proofErr w:type="spellEnd"/>
      <w:r w:rsidRPr="00F979EC">
        <w:rPr>
          <w:shd w:val="clear" w:color="auto" w:fill="FFFFFF" w:themeFill="background1"/>
        </w:rPr>
        <w:t>). The</w:t>
      </w:r>
      <w:r w:rsidRPr="00666ECE">
        <w:t xml:space="preserve"> chapter and attachment tables also include additional data on </w:t>
      </w:r>
      <w:proofErr w:type="spellStart"/>
      <w:r w:rsidRPr="00666ECE">
        <w:t>NAPLAN</w:t>
      </w:r>
      <w:proofErr w:type="spellEnd"/>
      <w:r w:rsidRPr="00666ECE">
        <w:t xml:space="preserve"> mean scale scores for 201</w:t>
      </w:r>
      <w:r w:rsidR="00223E34">
        <w:t>4</w:t>
      </w:r>
      <w:r w:rsidRPr="00666ECE">
        <w:t xml:space="preserve">. </w:t>
      </w:r>
    </w:p>
    <w:p w:rsidR="00C84FF2" w:rsidRDefault="00666ECE" w:rsidP="0089766B">
      <w:pPr>
        <w:pStyle w:val="BodyText"/>
      </w:pPr>
      <w:r w:rsidRPr="00666ECE">
        <w:t xml:space="preserve">Detailed </w:t>
      </w:r>
      <w:proofErr w:type="spellStart"/>
      <w:r w:rsidRPr="00666ECE">
        <w:t>NAPLAN</w:t>
      </w:r>
      <w:proofErr w:type="spellEnd"/>
      <w:r w:rsidRPr="00666ECE">
        <w:t xml:space="preserve"> data for 201</w:t>
      </w:r>
      <w:r w:rsidR="00223E34">
        <w:t>4</w:t>
      </w:r>
      <w:r w:rsidRPr="00666ECE">
        <w:t xml:space="preserve">, including outcomes by </w:t>
      </w:r>
      <w:proofErr w:type="spellStart"/>
      <w:r w:rsidRPr="00666ECE">
        <w:t>socio-economic</w:t>
      </w:r>
      <w:proofErr w:type="spellEnd"/>
      <w:r w:rsidRPr="00666ECE">
        <w:t xml:space="preserve"> status</w:t>
      </w:r>
      <w:r w:rsidR="00E94352">
        <w:t xml:space="preserve"> (</w:t>
      </w:r>
      <w:r w:rsidR="00E94352" w:rsidRPr="00E94352">
        <w:t>parental education and occupation</w:t>
      </w:r>
      <w:r w:rsidR="00E94352">
        <w:t>)</w:t>
      </w:r>
      <w:r w:rsidRPr="00666ECE">
        <w:t xml:space="preserve">, are included in the attachment tables (tables </w:t>
      </w:r>
      <w:proofErr w:type="spellStart"/>
      <w:r w:rsidRPr="00666ECE">
        <w:t>4A.3</w:t>
      </w:r>
      <w:r w:rsidR="009819A6">
        <w:t>6</w:t>
      </w:r>
      <w:proofErr w:type="spellEnd"/>
      <w:r w:rsidRPr="00666ECE">
        <w:t>–</w:t>
      </w:r>
      <w:r w:rsidR="009819A6">
        <w:t>43</w:t>
      </w:r>
      <w:r w:rsidRPr="00666ECE">
        <w:t xml:space="preserve"> for reading performance, tables</w:t>
      </w:r>
      <w:r w:rsidR="0068677C">
        <w:t xml:space="preserve"> </w:t>
      </w:r>
      <w:proofErr w:type="spellStart"/>
      <w:r w:rsidRPr="00666ECE">
        <w:t>4A.</w:t>
      </w:r>
      <w:r w:rsidR="00C84FF2">
        <w:t>72</w:t>
      </w:r>
      <w:proofErr w:type="spellEnd"/>
      <w:r w:rsidRPr="00666ECE">
        <w:t>–</w:t>
      </w:r>
      <w:r w:rsidR="00C84FF2">
        <w:t>79</w:t>
      </w:r>
      <w:r w:rsidRPr="00666ECE">
        <w:t xml:space="preserve"> </w:t>
      </w:r>
      <w:r w:rsidRPr="003E52C6">
        <w:t xml:space="preserve">for </w:t>
      </w:r>
      <w:r w:rsidR="00B03F1B" w:rsidRPr="003E52C6">
        <w:t xml:space="preserve">persuasive </w:t>
      </w:r>
      <w:r w:rsidRPr="003E52C6">
        <w:t>writing performance and tables</w:t>
      </w:r>
      <w:r w:rsidR="002112BD">
        <w:t> </w:t>
      </w:r>
      <w:proofErr w:type="spellStart"/>
      <w:r w:rsidRPr="003E52C6">
        <w:t>4A.</w:t>
      </w:r>
      <w:r w:rsidR="00C84FF2">
        <w:t>108</w:t>
      </w:r>
      <w:proofErr w:type="spellEnd"/>
      <w:r w:rsidRPr="003E52C6">
        <w:t>–</w:t>
      </w:r>
      <w:r w:rsidR="00C84FF2">
        <w:t>115</w:t>
      </w:r>
      <w:r w:rsidRPr="003E52C6">
        <w:t xml:space="preserve"> for numeracy performance). </w:t>
      </w:r>
    </w:p>
    <w:p w:rsidR="00B03F1B" w:rsidRDefault="00666ECE" w:rsidP="0089766B">
      <w:pPr>
        <w:pStyle w:val="BodyText"/>
      </w:pPr>
      <w:r w:rsidRPr="003E52C6">
        <w:t xml:space="preserve">More detailed </w:t>
      </w:r>
      <w:proofErr w:type="spellStart"/>
      <w:r w:rsidRPr="003E52C6">
        <w:t>NAPLAN</w:t>
      </w:r>
      <w:proofErr w:type="spellEnd"/>
      <w:r w:rsidRPr="003E52C6">
        <w:t xml:space="preserve"> time series data for </w:t>
      </w:r>
      <w:r w:rsidR="00C84FF2" w:rsidRPr="001E35A6">
        <w:t>2008</w:t>
      </w:r>
      <w:r w:rsidR="00C84FF2">
        <w:t>–2014</w:t>
      </w:r>
      <w:r w:rsidR="00370228">
        <w:t xml:space="preserve"> </w:t>
      </w:r>
      <w:r w:rsidR="00C84FF2">
        <w:t>and 2013–</w:t>
      </w:r>
      <w:r w:rsidR="00C84FF2" w:rsidRPr="001E35A6">
        <w:t>201</w:t>
      </w:r>
      <w:r w:rsidR="00C84FF2">
        <w:t xml:space="preserve">4 </w:t>
      </w:r>
      <w:r w:rsidRPr="003E52C6">
        <w:t xml:space="preserve">are included in tables </w:t>
      </w:r>
      <w:proofErr w:type="spellStart"/>
      <w:r w:rsidRPr="003E52C6">
        <w:t>4A.</w:t>
      </w:r>
      <w:r w:rsidR="003E52C6" w:rsidRPr="003E52C6">
        <w:t>4</w:t>
      </w:r>
      <w:r w:rsidR="009819A6">
        <w:t>4</w:t>
      </w:r>
      <w:proofErr w:type="spellEnd"/>
      <w:r w:rsidR="003E52C6" w:rsidRPr="003E52C6">
        <w:t>–</w:t>
      </w:r>
      <w:r w:rsidR="009819A6">
        <w:t>52</w:t>
      </w:r>
      <w:r w:rsidRPr="003E52C6">
        <w:t xml:space="preserve"> for reading performance and tables</w:t>
      </w:r>
      <w:r w:rsidR="009819A6">
        <w:t> </w:t>
      </w:r>
      <w:proofErr w:type="spellStart"/>
      <w:r w:rsidRPr="003E52C6">
        <w:t>4A.</w:t>
      </w:r>
      <w:r w:rsidR="00C84FF2">
        <w:t>116</w:t>
      </w:r>
      <w:proofErr w:type="spellEnd"/>
      <w:r w:rsidRPr="003E52C6">
        <w:t>–</w:t>
      </w:r>
      <w:r w:rsidR="00C84FF2">
        <w:t>124</w:t>
      </w:r>
      <w:r w:rsidRPr="003E52C6">
        <w:t xml:space="preserve"> for numeracy performance.</w:t>
      </w:r>
      <w:r w:rsidR="00B03F1B" w:rsidRPr="003E52C6">
        <w:t xml:space="preserve"> </w:t>
      </w:r>
      <w:r w:rsidR="00765CF2">
        <w:t>Time series data for 201</w:t>
      </w:r>
      <w:r w:rsidR="00B2059A">
        <w:t>1</w:t>
      </w:r>
      <w:r w:rsidR="00765CF2">
        <w:t>–201</w:t>
      </w:r>
      <w:r w:rsidR="00C84FF2">
        <w:t>4 and 2013–</w:t>
      </w:r>
      <w:r w:rsidR="00C84FF2" w:rsidRPr="001E35A6">
        <w:t>201</w:t>
      </w:r>
      <w:r w:rsidR="00C84FF2">
        <w:t>4</w:t>
      </w:r>
      <w:r w:rsidR="00765CF2">
        <w:t xml:space="preserve"> for persuasive writing are included in tables </w:t>
      </w:r>
      <w:proofErr w:type="spellStart"/>
      <w:r w:rsidR="00765CF2">
        <w:t>4A.</w:t>
      </w:r>
      <w:r w:rsidR="00C84FF2">
        <w:t>80</w:t>
      </w:r>
      <w:proofErr w:type="spellEnd"/>
      <w:r w:rsidR="00765CF2">
        <w:t>–</w:t>
      </w:r>
      <w:r w:rsidR="00C84FF2">
        <w:t>88</w:t>
      </w:r>
      <w:r w:rsidR="00765CF2">
        <w:t xml:space="preserve">. </w:t>
      </w:r>
      <w:r w:rsidR="00C43085" w:rsidRPr="003E52C6">
        <w:t xml:space="preserve">In 2011, </w:t>
      </w:r>
      <w:proofErr w:type="spellStart"/>
      <w:r w:rsidR="00C43085" w:rsidRPr="003E52C6">
        <w:t>NAPLAN</w:t>
      </w:r>
      <w:proofErr w:type="spellEnd"/>
      <w:r w:rsidR="00C43085" w:rsidRPr="003E52C6">
        <w:t xml:space="preserve"> writing </w:t>
      </w:r>
      <w:r w:rsidR="00C43085" w:rsidRPr="00765CF2">
        <w:t xml:space="preserve">testing changed from </w:t>
      </w:r>
      <w:r w:rsidR="00B03F1B" w:rsidRPr="00765CF2">
        <w:t>narrative to persuasive writing</w:t>
      </w:r>
      <w:r w:rsidR="00292174" w:rsidRPr="00765CF2">
        <w:t>,</w:t>
      </w:r>
      <w:r w:rsidR="00B03F1B" w:rsidRPr="00765CF2">
        <w:t xml:space="preserve"> </w:t>
      </w:r>
      <w:r w:rsidR="00C43085" w:rsidRPr="00765CF2">
        <w:t xml:space="preserve">leading to a break in the time series. </w:t>
      </w:r>
      <w:r w:rsidR="00765CF2" w:rsidRPr="00765CF2">
        <w:t>D</w:t>
      </w:r>
      <w:r w:rsidR="00B03F1B" w:rsidRPr="00765CF2">
        <w:t xml:space="preserve">ata for </w:t>
      </w:r>
      <w:r w:rsidR="00C43085" w:rsidRPr="00765CF2">
        <w:t xml:space="preserve">narrative </w:t>
      </w:r>
      <w:r w:rsidR="00B03F1B" w:rsidRPr="00765CF2">
        <w:t xml:space="preserve">writing </w:t>
      </w:r>
      <w:r w:rsidR="00CF5D56" w:rsidRPr="00765CF2">
        <w:t>(for 2008, 2009 and 2010) are included in the 2010–2012 Reports.</w:t>
      </w:r>
    </w:p>
    <w:p w:rsidR="00C84FF2" w:rsidRPr="00765CF2" w:rsidRDefault="00B2059A" w:rsidP="0089766B">
      <w:pPr>
        <w:pStyle w:val="BodyText"/>
      </w:pPr>
      <w:r>
        <w:t xml:space="preserve">The 2014 Report </w:t>
      </w:r>
      <w:r w:rsidR="002112BD">
        <w:t>included</w:t>
      </w:r>
      <w:r>
        <w:t xml:space="preserve"> data for 2012 </w:t>
      </w:r>
      <w:proofErr w:type="spellStart"/>
      <w:r>
        <w:t>NAPLAN</w:t>
      </w:r>
      <w:proofErr w:type="spellEnd"/>
      <w:r>
        <w:t xml:space="preserve"> outcomes. </w:t>
      </w:r>
      <w:r w:rsidR="002112BD">
        <w:t xml:space="preserve">Improvements in the timeliness of </w:t>
      </w:r>
      <w:proofErr w:type="spellStart"/>
      <w:r w:rsidR="002112BD">
        <w:t>NAPLAN</w:t>
      </w:r>
      <w:proofErr w:type="spellEnd"/>
      <w:r w:rsidR="002112BD">
        <w:t xml:space="preserve"> reporting means that t</w:t>
      </w:r>
      <w:r>
        <w:t xml:space="preserve">his report </w:t>
      </w:r>
      <w:r w:rsidR="002112BD">
        <w:t>includes data for</w:t>
      </w:r>
      <w:r>
        <w:t xml:space="preserve"> 2014 </w:t>
      </w:r>
      <w:proofErr w:type="spellStart"/>
      <w:r>
        <w:t>NAPLAN</w:t>
      </w:r>
      <w:proofErr w:type="spellEnd"/>
      <w:r w:rsidR="002112BD">
        <w:t xml:space="preserve"> outcomes (</w:t>
      </w:r>
      <w:r>
        <w:t xml:space="preserve">2013 </w:t>
      </w:r>
      <w:proofErr w:type="spellStart"/>
      <w:r>
        <w:t>NAPLAN</w:t>
      </w:r>
      <w:proofErr w:type="spellEnd"/>
      <w:r>
        <w:t xml:space="preserve"> outcomes are included in the attachment tables for reading (tables </w:t>
      </w:r>
      <w:proofErr w:type="spellStart"/>
      <w:r>
        <w:t>4A.54</w:t>
      </w:r>
      <w:proofErr w:type="spellEnd"/>
      <w:r w:rsidR="002112BD">
        <w:t>–</w:t>
      </w:r>
      <w:r>
        <w:t>71), persuasive writing (tables </w:t>
      </w:r>
      <w:proofErr w:type="spellStart"/>
      <w:r>
        <w:t>4A.90</w:t>
      </w:r>
      <w:proofErr w:type="spellEnd"/>
      <w:r w:rsidR="005834AA">
        <w:t>–</w:t>
      </w:r>
      <w:r>
        <w:t xml:space="preserve">107) and numeracy </w:t>
      </w:r>
      <w:r w:rsidR="002112BD">
        <w:br/>
      </w:r>
      <w:r>
        <w:t>(tables</w:t>
      </w:r>
      <w:r w:rsidR="002112BD">
        <w:t> </w:t>
      </w:r>
      <w:proofErr w:type="spellStart"/>
      <w:r>
        <w:t>4A.126</w:t>
      </w:r>
      <w:proofErr w:type="spellEnd"/>
      <w:r>
        <w:t>–143)</w:t>
      </w:r>
      <w:r w:rsidR="002112BD">
        <w:t>)</w:t>
      </w:r>
      <w:r>
        <w:t>.</w:t>
      </w:r>
    </w:p>
    <w:p w:rsidR="00666ECE" w:rsidRPr="00223E34" w:rsidRDefault="00666ECE" w:rsidP="00AC4675">
      <w:pPr>
        <w:pStyle w:val="BodyText"/>
        <w:shd w:val="clear" w:color="auto" w:fill="FFFFFF" w:themeFill="background1"/>
        <w:rPr>
          <w:shd w:val="clear" w:color="auto" w:fill="FFFF00"/>
        </w:rPr>
      </w:pPr>
      <w:r w:rsidRPr="00765CF2">
        <w:t xml:space="preserve">The NAP also undertakes triennial national sample assessments on a rotating basis. This chapter reports year 6 </w:t>
      </w:r>
      <w:r w:rsidR="00223E34">
        <w:t xml:space="preserve">and year 10 civics and citizenship </w:t>
      </w:r>
      <w:r w:rsidR="00B03F1B" w:rsidRPr="00765CF2">
        <w:t xml:space="preserve">performance </w:t>
      </w:r>
      <w:r w:rsidRPr="00765CF2">
        <w:t>data for 200</w:t>
      </w:r>
      <w:r w:rsidR="00223E34">
        <w:t>4</w:t>
      </w:r>
      <w:r w:rsidRPr="00765CF2">
        <w:t>, 200</w:t>
      </w:r>
      <w:r w:rsidR="00223E34">
        <w:t>7</w:t>
      </w:r>
      <w:r w:rsidRPr="00765CF2">
        <w:t xml:space="preserve"> </w:t>
      </w:r>
      <w:r w:rsidR="00223E34">
        <w:t xml:space="preserve">2010 </w:t>
      </w:r>
      <w:r w:rsidRPr="00765CF2">
        <w:t>and 201</w:t>
      </w:r>
      <w:r w:rsidR="00223E34">
        <w:t>3</w:t>
      </w:r>
      <w:r w:rsidRPr="00765CF2">
        <w:t xml:space="preserve"> (201</w:t>
      </w:r>
      <w:r w:rsidR="00223E34">
        <w:t>3</w:t>
      </w:r>
      <w:r w:rsidRPr="00765CF2">
        <w:t xml:space="preserve"> data are available for the first time in this Report). The attachment tables include additional data on </w:t>
      </w:r>
      <w:r w:rsidR="00454CF4">
        <w:t xml:space="preserve">year 6 </w:t>
      </w:r>
      <w:r w:rsidR="00765CF2" w:rsidRPr="00765CF2">
        <w:t xml:space="preserve">science literacy </w:t>
      </w:r>
      <w:r w:rsidR="00B03F1B" w:rsidRPr="00765CF2">
        <w:t>performance</w:t>
      </w:r>
      <w:r w:rsidRPr="00765CF2">
        <w:t xml:space="preserve"> </w:t>
      </w:r>
      <w:r w:rsidR="00924EB2">
        <w:t xml:space="preserve">for 2006, 2009 and 2012 </w:t>
      </w:r>
      <w:r w:rsidR="00CB2D4B" w:rsidRPr="00AC4675">
        <w:rPr>
          <w:shd w:val="clear" w:color="auto" w:fill="FFFFFF" w:themeFill="background1"/>
        </w:rPr>
        <w:t xml:space="preserve">(tables </w:t>
      </w:r>
      <w:proofErr w:type="spellStart"/>
      <w:r w:rsidRPr="00AC4675">
        <w:rPr>
          <w:shd w:val="clear" w:color="auto" w:fill="FFFFFF" w:themeFill="background1"/>
        </w:rPr>
        <w:t>4A.</w:t>
      </w:r>
      <w:r w:rsidR="00AC4675" w:rsidRPr="00AC4675">
        <w:rPr>
          <w:shd w:val="clear" w:color="auto" w:fill="FFFFFF" w:themeFill="background1"/>
        </w:rPr>
        <w:t>144</w:t>
      </w:r>
      <w:proofErr w:type="spellEnd"/>
      <w:r w:rsidRPr="00AC4675">
        <w:rPr>
          <w:shd w:val="clear" w:color="auto" w:fill="FFFFFF" w:themeFill="background1"/>
        </w:rPr>
        <w:t>–</w:t>
      </w:r>
      <w:r w:rsidR="00AC4675" w:rsidRPr="00AC4675">
        <w:rPr>
          <w:shd w:val="clear" w:color="auto" w:fill="FFFFFF" w:themeFill="background1"/>
        </w:rPr>
        <w:t>148</w:t>
      </w:r>
      <w:r w:rsidRPr="00AC4675">
        <w:rPr>
          <w:shd w:val="clear" w:color="auto" w:fill="FFFFFF" w:themeFill="background1"/>
        </w:rPr>
        <w:t xml:space="preserve">); year </w:t>
      </w:r>
      <w:r w:rsidR="00CB2D4B" w:rsidRPr="00AC4675">
        <w:rPr>
          <w:shd w:val="clear" w:color="auto" w:fill="FFFFFF" w:themeFill="background1"/>
        </w:rPr>
        <w:t xml:space="preserve">6 and year </w:t>
      </w:r>
      <w:r w:rsidRPr="00AC4675">
        <w:rPr>
          <w:shd w:val="clear" w:color="auto" w:fill="FFFFFF" w:themeFill="background1"/>
        </w:rPr>
        <w:t xml:space="preserve">10 </w:t>
      </w:r>
      <w:r w:rsidR="00B03F1B" w:rsidRPr="00AC4675">
        <w:rPr>
          <w:shd w:val="clear" w:color="auto" w:fill="FFFFFF" w:themeFill="background1"/>
        </w:rPr>
        <w:t>civics and citizenship</w:t>
      </w:r>
      <w:r w:rsidRPr="00AC4675">
        <w:rPr>
          <w:shd w:val="clear" w:color="auto" w:fill="FFFFFF" w:themeFill="background1"/>
        </w:rPr>
        <w:t xml:space="preserve"> literacy performance for 200</w:t>
      </w:r>
      <w:r w:rsidR="00B03F1B" w:rsidRPr="00AC4675">
        <w:rPr>
          <w:shd w:val="clear" w:color="auto" w:fill="FFFFFF" w:themeFill="background1"/>
        </w:rPr>
        <w:t>4, 2007</w:t>
      </w:r>
      <w:r w:rsidR="00223E34" w:rsidRPr="00AC4675">
        <w:rPr>
          <w:shd w:val="clear" w:color="auto" w:fill="FFFFFF" w:themeFill="background1"/>
        </w:rPr>
        <w:t>,</w:t>
      </w:r>
      <w:r w:rsidRPr="00AC4675">
        <w:rPr>
          <w:shd w:val="clear" w:color="auto" w:fill="FFFFFF" w:themeFill="background1"/>
        </w:rPr>
        <w:t xml:space="preserve"> 20</w:t>
      </w:r>
      <w:r w:rsidR="00B03F1B" w:rsidRPr="00AC4675">
        <w:rPr>
          <w:shd w:val="clear" w:color="auto" w:fill="FFFFFF" w:themeFill="background1"/>
        </w:rPr>
        <w:t>10</w:t>
      </w:r>
      <w:r w:rsidRPr="00AC4675">
        <w:rPr>
          <w:shd w:val="clear" w:color="auto" w:fill="FFFFFF" w:themeFill="background1"/>
        </w:rPr>
        <w:t xml:space="preserve"> </w:t>
      </w:r>
      <w:r w:rsidR="00223E34" w:rsidRPr="00AC4675">
        <w:rPr>
          <w:shd w:val="clear" w:color="auto" w:fill="FFFFFF" w:themeFill="background1"/>
        </w:rPr>
        <w:t xml:space="preserve">and 2013 </w:t>
      </w:r>
      <w:r w:rsidRPr="00AC4675">
        <w:rPr>
          <w:shd w:val="clear" w:color="auto" w:fill="FFFFFF" w:themeFill="background1"/>
        </w:rPr>
        <w:t xml:space="preserve">(tables </w:t>
      </w:r>
      <w:proofErr w:type="spellStart"/>
      <w:r w:rsidRPr="00AC4675">
        <w:rPr>
          <w:shd w:val="clear" w:color="auto" w:fill="FFFFFF" w:themeFill="background1"/>
        </w:rPr>
        <w:t>4A.</w:t>
      </w:r>
      <w:r w:rsidR="00AC4675" w:rsidRPr="00AC4675">
        <w:rPr>
          <w:shd w:val="clear" w:color="auto" w:fill="FFFFFF" w:themeFill="background1"/>
        </w:rPr>
        <w:t>149</w:t>
      </w:r>
      <w:proofErr w:type="spellEnd"/>
      <w:r w:rsidR="00CB2D4B" w:rsidRPr="00AC4675">
        <w:rPr>
          <w:shd w:val="clear" w:color="auto" w:fill="FFFFFF" w:themeFill="background1"/>
        </w:rPr>
        <w:t>–</w:t>
      </w:r>
      <w:r w:rsidR="00AC4675" w:rsidRPr="00AC4675">
        <w:rPr>
          <w:shd w:val="clear" w:color="auto" w:fill="FFFFFF" w:themeFill="background1"/>
        </w:rPr>
        <w:t>153</w:t>
      </w:r>
      <w:r w:rsidRPr="00AC4675">
        <w:rPr>
          <w:shd w:val="clear" w:color="auto" w:fill="FFFFFF" w:themeFill="background1"/>
        </w:rPr>
        <w:t>)</w:t>
      </w:r>
      <w:r w:rsidR="00765CF2" w:rsidRPr="00AC4675">
        <w:rPr>
          <w:shd w:val="clear" w:color="auto" w:fill="FFFFFF" w:themeFill="background1"/>
        </w:rPr>
        <w:t xml:space="preserve"> and year 6 and year 10 information and communication tec</w:t>
      </w:r>
      <w:r w:rsidR="00370228">
        <w:rPr>
          <w:shd w:val="clear" w:color="auto" w:fill="FFFFFF" w:themeFill="background1"/>
        </w:rPr>
        <w:t xml:space="preserve">hnologies literacy performance </w:t>
      </w:r>
      <w:r w:rsidR="00765CF2" w:rsidRPr="00AC4675">
        <w:rPr>
          <w:shd w:val="clear" w:color="auto" w:fill="FFFFFF" w:themeFill="background1"/>
        </w:rPr>
        <w:t>for 2005, 2008 and 2011 (tables</w:t>
      </w:r>
      <w:r w:rsidR="00AC4675" w:rsidRPr="00AC4675">
        <w:rPr>
          <w:shd w:val="clear" w:color="auto" w:fill="FFFFFF" w:themeFill="background1"/>
        </w:rPr>
        <w:t> </w:t>
      </w:r>
      <w:proofErr w:type="spellStart"/>
      <w:r w:rsidR="00765CF2" w:rsidRPr="00AC4675">
        <w:rPr>
          <w:shd w:val="clear" w:color="auto" w:fill="FFFFFF" w:themeFill="background1"/>
        </w:rPr>
        <w:t>4A.</w:t>
      </w:r>
      <w:r w:rsidR="00AC4675" w:rsidRPr="00AC4675">
        <w:rPr>
          <w:shd w:val="clear" w:color="auto" w:fill="FFFFFF" w:themeFill="background1"/>
        </w:rPr>
        <w:t>154</w:t>
      </w:r>
      <w:proofErr w:type="spellEnd"/>
      <w:r w:rsidR="00AC4675" w:rsidRPr="00AC4675">
        <w:rPr>
          <w:shd w:val="clear" w:color="auto" w:fill="FFFFFF" w:themeFill="background1"/>
        </w:rPr>
        <w:t>–158</w:t>
      </w:r>
      <w:r w:rsidR="00765CF2" w:rsidRPr="00AC4675">
        <w:rPr>
          <w:shd w:val="clear" w:color="auto" w:fill="FFFFFF" w:themeFill="background1"/>
        </w:rPr>
        <w:t>)</w:t>
      </w:r>
      <w:r w:rsidRPr="00AC4675">
        <w:rPr>
          <w:shd w:val="clear" w:color="auto" w:fill="FFFFFF" w:themeFill="background1"/>
        </w:rPr>
        <w:t>.</w:t>
      </w:r>
    </w:p>
    <w:p w:rsidR="00666ECE" w:rsidRPr="00CB2D4B" w:rsidRDefault="00666ECE" w:rsidP="00AC4675">
      <w:pPr>
        <w:pStyle w:val="Heading5"/>
        <w:shd w:val="clear" w:color="auto" w:fill="FFFFFF" w:themeFill="background1"/>
      </w:pPr>
      <w:r w:rsidRPr="00CB2D4B">
        <w:lastRenderedPageBreak/>
        <w:t>International tests</w:t>
      </w:r>
    </w:p>
    <w:p w:rsidR="00E72DBF" w:rsidRPr="00CB2928" w:rsidRDefault="00666ECE" w:rsidP="0089766B">
      <w:pPr>
        <w:pStyle w:val="BodyText"/>
      </w:pPr>
      <w:r w:rsidRPr="00CB2D4B">
        <w:t>T</w:t>
      </w:r>
      <w:r w:rsidR="00E72DBF">
        <w:t xml:space="preserve">his </w:t>
      </w:r>
      <w:r w:rsidR="00E72DBF" w:rsidRPr="00CB2928">
        <w:t>chapter reports outcomes of:</w:t>
      </w:r>
    </w:p>
    <w:p w:rsidR="00666ECE" w:rsidRPr="0089766B" w:rsidRDefault="00666ECE" w:rsidP="00A11734">
      <w:pPr>
        <w:pStyle w:val="ListBullet"/>
      </w:pPr>
      <w:r w:rsidRPr="0089766B">
        <w:t xml:space="preserve">triennial </w:t>
      </w:r>
      <w:r w:rsidR="001E35A6" w:rsidRPr="0089766B">
        <w:t xml:space="preserve">PISA </w:t>
      </w:r>
      <w:r w:rsidRPr="0089766B">
        <w:t>assessments in reading literacy, mathematical literacy and scientific literacy</w:t>
      </w:r>
      <w:r w:rsidR="00CE740B" w:rsidRPr="0089766B">
        <w:t xml:space="preserve"> for 15 year old students</w:t>
      </w:r>
      <w:r w:rsidRPr="0089766B">
        <w:t xml:space="preserve">. </w:t>
      </w:r>
      <w:r w:rsidR="001E35A6" w:rsidRPr="00A11734">
        <w:rPr>
          <w:shd w:val="clear" w:color="auto" w:fill="FFFFFF" w:themeFill="background1"/>
        </w:rPr>
        <w:t xml:space="preserve">Data from the </w:t>
      </w:r>
      <w:r w:rsidR="00E308C4" w:rsidRPr="00A11734">
        <w:rPr>
          <w:shd w:val="clear" w:color="auto" w:fill="FFFFFF" w:themeFill="background1"/>
        </w:rPr>
        <w:t xml:space="preserve">2000, 2003, 2006, </w:t>
      </w:r>
      <w:r w:rsidR="00454CF4" w:rsidRPr="00A11734">
        <w:rPr>
          <w:shd w:val="clear" w:color="auto" w:fill="FFFFFF" w:themeFill="background1"/>
        </w:rPr>
        <w:t xml:space="preserve">2009 and </w:t>
      </w:r>
      <w:r w:rsidR="001E35A6" w:rsidRPr="00A11734">
        <w:rPr>
          <w:shd w:val="clear" w:color="auto" w:fill="FFFFFF" w:themeFill="background1"/>
        </w:rPr>
        <w:t xml:space="preserve">2012 assessments are included in this Report </w:t>
      </w:r>
      <w:r w:rsidR="00BA40CA" w:rsidRPr="00A11734">
        <w:rPr>
          <w:shd w:val="clear" w:color="auto" w:fill="FFFFFF" w:themeFill="background1"/>
        </w:rPr>
        <w:t>(</w:t>
      </w:r>
      <w:r w:rsidRPr="00A11734">
        <w:rPr>
          <w:shd w:val="clear" w:color="auto" w:fill="FFFFFF" w:themeFill="background1"/>
        </w:rPr>
        <w:t>tables</w:t>
      </w:r>
      <w:r w:rsidR="00EC1488" w:rsidRPr="0089766B">
        <w:t> </w:t>
      </w:r>
      <w:proofErr w:type="spellStart"/>
      <w:r w:rsidRPr="0089766B">
        <w:t>4A.</w:t>
      </w:r>
      <w:r w:rsidR="00AC4675">
        <w:t>159</w:t>
      </w:r>
      <w:proofErr w:type="spellEnd"/>
      <w:r w:rsidR="00C43453" w:rsidRPr="0089766B">
        <w:t>–</w:t>
      </w:r>
      <w:r w:rsidR="001E35A6" w:rsidRPr="0089766B">
        <w:t>1</w:t>
      </w:r>
      <w:r w:rsidR="00AC4675">
        <w:t>73</w:t>
      </w:r>
      <w:r w:rsidR="001E35A6" w:rsidRPr="0089766B">
        <w:t>)</w:t>
      </w:r>
    </w:p>
    <w:p w:rsidR="00CE740B" w:rsidRPr="0089766B" w:rsidRDefault="001E35A6" w:rsidP="0089766B">
      <w:pPr>
        <w:pStyle w:val="ListBullet"/>
      </w:pPr>
      <w:r w:rsidRPr="0089766B">
        <w:t xml:space="preserve">the four-yearly </w:t>
      </w:r>
      <w:proofErr w:type="spellStart"/>
      <w:r w:rsidRPr="0089766B">
        <w:t>TIMSS</w:t>
      </w:r>
      <w:proofErr w:type="spellEnd"/>
      <w:r w:rsidRPr="0089766B">
        <w:t xml:space="preserve"> assessments on mathematics and science achievement for year 4 and year 8</w:t>
      </w:r>
      <w:r w:rsidR="002112BD">
        <w:t>, conducted in 2011</w:t>
      </w:r>
      <w:r w:rsidRPr="0089766B">
        <w:t>. The attachment tables include additional information on the 2011 test, as well as data from 2003 and 2007 (tables </w:t>
      </w:r>
      <w:proofErr w:type="spellStart"/>
      <w:r w:rsidRPr="0089766B">
        <w:t>4A.1</w:t>
      </w:r>
      <w:r w:rsidR="00AC4675">
        <w:t>74</w:t>
      </w:r>
      <w:proofErr w:type="spellEnd"/>
      <w:r w:rsidRPr="0089766B">
        <w:t>–1</w:t>
      </w:r>
      <w:r w:rsidR="00AC4675">
        <w:t>78</w:t>
      </w:r>
      <w:r w:rsidR="00CE740B" w:rsidRPr="0089766B">
        <w:t>)</w:t>
      </w:r>
    </w:p>
    <w:p w:rsidR="00CE740B" w:rsidRPr="0089766B" w:rsidRDefault="00CE740B" w:rsidP="0089766B">
      <w:pPr>
        <w:pStyle w:val="ListBullet"/>
      </w:pPr>
      <w:r w:rsidRPr="0089766B">
        <w:t xml:space="preserve">the five-yearly </w:t>
      </w:r>
      <w:proofErr w:type="spellStart"/>
      <w:r w:rsidRPr="0089766B">
        <w:t>PIRLS</w:t>
      </w:r>
      <w:proofErr w:type="spellEnd"/>
      <w:r w:rsidRPr="0089766B">
        <w:t xml:space="preserve"> test for year 4, conducted in 2011, on reading literacy performance (tables </w:t>
      </w:r>
      <w:proofErr w:type="spellStart"/>
      <w:r w:rsidRPr="0089766B">
        <w:t>4A.1</w:t>
      </w:r>
      <w:r w:rsidR="00AC4675">
        <w:t>79</w:t>
      </w:r>
      <w:proofErr w:type="spellEnd"/>
      <w:r w:rsidRPr="0089766B">
        <w:t>-1</w:t>
      </w:r>
      <w:r w:rsidR="00AC4675">
        <w:t>80</w:t>
      </w:r>
      <w:r w:rsidRPr="0089766B">
        <w:t>)</w:t>
      </w:r>
    </w:p>
    <w:p w:rsidR="00223E34" w:rsidRPr="0089766B" w:rsidRDefault="00223E34" w:rsidP="0089766B">
      <w:pPr>
        <w:pStyle w:val="ListBullet"/>
      </w:pPr>
      <w:r w:rsidRPr="0089766B">
        <w:t xml:space="preserve">the </w:t>
      </w:r>
      <w:proofErr w:type="spellStart"/>
      <w:r w:rsidRPr="0089766B">
        <w:t>ICILS</w:t>
      </w:r>
      <w:proofErr w:type="spellEnd"/>
      <w:r w:rsidRPr="0089766B">
        <w:t xml:space="preserve"> test, </w:t>
      </w:r>
      <w:r w:rsidR="00963BD1" w:rsidRPr="0089766B">
        <w:t xml:space="preserve">that assesses the extent to which students know about, understand, and are able to use information and communication technology. It was </w:t>
      </w:r>
      <w:r w:rsidRPr="0089766B">
        <w:t xml:space="preserve">conducted at year 8 level </w:t>
      </w:r>
      <w:r w:rsidR="00963BD1" w:rsidRPr="0089766B">
        <w:t xml:space="preserve">for the first time in 2013 </w:t>
      </w:r>
      <w:r w:rsidRPr="0089766B">
        <w:t xml:space="preserve">(tables </w:t>
      </w:r>
      <w:proofErr w:type="spellStart"/>
      <w:r w:rsidRPr="0089766B">
        <w:t>4A.</w:t>
      </w:r>
      <w:r w:rsidR="00AC4675">
        <w:t>181</w:t>
      </w:r>
      <w:proofErr w:type="spellEnd"/>
      <w:r w:rsidR="00AC4675">
        <w:t>-182</w:t>
      </w:r>
      <w:r w:rsidRPr="0089766B">
        <w:t>)</w:t>
      </w:r>
      <w:r w:rsidR="00AC4675">
        <w:t>.</w:t>
      </w:r>
    </w:p>
    <w:p w:rsidR="00666ECE" w:rsidRPr="00CB2928" w:rsidRDefault="00666ECE" w:rsidP="007B0AE2">
      <w:pPr>
        <w:pStyle w:val="Heading5"/>
      </w:pPr>
      <w:r w:rsidRPr="00CB2928">
        <w:t>Interpreting learning outcomes data</w:t>
      </w:r>
    </w:p>
    <w:p w:rsidR="00666ECE" w:rsidRPr="00666ECE" w:rsidRDefault="00666ECE" w:rsidP="0089766B">
      <w:pPr>
        <w:pStyle w:val="BodyText"/>
      </w:pPr>
      <w:r w:rsidRPr="00666ECE">
        <w:t xml:space="preserve">To assist with making comparisons </w:t>
      </w:r>
      <w:r w:rsidR="002112BD">
        <w:t>across</w:t>
      </w:r>
      <w:r w:rsidRPr="00666ECE">
        <w:t xml:space="preserve"> jurisdictions, where appropriate, </w:t>
      </w:r>
      <w:r w:rsidRPr="00666ECE">
        <w:br/>
        <w:t xml:space="preserve">95 per cent confidence intervals are presented in charts and attachment tables. Confidence intervals are a standard way of expressing the degree of uncertainty associated with survey estimates or performance measurement. An estimate of 80 per cent with a confidence interval of ± 2.0, for example, means that if another sample had been drawn, or if another combination of test items had been used, there is a 95 per cent chance that the result would lie between 78 per cent and 82 per cent. Each learning outcomes proportion can be thought of in terms of a range. If one jurisdiction’s rate ranges from 78–82 per cent and another’s from 77–81 per cent, then it is not possible to say with confidence that one differs from the other (because there is unlikely to be a statistically significant difference). Where ranges do not overlap, there is a high likelihood that there is a statistically significant difference. A statistically significant difference means there is a high probability that there is an actual difference; it does not imply that the difference is necessarily large or important. </w:t>
      </w:r>
    </w:p>
    <w:p w:rsidR="00666ECE" w:rsidRPr="00666ECE" w:rsidRDefault="00666ECE" w:rsidP="007B0AE2">
      <w:pPr>
        <w:pStyle w:val="Heading5"/>
      </w:pPr>
      <w:r w:rsidRPr="00666ECE">
        <w:t xml:space="preserve">Participation in </w:t>
      </w:r>
      <w:proofErr w:type="spellStart"/>
      <w:r w:rsidRPr="00666ECE">
        <w:t>NAPLAN</w:t>
      </w:r>
      <w:proofErr w:type="spellEnd"/>
      <w:r w:rsidRPr="00666ECE">
        <w:t xml:space="preserve"> testing</w:t>
      </w:r>
    </w:p>
    <w:p w:rsidR="00666ECE" w:rsidRPr="00666ECE" w:rsidRDefault="00666ECE" w:rsidP="0089766B">
      <w:pPr>
        <w:pStyle w:val="BodyText"/>
      </w:pPr>
      <w:proofErr w:type="spellStart"/>
      <w:r w:rsidRPr="00666ECE">
        <w:t>NAPLAN</w:t>
      </w:r>
      <w:proofErr w:type="spellEnd"/>
      <w:r w:rsidRPr="00666ECE">
        <w:t xml:space="preserve"> testing reports the number of assessed, exempt, absent and withdrawn students</w:t>
      </w:r>
      <w:bookmarkStart w:id="19" w:name="OLE_LINK22"/>
      <w:bookmarkStart w:id="20" w:name="OLE_LINK24"/>
      <w:r w:rsidRPr="00CD7A77">
        <w:t xml:space="preserve">. </w:t>
      </w:r>
      <w:bookmarkEnd w:id="19"/>
      <w:bookmarkEnd w:id="20"/>
      <w:r w:rsidRPr="00CD7A77">
        <w:t xml:space="preserve">Assessed students include all students who attempt the test and exempt students. </w:t>
      </w:r>
      <w:r w:rsidR="00E72DBF" w:rsidRPr="00CD7A77">
        <w:t>S</w:t>
      </w:r>
      <w:r w:rsidRPr="00CD7A77">
        <w:t xml:space="preserve">tudents </w:t>
      </w:r>
      <w:r w:rsidRPr="00666ECE">
        <w:t>with a languag</w:t>
      </w:r>
      <w:r w:rsidR="00E72DBF">
        <w:t>e background other than English</w:t>
      </w:r>
      <w:r w:rsidRPr="00666ECE">
        <w:t xml:space="preserve"> who arrived from overseas less than a year before the test, </w:t>
      </w:r>
      <w:r w:rsidR="00E72DBF">
        <w:t>and</w:t>
      </w:r>
      <w:r w:rsidRPr="00666ECE">
        <w:t xml:space="preserve"> students with significant intellectual disabilities </w:t>
      </w:r>
      <w:r w:rsidR="00E72DBF">
        <w:t>may be exempted from testing</w:t>
      </w:r>
      <w:r w:rsidRPr="00666ECE">
        <w:t>. Participating students are those who were assessed or deemed exempt</w:t>
      </w:r>
      <w:r w:rsidR="00292174">
        <w:t xml:space="preserve"> — </w:t>
      </w:r>
      <w:r w:rsidRPr="00666ECE">
        <w:t xml:space="preserve">other students were either absent or withdrawn. </w:t>
      </w:r>
      <w:r w:rsidR="00FC486F">
        <w:t>A</w:t>
      </w:r>
      <w:r w:rsidRPr="00666ECE">
        <w:t xml:space="preserve"> higher or increasing proportion of students participating in </w:t>
      </w:r>
      <w:proofErr w:type="spellStart"/>
      <w:r w:rsidRPr="00666ECE">
        <w:t>NAPLAN</w:t>
      </w:r>
      <w:proofErr w:type="spellEnd"/>
      <w:r w:rsidRPr="00666ECE">
        <w:t xml:space="preserve"> testing suggests an improvement in that aspect of educational participation. Participation in the 201</w:t>
      </w:r>
      <w:r w:rsidR="00223E34">
        <w:t>4</w:t>
      </w:r>
      <w:r w:rsidRPr="00666ECE">
        <w:t xml:space="preserve"> </w:t>
      </w:r>
      <w:proofErr w:type="spellStart"/>
      <w:r w:rsidRPr="00666ECE">
        <w:t>NAPLAN</w:t>
      </w:r>
      <w:proofErr w:type="spellEnd"/>
      <w:r w:rsidRPr="00666ECE">
        <w:t xml:space="preserve"> tests, by Indigenous status, for reading, writing and numeracy are included in </w:t>
      </w:r>
      <w:r w:rsidRPr="00D32391">
        <w:rPr>
          <w:shd w:val="clear" w:color="auto" w:fill="FFFFFF" w:themeFill="background1"/>
        </w:rPr>
        <w:t xml:space="preserve">tables </w:t>
      </w:r>
      <w:proofErr w:type="spellStart"/>
      <w:r w:rsidRPr="00D32391">
        <w:rPr>
          <w:shd w:val="clear" w:color="auto" w:fill="FFFFFF" w:themeFill="background1"/>
        </w:rPr>
        <w:t>4A.</w:t>
      </w:r>
      <w:r w:rsidR="009819A6" w:rsidRPr="00D32391">
        <w:rPr>
          <w:shd w:val="clear" w:color="auto" w:fill="FFFFFF" w:themeFill="background1"/>
        </w:rPr>
        <w:t>42</w:t>
      </w:r>
      <w:proofErr w:type="spellEnd"/>
      <w:r w:rsidRPr="00D32391">
        <w:rPr>
          <w:shd w:val="clear" w:color="auto" w:fill="FFFFFF" w:themeFill="background1"/>
        </w:rPr>
        <w:t xml:space="preserve">, </w:t>
      </w:r>
      <w:proofErr w:type="spellStart"/>
      <w:r w:rsidRPr="00D32391">
        <w:rPr>
          <w:shd w:val="clear" w:color="auto" w:fill="FFFFFF" w:themeFill="background1"/>
        </w:rPr>
        <w:t>4A.</w:t>
      </w:r>
      <w:r w:rsidR="00D32391" w:rsidRPr="00D32391">
        <w:rPr>
          <w:shd w:val="clear" w:color="auto" w:fill="FFFFFF" w:themeFill="background1"/>
        </w:rPr>
        <w:t>78</w:t>
      </w:r>
      <w:proofErr w:type="spellEnd"/>
      <w:r w:rsidRPr="00D32391">
        <w:rPr>
          <w:shd w:val="clear" w:color="auto" w:fill="FFFFFF" w:themeFill="background1"/>
        </w:rPr>
        <w:t xml:space="preserve"> and </w:t>
      </w:r>
      <w:proofErr w:type="spellStart"/>
      <w:r w:rsidRPr="00D32391">
        <w:rPr>
          <w:shd w:val="clear" w:color="auto" w:fill="FFFFFF" w:themeFill="background1"/>
        </w:rPr>
        <w:t>4A.</w:t>
      </w:r>
      <w:r w:rsidR="00D32391" w:rsidRPr="00D32391">
        <w:rPr>
          <w:shd w:val="clear" w:color="auto" w:fill="FFFFFF" w:themeFill="background1"/>
        </w:rPr>
        <w:t>114</w:t>
      </w:r>
      <w:proofErr w:type="spellEnd"/>
      <w:r w:rsidRPr="00D32391">
        <w:rPr>
          <w:shd w:val="clear" w:color="auto" w:fill="FFFFFF" w:themeFill="background1"/>
        </w:rPr>
        <w:t xml:space="preserve"> respectively</w:t>
      </w:r>
      <w:r w:rsidRPr="00666ECE">
        <w:t xml:space="preserve">. </w:t>
      </w:r>
      <w:r w:rsidR="00D32391" w:rsidRPr="00666ECE">
        <w:t xml:space="preserve">The </w:t>
      </w:r>
      <w:r w:rsidR="00D32391" w:rsidRPr="00666ECE">
        <w:lastRenderedPageBreak/>
        <w:t xml:space="preserve">proportion of assessed, exempt, absent and withdrawn students in years 3, 5, 7 and 9 for reading, </w:t>
      </w:r>
      <w:r w:rsidR="00D32391">
        <w:t xml:space="preserve">persuasive </w:t>
      </w:r>
      <w:r w:rsidR="00D32391" w:rsidRPr="00666ECE">
        <w:t>writing and numeracy in 201</w:t>
      </w:r>
      <w:r w:rsidR="00D32391">
        <w:t>4</w:t>
      </w:r>
      <w:r w:rsidR="00D32391" w:rsidRPr="00666ECE">
        <w:t xml:space="preserve"> are in tables </w:t>
      </w:r>
      <w:proofErr w:type="spellStart"/>
      <w:r w:rsidR="00D32391" w:rsidRPr="00666ECE">
        <w:t>4A.</w:t>
      </w:r>
      <w:r w:rsidR="00D32391">
        <w:t>43</w:t>
      </w:r>
      <w:proofErr w:type="spellEnd"/>
      <w:r w:rsidR="00D32391" w:rsidRPr="00666ECE">
        <w:t xml:space="preserve">, </w:t>
      </w:r>
      <w:proofErr w:type="spellStart"/>
      <w:r w:rsidR="00D32391" w:rsidRPr="00666ECE">
        <w:t>4A.</w:t>
      </w:r>
      <w:r w:rsidR="00D32391">
        <w:t>79</w:t>
      </w:r>
      <w:proofErr w:type="spellEnd"/>
      <w:r w:rsidR="00D32391" w:rsidRPr="00666ECE">
        <w:t xml:space="preserve"> and </w:t>
      </w:r>
      <w:proofErr w:type="spellStart"/>
      <w:r w:rsidR="00D32391" w:rsidRPr="00666ECE">
        <w:t>4A.</w:t>
      </w:r>
      <w:r w:rsidR="00D32391">
        <w:t>115</w:t>
      </w:r>
      <w:proofErr w:type="spellEnd"/>
      <w:r w:rsidR="00D32391" w:rsidRPr="00666ECE">
        <w:t xml:space="preserve"> respectively. </w:t>
      </w:r>
      <w:r w:rsidRPr="00666ECE">
        <w:t xml:space="preserve">In all domains and year levels, a lower proportion of </w:t>
      </w:r>
      <w:r w:rsidR="00CD7A77">
        <w:t>Aboriginal and Torres Strait Islander</w:t>
      </w:r>
      <w:r w:rsidRPr="00666ECE">
        <w:t xml:space="preserve"> students than non-Indigenous or all students participated in </w:t>
      </w:r>
      <w:proofErr w:type="spellStart"/>
      <w:r w:rsidRPr="00666ECE">
        <w:t>NAPLAN</w:t>
      </w:r>
      <w:proofErr w:type="spellEnd"/>
      <w:r w:rsidRPr="00666ECE">
        <w:t xml:space="preserve"> testing.</w:t>
      </w:r>
    </w:p>
    <w:p w:rsidR="00666ECE" w:rsidRPr="00666ECE" w:rsidRDefault="00666ECE" w:rsidP="007B0AE2">
      <w:pPr>
        <w:pStyle w:val="Heading4"/>
      </w:pPr>
      <w:r w:rsidRPr="00666ECE">
        <w:t>Learning outcomes</w:t>
      </w:r>
    </w:p>
    <w:p w:rsidR="00666ECE" w:rsidRDefault="00666ECE" w:rsidP="0089766B">
      <w:pPr>
        <w:pStyle w:val="BodyText"/>
      </w:pPr>
      <w:r w:rsidRPr="00666ECE">
        <w:t>‘Learning outcomes’ is an indicator of governments’ objective that all students should attain a range of skills, including</w:t>
      </w:r>
      <w:r w:rsidR="00FC486F">
        <w:t>:</w:t>
      </w:r>
      <w:r w:rsidRPr="00666ECE">
        <w:t xml:space="preserve"> English literacy, such that every student should be able to read, write, spell and communicate at an appropriate level; skills in numeracy; and skills and becoming informed in areas such as science literacy</w:t>
      </w:r>
      <w:r w:rsidR="00CD7A77">
        <w:t>;</w:t>
      </w:r>
      <w:r w:rsidRPr="00666ECE">
        <w:t xml:space="preserve"> information and communications technologies</w:t>
      </w:r>
      <w:r w:rsidR="00CD7A77">
        <w:t>;</w:t>
      </w:r>
      <w:r w:rsidRPr="00666ECE">
        <w:t xml:space="preserve"> and civics and citizenship (box 4.</w:t>
      </w:r>
      <w:r w:rsidR="00FF2AB3">
        <w:t>9</w:t>
      </w:r>
      <w:r w:rsidRPr="00666ECE">
        <w:t>).</w:t>
      </w:r>
    </w:p>
    <w:p w:rsidR="00FF2AB3" w:rsidRDefault="00FF2AB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F2AB3" w:rsidTr="0034666A">
        <w:tc>
          <w:tcPr>
            <w:tcW w:w="8771" w:type="dxa"/>
            <w:tcBorders>
              <w:top w:val="single" w:sz="6" w:space="0" w:color="78A22F"/>
              <w:left w:val="nil"/>
              <w:bottom w:val="nil"/>
              <w:right w:val="nil"/>
            </w:tcBorders>
            <w:shd w:val="clear" w:color="auto" w:fill="F2F2F2"/>
          </w:tcPr>
          <w:p w:rsidR="00FF2AB3" w:rsidRDefault="00FF2AB3">
            <w:pPr>
              <w:pStyle w:val="BoxTitle"/>
            </w:pPr>
            <w:r>
              <w:rPr>
                <w:b w:val="0"/>
              </w:rPr>
              <w:t>Box 4.</w:t>
            </w:r>
            <w:r w:rsidR="005953B6">
              <w:rPr>
                <w:b w:val="0"/>
                <w:noProof/>
              </w:rPr>
              <w:t>9</w:t>
            </w:r>
            <w:r>
              <w:tab/>
            </w:r>
            <w:r w:rsidRPr="00043048">
              <w:t>Learning outcomes</w:t>
            </w:r>
          </w:p>
        </w:tc>
      </w:tr>
      <w:tr w:rsidR="00FF2AB3" w:rsidTr="0034666A">
        <w:trPr>
          <w:cantSplit/>
        </w:trPr>
        <w:tc>
          <w:tcPr>
            <w:tcW w:w="8771" w:type="dxa"/>
            <w:tcBorders>
              <w:top w:val="nil"/>
              <w:left w:val="nil"/>
              <w:bottom w:val="nil"/>
              <w:right w:val="nil"/>
            </w:tcBorders>
            <w:shd w:val="clear" w:color="auto" w:fill="F2F2F2"/>
          </w:tcPr>
          <w:p w:rsidR="00FF2AB3" w:rsidRPr="00166BCF" w:rsidRDefault="00CD7A77" w:rsidP="00FF2AB3">
            <w:pPr>
              <w:pStyle w:val="Box"/>
            </w:pPr>
            <w:r>
              <w:t>‘</w:t>
            </w:r>
            <w:r w:rsidR="00FF2AB3" w:rsidRPr="00166BCF">
              <w:t>Learning outcomes’ is defined by seven measures:</w:t>
            </w:r>
          </w:p>
          <w:p w:rsidR="00FF2AB3" w:rsidRPr="00166BCF" w:rsidRDefault="00FF2AB3" w:rsidP="00FF2AB3">
            <w:pPr>
              <w:pStyle w:val="Box"/>
              <w:numPr>
                <w:ilvl w:val="0"/>
                <w:numId w:val="1"/>
              </w:numPr>
            </w:pPr>
            <w:r w:rsidRPr="00166BCF">
              <w:t xml:space="preserve">the proportion of years 3, 5, 7 and 9 students achieving at or above the national minimum standard in </w:t>
            </w:r>
            <w:proofErr w:type="spellStart"/>
            <w:r w:rsidRPr="00166BCF">
              <w:t>NAPLAN</w:t>
            </w:r>
            <w:proofErr w:type="spellEnd"/>
            <w:r w:rsidRPr="00166BCF">
              <w:t xml:space="preserve"> testing for reading, persuasive writing and numeracy for a given year, reported by Indigenous status, sex, </w:t>
            </w:r>
            <w:proofErr w:type="spellStart"/>
            <w:r w:rsidRPr="00166BCF">
              <w:t>LBOTE</w:t>
            </w:r>
            <w:proofErr w:type="spellEnd"/>
            <w:r w:rsidRPr="00166BCF">
              <w:t xml:space="preserve">, </w:t>
            </w:r>
            <w:proofErr w:type="spellStart"/>
            <w:r w:rsidRPr="00166BCF">
              <w:t>socio-economic</w:t>
            </w:r>
            <w:proofErr w:type="spellEnd"/>
            <w:r w:rsidRPr="00166BCF">
              <w:t xml:space="preserve"> status and </w:t>
            </w:r>
            <w:proofErr w:type="spellStart"/>
            <w:r w:rsidRPr="00166BCF">
              <w:t>MCEECDYA</w:t>
            </w:r>
            <w:proofErr w:type="spellEnd"/>
            <w:r w:rsidRPr="00166BCF">
              <w:t xml:space="preserve"> categories of </w:t>
            </w:r>
            <w:proofErr w:type="spellStart"/>
            <w:r w:rsidRPr="00166BCF">
              <w:t>geolocation</w:t>
            </w:r>
            <w:proofErr w:type="spellEnd"/>
            <w:r w:rsidRPr="00166BCF">
              <w:t xml:space="preserve">. Significance of difference </w:t>
            </w:r>
            <w:r w:rsidR="00CD7A77">
              <w:t>across</w:t>
            </w:r>
            <w:r w:rsidRPr="00166BCF">
              <w:t xml:space="preserve"> states and territories for all students is also identified. (</w:t>
            </w:r>
            <w:r w:rsidR="00592D0D">
              <w:t>S</w:t>
            </w:r>
            <w:r w:rsidRPr="00166BCF">
              <w:t xml:space="preserve">ection 4.1 identifies the profile of equity groups in each State and Territory). </w:t>
            </w:r>
          </w:p>
          <w:p w:rsidR="00FF2AB3" w:rsidRPr="00166BCF" w:rsidRDefault="00FF2AB3" w:rsidP="00FF2AB3">
            <w:pPr>
              <w:pStyle w:val="Box"/>
              <w:numPr>
                <w:ilvl w:val="0"/>
                <w:numId w:val="1"/>
              </w:numPr>
            </w:pPr>
            <w:r w:rsidRPr="00166BCF">
              <w:t xml:space="preserve">the mean scale score (on the common national scale, ranging from 0 to 1000) achieved by years 3, 5, 7 and 9 students in </w:t>
            </w:r>
            <w:proofErr w:type="spellStart"/>
            <w:r w:rsidRPr="00166BCF">
              <w:t>NAPLAN</w:t>
            </w:r>
            <w:proofErr w:type="spellEnd"/>
            <w:r w:rsidRPr="00166BCF">
              <w:t xml:space="preserve"> assessment for reading, persuasive writing and numeracy for a given year, reported by Indigenous status. Significance of difference </w:t>
            </w:r>
            <w:r w:rsidR="00CD7A77">
              <w:t>across</w:t>
            </w:r>
            <w:r w:rsidRPr="00166BCF">
              <w:t xml:space="preserve"> states and territories for all students is also identified.</w:t>
            </w:r>
            <w:r w:rsidR="00CD7A77">
              <w:t xml:space="preserve"> </w:t>
            </w:r>
            <w:r w:rsidRPr="00166BCF">
              <w:t>This Report also includes a time series for student</w:t>
            </w:r>
            <w:r w:rsidR="00454CF4">
              <w:t xml:space="preserve"> </w:t>
            </w:r>
            <w:r w:rsidR="00F82743">
              <w:t>c</w:t>
            </w:r>
            <w:r w:rsidR="00CD7A77">
              <w:t>ohort</w:t>
            </w:r>
            <w:r w:rsidRPr="00166BCF">
              <w:t xml:space="preserve"> ‘gain’ (for example, between year 3 in 201</w:t>
            </w:r>
            <w:r w:rsidR="00370228">
              <w:t>2</w:t>
            </w:r>
            <w:r w:rsidRPr="00166BCF">
              <w:t xml:space="preserve"> and year 5 in 201</w:t>
            </w:r>
            <w:r w:rsidR="00370228">
              <w:t>4</w:t>
            </w:r>
            <w:r w:rsidRPr="00166BCF">
              <w:t xml:space="preserve">) based on the mean scale score outcomes for reading and numeracy. </w:t>
            </w:r>
          </w:p>
          <w:p w:rsidR="00FF2AB3" w:rsidRPr="00166BCF" w:rsidRDefault="00FF2AB3" w:rsidP="00FF2AB3">
            <w:pPr>
              <w:pStyle w:val="Box"/>
              <w:numPr>
                <w:ilvl w:val="0"/>
                <w:numId w:val="1"/>
              </w:numPr>
            </w:pPr>
            <w:r w:rsidRPr="00166BCF">
              <w:t>the proportion of sampled year 6 and year 10 students achieving at or above the proficient sta</w:t>
            </w:r>
            <w:r w:rsidR="00CD7A77">
              <w:t>ndard in civics and citizenship;</w:t>
            </w:r>
            <w:r w:rsidRPr="00166BCF">
              <w:t xml:space="preserve"> information and communication technologies</w:t>
            </w:r>
            <w:r w:rsidR="00CD7A77">
              <w:t>;</w:t>
            </w:r>
            <w:r w:rsidRPr="00166BCF">
              <w:t xml:space="preserve"> and science literacy (year 6 only). National data from the triennial National Assessment Program tests are reported by sex, Indigenous status, </w:t>
            </w:r>
            <w:proofErr w:type="spellStart"/>
            <w:r w:rsidRPr="00166BCF">
              <w:t>LBOTE</w:t>
            </w:r>
            <w:proofErr w:type="spellEnd"/>
            <w:r w:rsidRPr="00166BCF">
              <w:t xml:space="preserve"> status, </w:t>
            </w:r>
            <w:proofErr w:type="spellStart"/>
            <w:r w:rsidRPr="00166BCF">
              <w:t>MCEECDYA</w:t>
            </w:r>
            <w:proofErr w:type="spellEnd"/>
            <w:r w:rsidRPr="00166BCF">
              <w:t xml:space="preserve"> categories of </w:t>
            </w:r>
            <w:proofErr w:type="spellStart"/>
            <w:r w:rsidRPr="00166BCF">
              <w:t>geolocation</w:t>
            </w:r>
            <w:proofErr w:type="spellEnd"/>
            <w:r w:rsidRPr="00166BCF">
              <w:t xml:space="preserve"> and </w:t>
            </w:r>
            <w:proofErr w:type="spellStart"/>
            <w:r w:rsidRPr="00166BCF">
              <w:t>socio-economic</w:t>
            </w:r>
            <w:proofErr w:type="spellEnd"/>
            <w:r w:rsidRPr="00166BCF">
              <w:t xml:space="preserve"> status</w:t>
            </w:r>
          </w:p>
          <w:p w:rsidR="00FF2AB3" w:rsidRPr="00166BCF" w:rsidRDefault="00FF2AB3" w:rsidP="00FF2AB3">
            <w:pPr>
              <w:pStyle w:val="Box"/>
              <w:numPr>
                <w:ilvl w:val="0"/>
                <w:numId w:val="1"/>
              </w:numPr>
            </w:pPr>
            <w:r w:rsidRPr="00166BCF">
              <w:t xml:space="preserve">the proportion of sampled 15 year old students achieving at or above the proficient standard on the OECD PISA combined reading, mathematical literacy and science literacy scales in a triennial international assessment. National data are also reported by sex, Indigenous status, </w:t>
            </w:r>
            <w:proofErr w:type="spellStart"/>
            <w:r w:rsidRPr="00166BCF">
              <w:t>socio-economic</w:t>
            </w:r>
            <w:proofErr w:type="spellEnd"/>
            <w:r w:rsidRPr="00166BCF">
              <w:t xml:space="preserve"> status and </w:t>
            </w:r>
            <w:proofErr w:type="spellStart"/>
            <w:r w:rsidRPr="00166BCF">
              <w:t>geolocation</w:t>
            </w:r>
            <w:proofErr w:type="spellEnd"/>
            <w:r w:rsidRPr="00166BCF">
              <w:t>.</w:t>
            </w:r>
          </w:p>
          <w:p w:rsidR="00FF2AB3" w:rsidRDefault="00FF2AB3" w:rsidP="00FF2AB3">
            <w:pPr>
              <w:pStyle w:val="Box"/>
              <w:numPr>
                <w:ilvl w:val="0"/>
                <w:numId w:val="1"/>
              </w:numPr>
            </w:pPr>
            <w:r w:rsidRPr="00166BCF">
              <w:t xml:space="preserve">the proportion of sampled students achieving at or above the proficient standard on the </w:t>
            </w:r>
            <w:proofErr w:type="spellStart"/>
            <w:r w:rsidRPr="00166BCF">
              <w:t>TIMSS</w:t>
            </w:r>
            <w:proofErr w:type="spellEnd"/>
            <w:r w:rsidRPr="00166BCF">
              <w:t xml:space="preserve"> mathematical literacy and science literacy scales in a quadrennial assessment (assessed year 4 and year 8 students who achieve at or above the proficient standard on the </w:t>
            </w:r>
            <w:proofErr w:type="spellStart"/>
            <w:r w:rsidRPr="00166BCF">
              <w:t>TIMSS</w:t>
            </w:r>
            <w:proofErr w:type="spellEnd"/>
            <w:r w:rsidRPr="00166BCF">
              <w:t xml:space="preserve"> mathematical literacy scale for a given year). National data are also reported by sex, Indigenous status and </w:t>
            </w:r>
            <w:proofErr w:type="spellStart"/>
            <w:r w:rsidRPr="00166BCF">
              <w:t>MCEECDYA</w:t>
            </w:r>
            <w:proofErr w:type="spellEnd"/>
            <w:r w:rsidRPr="00166BCF">
              <w:t xml:space="preserve"> categories of </w:t>
            </w:r>
            <w:proofErr w:type="spellStart"/>
            <w:r w:rsidRPr="00166BCF">
              <w:t>geolocation</w:t>
            </w:r>
            <w:proofErr w:type="spellEnd"/>
          </w:p>
          <w:p w:rsidR="00592D0D" w:rsidRPr="00166BCF" w:rsidRDefault="00592D0D" w:rsidP="00592D0D">
            <w:pPr>
              <w:pStyle w:val="Box"/>
              <w:numPr>
                <w:ilvl w:val="0"/>
                <w:numId w:val="1"/>
              </w:numPr>
            </w:pPr>
            <w:r w:rsidRPr="00166BCF">
              <w:t xml:space="preserve">the proportion of sampled year 4 students achieving at or above the proficient standard on the 5 yearly </w:t>
            </w:r>
            <w:proofErr w:type="spellStart"/>
            <w:r w:rsidRPr="00166BCF">
              <w:t>PIRLS</w:t>
            </w:r>
            <w:proofErr w:type="spellEnd"/>
            <w:r w:rsidRPr="00166BCF">
              <w:t xml:space="preserve"> reading literacy test. National data are also reported by sex, Indigenous status and </w:t>
            </w:r>
            <w:proofErr w:type="spellStart"/>
            <w:r w:rsidRPr="00166BCF">
              <w:t>MCEECDYA</w:t>
            </w:r>
            <w:proofErr w:type="spellEnd"/>
            <w:r w:rsidRPr="00166BCF">
              <w:t xml:space="preserve"> categories of </w:t>
            </w:r>
            <w:proofErr w:type="spellStart"/>
            <w:r w:rsidRPr="00166BCF">
              <w:t>geolocation</w:t>
            </w:r>
            <w:proofErr w:type="spellEnd"/>
          </w:p>
          <w:p w:rsidR="00FF2AB3" w:rsidRPr="00FF2AB3" w:rsidRDefault="00FF2AB3" w:rsidP="00FF2AB3">
            <w:pPr>
              <w:pStyle w:val="Box"/>
              <w:numPr>
                <w:ilvl w:val="0"/>
                <w:numId w:val="1"/>
              </w:numPr>
            </w:pPr>
            <w:r w:rsidRPr="00FF2AB3">
              <w:t>the proportions of sampled students achieving at various proficiency levels, and</w:t>
            </w:r>
            <w:r w:rsidR="00CD7A77">
              <w:t xml:space="preserve"> mean scale scores on the </w:t>
            </w:r>
            <w:proofErr w:type="spellStart"/>
            <w:r w:rsidR="00CD7A77">
              <w:t>ICILS</w:t>
            </w:r>
            <w:proofErr w:type="spellEnd"/>
            <w:r w:rsidR="00CD7A77">
              <w:t>.</w:t>
            </w:r>
          </w:p>
          <w:p w:rsidR="00FF2AB3" w:rsidRPr="00166BCF" w:rsidRDefault="00FF2AB3" w:rsidP="00FF2AB3">
            <w:pPr>
              <w:pStyle w:val="Box"/>
            </w:pPr>
            <w:r w:rsidRPr="00166BCF">
              <w:t>A high or increasing proportion of students achieving at or above the national minimum standard or proficient standard, or a high or increasing mean scale score for learning outcomes is desirable.</w:t>
            </w:r>
          </w:p>
          <w:p w:rsidR="00FF2AB3" w:rsidRPr="00166BCF" w:rsidRDefault="00FF2AB3" w:rsidP="00FF2AB3">
            <w:pPr>
              <w:pStyle w:val="Box"/>
            </w:pPr>
            <w:r w:rsidRPr="00166BCF">
              <w:t xml:space="preserve">Data reported for all measures in this indicator are </w:t>
            </w:r>
          </w:p>
          <w:p w:rsidR="00FF2AB3" w:rsidRPr="00166BCF" w:rsidRDefault="00FF2AB3" w:rsidP="00FF2AB3">
            <w:pPr>
              <w:pStyle w:val="Box"/>
              <w:numPr>
                <w:ilvl w:val="0"/>
                <w:numId w:val="1"/>
              </w:numPr>
            </w:pPr>
            <w:r w:rsidRPr="00166BCF">
              <w:t>comparable (subject to caveats) across jurisdictions and over time</w:t>
            </w:r>
          </w:p>
          <w:p w:rsidR="00FF2AB3" w:rsidRPr="00166BCF" w:rsidRDefault="00FF2AB3" w:rsidP="00FF2AB3">
            <w:pPr>
              <w:pStyle w:val="Box"/>
              <w:numPr>
                <w:ilvl w:val="0"/>
                <w:numId w:val="1"/>
              </w:numPr>
            </w:pPr>
            <w:r w:rsidRPr="00166BCF">
              <w:t>complete for the current reporting period (subject to caveats). All required 2013 and 2014 data are available for all jurisdictions providing the service.</w:t>
            </w:r>
          </w:p>
          <w:p w:rsidR="00FF2AB3" w:rsidRDefault="00FF2AB3" w:rsidP="00FF2AB3">
            <w:pPr>
              <w:pStyle w:val="Box"/>
            </w:pPr>
            <w:r w:rsidRPr="00166BCF">
              <w:t xml:space="preserve">Information about data quality for this indicator is at </w:t>
            </w:r>
            <w:proofErr w:type="spellStart"/>
            <w:r w:rsidR="00723DDD" w:rsidRPr="00963842">
              <w:t>www.pc.gov.au</w:t>
            </w:r>
            <w:proofErr w:type="spellEnd"/>
            <w:r w:rsidR="00723DDD" w:rsidRPr="00963842">
              <w:t>/</w:t>
            </w:r>
            <w:proofErr w:type="spellStart"/>
            <w:r w:rsidRPr="00963842">
              <w:t>rogs</w:t>
            </w:r>
            <w:proofErr w:type="spellEnd"/>
            <w:r w:rsidRPr="00963842">
              <w:t>/2015</w:t>
            </w:r>
            <w:r w:rsidR="00723DDD">
              <w:rPr>
                <w:rStyle w:val="Hyperlink"/>
                <w:color w:val="auto"/>
              </w:rPr>
              <w:t>.</w:t>
            </w:r>
          </w:p>
        </w:tc>
      </w:tr>
      <w:tr w:rsidR="00FF2AB3" w:rsidTr="0034666A">
        <w:trPr>
          <w:cantSplit/>
        </w:trPr>
        <w:tc>
          <w:tcPr>
            <w:tcW w:w="8771" w:type="dxa"/>
            <w:tcBorders>
              <w:top w:val="nil"/>
              <w:left w:val="nil"/>
              <w:bottom w:val="single" w:sz="6" w:space="0" w:color="78A22F"/>
              <w:right w:val="nil"/>
            </w:tcBorders>
            <w:shd w:val="clear" w:color="auto" w:fill="F2F2F2"/>
          </w:tcPr>
          <w:p w:rsidR="00FF2AB3" w:rsidRDefault="00FF2AB3">
            <w:pPr>
              <w:pStyle w:val="Box"/>
              <w:spacing w:before="0" w:line="120" w:lineRule="exact"/>
            </w:pPr>
          </w:p>
        </w:tc>
      </w:tr>
      <w:tr w:rsidR="00FF2AB3" w:rsidRPr="000863A5" w:rsidTr="0034666A">
        <w:tc>
          <w:tcPr>
            <w:tcW w:w="8771" w:type="dxa"/>
            <w:tcBorders>
              <w:top w:val="single" w:sz="6" w:space="0" w:color="78A22F"/>
              <w:left w:val="nil"/>
              <w:bottom w:val="nil"/>
              <w:right w:val="nil"/>
            </w:tcBorders>
          </w:tcPr>
          <w:p w:rsidR="00FF2AB3" w:rsidRPr="00626D32" w:rsidRDefault="00FF2AB3" w:rsidP="0034666A">
            <w:pPr>
              <w:pStyle w:val="BoxSpaceBelow"/>
            </w:pPr>
          </w:p>
        </w:tc>
      </w:tr>
    </w:tbl>
    <w:p w:rsidR="00666ECE" w:rsidRPr="00666ECE" w:rsidRDefault="00666ECE" w:rsidP="008E00E0">
      <w:pPr>
        <w:pStyle w:val="Heading5"/>
        <w:spacing w:before="0"/>
      </w:pPr>
      <w:proofErr w:type="spellStart"/>
      <w:r w:rsidRPr="00666ECE">
        <w:lastRenderedPageBreak/>
        <w:t>NAPLAN</w:t>
      </w:r>
      <w:proofErr w:type="spellEnd"/>
      <w:r w:rsidRPr="00666ECE">
        <w:t xml:space="preserve"> Reading</w:t>
      </w:r>
    </w:p>
    <w:p w:rsidR="00666ECE" w:rsidRDefault="00D62FAA" w:rsidP="0089766B">
      <w:pPr>
        <w:pStyle w:val="BodyText"/>
      </w:pPr>
      <w:r>
        <w:t>This section of the learning outcomes</w:t>
      </w:r>
      <w:r w:rsidR="00666ECE" w:rsidRPr="00666ECE">
        <w:t xml:space="preserve"> indicator provides key outcomes for </w:t>
      </w:r>
      <w:proofErr w:type="spellStart"/>
      <w:r w:rsidR="00666ECE" w:rsidRPr="00666ECE">
        <w:t>NAPLAN</w:t>
      </w:r>
      <w:proofErr w:type="spellEnd"/>
      <w:r w:rsidR="00666ECE" w:rsidRPr="00666ECE">
        <w:t xml:space="preserve"> testing (years 3, 5, 7 and 9) in the reading domain. </w:t>
      </w:r>
      <w:r w:rsidR="007267E2">
        <w:t>O</w:t>
      </w:r>
      <w:r w:rsidR="00666ECE" w:rsidRPr="00666ECE">
        <w:t xml:space="preserve">utcomes </w:t>
      </w:r>
      <w:r w:rsidR="007267E2">
        <w:t xml:space="preserve">by Indigenous status </w:t>
      </w:r>
      <w:r w:rsidR="00666ECE" w:rsidRPr="00666ECE">
        <w:t xml:space="preserve">are highlighted, but outcomes for a range of other equity groups including male, female, </w:t>
      </w:r>
      <w:proofErr w:type="spellStart"/>
      <w:r w:rsidR="00666ECE" w:rsidRPr="00666ECE">
        <w:t>LBOTE</w:t>
      </w:r>
      <w:proofErr w:type="spellEnd"/>
      <w:r w:rsidR="00666ECE" w:rsidRPr="00666ECE">
        <w:t xml:space="preserve">, </w:t>
      </w:r>
      <w:proofErr w:type="spellStart"/>
      <w:r w:rsidR="00666ECE" w:rsidRPr="00666ECE">
        <w:t>geolocation</w:t>
      </w:r>
      <w:proofErr w:type="spellEnd"/>
      <w:r w:rsidR="00666ECE" w:rsidRPr="00666ECE">
        <w:t xml:space="preserve"> and </w:t>
      </w:r>
      <w:proofErr w:type="spellStart"/>
      <w:r w:rsidR="00666ECE" w:rsidRPr="00666ECE">
        <w:t>socio-economic</w:t>
      </w:r>
      <w:proofErr w:type="spellEnd"/>
      <w:r w:rsidR="00666ECE" w:rsidRPr="00666ECE">
        <w:t xml:space="preserve"> status (parental education and parental occupation) are included in tables </w:t>
      </w:r>
      <w:proofErr w:type="spellStart"/>
      <w:r w:rsidR="00666ECE" w:rsidRPr="00666ECE">
        <w:t>4A.3</w:t>
      </w:r>
      <w:r w:rsidR="009819A6">
        <w:t>6</w:t>
      </w:r>
      <w:proofErr w:type="spellEnd"/>
      <w:r w:rsidR="00666ECE" w:rsidRPr="00666ECE">
        <w:t>–</w:t>
      </w:r>
      <w:r w:rsidR="009819A6">
        <w:t>53</w:t>
      </w:r>
      <w:r w:rsidR="00666ECE" w:rsidRPr="00666ECE">
        <w:t>.</w:t>
      </w:r>
    </w:p>
    <w:p w:rsidR="005450F5" w:rsidRPr="00666ECE" w:rsidRDefault="005450F5" w:rsidP="0089766B">
      <w:pPr>
        <w:pStyle w:val="BodyText"/>
      </w:pPr>
      <w:r>
        <w:t xml:space="preserve">This chapter reports on 2014 </w:t>
      </w:r>
      <w:proofErr w:type="spellStart"/>
      <w:r>
        <w:t>NAPLAN</w:t>
      </w:r>
      <w:proofErr w:type="spellEnd"/>
      <w:r>
        <w:t xml:space="preserve"> outcomes. </w:t>
      </w:r>
      <w:proofErr w:type="spellStart"/>
      <w:r>
        <w:t>NAPLAN</w:t>
      </w:r>
      <w:proofErr w:type="spellEnd"/>
      <w:r>
        <w:t xml:space="preserve"> reading outcomes for 2013 (not included in earlier reports) are in attachment tables </w:t>
      </w:r>
      <w:proofErr w:type="spellStart"/>
      <w:r>
        <w:t>4A.54</w:t>
      </w:r>
      <w:proofErr w:type="spellEnd"/>
      <w:r>
        <w:t>–71.</w:t>
      </w:r>
    </w:p>
    <w:p w:rsidR="004438CB" w:rsidRPr="00666ECE" w:rsidRDefault="004438CB" w:rsidP="004438CB">
      <w:pPr>
        <w:pStyle w:val="Heading6"/>
      </w:pPr>
      <w:r w:rsidRPr="00666ECE">
        <w:t xml:space="preserve">All students and </w:t>
      </w:r>
      <w:r>
        <w:t>Aboriginal and Torres Strait Islander</w:t>
      </w:r>
      <w:r w:rsidRPr="00666ECE">
        <w:t xml:space="preserve"> students</w:t>
      </w:r>
    </w:p>
    <w:p w:rsidR="004438CB" w:rsidRDefault="004438CB" w:rsidP="00A11734">
      <w:pPr>
        <w:pStyle w:val="BodyText"/>
      </w:pPr>
      <w:r w:rsidRPr="00666ECE">
        <w:t xml:space="preserve">The proportion </w:t>
      </w:r>
      <w:r w:rsidRPr="00EC1693">
        <w:t>of year 3 students who achieved at or above the reading national minimum standard in 201</w:t>
      </w:r>
      <w:r w:rsidR="00F6086E">
        <w:t>4</w:t>
      </w:r>
      <w:r w:rsidRPr="00EC1693">
        <w:t xml:space="preserve"> was </w:t>
      </w:r>
      <w:r w:rsidR="009F21B1" w:rsidRPr="00A11734">
        <w:rPr>
          <w:shd w:val="clear" w:color="auto" w:fill="FFFFFF" w:themeFill="background1"/>
        </w:rPr>
        <w:t>93.1–93.7</w:t>
      </w:r>
      <w:r w:rsidRPr="00EC1693">
        <w:t xml:space="preserve"> per cent nationally. The proportion </w:t>
      </w:r>
      <w:r>
        <w:t xml:space="preserve">for </w:t>
      </w:r>
      <w:r w:rsidRPr="00BE4E82">
        <w:t>Aboriginal and Torres Strait Islander</w:t>
      </w:r>
      <w:r w:rsidRPr="00EC1693">
        <w:t xml:space="preserve"> students </w:t>
      </w:r>
      <w:r w:rsidR="00221E5A" w:rsidRPr="00A11734">
        <w:rPr>
          <w:shd w:val="clear" w:color="auto" w:fill="FFFFFF" w:themeFill="background1"/>
        </w:rPr>
        <w:t>(</w:t>
      </w:r>
      <w:r w:rsidR="009F21B1" w:rsidRPr="00A11734">
        <w:rPr>
          <w:shd w:val="clear" w:color="auto" w:fill="FFFFFF" w:themeFill="background1"/>
        </w:rPr>
        <w:t>73.1–76.3</w:t>
      </w:r>
      <w:r w:rsidRPr="00EC1693">
        <w:t xml:space="preserve"> per cent) was significantly lower than for non</w:t>
      </w:r>
      <w:r w:rsidRPr="00EC1693">
        <w:noBreakHyphen/>
        <w:t xml:space="preserve">Indigenous students </w:t>
      </w:r>
      <w:r w:rsidRPr="00A11734">
        <w:rPr>
          <w:shd w:val="clear" w:color="auto" w:fill="FFFFFF" w:themeFill="background1"/>
        </w:rPr>
        <w:t>(</w:t>
      </w:r>
      <w:r w:rsidR="008E00E0" w:rsidRPr="00A11734">
        <w:rPr>
          <w:shd w:val="clear" w:color="auto" w:fill="FFFFFF" w:themeFill="background1"/>
        </w:rPr>
        <w:t>94.5–94.9</w:t>
      </w:r>
      <w:r w:rsidRPr="00EC1693">
        <w:t xml:space="preserve"> per cent) (figure </w:t>
      </w:r>
      <w:r w:rsidRPr="00666ECE">
        <w:t>4.</w:t>
      </w:r>
      <w:r>
        <w:t>2</w:t>
      </w:r>
      <w:r w:rsidR="00FF2AB3">
        <w:t>4</w:t>
      </w:r>
      <w:r w:rsidRPr="00666ECE">
        <w:t>). These proportions varied across jurisdictions.</w:t>
      </w:r>
    </w:p>
    <w:p w:rsidR="004438CB" w:rsidRDefault="004438CB" w:rsidP="004438C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438CB" w:rsidTr="00076DD8">
        <w:tc>
          <w:tcPr>
            <w:tcW w:w="8771" w:type="dxa"/>
            <w:tcBorders>
              <w:top w:val="single" w:sz="6" w:space="0" w:color="78A22F"/>
              <w:left w:val="nil"/>
              <w:bottom w:val="nil"/>
              <w:right w:val="nil"/>
            </w:tcBorders>
            <w:shd w:val="clear" w:color="auto" w:fill="auto"/>
          </w:tcPr>
          <w:p w:rsidR="004438CB" w:rsidRPr="00176D3F" w:rsidRDefault="004438CB" w:rsidP="00511AE4">
            <w:pPr>
              <w:pStyle w:val="FigureTitle"/>
            </w:pPr>
            <w:r w:rsidRPr="00784A05">
              <w:rPr>
                <w:b w:val="0"/>
              </w:rPr>
              <w:t xml:space="preserve">Figure </w:t>
            </w:r>
            <w:r w:rsidR="00B70781">
              <w:rPr>
                <w:b w:val="0"/>
              </w:rPr>
              <w:t>4.</w:t>
            </w:r>
            <w:r w:rsidR="005953B6">
              <w:rPr>
                <w:b w:val="0"/>
                <w:noProof/>
              </w:rPr>
              <w:t>24</w:t>
            </w:r>
            <w:r>
              <w:tab/>
            </w:r>
            <w:r w:rsidRPr="00BE4E82">
              <w:t>Proportion of year 3 students achieving at or above the reading national minimum standard, 201</w:t>
            </w:r>
            <w:r w:rsidR="00F6086E">
              <w:t>4</w:t>
            </w:r>
            <w:r w:rsidRPr="00BE4E82">
              <w:rPr>
                <w:position w:val="6"/>
                <w:sz w:val="18"/>
              </w:rPr>
              <w:t xml:space="preserve"> </w:t>
            </w:r>
            <w:r w:rsidRPr="00BE4E82">
              <w:rPr>
                <w:rStyle w:val="NoteLabel"/>
                <w:b/>
              </w:rPr>
              <w:t>a, b</w:t>
            </w:r>
          </w:p>
        </w:tc>
      </w:tr>
      <w:tr w:rsidR="004438CB" w:rsidTr="00A11734">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4438CB" w:rsidTr="00076DD8">
              <w:trPr>
                <w:jc w:val="center"/>
              </w:trPr>
              <w:tc>
                <w:tcPr>
                  <w:tcW w:w="5000" w:type="pct"/>
                  <w:tcBorders>
                    <w:top w:val="nil"/>
                    <w:bottom w:val="nil"/>
                  </w:tcBorders>
                </w:tcPr>
                <w:p w:rsidR="004438CB" w:rsidRDefault="00DC200A" w:rsidP="00076DD8">
                  <w:pPr>
                    <w:pStyle w:val="Figure"/>
                    <w:spacing w:before="60" w:after="60"/>
                  </w:pPr>
                  <w:r>
                    <w:rPr>
                      <w:noProof/>
                    </w:rPr>
                    <w:drawing>
                      <wp:inline distT="0" distB="0" distL="0" distR="0">
                        <wp:extent cx="5391150" cy="2695575"/>
                        <wp:effectExtent l="0" t="0" r="0" b="9525"/>
                        <wp:docPr id="24" name="Picture 24" descr="Figure 4.24 Proportion of year 3 students achieving at or above the reading national minimum standard,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4438CB" w:rsidRDefault="004438CB" w:rsidP="00076DD8">
            <w:pPr>
              <w:pStyle w:val="Figure"/>
            </w:pPr>
          </w:p>
        </w:tc>
      </w:tr>
      <w:tr w:rsidR="004438CB" w:rsidRPr="00176D3F" w:rsidTr="00076DD8">
        <w:tc>
          <w:tcPr>
            <w:tcW w:w="8771" w:type="dxa"/>
            <w:tcBorders>
              <w:top w:val="nil"/>
              <w:left w:val="nil"/>
              <w:bottom w:val="nil"/>
              <w:right w:val="nil"/>
            </w:tcBorders>
            <w:shd w:val="clear" w:color="auto" w:fill="auto"/>
          </w:tcPr>
          <w:p w:rsidR="004438CB" w:rsidRPr="00176D3F" w:rsidRDefault="004438CB" w:rsidP="00076DD8">
            <w:pPr>
              <w:pStyle w:val="Note"/>
            </w:pPr>
            <w:proofErr w:type="spellStart"/>
            <w:r>
              <w:rPr>
                <w:rStyle w:val="NoteLabel"/>
              </w:rPr>
              <w:t>a</w:t>
            </w:r>
            <w:proofErr w:type="spellEnd"/>
            <w:r>
              <w:t xml:space="preserve"> </w:t>
            </w:r>
            <w:r w:rsidRPr="00BE4E82">
              <w:t xml:space="preserve">Error bars represent the 95 per cent confidence interval associated with each point estimate. </w:t>
            </w:r>
            <w:r w:rsidRPr="00820CF9">
              <w:rPr>
                <w:rStyle w:val="NoteLabel"/>
              </w:rPr>
              <w:t>b</w:t>
            </w:r>
            <w:r w:rsidRPr="00BE4E82">
              <w:t xml:space="preserve"> For further information and caveats see table </w:t>
            </w:r>
            <w:proofErr w:type="spellStart"/>
            <w:r w:rsidRPr="00BE4E82">
              <w:t>4A.36</w:t>
            </w:r>
            <w:proofErr w:type="spellEnd"/>
            <w:r>
              <w:t>.</w:t>
            </w:r>
          </w:p>
        </w:tc>
      </w:tr>
      <w:tr w:rsidR="004438CB" w:rsidRPr="00176D3F" w:rsidTr="00076DD8">
        <w:tc>
          <w:tcPr>
            <w:tcW w:w="8771" w:type="dxa"/>
            <w:tcBorders>
              <w:top w:val="nil"/>
              <w:left w:val="nil"/>
              <w:bottom w:val="nil"/>
              <w:right w:val="nil"/>
            </w:tcBorders>
            <w:shd w:val="clear" w:color="auto" w:fill="auto"/>
          </w:tcPr>
          <w:p w:rsidR="004438CB" w:rsidRPr="00176D3F" w:rsidRDefault="004438CB" w:rsidP="00CE6853">
            <w:pPr>
              <w:pStyle w:val="Source"/>
            </w:pPr>
            <w:r>
              <w:rPr>
                <w:i/>
              </w:rPr>
              <w:t>S</w:t>
            </w:r>
            <w:r w:rsidRPr="00784A05">
              <w:rPr>
                <w:i/>
              </w:rPr>
              <w:t>ource</w:t>
            </w:r>
            <w:r w:rsidRPr="00176D3F">
              <w:t xml:space="preserve">: </w:t>
            </w:r>
            <w:r w:rsidRPr="00BE4E82">
              <w:t>ACARA (201</w:t>
            </w:r>
            <w:r w:rsidR="00CE6853">
              <w:t>4</w:t>
            </w:r>
            <w:r w:rsidRPr="00BE4E82">
              <w:t xml:space="preserve"> and unpublished) </w:t>
            </w:r>
            <w:proofErr w:type="spellStart"/>
            <w:r w:rsidRPr="00BE4E82">
              <w:rPr>
                <w:i/>
              </w:rPr>
              <w:t>NAPLAN</w:t>
            </w:r>
            <w:proofErr w:type="spellEnd"/>
            <w:r w:rsidRPr="00BE4E82">
              <w:rPr>
                <w:i/>
              </w:rPr>
              <w:t xml:space="preserve"> Achievement in Reading, Writing, Language Conventions and Numeracy: National Report for 201</w:t>
            </w:r>
            <w:r w:rsidR="00CE6853">
              <w:rPr>
                <w:i/>
              </w:rPr>
              <w:t>4</w:t>
            </w:r>
            <w:r w:rsidRPr="00BE4E82">
              <w:t xml:space="preserve">; table </w:t>
            </w:r>
            <w:proofErr w:type="spellStart"/>
            <w:r w:rsidRPr="00BE4E82">
              <w:t>4A.36</w:t>
            </w:r>
            <w:proofErr w:type="spellEnd"/>
            <w:r w:rsidRPr="00BE4E82">
              <w:t>.</w:t>
            </w:r>
          </w:p>
        </w:tc>
      </w:tr>
      <w:tr w:rsidR="004438CB" w:rsidTr="00076DD8">
        <w:tc>
          <w:tcPr>
            <w:tcW w:w="8771" w:type="dxa"/>
            <w:tcBorders>
              <w:top w:val="nil"/>
              <w:left w:val="nil"/>
              <w:bottom w:val="single" w:sz="6" w:space="0" w:color="78A22F"/>
              <w:right w:val="nil"/>
            </w:tcBorders>
            <w:shd w:val="clear" w:color="auto" w:fill="auto"/>
          </w:tcPr>
          <w:p w:rsidR="004438CB" w:rsidRDefault="004438CB" w:rsidP="00076DD8">
            <w:pPr>
              <w:pStyle w:val="Figurespace"/>
            </w:pPr>
          </w:p>
        </w:tc>
      </w:tr>
      <w:tr w:rsidR="004438CB" w:rsidRPr="000863A5" w:rsidTr="00076DD8">
        <w:tc>
          <w:tcPr>
            <w:tcW w:w="8771" w:type="dxa"/>
            <w:tcBorders>
              <w:top w:val="single" w:sz="6" w:space="0" w:color="78A22F"/>
              <w:left w:val="nil"/>
              <w:bottom w:val="nil"/>
              <w:right w:val="nil"/>
            </w:tcBorders>
          </w:tcPr>
          <w:p w:rsidR="004438CB" w:rsidRPr="00626D32" w:rsidRDefault="004438CB" w:rsidP="00076DD8">
            <w:pPr>
              <w:pStyle w:val="BoxSpaceBelow"/>
            </w:pPr>
          </w:p>
        </w:tc>
      </w:tr>
    </w:tbl>
    <w:p w:rsidR="00F6086E" w:rsidRPr="0089766B" w:rsidRDefault="00F6086E" w:rsidP="0089766B">
      <w:pPr>
        <w:pStyle w:val="BodyText"/>
      </w:pPr>
      <w:r w:rsidRPr="0089766B">
        <w:t xml:space="preserve">Statistical significance of differences across states and territories between proportions of year 3 students who achieved at or above the national minimum standard for reading in 2014 are provided in table </w:t>
      </w:r>
      <w:proofErr w:type="spellStart"/>
      <w:r w:rsidRPr="0089766B">
        <w:t>4A.36</w:t>
      </w:r>
      <w:proofErr w:type="spellEnd"/>
      <w:r w:rsidRPr="0089766B">
        <w:t>.</w:t>
      </w:r>
    </w:p>
    <w:p w:rsidR="004438CB" w:rsidRPr="0089766B" w:rsidRDefault="004438CB" w:rsidP="00A11734">
      <w:pPr>
        <w:pStyle w:val="BodyText"/>
      </w:pPr>
      <w:r w:rsidRPr="0089766B">
        <w:lastRenderedPageBreak/>
        <w:t>The mean scale score for year 3 reading in 201</w:t>
      </w:r>
      <w:r w:rsidR="00F6086E" w:rsidRPr="0089766B">
        <w:t>4</w:t>
      </w:r>
      <w:r w:rsidRPr="0089766B">
        <w:t xml:space="preserve"> for all students was </w:t>
      </w:r>
      <w:r w:rsidR="008E00E0" w:rsidRPr="00A11734">
        <w:rPr>
          <w:shd w:val="clear" w:color="auto" w:fill="FFFFFF" w:themeFill="background1"/>
        </w:rPr>
        <w:t>417.2–419.4</w:t>
      </w:r>
      <w:r w:rsidRPr="0089766B">
        <w:t xml:space="preserve"> nationally. The mean scale score for Aboriginal and Torres Strait Islander students </w:t>
      </w:r>
      <w:r w:rsidR="008E00E0">
        <w:br/>
      </w:r>
      <w:r w:rsidRPr="00A11734">
        <w:rPr>
          <w:shd w:val="clear" w:color="auto" w:fill="FFFFFF" w:themeFill="background1"/>
        </w:rPr>
        <w:t>(</w:t>
      </w:r>
      <w:r w:rsidR="008E00E0" w:rsidRPr="00A11734">
        <w:rPr>
          <w:shd w:val="clear" w:color="auto" w:fill="FFFFFF" w:themeFill="background1"/>
        </w:rPr>
        <w:t>328.9–336.9</w:t>
      </w:r>
      <w:r w:rsidRPr="00A11734">
        <w:rPr>
          <w:shd w:val="clear" w:color="auto" w:fill="FFFFFF" w:themeFill="background1"/>
        </w:rPr>
        <w:t>)</w:t>
      </w:r>
      <w:r w:rsidRPr="0089766B">
        <w:t xml:space="preserve"> was significantly lower than for non-Indigenous students </w:t>
      </w:r>
      <w:r w:rsidRPr="00A11734">
        <w:rPr>
          <w:shd w:val="clear" w:color="auto" w:fill="FFFFFF" w:themeFill="background1"/>
        </w:rPr>
        <w:t>(</w:t>
      </w:r>
      <w:r w:rsidR="008E00E0" w:rsidRPr="00A11734">
        <w:rPr>
          <w:shd w:val="clear" w:color="auto" w:fill="FFFFFF" w:themeFill="background1"/>
        </w:rPr>
        <w:t>422.2–424.2</w:t>
      </w:r>
      <w:r w:rsidRPr="00A11734">
        <w:rPr>
          <w:shd w:val="clear" w:color="auto" w:fill="FFFFFF" w:themeFill="background1"/>
        </w:rPr>
        <w:t>).</w:t>
      </w:r>
      <w:r w:rsidRPr="0089766B">
        <w:t xml:space="preserve"> Mean scale scores varied across jurisdictions</w:t>
      </w:r>
      <w:r w:rsidR="008746F5" w:rsidRPr="0089766B">
        <w:t xml:space="preserve"> (table </w:t>
      </w:r>
      <w:proofErr w:type="spellStart"/>
      <w:r w:rsidR="008746F5" w:rsidRPr="0089766B">
        <w:t>4A.39</w:t>
      </w:r>
      <w:proofErr w:type="spellEnd"/>
      <w:r w:rsidR="008746F5" w:rsidRPr="0089766B">
        <w:t>)</w:t>
      </w:r>
      <w:r w:rsidRPr="0089766B">
        <w:t>.</w:t>
      </w:r>
    </w:p>
    <w:p w:rsidR="004438CB" w:rsidRDefault="004438CB" w:rsidP="0089766B">
      <w:pPr>
        <w:pStyle w:val="BodyText"/>
      </w:pPr>
      <w:r w:rsidRPr="0089766B">
        <w:t>Table 4.7 identifies statistica</w:t>
      </w:r>
      <w:r w:rsidR="00D977DA" w:rsidRPr="0089766B">
        <w:t>l</w:t>
      </w:r>
      <w:r w:rsidRPr="0089766B">
        <w:t xml:space="preserve"> significance of differences between mean scale scores for year 3 reading </w:t>
      </w:r>
      <w:r w:rsidR="00D977DA" w:rsidRPr="0089766B">
        <w:t xml:space="preserve">outcomes </w:t>
      </w:r>
      <w:r w:rsidRPr="0089766B">
        <w:t>across states and territories in 201</w:t>
      </w:r>
      <w:r w:rsidR="00F6086E" w:rsidRPr="0089766B">
        <w:t>4</w:t>
      </w:r>
      <w:r w:rsidRPr="0089766B">
        <w:t xml:space="preserve">. </w:t>
      </w:r>
    </w:p>
    <w:p w:rsidR="006F2A4E" w:rsidRDefault="006F2A4E" w:rsidP="007A42E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6F2A4E" w:rsidTr="007A42E5">
        <w:tc>
          <w:tcPr>
            <w:tcW w:w="8771" w:type="dxa"/>
            <w:tcBorders>
              <w:top w:val="single" w:sz="6" w:space="0" w:color="78A22F"/>
              <w:left w:val="nil"/>
              <w:bottom w:val="nil"/>
              <w:right w:val="nil"/>
            </w:tcBorders>
            <w:shd w:val="clear" w:color="auto" w:fill="auto"/>
          </w:tcPr>
          <w:p w:rsidR="006F2A4E" w:rsidRPr="00784A05" w:rsidRDefault="006F2A4E" w:rsidP="006F2A4E">
            <w:pPr>
              <w:pStyle w:val="TableTitle"/>
            </w:pPr>
            <w:r>
              <w:rPr>
                <w:b w:val="0"/>
              </w:rPr>
              <w:t>Table 4.</w:t>
            </w:r>
            <w:r w:rsidR="005953B6">
              <w:rPr>
                <w:b w:val="0"/>
                <w:noProof/>
              </w:rPr>
              <w:t>7</w:t>
            </w:r>
            <w:r>
              <w:tab/>
            </w:r>
            <w:r w:rsidRPr="006F2A4E">
              <w:t>Significance of differences for year 3 students, mean scale scores, reading, 2014</w:t>
            </w:r>
            <w:r w:rsidRPr="006F2A4E">
              <w:rPr>
                <w:rStyle w:val="NoteLabel"/>
                <w:b/>
              </w:rPr>
              <w:t>a</w:t>
            </w:r>
          </w:p>
        </w:tc>
      </w:tr>
      <w:tr w:rsidR="006F2A4E" w:rsidTr="00A11734">
        <w:trPr>
          <w:cantSplit/>
        </w:trPr>
        <w:tc>
          <w:tcPr>
            <w:tcW w:w="8771" w:type="dxa"/>
            <w:tcBorders>
              <w:top w:val="nil"/>
              <w:left w:val="nil"/>
              <w:bottom w:val="nil"/>
              <w:right w:val="nil"/>
            </w:tcBorders>
            <w:shd w:val="clear" w:color="auto" w:fill="FFFFFF" w:themeFill="background1"/>
          </w:tcPr>
          <w:tbl>
            <w:tblPr>
              <w:tblW w:w="8477" w:type="dxa"/>
              <w:tblInd w:w="10" w:type="dxa"/>
              <w:tblCellMar>
                <w:left w:w="0" w:type="dxa"/>
                <w:right w:w="0" w:type="dxa"/>
              </w:tblCellMar>
              <w:tblLook w:val="0000" w:firstRow="0" w:lastRow="0" w:firstColumn="0" w:lastColumn="0" w:noHBand="0" w:noVBand="0"/>
            </w:tblPr>
            <w:tblGrid>
              <w:gridCol w:w="865"/>
              <w:gridCol w:w="710"/>
              <w:gridCol w:w="766"/>
              <w:gridCol w:w="767"/>
              <w:gridCol w:w="767"/>
              <w:gridCol w:w="767"/>
              <w:gridCol w:w="767"/>
              <w:gridCol w:w="767"/>
              <w:gridCol w:w="767"/>
              <w:gridCol w:w="767"/>
              <w:gridCol w:w="767"/>
            </w:tblGrid>
            <w:tr w:rsidR="001552DE" w:rsidRPr="0034666A" w:rsidTr="001552DE">
              <w:tc>
                <w:tcPr>
                  <w:tcW w:w="865" w:type="dxa"/>
                  <w:tcBorders>
                    <w:top w:val="single" w:sz="6" w:space="0" w:color="auto"/>
                  </w:tcBorders>
                  <w:shd w:val="clear" w:color="auto" w:fill="auto"/>
                </w:tcPr>
                <w:p w:rsidR="001552DE" w:rsidRPr="004708E3" w:rsidRDefault="001552DE" w:rsidP="007A42E5">
                  <w:pPr>
                    <w:keepNext/>
                    <w:keepLines/>
                    <w:spacing w:before="80" w:after="80" w:line="220" w:lineRule="atLeast"/>
                    <w:ind w:left="6" w:right="113"/>
                    <w:rPr>
                      <w:rFonts w:ascii="Arial" w:hAnsi="Arial"/>
                      <w:i/>
                      <w:sz w:val="20"/>
                      <w:szCs w:val="20"/>
                    </w:rPr>
                  </w:pPr>
                </w:p>
              </w:tc>
              <w:tc>
                <w:tcPr>
                  <w:tcW w:w="710" w:type="dxa"/>
                  <w:tcBorders>
                    <w:top w:val="single" w:sz="6" w:space="0" w:color="auto"/>
                  </w:tcBorders>
                </w:tcPr>
                <w:p w:rsidR="001552DE" w:rsidRPr="0034666A" w:rsidRDefault="001552DE" w:rsidP="007A42E5">
                  <w:pPr>
                    <w:keepNext/>
                    <w:keepLines/>
                    <w:spacing w:before="80" w:after="80" w:line="220" w:lineRule="atLeast"/>
                    <w:ind w:left="6" w:right="113"/>
                    <w:jc w:val="right"/>
                    <w:rPr>
                      <w:rFonts w:ascii="Arial" w:hAnsi="Arial"/>
                      <w:i/>
                      <w:sz w:val="20"/>
                      <w:szCs w:val="20"/>
                    </w:rPr>
                  </w:pPr>
                </w:p>
              </w:tc>
              <w:tc>
                <w:tcPr>
                  <w:tcW w:w="6902" w:type="dxa"/>
                  <w:gridSpan w:val="9"/>
                  <w:tcBorders>
                    <w:top w:val="single" w:sz="6" w:space="0" w:color="auto"/>
                  </w:tcBorders>
                  <w:shd w:val="clear" w:color="auto" w:fill="auto"/>
                  <w:vAlign w:val="center"/>
                </w:tcPr>
                <w:p w:rsidR="001552DE" w:rsidRPr="0034666A" w:rsidRDefault="001552DE" w:rsidP="001552DE">
                  <w:pPr>
                    <w:pStyle w:val="TableColumnHeading"/>
                    <w:jc w:val="center"/>
                  </w:pPr>
                  <w:r w:rsidRPr="001552DE">
                    <w:t>Comparison jurisdiction</w:t>
                  </w:r>
                </w:p>
              </w:tc>
            </w:tr>
            <w:tr w:rsidR="001552DE" w:rsidRPr="0034666A" w:rsidTr="001552DE">
              <w:tc>
                <w:tcPr>
                  <w:tcW w:w="865" w:type="dxa"/>
                  <w:tcBorders>
                    <w:bottom w:val="single" w:sz="4" w:space="0" w:color="auto"/>
                  </w:tcBorders>
                  <w:shd w:val="clear" w:color="auto" w:fill="auto"/>
                </w:tcPr>
                <w:p w:rsidR="001552DE" w:rsidRPr="004708E3" w:rsidRDefault="001552DE" w:rsidP="007A42E5">
                  <w:pPr>
                    <w:keepNext/>
                    <w:keepLines/>
                    <w:spacing w:before="80" w:after="80" w:line="220" w:lineRule="atLeast"/>
                    <w:ind w:left="6" w:right="113"/>
                    <w:rPr>
                      <w:rFonts w:ascii="Arial" w:hAnsi="Arial"/>
                      <w:i/>
                      <w:sz w:val="20"/>
                      <w:szCs w:val="20"/>
                    </w:rPr>
                  </w:pPr>
                </w:p>
              </w:tc>
              <w:tc>
                <w:tcPr>
                  <w:tcW w:w="710" w:type="dxa"/>
                  <w:tcBorders>
                    <w:bottom w:val="single" w:sz="4" w:space="0" w:color="auto"/>
                  </w:tcBorders>
                </w:tcPr>
                <w:p w:rsidR="001552DE" w:rsidRPr="0034666A" w:rsidRDefault="001552DE" w:rsidP="007A42E5">
                  <w:pPr>
                    <w:keepNext/>
                    <w:keepLines/>
                    <w:spacing w:before="80" w:after="80" w:line="220" w:lineRule="atLeast"/>
                    <w:ind w:left="6" w:right="113"/>
                    <w:jc w:val="right"/>
                    <w:rPr>
                      <w:rFonts w:ascii="Arial" w:hAnsi="Arial"/>
                      <w:i/>
                      <w:sz w:val="20"/>
                      <w:szCs w:val="20"/>
                    </w:rPr>
                  </w:pPr>
                </w:p>
              </w:tc>
              <w:tc>
                <w:tcPr>
                  <w:tcW w:w="766" w:type="dxa"/>
                  <w:tcBorders>
                    <w:bottom w:val="single" w:sz="4" w:space="0" w:color="auto"/>
                  </w:tcBorders>
                  <w:shd w:val="clear" w:color="auto" w:fill="auto"/>
                </w:tcPr>
                <w:p w:rsidR="001552DE" w:rsidRPr="0034666A" w:rsidRDefault="001552DE" w:rsidP="001552DE">
                  <w:pPr>
                    <w:pStyle w:val="TableColumnHeading"/>
                  </w:pPr>
                  <w:r w:rsidRPr="0034666A">
                    <w:t>NSW</w:t>
                  </w:r>
                </w:p>
              </w:tc>
              <w:tc>
                <w:tcPr>
                  <w:tcW w:w="767" w:type="dxa"/>
                  <w:tcBorders>
                    <w:bottom w:val="single" w:sz="4" w:space="0" w:color="auto"/>
                  </w:tcBorders>
                  <w:shd w:val="clear" w:color="auto" w:fill="auto"/>
                </w:tcPr>
                <w:p w:rsidR="001552DE" w:rsidRPr="0034666A" w:rsidRDefault="001552DE" w:rsidP="001552DE">
                  <w:pPr>
                    <w:pStyle w:val="TableColumnHeading"/>
                  </w:pPr>
                  <w:r w:rsidRPr="0034666A">
                    <w:t>Vic</w:t>
                  </w:r>
                </w:p>
              </w:tc>
              <w:tc>
                <w:tcPr>
                  <w:tcW w:w="767" w:type="dxa"/>
                  <w:tcBorders>
                    <w:bottom w:val="single" w:sz="4" w:space="0" w:color="auto"/>
                  </w:tcBorders>
                  <w:shd w:val="clear" w:color="auto" w:fill="auto"/>
                </w:tcPr>
                <w:p w:rsidR="001552DE" w:rsidRPr="0034666A" w:rsidRDefault="001552DE" w:rsidP="001552DE">
                  <w:pPr>
                    <w:pStyle w:val="TableColumnHeading"/>
                  </w:pPr>
                  <w:r w:rsidRPr="0034666A">
                    <w:t>Qld</w:t>
                  </w:r>
                </w:p>
              </w:tc>
              <w:tc>
                <w:tcPr>
                  <w:tcW w:w="767" w:type="dxa"/>
                  <w:tcBorders>
                    <w:bottom w:val="single" w:sz="4" w:space="0" w:color="auto"/>
                  </w:tcBorders>
                  <w:shd w:val="clear" w:color="auto" w:fill="auto"/>
                </w:tcPr>
                <w:p w:rsidR="001552DE" w:rsidRPr="0034666A" w:rsidRDefault="001552DE" w:rsidP="001552DE">
                  <w:pPr>
                    <w:pStyle w:val="TableColumnHeading"/>
                  </w:pPr>
                  <w:r w:rsidRPr="0034666A">
                    <w:t>WA</w:t>
                  </w:r>
                </w:p>
              </w:tc>
              <w:tc>
                <w:tcPr>
                  <w:tcW w:w="767" w:type="dxa"/>
                  <w:tcBorders>
                    <w:bottom w:val="single" w:sz="4" w:space="0" w:color="auto"/>
                  </w:tcBorders>
                  <w:shd w:val="clear" w:color="auto" w:fill="auto"/>
                </w:tcPr>
                <w:p w:rsidR="001552DE" w:rsidRPr="0034666A" w:rsidRDefault="001552DE" w:rsidP="001552DE">
                  <w:pPr>
                    <w:pStyle w:val="TableColumnHeading"/>
                  </w:pPr>
                  <w:r w:rsidRPr="0034666A">
                    <w:t>SA</w:t>
                  </w:r>
                </w:p>
              </w:tc>
              <w:tc>
                <w:tcPr>
                  <w:tcW w:w="767" w:type="dxa"/>
                  <w:tcBorders>
                    <w:bottom w:val="single" w:sz="4" w:space="0" w:color="auto"/>
                  </w:tcBorders>
                  <w:shd w:val="clear" w:color="auto" w:fill="auto"/>
                </w:tcPr>
                <w:p w:rsidR="001552DE" w:rsidRPr="0034666A" w:rsidRDefault="001552DE" w:rsidP="001552DE">
                  <w:pPr>
                    <w:pStyle w:val="TableColumnHeading"/>
                  </w:pPr>
                  <w:r w:rsidRPr="0034666A">
                    <w:t>Tas</w:t>
                  </w:r>
                </w:p>
              </w:tc>
              <w:tc>
                <w:tcPr>
                  <w:tcW w:w="767" w:type="dxa"/>
                  <w:tcBorders>
                    <w:bottom w:val="single" w:sz="4" w:space="0" w:color="auto"/>
                  </w:tcBorders>
                  <w:shd w:val="clear" w:color="auto" w:fill="auto"/>
                </w:tcPr>
                <w:p w:rsidR="001552DE" w:rsidRPr="0034666A" w:rsidRDefault="001552DE" w:rsidP="001552DE">
                  <w:pPr>
                    <w:pStyle w:val="TableColumnHeading"/>
                  </w:pPr>
                  <w:r w:rsidRPr="0034666A">
                    <w:t>ACT</w:t>
                  </w:r>
                </w:p>
              </w:tc>
              <w:tc>
                <w:tcPr>
                  <w:tcW w:w="767" w:type="dxa"/>
                  <w:tcBorders>
                    <w:bottom w:val="single" w:sz="4" w:space="0" w:color="auto"/>
                  </w:tcBorders>
                  <w:shd w:val="clear" w:color="auto" w:fill="auto"/>
                </w:tcPr>
                <w:p w:rsidR="001552DE" w:rsidRPr="0034666A" w:rsidRDefault="001552DE" w:rsidP="001552DE">
                  <w:pPr>
                    <w:pStyle w:val="TableColumnHeading"/>
                  </w:pPr>
                  <w:r w:rsidRPr="0034666A">
                    <w:t>NT</w:t>
                  </w:r>
                </w:p>
              </w:tc>
              <w:tc>
                <w:tcPr>
                  <w:tcW w:w="767" w:type="dxa"/>
                  <w:tcBorders>
                    <w:bottom w:val="single" w:sz="4" w:space="0" w:color="auto"/>
                  </w:tcBorders>
                  <w:shd w:val="clear" w:color="auto" w:fill="auto"/>
                </w:tcPr>
                <w:p w:rsidR="001552DE" w:rsidRPr="0034666A" w:rsidRDefault="001552DE" w:rsidP="001552DE">
                  <w:pPr>
                    <w:pStyle w:val="TableColumnHeading"/>
                  </w:pPr>
                  <w:proofErr w:type="spellStart"/>
                  <w:r w:rsidRPr="0034666A">
                    <w:t>Aust</w:t>
                  </w:r>
                  <w:proofErr w:type="spellEnd"/>
                </w:p>
              </w:tc>
            </w:tr>
            <w:tr w:rsidR="001552DE" w:rsidRPr="0034666A" w:rsidTr="00A11734">
              <w:tc>
                <w:tcPr>
                  <w:tcW w:w="865" w:type="dxa"/>
                  <w:tcBorders>
                    <w:top w:val="dotted" w:sz="4" w:space="0" w:color="auto"/>
                    <w:left w:val="dotted" w:sz="4" w:space="0" w:color="auto"/>
                    <w:bottom w:val="dotted" w:sz="4" w:space="0" w:color="auto"/>
                    <w:right w:val="dotted" w:sz="4" w:space="0" w:color="auto"/>
                  </w:tcBorders>
                  <w:shd w:val="clear" w:color="auto" w:fill="auto"/>
                </w:tcPr>
                <w:p w:rsidR="001552DE" w:rsidRPr="0034666A" w:rsidRDefault="001552DE" w:rsidP="001552DE">
                  <w:pPr>
                    <w:pStyle w:val="TableUnitsRow"/>
                  </w:pP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tcPr>
                <w:p w:rsidR="001552DE" w:rsidRDefault="001552DE" w:rsidP="00E308C4">
                  <w:pPr>
                    <w:pStyle w:val="TableUnitsRow"/>
                  </w:pP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rsidP="00E308C4">
                  <w:pPr>
                    <w:pStyle w:val="TableUnitsRow"/>
                  </w:pPr>
                  <w:r>
                    <w:t>422.9</w:t>
                  </w:r>
                  <w:r w:rsidR="00C32E47">
                    <w:br/>
                  </w:r>
                  <w:r>
                    <w:t xml:space="preserve"> ± 2.0</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rsidP="00E308C4">
                  <w:pPr>
                    <w:pStyle w:val="TableUnitsRow"/>
                  </w:pPr>
                  <w:r>
                    <w:t xml:space="preserve">431.7 </w:t>
                  </w:r>
                  <w:r w:rsidR="00C32E47">
                    <w:br/>
                  </w:r>
                  <w:r>
                    <w:t>± 1.9</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rsidP="00E308C4">
                  <w:pPr>
                    <w:pStyle w:val="TableUnitsRow"/>
                  </w:pPr>
                  <w:r>
                    <w:t>409.4</w:t>
                  </w:r>
                  <w:r w:rsidR="00C32E47">
                    <w:br/>
                  </w:r>
                  <w:r>
                    <w:t xml:space="preserve"> ± 2.4</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rsidP="00E308C4">
                  <w:pPr>
                    <w:pStyle w:val="TableUnitsRow"/>
                  </w:pPr>
                  <w:r>
                    <w:t xml:space="preserve">406.3 </w:t>
                  </w:r>
                  <w:r w:rsidR="00C32E47">
                    <w:br/>
                  </w:r>
                  <w:r>
                    <w:t>± 3.3</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rsidP="00E308C4">
                  <w:pPr>
                    <w:pStyle w:val="TableUnitsRow"/>
                  </w:pPr>
                  <w:r>
                    <w:t>407.3</w:t>
                  </w:r>
                  <w:r w:rsidR="00C32E47">
                    <w:br/>
                  </w:r>
                  <w:r>
                    <w:t xml:space="preserve"> ± 3.7</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rsidP="00E308C4">
                  <w:pPr>
                    <w:pStyle w:val="TableUnitsRow"/>
                  </w:pPr>
                  <w:r>
                    <w:t xml:space="preserve">415.7 </w:t>
                  </w:r>
                  <w:r w:rsidR="005B0D1E">
                    <w:br/>
                  </w:r>
                  <w:r>
                    <w:t>± 6.8</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rsidP="00E308C4">
                  <w:pPr>
                    <w:pStyle w:val="TableUnitsRow"/>
                  </w:pPr>
                  <w:r>
                    <w:t xml:space="preserve">438.7 </w:t>
                  </w:r>
                  <w:r w:rsidR="00C32E47">
                    <w:br/>
                  </w:r>
                  <w:r>
                    <w:t>± 6.3</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rsidP="00E308C4">
                  <w:pPr>
                    <w:pStyle w:val="TableUnitsRow"/>
                  </w:pPr>
                  <w:r>
                    <w:t>332.0</w:t>
                  </w:r>
                  <w:r w:rsidR="00C32E47">
                    <w:br/>
                  </w:r>
                  <w:r>
                    <w:t xml:space="preserve"> ± 21.8</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rsidP="00E308C4">
                  <w:pPr>
                    <w:pStyle w:val="TableUnitsRow"/>
                  </w:pPr>
                  <w:r>
                    <w:t xml:space="preserve">418.3 </w:t>
                  </w:r>
                  <w:r w:rsidR="00C32E47">
                    <w:br/>
                  </w:r>
                  <w:r>
                    <w:t>± 1.1</w:t>
                  </w:r>
                </w:p>
              </w:tc>
            </w:tr>
            <w:tr w:rsidR="001552DE" w:rsidRPr="0034666A" w:rsidTr="00A11734">
              <w:tc>
                <w:tcPr>
                  <w:tcW w:w="865" w:type="dxa"/>
                  <w:tcBorders>
                    <w:top w:val="dotted" w:sz="4" w:space="0" w:color="auto"/>
                    <w:left w:val="dotted" w:sz="4" w:space="0" w:color="auto"/>
                    <w:bottom w:val="dotted" w:sz="4" w:space="0" w:color="auto"/>
                    <w:right w:val="dotted" w:sz="4" w:space="0" w:color="auto"/>
                  </w:tcBorders>
                  <w:shd w:val="clear" w:color="auto" w:fill="auto"/>
                </w:tcPr>
                <w:p w:rsidR="001552DE" w:rsidRPr="001552DE" w:rsidRDefault="001552DE" w:rsidP="001552DE">
                  <w:pPr>
                    <w:pStyle w:val="TableColumnHeading"/>
                  </w:pPr>
                  <w:r w:rsidRPr="001552DE">
                    <w:t>NSW</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tcPr>
                <w:p w:rsidR="001552DE" w:rsidRDefault="001552DE" w:rsidP="001552DE">
                  <w:pPr>
                    <w:pStyle w:val="TableBodyText"/>
                  </w:pPr>
                  <w:r w:rsidRPr="001552DE">
                    <w:t>422.9 ± 2.0</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r>
            <w:tr w:rsidR="001552DE" w:rsidRPr="0034666A" w:rsidTr="00A11734">
              <w:tc>
                <w:tcPr>
                  <w:tcW w:w="865" w:type="dxa"/>
                  <w:tcBorders>
                    <w:top w:val="dotted" w:sz="4" w:space="0" w:color="auto"/>
                    <w:left w:val="dotted" w:sz="4" w:space="0" w:color="auto"/>
                    <w:bottom w:val="dotted" w:sz="4" w:space="0" w:color="auto"/>
                    <w:right w:val="dotted" w:sz="4" w:space="0" w:color="auto"/>
                  </w:tcBorders>
                  <w:shd w:val="clear" w:color="auto" w:fill="auto"/>
                </w:tcPr>
                <w:p w:rsidR="001552DE" w:rsidRPr="001552DE" w:rsidRDefault="001552DE" w:rsidP="001552DE">
                  <w:pPr>
                    <w:pStyle w:val="TableColumnHeading"/>
                  </w:pPr>
                  <w:r w:rsidRPr="001552DE">
                    <w:t>Vic</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tcPr>
                <w:p w:rsidR="001552DE" w:rsidRDefault="001552DE" w:rsidP="001552DE">
                  <w:pPr>
                    <w:pStyle w:val="TableBodyText"/>
                  </w:pPr>
                  <w:r w:rsidRPr="001552DE">
                    <w:t>431.7 ± 1.9</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Cambria Math" w:hAnsi="Cambria Math" w:cs="Cambria Math"/>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Cambria Math" w:hAnsi="Cambria Math" w:cs="Cambria Math"/>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Cambria Math" w:hAnsi="Cambria Math" w:cs="Cambria Math"/>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Cambria Math" w:hAnsi="Cambria Math" w:cs="Cambria Math"/>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r>
            <w:tr w:rsidR="001552DE" w:rsidRPr="0034666A" w:rsidTr="00A11734">
              <w:tc>
                <w:tcPr>
                  <w:tcW w:w="865" w:type="dxa"/>
                  <w:tcBorders>
                    <w:top w:val="dotted" w:sz="4" w:space="0" w:color="auto"/>
                    <w:left w:val="dotted" w:sz="4" w:space="0" w:color="auto"/>
                    <w:bottom w:val="dotted" w:sz="4" w:space="0" w:color="auto"/>
                    <w:right w:val="dotted" w:sz="4" w:space="0" w:color="auto"/>
                  </w:tcBorders>
                  <w:shd w:val="clear" w:color="auto" w:fill="auto"/>
                </w:tcPr>
                <w:p w:rsidR="001552DE" w:rsidRPr="001552DE" w:rsidRDefault="001552DE" w:rsidP="001552DE">
                  <w:pPr>
                    <w:pStyle w:val="TableColumnHeading"/>
                  </w:pPr>
                  <w:r w:rsidRPr="001552DE">
                    <w:t>Qld</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tcPr>
                <w:p w:rsidR="001552DE" w:rsidRDefault="001552DE" w:rsidP="001552DE">
                  <w:pPr>
                    <w:pStyle w:val="TableBodyText"/>
                  </w:pPr>
                  <w:r w:rsidRPr="001552DE">
                    <w:t>409.4 ± 2.4</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MS Gothic" w:eastAsia="MS Gothic" w:hAnsi="MS Gothic" w:cs="MS Gothic" w:hint="eastAsia"/>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MS Gothic" w:eastAsia="MS Gothic" w:hAnsi="MS Gothic" w:cs="MS Gothic" w:hint="eastAsia"/>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r>
            <w:tr w:rsidR="001552DE" w:rsidRPr="0034666A" w:rsidTr="00A11734">
              <w:tc>
                <w:tcPr>
                  <w:tcW w:w="865" w:type="dxa"/>
                  <w:tcBorders>
                    <w:top w:val="dotted" w:sz="4" w:space="0" w:color="auto"/>
                    <w:left w:val="dotted" w:sz="4" w:space="0" w:color="auto"/>
                    <w:bottom w:val="dotted" w:sz="4" w:space="0" w:color="auto"/>
                    <w:right w:val="dotted" w:sz="4" w:space="0" w:color="auto"/>
                  </w:tcBorders>
                  <w:shd w:val="clear" w:color="auto" w:fill="auto"/>
                </w:tcPr>
                <w:p w:rsidR="001552DE" w:rsidRPr="001552DE" w:rsidRDefault="001552DE" w:rsidP="001552DE">
                  <w:pPr>
                    <w:pStyle w:val="TableColumnHeading"/>
                  </w:pPr>
                  <w:r w:rsidRPr="001552DE">
                    <w:t>WA</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tcPr>
                <w:p w:rsidR="001552DE" w:rsidRDefault="001552DE" w:rsidP="001552DE">
                  <w:pPr>
                    <w:pStyle w:val="TableBodyText"/>
                  </w:pPr>
                  <w:r w:rsidRPr="001552DE">
                    <w:t>407.3 ± 3.7</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MS Gothic" w:eastAsia="MS Gothic" w:hAnsi="MS Gothic" w:cs="MS Gothic" w:hint="eastAsia"/>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MS Gothic" w:eastAsia="MS Gothic" w:hAnsi="MS Gothic" w:cs="MS Gothic" w:hint="eastAsia"/>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r>
            <w:tr w:rsidR="001552DE" w:rsidRPr="0034666A" w:rsidTr="00A11734">
              <w:tc>
                <w:tcPr>
                  <w:tcW w:w="865" w:type="dxa"/>
                  <w:tcBorders>
                    <w:top w:val="dotted" w:sz="4" w:space="0" w:color="auto"/>
                    <w:left w:val="dotted" w:sz="4" w:space="0" w:color="auto"/>
                    <w:bottom w:val="dotted" w:sz="4" w:space="0" w:color="auto"/>
                    <w:right w:val="dotted" w:sz="4" w:space="0" w:color="auto"/>
                  </w:tcBorders>
                  <w:shd w:val="clear" w:color="auto" w:fill="auto"/>
                </w:tcPr>
                <w:p w:rsidR="001552DE" w:rsidRPr="001552DE" w:rsidRDefault="001552DE" w:rsidP="001552DE">
                  <w:pPr>
                    <w:pStyle w:val="TableColumnHeading"/>
                  </w:pPr>
                  <w:r w:rsidRPr="001552DE">
                    <w:t>SA</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tcPr>
                <w:p w:rsidR="001552DE" w:rsidRDefault="001552DE" w:rsidP="001552DE">
                  <w:pPr>
                    <w:pStyle w:val="TableBodyText"/>
                  </w:pPr>
                  <w:r w:rsidRPr="001552DE">
                    <w:t>407.3 ± 3.7</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MS Gothic" w:eastAsia="MS Gothic" w:hAnsi="MS Gothic" w:cs="MS Gothic" w:hint="eastAsia"/>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MS Gothic" w:eastAsia="MS Gothic" w:hAnsi="MS Gothic" w:cs="MS Gothic" w:hint="eastAsia"/>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r>
            <w:tr w:rsidR="001552DE" w:rsidRPr="0034666A" w:rsidTr="00A11734">
              <w:tc>
                <w:tcPr>
                  <w:tcW w:w="865" w:type="dxa"/>
                  <w:tcBorders>
                    <w:top w:val="dotted" w:sz="4" w:space="0" w:color="auto"/>
                    <w:left w:val="dotted" w:sz="4" w:space="0" w:color="auto"/>
                    <w:bottom w:val="dotted" w:sz="4" w:space="0" w:color="auto"/>
                    <w:right w:val="dotted" w:sz="4" w:space="0" w:color="auto"/>
                  </w:tcBorders>
                  <w:shd w:val="clear" w:color="auto" w:fill="auto"/>
                </w:tcPr>
                <w:p w:rsidR="001552DE" w:rsidRPr="001552DE" w:rsidRDefault="001552DE" w:rsidP="001552DE">
                  <w:pPr>
                    <w:pStyle w:val="TableColumnHeading"/>
                  </w:pPr>
                  <w:r w:rsidRPr="001552DE">
                    <w:t>Tas</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tcPr>
                <w:p w:rsidR="001552DE" w:rsidRDefault="001552DE" w:rsidP="001552DE">
                  <w:pPr>
                    <w:pStyle w:val="TableBodyText"/>
                  </w:pPr>
                  <w:r w:rsidRPr="001552DE">
                    <w:t>415.7 ± 6.8</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MS Gothic" w:eastAsia="MS Gothic" w:hAnsi="MS Gothic" w:cs="MS Gothic" w:hint="eastAsia"/>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MS Gothic" w:eastAsia="MS Gothic" w:hAnsi="MS Gothic" w:cs="MS Gothic" w:hint="eastAsia"/>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r>
            <w:tr w:rsidR="001552DE" w:rsidRPr="0034666A" w:rsidTr="00A11734">
              <w:tc>
                <w:tcPr>
                  <w:tcW w:w="865" w:type="dxa"/>
                  <w:tcBorders>
                    <w:top w:val="dotted" w:sz="4" w:space="0" w:color="auto"/>
                    <w:left w:val="dotted" w:sz="4" w:space="0" w:color="auto"/>
                    <w:bottom w:val="dotted" w:sz="4" w:space="0" w:color="auto"/>
                    <w:right w:val="dotted" w:sz="4" w:space="0" w:color="auto"/>
                  </w:tcBorders>
                  <w:shd w:val="clear" w:color="auto" w:fill="auto"/>
                </w:tcPr>
                <w:p w:rsidR="001552DE" w:rsidRPr="001552DE" w:rsidRDefault="001552DE" w:rsidP="001552DE">
                  <w:pPr>
                    <w:pStyle w:val="TableColumnHeading"/>
                  </w:pPr>
                  <w:r w:rsidRPr="001552DE">
                    <w:t>ACT</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tcPr>
                <w:p w:rsidR="001552DE" w:rsidRDefault="001552DE" w:rsidP="001552DE">
                  <w:pPr>
                    <w:pStyle w:val="TableBodyText"/>
                  </w:pPr>
                  <w:r w:rsidRPr="001552DE">
                    <w:t>438.7 ± 6.3</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Cambria Math" w:hAnsi="Cambria Math" w:cs="Cambria Math"/>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Cambria Math" w:hAnsi="Cambria Math" w:cs="Cambria Math"/>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Cambria Math" w:hAnsi="Cambria Math" w:cs="Cambria Math"/>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Cambria Math" w:hAnsi="Cambria Math" w:cs="Cambria Math"/>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Cambria Math" w:hAnsi="Cambria Math" w:cs="Cambria Math"/>
                      <w:sz w:val="20"/>
                      <w:szCs w:val="20"/>
                    </w:rPr>
                    <w:t>△</w:t>
                  </w:r>
                </w:p>
              </w:tc>
            </w:tr>
            <w:tr w:rsidR="001552DE" w:rsidRPr="0034666A" w:rsidTr="00A11734">
              <w:tc>
                <w:tcPr>
                  <w:tcW w:w="865" w:type="dxa"/>
                  <w:tcBorders>
                    <w:top w:val="dotted" w:sz="4" w:space="0" w:color="auto"/>
                    <w:left w:val="dotted" w:sz="4" w:space="0" w:color="auto"/>
                    <w:bottom w:val="dotted" w:sz="4" w:space="0" w:color="auto"/>
                    <w:right w:val="dotted" w:sz="4" w:space="0" w:color="auto"/>
                  </w:tcBorders>
                  <w:shd w:val="clear" w:color="auto" w:fill="auto"/>
                </w:tcPr>
                <w:p w:rsidR="001552DE" w:rsidRPr="001552DE" w:rsidRDefault="001552DE" w:rsidP="001552DE">
                  <w:pPr>
                    <w:pStyle w:val="TableColumnHeading"/>
                  </w:pPr>
                  <w:r w:rsidRPr="001552DE">
                    <w:t>NT</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tcPr>
                <w:p w:rsidR="001552DE" w:rsidRDefault="001552DE" w:rsidP="001552DE">
                  <w:pPr>
                    <w:pStyle w:val="TableBodyText"/>
                  </w:pPr>
                  <w:r w:rsidRPr="001552DE">
                    <w:t>332.0 ± 21.8</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r>
            <w:tr w:rsidR="001552DE" w:rsidRPr="00895A13" w:rsidTr="00A11734">
              <w:tc>
                <w:tcPr>
                  <w:tcW w:w="865" w:type="dxa"/>
                  <w:tcBorders>
                    <w:top w:val="dotted" w:sz="4" w:space="0" w:color="auto"/>
                    <w:left w:val="dotted" w:sz="4" w:space="0" w:color="auto"/>
                    <w:bottom w:val="dotted" w:sz="4" w:space="0" w:color="auto"/>
                    <w:right w:val="dotted" w:sz="4" w:space="0" w:color="auto"/>
                  </w:tcBorders>
                  <w:shd w:val="clear" w:color="auto" w:fill="auto"/>
                </w:tcPr>
                <w:p w:rsidR="001552DE" w:rsidRPr="001552DE" w:rsidRDefault="001552DE" w:rsidP="001552DE">
                  <w:pPr>
                    <w:pStyle w:val="TableColumnHeading"/>
                  </w:pPr>
                  <w:proofErr w:type="spellStart"/>
                  <w:r w:rsidRPr="001552DE">
                    <w:t>Aust</w:t>
                  </w:r>
                  <w:proofErr w:type="spellEnd"/>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tcPr>
                <w:p w:rsidR="001552DE" w:rsidRDefault="001552DE" w:rsidP="001552DE">
                  <w:pPr>
                    <w:pStyle w:val="TableBodyText"/>
                  </w:pPr>
                  <w:r w:rsidRPr="001552DE">
                    <w:t>418.3 ± 1.1</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MS Gothic" w:eastAsia="MS Gothic" w:hAnsi="MS Gothic" w:cs="MS Gothic" w:hint="eastAsia"/>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52DE" w:rsidRDefault="001552DE">
                  <w:pPr>
                    <w:jc w:val="right"/>
                    <w:rPr>
                      <w:rFonts w:ascii="Arial" w:hAnsi="Arial" w:cs="Arial"/>
                      <w:sz w:val="20"/>
                      <w:szCs w:val="20"/>
                    </w:rPr>
                  </w:pPr>
                  <w:r>
                    <w:rPr>
                      <w:rFonts w:ascii="Arial" w:hAnsi="Arial" w:cs="Arial"/>
                      <w:sz w:val="20"/>
                      <w:szCs w:val="20"/>
                    </w:rPr>
                    <w:t>.. </w:t>
                  </w:r>
                </w:p>
              </w:tc>
            </w:tr>
          </w:tbl>
          <w:p w:rsidR="006F2A4E" w:rsidRDefault="006F2A4E" w:rsidP="007A42E5">
            <w:pPr>
              <w:pStyle w:val="Box"/>
            </w:pPr>
          </w:p>
        </w:tc>
      </w:tr>
      <w:tr w:rsidR="006F2A4E" w:rsidTr="007A42E5">
        <w:trPr>
          <w:cantSplit/>
        </w:trPr>
        <w:tc>
          <w:tcPr>
            <w:tcW w:w="8771" w:type="dxa"/>
            <w:tcBorders>
              <w:top w:val="nil"/>
              <w:left w:val="nil"/>
              <w:bottom w:val="nil"/>
              <w:right w:val="nil"/>
            </w:tcBorders>
            <w:shd w:val="clear" w:color="auto" w:fill="auto"/>
          </w:tcPr>
          <w:p w:rsidR="006F2A4E" w:rsidRPr="009F0531" w:rsidRDefault="006F2A4E" w:rsidP="006F2A4E">
            <w:pPr>
              <w:pStyle w:val="Note"/>
            </w:pPr>
            <w:r w:rsidRPr="009F0531">
              <w:rPr>
                <w:rStyle w:val="NoteLabel"/>
                <w:b w:val="0"/>
                <w:position w:val="0"/>
              </w:rPr>
              <w:t>▲</w:t>
            </w:r>
            <w:r>
              <w:t xml:space="preserve"> </w:t>
            </w:r>
            <w:r w:rsidRPr="009F0531">
              <w:t xml:space="preserve">Average achievement is substantially above and is statistically significantly different from the comparison State/Territory. </w:t>
            </w:r>
            <w:r w:rsidRPr="009F0531">
              <w:rPr>
                <w:rFonts w:ascii="Cambria Math" w:hAnsi="Cambria Math" w:cs="Cambria Math"/>
              </w:rPr>
              <w:t>△</w:t>
            </w:r>
            <w:r w:rsidRPr="009F0531">
              <w:t xml:space="preserve"> Average achievement is above and is statistically significantly different from the comparison State/Territory. ■ Average achievement is close to or not statistically different from the comparison State/Territory. </w:t>
            </w:r>
            <w:r w:rsidRPr="009F0531">
              <w:rPr>
                <w:rFonts w:ascii="MS Gothic" w:eastAsia="MS Gothic" w:hAnsi="MS Gothic" w:cs="MS Gothic" w:hint="eastAsia"/>
              </w:rPr>
              <w:t>▽</w:t>
            </w:r>
            <w:r w:rsidR="00C32E47">
              <w:rPr>
                <w:rFonts w:ascii="MS Gothic" w:eastAsia="MS Gothic" w:hAnsi="MS Gothic" w:cs="MS Gothic"/>
              </w:rPr>
              <w:t xml:space="preserve"> </w:t>
            </w:r>
            <w:r w:rsidRPr="009F0531">
              <w:t>Average achievement is below and is statistically significantly different from the comparison State/Territory. ▼ Average achievement is substantially below and is statistically significantly different from the comparison State/Territory.</w:t>
            </w:r>
          </w:p>
          <w:p w:rsidR="006F2A4E" w:rsidRDefault="006F2A4E" w:rsidP="006F2A4E">
            <w:pPr>
              <w:pStyle w:val="Note"/>
              <w:rPr>
                <w:i/>
              </w:rPr>
            </w:pPr>
            <w:proofErr w:type="spellStart"/>
            <w:r w:rsidRPr="008E77FE">
              <w:rPr>
                <w:rStyle w:val="NoteLabel"/>
              </w:rPr>
              <w:t>a</w:t>
            </w:r>
            <w:proofErr w:type="spellEnd"/>
            <w:r w:rsidRPr="009F0531">
              <w:t xml:space="preserve"> For further information and caveats see table </w:t>
            </w:r>
            <w:proofErr w:type="spellStart"/>
            <w:r w:rsidRPr="009F0531">
              <w:t>4A.39</w:t>
            </w:r>
            <w:proofErr w:type="spellEnd"/>
            <w:r w:rsidRPr="009F0531">
              <w:t>.</w:t>
            </w:r>
            <w:r>
              <w:t xml:space="preserve"> .. not applicable.</w:t>
            </w:r>
          </w:p>
        </w:tc>
      </w:tr>
      <w:tr w:rsidR="006F2A4E" w:rsidTr="007A42E5">
        <w:trPr>
          <w:cantSplit/>
        </w:trPr>
        <w:tc>
          <w:tcPr>
            <w:tcW w:w="8771" w:type="dxa"/>
            <w:tcBorders>
              <w:top w:val="nil"/>
              <w:left w:val="nil"/>
              <w:bottom w:val="nil"/>
              <w:right w:val="nil"/>
            </w:tcBorders>
            <w:shd w:val="clear" w:color="auto" w:fill="auto"/>
          </w:tcPr>
          <w:p w:rsidR="006F2A4E" w:rsidRDefault="006F2A4E" w:rsidP="006F2A4E">
            <w:pPr>
              <w:pStyle w:val="Source"/>
            </w:pPr>
            <w:r>
              <w:rPr>
                <w:i/>
              </w:rPr>
              <w:t>Source</w:t>
            </w:r>
            <w:r w:rsidRPr="00167F06">
              <w:t xml:space="preserve">: </w:t>
            </w:r>
            <w:r w:rsidRPr="006F2A4E">
              <w:t>ACARA (2014</w:t>
            </w:r>
            <w:r w:rsidR="00592D0D" w:rsidRPr="00BE4E82">
              <w:t xml:space="preserve"> and unpublished</w:t>
            </w:r>
            <w:r w:rsidRPr="006F2A4E">
              <w:t xml:space="preserve">) </w:t>
            </w:r>
            <w:proofErr w:type="spellStart"/>
            <w:r w:rsidRPr="006F2A4E">
              <w:rPr>
                <w:i/>
              </w:rPr>
              <w:t>NAPLAN</w:t>
            </w:r>
            <w:proofErr w:type="spellEnd"/>
            <w:r w:rsidRPr="006F2A4E">
              <w:rPr>
                <w:i/>
              </w:rPr>
              <w:t xml:space="preserve"> Achievement in Reading, Writing, Language Conventions and Numeracy: National Report for 2014</w:t>
            </w:r>
            <w:r w:rsidRPr="006F2A4E">
              <w:t xml:space="preserve">; table </w:t>
            </w:r>
            <w:proofErr w:type="spellStart"/>
            <w:r w:rsidRPr="006F2A4E">
              <w:t>4A.39</w:t>
            </w:r>
            <w:proofErr w:type="spellEnd"/>
            <w:r w:rsidRPr="006F2A4E">
              <w:t>.</w:t>
            </w:r>
          </w:p>
        </w:tc>
      </w:tr>
      <w:tr w:rsidR="006F2A4E" w:rsidTr="007A42E5">
        <w:trPr>
          <w:cantSplit/>
        </w:trPr>
        <w:tc>
          <w:tcPr>
            <w:tcW w:w="8771" w:type="dxa"/>
            <w:tcBorders>
              <w:top w:val="nil"/>
              <w:left w:val="nil"/>
              <w:bottom w:val="single" w:sz="6" w:space="0" w:color="78A22F"/>
              <w:right w:val="nil"/>
            </w:tcBorders>
            <w:shd w:val="clear" w:color="auto" w:fill="auto"/>
          </w:tcPr>
          <w:p w:rsidR="006F2A4E" w:rsidRDefault="006F2A4E" w:rsidP="007A42E5">
            <w:pPr>
              <w:pStyle w:val="Box"/>
              <w:spacing w:before="0" w:line="120" w:lineRule="exact"/>
            </w:pPr>
          </w:p>
        </w:tc>
      </w:tr>
      <w:tr w:rsidR="006F2A4E" w:rsidRPr="000863A5" w:rsidTr="007A42E5">
        <w:tc>
          <w:tcPr>
            <w:tcW w:w="8771" w:type="dxa"/>
            <w:tcBorders>
              <w:top w:val="single" w:sz="6" w:space="0" w:color="78A22F"/>
              <w:left w:val="nil"/>
              <w:bottom w:val="nil"/>
              <w:right w:val="nil"/>
            </w:tcBorders>
          </w:tcPr>
          <w:p w:rsidR="006F2A4E" w:rsidRPr="00626D32" w:rsidRDefault="006F2A4E" w:rsidP="007A42E5">
            <w:pPr>
              <w:pStyle w:val="BoxSpaceBelow"/>
            </w:pPr>
          </w:p>
        </w:tc>
      </w:tr>
    </w:tbl>
    <w:p w:rsidR="00666ECE" w:rsidRPr="00EC1693" w:rsidRDefault="00666ECE" w:rsidP="00666ECE">
      <w:pPr>
        <w:spacing w:before="240" w:line="320" w:lineRule="atLeast"/>
        <w:jc w:val="both"/>
        <w:rPr>
          <w:szCs w:val="20"/>
        </w:rPr>
      </w:pPr>
      <w:r w:rsidRPr="00666ECE">
        <w:rPr>
          <w:szCs w:val="20"/>
        </w:rPr>
        <w:t xml:space="preserve">The proportion of year 5 </w:t>
      </w:r>
      <w:r w:rsidRPr="00EC1693">
        <w:rPr>
          <w:szCs w:val="20"/>
        </w:rPr>
        <w:t>students who achieved at or above the reading national minimum standard in 201</w:t>
      </w:r>
      <w:r w:rsidR="00D66FBA">
        <w:rPr>
          <w:szCs w:val="20"/>
        </w:rPr>
        <w:t>4</w:t>
      </w:r>
      <w:r w:rsidRPr="00EC1693">
        <w:rPr>
          <w:szCs w:val="20"/>
        </w:rPr>
        <w:t xml:space="preserve"> was </w:t>
      </w:r>
      <w:r w:rsidR="008E00E0">
        <w:t>92.7–93.1</w:t>
      </w:r>
      <w:r w:rsidR="00D66FBA" w:rsidRPr="00EC1693">
        <w:t xml:space="preserve"> </w:t>
      </w:r>
      <w:r w:rsidRPr="00EC1693">
        <w:rPr>
          <w:szCs w:val="20"/>
        </w:rPr>
        <w:t xml:space="preserve">per cent nationally. The proportion </w:t>
      </w:r>
      <w:r w:rsidR="000233BF">
        <w:rPr>
          <w:szCs w:val="20"/>
        </w:rPr>
        <w:t>for</w:t>
      </w:r>
      <w:r w:rsidRPr="00EC1693">
        <w:rPr>
          <w:szCs w:val="20"/>
        </w:rPr>
        <w:t xml:space="preserve"> </w:t>
      </w:r>
      <w:r w:rsidR="007267E2" w:rsidRPr="00BE4E82">
        <w:t>Aboriginal and Torres Strait Islander</w:t>
      </w:r>
      <w:r w:rsidRPr="00EC1693">
        <w:rPr>
          <w:szCs w:val="20"/>
        </w:rPr>
        <w:t xml:space="preserve"> students (</w:t>
      </w:r>
      <w:r w:rsidR="008E00E0">
        <w:t>68.7–71.9</w:t>
      </w:r>
      <w:r w:rsidR="00D66FBA" w:rsidRPr="00EC1693">
        <w:t xml:space="preserve"> </w:t>
      </w:r>
      <w:r w:rsidRPr="00EC1693">
        <w:rPr>
          <w:szCs w:val="20"/>
        </w:rPr>
        <w:t>per cent) was significantly lower than for non</w:t>
      </w:r>
      <w:r w:rsidRPr="00EC1693">
        <w:rPr>
          <w:szCs w:val="20"/>
        </w:rPr>
        <w:noBreakHyphen/>
        <w:t>Indigenous students (</w:t>
      </w:r>
      <w:r w:rsidR="008E00E0">
        <w:t>94.0–94.4</w:t>
      </w:r>
      <w:r w:rsidR="00D66FBA" w:rsidRPr="00EC1693">
        <w:t xml:space="preserve"> </w:t>
      </w:r>
      <w:r w:rsidRPr="00EC1693">
        <w:rPr>
          <w:szCs w:val="20"/>
        </w:rPr>
        <w:t>per cent) (figure 4.2</w:t>
      </w:r>
      <w:r w:rsidR="00FF2AB3">
        <w:rPr>
          <w:szCs w:val="20"/>
        </w:rPr>
        <w:t>5</w:t>
      </w:r>
      <w:r w:rsidRPr="00EC1693">
        <w:rPr>
          <w:szCs w:val="20"/>
        </w:rPr>
        <w:t>). These proportions varied across jurisdictions.</w:t>
      </w:r>
    </w:p>
    <w:p w:rsidR="00D2516E" w:rsidRDefault="00D2516E" w:rsidP="0058556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2516E" w:rsidTr="0058556B">
        <w:tc>
          <w:tcPr>
            <w:tcW w:w="8771" w:type="dxa"/>
            <w:tcBorders>
              <w:top w:val="single" w:sz="6" w:space="0" w:color="78A22F"/>
              <w:left w:val="nil"/>
              <w:bottom w:val="nil"/>
              <w:right w:val="nil"/>
            </w:tcBorders>
            <w:shd w:val="clear" w:color="auto" w:fill="auto"/>
          </w:tcPr>
          <w:p w:rsidR="00D2516E" w:rsidRPr="00176D3F" w:rsidRDefault="00D2516E" w:rsidP="008612A7">
            <w:pPr>
              <w:pStyle w:val="FigureTitle"/>
            </w:pPr>
            <w:r w:rsidRPr="00784A05">
              <w:rPr>
                <w:b w:val="0"/>
              </w:rPr>
              <w:t xml:space="preserve">Figure </w:t>
            </w:r>
            <w:r w:rsidR="00B70781">
              <w:rPr>
                <w:b w:val="0"/>
              </w:rPr>
              <w:t>4.</w:t>
            </w:r>
            <w:r w:rsidR="005953B6">
              <w:rPr>
                <w:b w:val="0"/>
                <w:noProof/>
              </w:rPr>
              <w:t>25</w:t>
            </w:r>
            <w:r>
              <w:tab/>
            </w:r>
            <w:r w:rsidRPr="00D2516E">
              <w:t>Proportion of year 5 students achieving at or above the reading national minimum standard, 201</w:t>
            </w:r>
            <w:r w:rsidR="008612A7">
              <w:t>4</w:t>
            </w:r>
            <w:r w:rsidRPr="00D2516E">
              <w:rPr>
                <w:rStyle w:val="NoteLabel"/>
                <w:b/>
              </w:rPr>
              <w:t>a, b</w:t>
            </w:r>
          </w:p>
        </w:tc>
      </w:tr>
      <w:tr w:rsidR="00D2516E" w:rsidTr="00A11734">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2516E" w:rsidTr="0058556B">
              <w:trPr>
                <w:jc w:val="center"/>
              </w:trPr>
              <w:tc>
                <w:tcPr>
                  <w:tcW w:w="5000" w:type="pct"/>
                  <w:tcBorders>
                    <w:top w:val="nil"/>
                    <w:bottom w:val="nil"/>
                  </w:tcBorders>
                </w:tcPr>
                <w:p w:rsidR="00D2516E" w:rsidRDefault="00DC200A" w:rsidP="0058556B">
                  <w:pPr>
                    <w:pStyle w:val="Figure"/>
                    <w:spacing w:before="60" w:after="60"/>
                  </w:pPr>
                  <w:r>
                    <w:rPr>
                      <w:noProof/>
                    </w:rPr>
                    <w:drawing>
                      <wp:inline distT="0" distB="0" distL="0" distR="0">
                        <wp:extent cx="5391150" cy="2695575"/>
                        <wp:effectExtent l="0" t="0" r="0" b="9525"/>
                        <wp:docPr id="25" name="Picture 25" descr="Figure 4.25 Proportion of year 5 students achieving at or above the reading national minimum standard,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D2516E" w:rsidRDefault="00D2516E" w:rsidP="0058556B">
            <w:pPr>
              <w:pStyle w:val="Figure"/>
            </w:pPr>
          </w:p>
        </w:tc>
      </w:tr>
      <w:tr w:rsidR="00D2516E" w:rsidRPr="00176D3F" w:rsidTr="0058556B">
        <w:tc>
          <w:tcPr>
            <w:tcW w:w="8771" w:type="dxa"/>
            <w:tcBorders>
              <w:top w:val="nil"/>
              <w:left w:val="nil"/>
              <w:bottom w:val="nil"/>
              <w:right w:val="nil"/>
            </w:tcBorders>
            <w:shd w:val="clear" w:color="auto" w:fill="auto"/>
          </w:tcPr>
          <w:p w:rsidR="00D2516E" w:rsidRPr="00176D3F" w:rsidRDefault="00D2516E" w:rsidP="00D2516E">
            <w:pPr>
              <w:pStyle w:val="Note"/>
            </w:pPr>
            <w:proofErr w:type="spellStart"/>
            <w:r>
              <w:rPr>
                <w:rStyle w:val="NoteLabel"/>
              </w:rPr>
              <w:t>a</w:t>
            </w:r>
            <w:proofErr w:type="spellEnd"/>
            <w:r>
              <w:t xml:space="preserve"> </w:t>
            </w:r>
            <w:r w:rsidRPr="00D2516E">
              <w:t xml:space="preserve">Error bars represent the 95 per cent confidence interval associated with each point estimate. </w:t>
            </w:r>
            <w:r w:rsidRPr="00820CF9">
              <w:rPr>
                <w:rStyle w:val="NoteLabel"/>
              </w:rPr>
              <w:t>b</w:t>
            </w:r>
            <w:r w:rsidRPr="00D2516E">
              <w:t xml:space="preserve"> For further information and caveats see table </w:t>
            </w:r>
            <w:proofErr w:type="spellStart"/>
            <w:r w:rsidRPr="00D2516E">
              <w:t>4A.36</w:t>
            </w:r>
            <w:proofErr w:type="spellEnd"/>
            <w:r w:rsidRPr="00D2516E">
              <w:t>.</w:t>
            </w:r>
          </w:p>
        </w:tc>
      </w:tr>
      <w:tr w:rsidR="00D2516E" w:rsidRPr="00176D3F" w:rsidTr="0058556B">
        <w:tc>
          <w:tcPr>
            <w:tcW w:w="8771" w:type="dxa"/>
            <w:tcBorders>
              <w:top w:val="nil"/>
              <w:left w:val="nil"/>
              <w:bottom w:val="nil"/>
              <w:right w:val="nil"/>
            </w:tcBorders>
            <w:shd w:val="clear" w:color="auto" w:fill="auto"/>
          </w:tcPr>
          <w:p w:rsidR="00D2516E" w:rsidRPr="00176D3F" w:rsidRDefault="00D2516E" w:rsidP="00CE6853">
            <w:pPr>
              <w:pStyle w:val="Source"/>
            </w:pPr>
            <w:r>
              <w:rPr>
                <w:i/>
              </w:rPr>
              <w:t>S</w:t>
            </w:r>
            <w:r w:rsidRPr="00784A05">
              <w:rPr>
                <w:i/>
              </w:rPr>
              <w:t>ource</w:t>
            </w:r>
            <w:r w:rsidRPr="00176D3F">
              <w:t xml:space="preserve">: </w:t>
            </w:r>
            <w:r w:rsidRPr="00D2516E">
              <w:t>ACARA (201</w:t>
            </w:r>
            <w:r w:rsidR="00CE6853">
              <w:t>4</w:t>
            </w:r>
            <w:r w:rsidRPr="00D2516E">
              <w:t xml:space="preserve"> and unpublished) </w:t>
            </w:r>
            <w:proofErr w:type="spellStart"/>
            <w:r w:rsidRPr="00D2516E">
              <w:rPr>
                <w:i/>
              </w:rPr>
              <w:t>NAPLAN</w:t>
            </w:r>
            <w:proofErr w:type="spellEnd"/>
            <w:r w:rsidRPr="00D2516E">
              <w:rPr>
                <w:i/>
              </w:rPr>
              <w:t xml:space="preserve"> Achievement in Reading, Writing, Language Conventions and Numeracy: National Report for 201</w:t>
            </w:r>
            <w:r w:rsidR="00CE6853">
              <w:rPr>
                <w:i/>
              </w:rPr>
              <w:t>4</w:t>
            </w:r>
            <w:r w:rsidRPr="00D2516E">
              <w:t xml:space="preserve">; table </w:t>
            </w:r>
            <w:proofErr w:type="spellStart"/>
            <w:r w:rsidRPr="00D2516E">
              <w:t>4A.36</w:t>
            </w:r>
            <w:proofErr w:type="spellEnd"/>
            <w:r w:rsidRPr="00D2516E">
              <w:t>.</w:t>
            </w:r>
          </w:p>
        </w:tc>
      </w:tr>
      <w:tr w:rsidR="00D2516E" w:rsidTr="0058556B">
        <w:tc>
          <w:tcPr>
            <w:tcW w:w="8771" w:type="dxa"/>
            <w:tcBorders>
              <w:top w:val="nil"/>
              <w:left w:val="nil"/>
              <w:bottom w:val="single" w:sz="6" w:space="0" w:color="78A22F"/>
              <w:right w:val="nil"/>
            </w:tcBorders>
            <w:shd w:val="clear" w:color="auto" w:fill="auto"/>
          </w:tcPr>
          <w:p w:rsidR="00D2516E" w:rsidRDefault="00D2516E" w:rsidP="0058556B">
            <w:pPr>
              <w:pStyle w:val="Figurespace"/>
            </w:pPr>
          </w:p>
        </w:tc>
      </w:tr>
      <w:tr w:rsidR="00D2516E" w:rsidRPr="000863A5" w:rsidTr="0058556B">
        <w:tc>
          <w:tcPr>
            <w:tcW w:w="8771" w:type="dxa"/>
            <w:tcBorders>
              <w:top w:val="single" w:sz="6" w:space="0" w:color="78A22F"/>
              <w:left w:val="nil"/>
              <w:bottom w:val="nil"/>
              <w:right w:val="nil"/>
            </w:tcBorders>
          </w:tcPr>
          <w:p w:rsidR="00D2516E" w:rsidRPr="00626D32" w:rsidRDefault="00D2516E" w:rsidP="0058556B">
            <w:pPr>
              <w:pStyle w:val="BoxSpaceBelow"/>
            </w:pPr>
          </w:p>
        </w:tc>
      </w:tr>
    </w:tbl>
    <w:p w:rsidR="00D66FBA" w:rsidRPr="0089766B" w:rsidRDefault="00D66FBA" w:rsidP="00D66FBA">
      <w:pPr>
        <w:pStyle w:val="BodyText"/>
      </w:pPr>
      <w:r w:rsidRPr="0089766B">
        <w:t xml:space="preserve">Statistical significance of differences across states and territories between proportions of year </w:t>
      </w:r>
      <w:r>
        <w:t>5</w:t>
      </w:r>
      <w:r w:rsidRPr="0089766B">
        <w:t xml:space="preserve"> students who achieved at or above the national minimum standard for reading in 2014 are provided in table </w:t>
      </w:r>
      <w:proofErr w:type="spellStart"/>
      <w:r w:rsidRPr="0089766B">
        <w:t>4A.36</w:t>
      </w:r>
      <w:proofErr w:type="spellEnd"/>
      <w:r w:rsidRPr="0089766B">
        <w:t>.</w:t>
      </w:r>
    </w:p>
    <w:p w:rsidR="00D66FBA" w:rsidRPr="0089766B" w:rsidRDefault="00D66FBA" w:rsidP="00A11734">
      <w:pPr>
        <w:pStyle w:val="BodyText"/>
      </w:pPr>
      <w:r w:rsidRPr="0089766B">
        <w:t xml:space="preserve">The mean scale score for year </w:t>
      </w:r>
      <w:r>
        <w:t>5</w:t>
      </w:r>
      <w:r w:rsidRPr="0089766B">
        <w:t xml:space="preserve"> reading in 2014 for all students was </w:t>
      </w:r>
      <w:r w:rsidR="002A79FF" w:rsidRPr="00A11734">
        <w:rPr>
          <w:shd w:val="clear" w:color="auto" w:fill="FFFFFF" w:themeFill="background1"/>
        </w:rPr>
        <w:t>499.6–501.6</w:t>
      </w:r>
      <w:r w:rsidRPr="0089766B">
        <w:t xml:space="preserve"> nationally. The mean scale score for Aboriginal and Torres Strait Islander students </w:t>
      </w:r>
      <w:r w:rsidR="002A79FF">
        <w:br/>
        <w:t>(</w:t>
      </w:r>
      <w:r w:rsidR="002A79FF" w:rsidRPr="00A11734">
        <w:rPr>
          <w:shd w:val="clear" w:color="auto" w:fill="FFFFFF" w:themeFill="background1"/>
        </w:rPr>
        <w:t>418.7–425.5</w:t>
      </w:r>
      <w:r w:rsidRPr="0089766B">
        <w:t>) was significantly lower than for non-Indigenous students (</w:t>
      </w:r>
      <w:r w:rsidR="002A79FF" w:rsidRPr="00A11734">
        <w:rPr>
          <w:shd w:val="clear" w:color="auto" w:fill="FFFFFF" w:themeFill="background1"/>
        </w:rPr>
        <w:t>504.0–506.0</w:t>
      </w:r>
      <w:r w:rsidRPr="0089766B">
        <w:t xml:space="preserve">). Mean scale scores varied across jurisdictions (table </w:t>
      </w:r>
      <w:proofErr w:type="spellStart"/>
      <w:r w:rsidRPr="0089766B">
        <w:t>4A.39</w:t>
      </w:r>
      <w:proofErr w:type="spellEnd"/>
      <w:r w:rsidRPr="0089766B">
        <w:t>).</w:t>
      </w:r>
    </w:p>
    <w:p w:rsidR="00D66FBA" w:rsidRDefault="00D66FBA" w:rsidP="00D66FBA">
      <w:pPr>
        <w:pStyle w:val="BodyText"/>
      </w:pPr>
      <w:r w:rsidRPr="0089766B">
        <w:t>Table 4.</w:t>
      </w:r>
      <w:r w:rsidR="00A37418">
        <w:t>8</w:t>
      </w:r>
      <w:r w:rsidRPr="0089766B">
        <w:t xml:space="preserve"> identifies statistical significance of differences between mean scale scores for year </w:t>
      </w:r>
      <w:r>
        <w:t>5</w:t>
      </w:r>
      <w:r w:rsidRPr="0089766B">
        <w:t xml:space="preserve"> reading outcomes across states and territories in 2014. </w:t>
      </w:r>
    </w:p>
    <w:p w:rsidR="006F2A4E" w:rsidRDefault="006F2A4E" w:rsidP="006F2A4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gridCol w:w="138"/>
      </w:tblGrid>
      <w:tr w:rsidR="006F2A4E" w:rsidTr="00A97042">
        <w:tc>
          <w:tcPr>
            <w:tcW w:w="8909" w:type="dxa"/>
            <w:gridSpan w:val="2"/>
            <w:tcBorders>
              <w:top w:val="single" w:sz="6" w:space="0" w:color="78A22F"/>
              <w:left w:val="nil"/>
              <w:bottom w:val="nil"/>
              <w:right w:val="nil"/>
            </w:tcBorders>
            <w:shd w:val="clear" w:color="auto" w:fill="auto"/>
          </w:tcPr>
          <w:p w:rsidR="006F2A4E" w:rsidRPr="00784A05" w:rsidRDefault="006F2A4E" w:rsidP="006F2A4E">
            <w:pPr>
              <w:pStyle w:val="TableTitle"/>
            </w:pPr>
            <w:r>
              <w:rPr>
                <w:b w:val="0"/>
              </w:rPr>
              <w:t>Table 4.</w:t>
            </w:r>
            <w:r w:rsidR="005953B6">
              <w:rPr>
                <w:b w:val="0"/>
                <w:noProof/>
              </w:rPr>
              <w:t>8</w:t>
            </w:r>
            <w:r>
              <w:tab/>
            </w:r>
            <w:r w:rsidRPr="006F2A4E">
              <w:t xml:space="preserve">Significance of differences for year </w:t>
            </w:r>
            <w:r>
              <w:t>5</w:t>
            </w:r>
            <w:r w:rsidRPr="006F2A4E">
              <w:t xml:space="preserve"> students, mean scale scores, reading, 2014</w:t>
            </w:r>
            <w:r w:rsidRPr="006F2A4E">
              <w:rPr>
                <w:rStyle w:val="NoteLabel"/>
                <w:b/>
              </w:rPr>
              <w:t>a</w:t>
            </w:r>
          </w:p>
        </w:tc>
      </w:tr>
      <w:tr w:rsidR="001552DE" w:rsidTr="005C0D49">
        <w:trPr>
          <w:gridAfter w:val="1"/>
          <w:wAfter w:w="138" w:type="dxa"/>
          <w:cantSplit/>
        </w:trPr>
        <w:tc>
          <w:tcPr>
            <w:tcW w:w="8771" w:type="dxa"/>
            <w:tcBorders>
              <w:top w:val="nil"/>
              <w:left w:val="nil"/>
              <w:bottom w:val="nil"/>
              <w:right w:val="nil"/>
            </w:tcBorders>
            <w:shd w:val="clear" w:color="auto" w:fill="auto"/>
          </w:tcPr>
          <w:tbl>
            <w:tblPr>
              <w:tblW w:w="8477" w:type="dxa"/>
              <w:tblInd w:w="10" w:type="dxa"/>
              <w:tblCellMar>
                <w:left w:w="0" w:type="dxa"/>
                <w:right w:w="0" w:type="dxa"/>
              </w:tblCellMar>
              <w:tblLook w:val="0000" w:firstRow="0" w:lastRow="0" w:firstColumn="0" w:lastColumn="0" w:noHBand="0" w:noVBand="0"/>
            </w:tblPr>
            <w:tblGrid>
              <w:gridCol w:w="865"/>
              <w:gridCol w:w="710"/>
              <w:gridCol w:w="766"/>
              <w:gridCol w:w="767"/>
              <w:gridCol w:w="767"/>
              <w:gridCol w:w="767"/>
              <w:gridCol w:w="767"/>
              <w:gridCol w:w="767"/>
              <w:gridCol w:w="767"/>
              <w:gridCol w:w="767"/>
              <w:gridCol w:w="767"/>
            </w:tblGrid>
            <w:tr w:rsidR="001552DE" w:rsidRPr="0034666A" w:rsidTr="005C0D49">
              <w:tc>
                <w:tcPr>
                  <w:tcW w:w="865" w:type="dxa"/>
                  <w:tcBorders>
                    <w:top w:val="single" w:sz="6" w:space="0" w:color="auto"/>
                  </w:tcBorders>
                  <w:shd w:val="clear" w:color="auto" w:fill="auto"/>
                </w:tcPr>
                <w:p w:rsidR="001552DE" w:rsidRPr="004708E3" w:rsidRDefault="001552DE" w:rsidP="005C0D49">
                  <w:pPr>
                    <w:keepNext/>
                    <w:keepLines/>
                    <w:spacing w:before="80" w:after="80" w:line="220" w:lineRule="atLeast"/>
                    <w:ind w:left="6" w:right="113"/>
                    <w:rPr>
                      <w:rFonts w:ascii="Arial" w:hAnsi="Arial"/>
                      <w:i/>
                      <w:sz w:val="20"/>
                      <w:szCs w:val="20"/>
                    </w:rPr>
                  </w:pPr>
                </w:p>
              </w:tc>
              <w:tc>
                <w:tcPr>
                  <w:tcW w:w="710" w:type="dxa"/>
                  <w:tcBorders>
                    <w:top w:val="single" w:sz="6" w:space="0" w:color="auto"/>
                  </w:tcBorders>
                </w:tcPr>
                <w:p w:rsidR="001552DE" w:rsidRPr="0034666A" w:rsidRDefault="001552DE" w:rsidP="005C0D49">
                  <w:pPr>
                    <w:keepNext/>
                    <w:keepLines/>
                    <w:spacing w:before="80" w:after="80" w:line="220" w:lineRule="atLeast"/>
                    <w:ind w:left="6" w:right="113"/>
                    <w:jc w:val="right"/>
                    <w:rPr>
                      <w:rFonts w:ascii="Arial" w:hAnsi="Arial"/>
                      <w:i/>
                      <w:sz w:val="20"/>
                      <w:szCs w:val="20"/>
                    </w:rPr>
                  </w:pPr>
                </w:p>
              </w:tc>
              <w:tc>
                <w:tcPr>
                  <w:tcW w:w="6902" w:type="dxa"/>
                  <w:gridSpan w:val="9"/>
                  <w:tcBorders>
                    <w:top w:val="single" w:sz="6" w:space="0" w:color="auto"/>
                  </w:tcBorders>
                  <w:shd w:val="clear" w:color="auto" w:fill="auto"/>
                  <w:vAlign w:val="center"/>
                </w:tcPr>
                <w:p w:rsidR="001552DE" w:rsidRPr="0034666A" w:rsidRDefault="001552DE" w:rsidP="005C0D49">
                  <w:pPr>
                    <w:pStyle w:val="TableColumnHeading"/>
                    <w:jc w:val="center"/>
                  </w:pPr>
                  <w:r w:rsidRPr="001552DE">
                    <w:t>Comparison jurisdiction</w:t>
                  </w:r>
                </w:p>
              </w:tc>
            </w:tr>
            <w:tr w:rsidR="001552DE" w:rsidRPr="0034666A" w:rsidTr="005C0D49">
              <w:tc>
                <w:tcPr>
                  <w:tcW w:w="865" w:type="dxa"/>
                  <w:tcBorders>
                    <w:bottom w:val="single" w:sz="4" w:space="0" w:color="auto"/>
                  </w:tcBorders>
                  <w:shd w:val="clear" w:color="auto" w:fill="auto"/>
                </w:tcPr>
                <w:p w:rsidR="001552DE" w:rsidRPr="004708E3" w:rsidRDefault="001552DE" w:rsidP="005C0D49">
                  <w:pPr>
                    <w:keepNext/>
                    <w:keepLines/>
                    <w:spacing w:before="80" w:after="80" w:line="220" w:lineRule="atLeast"/>
                    <w:ind w:left="6" w:right="113"/>
                    <w:rPr>
                      <w:rFonts w:ascii="Arial" w:hAnsi="Arial"/>
                      <w:i/>
                      <w:sz w:val="20"/>
                      <w:szCs w:val="20"/>
                    </w:rPr>
                  </w:pPr>
                </w:p>
              </w:tc>
              <w:tc>
                <w:tcPr>
                  <w:tcW w:w="710" w:type="dxa"/>
                  <w:tcBorders>
                    <w:bottom w:val="single" w:sz="4" w:space="0" w:color="auto"/>
                  </w:tcBorders>
                </w:tcPr>
                <w:p w:rsidR="001552DE" w:rsidRPr="0034666A" w:rsidRDefault="001552DE" w:rsidP="005C0D49">
                  <w:pPr>
                    <w:keepNext/>
                    <w:keepLines/>
                    <w:spacing w:before="80" w:after="80" w:line="220" w:lineRule="atLeast"/>
                    <w:ind w:left="6" w:right="113"/>
                    <w:jc w:val="right"/>
                    <w:rPr>
                      <w:rFonts w:ascii="Arial" w:hAnsi="Arial"/>
                      <w:i/>
                      <w:sz w:val="20"/>
                      <w:szCs w:val="20"/>
                    </w:rPr>
                  </w:pPr>
                </w:p>
              </w:tc>
              <w:tc>
                <w:tcPr>
                  <w:tcW w:w="766" w:type="dxa"/>
                  <w:tcBorders>
                    <w:bottom w:val="single" w:sz="4" w:space="0" w:color="auto"/>
                  </w:tcBorders>
                  <w:shd w:val="clear" w:color="auto" w:fill="auto"/>
                </w:tcPr>
                <w:p w:rsidR="001552DE" w:rsidRPr="0034666A" w:rsidRDefault="001552DE" w:rsidP="005C0D49">
                  <w:pPr>
                    <w:pStyle w:val="TableColumnHeading"/>
                  </w:pPr>
                  <w:r w:rsidRPr="0034666A">
                    <w:t>NSW</w:t>
                  </w:r>
                </w:p>
              </w:tc>
              <w:tc>
                <w:tcPr>
                  <w:tcW w:w="767" w:type="dxa"/>
                  <w:tcBorders>
                    <w:bottom w:val="single" w:sz="4" w:space="0" w:color="auto"/>
                  </w:tcBorders>
                  <w:shd w:val="clear" w:color="auto" w:fill="auto"/>
                </w:tcPr>
                <w:p w:rsidR="001552DE" w:rsidRPr="0034666A" w:rsidRDefault="001552DE" w:rsidP="005C0D49">
                  <w:pPr>
                    <w:pStyle w:val="TableColumnHeading"/>
                  </w:pPr>
                  <w:r w:rsidRPr="0034666A">
                    <w:t>Vic</w:t>
                  </w:r>
                </w:p>
              </w:tc>
              <w:tc>
                <w:tcPr>
                  <w:tcW w:w="767" w:type="dxa"/>
                  <w:tcBorders>
                    <w:bottom w:val="single" w:sz="4" w:space="0" w:color="auto"/>
                  </w:tcBorders>
                  <w:shd w:val="clear" w:color="auto" w:fill="auto"/>
                </w:tcPr>
                <w:p w:rsidR="001552DE" w:rsidRPr="0034666A" w:rsidRDefault="001552DE" w:rsidP="005C0D49">
                  <w:pPr>
                    <w:pStyle w:val="TableColumnHeading"/>
                  </w:pPr>
                  <w:r w:rsidRPr="0034666A">
                    <w:t>Qld</w:t>
                  </w:r>
                </w:p>
              </w:tc>
              <w:tc>
                <w:tcPr>
                  <w:tcW w:w="767" w:type="dxa"/>
                  <w:tcBorders>
                    <w:bottom w:val="single" w:sz="4" w:space="0" w:color="auto"/>
                  </w:tcBorders>
                  <w:shd w:val="clear" w:color="auto" w:fill="auto"/>
                </w:tcPr>
                <w:p w:rsidR="001552DE" w:rsidRPr="0034666A" w:rsidRDefault="001552DE" w:rsidP="005C0D49">
                  <w:pPr>
                    <w:pStyle w:val="TableColumnHeading"/>
                  </w:pPr>
                  <w:r w:rsidRPr="0034666A">
                    <w:t>WA</w:t>
                  </w:r>
                </w:p>
              </w:tc>
              <w:tc>
                <w:tcPr>
                  <w:tcW w:w="767" w:type="dxa"/>
                  <w:tcBorders>
                    <w:bottom w:val="single" w:sz="4" w:space="0" w:color="auto"/>
                  </w:tcBorders>
                  <w:shd w:val="clear" w:color="auto" w:fill="auto"/>
                </w:tcPr>
                <w:p w:rsidR="001552DE" w:rsidRPr="0034666A" w:rsidRDefault="001552DE" w:rsidP="005C0D49">
                  <w:pPr>
                    <w:pStyle w:val="TableColumnHeading"/>
                  </w:pPr>
                  <w:r w:rsidRPr="0034666A">
                    <w:t>SA</w:t>
                  </w:r>
                </w:p>
              </w:tc>
              <w:tc>
                <w:tcPr>
                  <w:tcW w:w="767" w:type="dxa"/>
                  <w:tcBorders>
                    <w:bottom w:val="single" w:sz="4" w:space="0" w:color="auto"/>
                  </w:tcBorders>
                  <w:shd w:val="clear" w:color="auto" w:fill="auto"/>
                </w:tcPr>
                <w:p w:rsidR="001552DE" w:rsidRPr="0034666A" w:rsidRDefault="001552DE" w:rsidP="005C0D49">
                  <w:pPr>
                    <w:pStyle w:val="TableColumnHeading"/>
                  </w:pPr>
                  <w:r w:rsidRPr="0034666A">
                    <w:t>Tas</w:t>
                  </w:r>
                </w:p>
              </w:tc>
              <w:tc>
                <w:tcPr>
                  <w:tcW w:w="767" w:type="dxa"/>
                  <w:tcBorders>
                    <w:bottom w:val="single" w:sz="4" w:space="0" w:color="auto"/>
                  </w:tcBorders>
                  <w:shd w:val="clear" w:color="auto" w:fill="auto"/>
                </w:tcPr>
                <w:p w:rsidR="001552DE" w:rsidRPr="0034666A" w:rsidRDefault="001552DE" w:rsidP="005C0D49">
                  <w:pPr>
                    <w:pStyle w:val="TableColumnHeading"/>
                  </w:pPr>
                  <w:r w:rsidRPr="0034666A">
                    <w:t>ACT</w:t>
                  </w:r>
                </w:p>
              </w:tc>
              <w:tc>
                <w:tcPr>
                  <w:tcW w:w="767" w:type="dxa"/>
                  <w:tcBorders>
                    <w:bottom w:val="single" w:sz="4" w:space="0" w:color="auto"/>
                  </w:tcBorders>
                  <w:shd w:val="clear" w:color="auto" w:fill="auto"/>
                </w:tcPr>
                <w:p w:rsidR="001552DE" w:rsidRPr="0034666A" w:rsidRDefault="001552DE" w:rsidP="005C0D49">
                  <w:pPr>
                    <w:pStyle w:val="TableColumnHeading"/>
                  </w:pPr>
                  <w:r w:rsidRPr="0034666A">
                    <w:t>NT</w:t>
                  </w:r>
                </w:p>
              </w:tc>
              <w:tc>
                <w:tcPr>
                  <w:tcW w:w="767" w:type="dxa"/>
                  <w:tcBorders>
                    <w:bottom w:val="single" w:sz="4" w:space="0" w:color="auto"/>
                  </w:tcBorders>
                  <w:shd w:val="clear" w:color="auto" w:fill="auto"/>
                </w:tcPr>
                <w:p w:rsidR="001552DE" w:rsidRPr="0034666A" w:rsidRDefault="001552DE" w:rsidP="005C0D49">
                  <w:pPr>
                    <w:pStyle w:val="TableColumnHeading"/>
                  </w:pPr>
                  <w:proofErr w:type="spellStart"/>
                  <w:r w:rsidRPr="0034666A">
                    <w:t>Aust</w:t>
                  </w:r>
                  <w:proofErr w:type="spellEnd"/>
                </w:p>
              </w:tc>
            </w:tr>
            <w:tr w:rsidR="001530B5" w:rsidRPr="0034666A" w:rsidTr="00A11734">
              <w:tc>
                <w:tcPr>
                  <w:tcW w:w="865" w:type="dxa"/>
                  <w:tcBorders>
                    <w:top w:val="dotted" w:sz="4" w:space="0" w:color="auto"/>
                    <w:left w:val="dotted" w:sz="4" w:space="0" w:color="auto"/>
                    <w:bottom w:val="dotted" w:sz="4" w:space="0" w:color="auto"/>
                    <w:right w:val="dotted" w:sz="4" w:space="0" w:color="auto"/>
                  </w:tcBorders>
                  <w:shd w:val="clear" w:color="auto" w:fill="auto"/>
                </w:tcPr>
                <w:p w:rsidR="001530B5" w:rsidRPr="0034666A" w:rsidRDefault="001530B5" w:rsidP="006C7FED">
                  <w:pPr>
                    <w:pStyle w:val="TableBodyText"/>
                  </w:pP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tcPr>
                <w:p w:rsidR="001530B5" w:rsidRDefault="001530B5" w:rsidP="006C7FED">
                  <w:pPr>
                    <w:pStyle w:val="TableBodyText"/>
                  </w:pP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pPr>
                  <w:r>
                    <w:t xml:space="preserve">504.0 </w:t>
                  </w:r>
                  <w:r w:rsidR="00C32E47">
                    <w:br/>
                  </w:r>
                  <w:r>
                    <w:t>± 2.0</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pPr>
                  <w:r>
                    <w:t xml:space="preserve">509.8 </w:t>
                  </w:r>
                  <w:r w:rsidR="00C32E47">
                    <w:br/>
                  </w:r>
                  <w:r>
                    <w:t>± 1.8</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pPr>
                  <w:r>
                    <w:t xml:space="preserve">496.1 </w:t>
                  </w:r>
                  <w:r w:rsidR="00C32E47">
                    <w:br/>
                  </w:r>
                  <w:r>
                    <w:t>± 2.2</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pPr>
                  <w:r>
                    <w:t>491.7</w:t>
                  </w:r>
                  <w:r w:rsidR="00C32E47">
                    <w:br/>
                  </w:r>
                  <w:r>
                    <w:t xml:space="preserve"> ± 3.1</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pPr>
                  <w:r>
                    <w:t xml:space="preserve">489.6 </w:t>
                  </w:r>
                  <w:r w:rsidR="00C32E47">
                    <w:br/>
                  </w:r>
                  <w:r>
                    <w:t>± 3.3</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pPr>
                  <w:r>
                    <w:t xml:space="preserve">497.9 </w:t>
                  </w:r>
                  <w:r w:rsidR="00C32E47">
                    <w:br/>
                  </w:r>
                  <w:r>
                    <w:t>± 6.5</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pPr>
                  <w:r>
                    <w:t xml:space="preserve">522.0 </w:t>
                  </w:r>
                  <w:r w:rsidR="00C32E47">
                    <w:br/>
                  </w:r>
                  <w:r>
                    <w:t>± 6.0</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pPr>
                  <w:r>
                    <w:t xml:space="preserve">425.5 </w:t>
                  </w:r>
                  <w:r w:rsidR="00C32E47">
                    <w:br/>
                  </w:r>
                  <w:r>
                    <w:t>± 17.5</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pPr>
                  <w:r>
                    <w:t xml:space="preserve">500.6 </w:t>
                  </w:r>
                  <w:r w:rsidR="00C32E47">
                    <w:br/>
                  </w:r>
                  <w:r>
                    <w:t>± 1.0</w:t>
                  </w:r>
                </w:p>
              </w:tc>
            </w:tr>
            <w:tr w:rsidR="001530B5" w:rsidRPr="0034666A" w:rsidTr="00A11734">
              <w:tc>
                <w:tcPr>
                  <w:tcW w:w="865" w:type="dxa"/>
                  <w:tcBorders>
                    <w:top w:val="dotted" w:sz="4" w:space="0" w:color="auto"/>
                    <w:left w:val="dotted" w:sz="4" w:space="0" w:color="auto"/>
                    <w:bottom w:val="dotted" w:sz="4" w:space="0" w:color="auto"/>
                    <w:right w:val="dotted" w:sz="4" w:space="0" w:color="auto"/>
                  </w:tcBorders>
                  <w:shd w:val="clear" w:color="auto" w:fill="auto"/>
                </w:tcPr>
                <w:p w:rsidR="001530B5" w:rsidRPr="001552DE" w:rsidRDefault="001530B5" w:rsidP="006C7FED">
                  <w:pPr>
                    <w:pStyle w:val="TableBodyText"/>
                  </w:pPr>
                  <w:r w:rsidRPr="001552DE">
                    <w:t>NSW</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pPr>
                  <w:r>
                    <w:t>504.0 ± 2.0</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ascii="MS Gothic" w:eastAsia="MS Gothic" w:hAnsi="MS Gothic" w:cs="MS Gothic" w:hint="eastAsia"/>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r>
            <w:tr w:rsidR="001530B5" w:rsidRPr="0034666A" w:rsidTr="00A11734">
              <w:tc>
                <w:tcPr>
                  <w:tcW w:w="865" w:type="dxa"/>
                  <w:tcBorders>
                    <w:top w:val="dotted" w:sz="4" w:space="0" w:color="auto"/>
                    <w:left w:val="dotted" w:sz="4" w:space="0" w:color="auto"/>
                    <w:bottom w:val="dotted" w:sz="4" w:space="0" w:color="auto"/>
                    <w:right w:val="dotted" w:sz="4" w:space="0" w:color="auto"/>
                  </w:tcBorders>
                  <w:shd w:val="clear" w:color="auto" w:fill="auto"/>
                </w:tcPr>
                <w:p w:rsidR="001530B5" w:rsidRPr="001552DE" w:rsidRDefault="001530B5" w:rsidP="006C7FED">
                  <w:pPr>
                    <w:pStyle w:val="TableBodyText"/>
                  </w:pPr>
                  <w:r w:rsidRPr="001552DE">
                    <w:t>Vic</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1530B5" w:rsidRDefault="001530B5" w:rsidP="006C7FED">
                  <w:pPr>
                    <w:pStyle w:val="TableBodyText"/>
                  </w:pPr>
                  <w:r>
                    <w:t>509.8 ± 1.8</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ascii="Cambria Math" w:hAnsi="Cambria Math" w:cs="Cambria Math"/>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ascii="Cambria Math" w:hAnsi="Cambria Math" w:cs="Cambria Math"/>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r>
            <w:tr w:rsidR="001530B5" w:rsidRPr="0034666A" w:rsidTr="00A11734">
              <w:tc>
                <w:tcPr>
                  <w:tcW w:w="865" w:type="dxa"/>
                  <w:tcBorders>
                    <w:top w:val="dotted" w:sz="4" w:space="0" w:color="auto"/>
                    <w:left w:val="dotted" w:sz="4" w:space="0" w:color="auto"/>
                    <w:bottom w:val="dotted" w:sz="4" w:space="0" w:color="auto"/>
                    <w:right w:val="dotted" w:sz="4" w:space="0" w:color="auto"/>
                  </w:tcBorders>
                  <w:shd w:val="clear" w:color="auto" w:fill="auto"/>
                </w:tcPr>
                <w:p w:rsidR="001530B5" w:rsidRPr="001552DE" w:rsidRDefault="001530B5" w:rsidP="006C7FED">
                  <w:pPr>
                    <w:pStyle w:val="TableBodyText"/>
                  </w:pPr>
                  <w:r w:rsidRPr="001552DE">
                    <w:t>Qld</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1530B5" w:rsidRDefault="001530B5" w:rsidP="006C7FED">
                  <w:pPr>
                    <w:pStyle w:val="TableBodyText"/>
                  </w:pPr>
                  <w:r>
                    <w:t>496.1 ± 2.2</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ascii="MS Gothic" w:eastAsia="MS Gothic" w:hAnsi="MS Gothic" w:cs="MS Gothic" w:hint="eastAsia"/>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r>
            <w:tr w:rsidR="001530B5" w:rsidRPr="0034666A" w:rsidTr="00A11734">
              <w:tc>
                <w:tcPr>
                  <w:tcW w:w="865" w:type="dxa"/>
                  <w:tcBorders>
                    <w:top w:val="dotted" w:sz="4" w:space="0" w:color="auto"/>
                    <w:left w:val="dotted" w:sz="4" w:space="0" w:color="auto"/>
                    <w:bottom w:val="dotted" w:sz="4" w:space="0" w:color="auto"/>
                    <w:right w:val="dotted" w:sz="4" w:space="0" w:color="auto"/>
                  </w:tcBorders>
                  <w:shd w:val="clear" w:color="auto" w:fill="auto"/>
                </w:tcPr>
                <w:p w:rsidR="001530B5" w:rsidRPr="001552DE" w:rsidRDefault="001530B5" w:rsidP="006C7FED">
                  <w:pPr>
                    <w:pStyle w:val="TableBodyText"/>
                  </w:pPr>
                  <w:r w:rsidRPr="001552DE">
                    <w:t>WA</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1530B5" w:rsidRDefault="001530B5" w:rsidP="006C7FED">
                  <w:pPr>
                    <w:pStyle w:val="TableBodyText"/>
                  </w:pPr>
                  <w:r>
                    <w:t>491.7 ± 3.1</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ascii="MS Gothic" w:eastAsia="MS Gothic" w:hAnsi="MS Gothic" w:cs="MS Gothic" w:hint="eastAsia"/>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ascii="MS Gothic" w:eastAsia="MS Gothic" w:hAnsi="MS Gothic" w:cs="MS Gothic" w:hint="eastAsia"/>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r>
            <w:tr w:rsidR="001530B5" w:rsidRPr="0034666A" w:rsidTr="00A11734">
              <w:tc>
                <w:tcPr>
                  <w:tcW w:w="865" w:type="dxa"/>
                  <w:tcBorders>
                    <w:top w:val="dotted" w:sz="4" w:space="0" w:color="auto"/>
                    <w:left w:val="dotted" w:sz="4" w:space="0" w:color="auto"/>
                    <w:bottom w:val="dotted" w:sz="4" w:space="0" w:color="auto"/>
                    <w:right w:val="dotted" w:sz="4" w:space="0" w:color="auto"/>
                  </w:tcBorders>
                  <w:shd w:val="clear" w:color="auto" w:fill="auto"/>
                </w:tcPr>
                <w:p w:rsidR="001530B5" w:rsidRPr="001552DE" w:rsidRDefault="001530B5" w:rsidP="006C7FED">
                  <w:pPr>
                    <w:pStyle w:val="TableBodyText"/>
                  </w:pPr>
                  <w:r w:rsidRPr="001552DE">
                    <w:t>SA</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1530B5" w:rsidRDefault="001530B5" w:rsidP="006C7FED">
                  <w:pPr>
                    <w:pStyle w:val="TableBodyText"/>
                  </w:pPr>
                  <w:r>
                    <w:t>489.6 ± 3.3</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ascii="MS Gothic" w:eastAsia="MS Gothic" w:hAnsi="MS Gothic" w:cs="MS Gothic" w:hint="eastAsia"/>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ascii="MS Gothic" w:eastAsia="MS Gothic" w:hAnsi="MS Gothic" w:cs="MS Gothic" w:hint="eastAsia"/>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r>
            <w:tr w:rsidR="001530B5" w:rsidRPr="0034666A" w:rsidTr="00A11734">
              <w:tc>
                <w:tcPr>
                  <w:tcW w:w="865" w:type="dxa"/>
                  <w:tcBorders>
                    <w:top w:val="dotted" w:sz="4" w:space="0" w:color="auto"/>
                    <w:left w:val="dotted" w:sz="4" w:space="0" w:color="auto"/>
                    <w:bottom w:val="dotted" w:sz="4" w:space="0" w:color="auto"/>
                    <w:right w:val="dotted" w:sz="4" w:space="0" w:color="auto"/>
                  </w:tcBorders>
                  <w:shd w:val="clear" w:color="auto" w:fill="auto"/>
                </w:tcPr>
                <w:p w:rsidR="001530B5" w:rsidRPr="001552DE" w:rsidRDefault="001530B5" w:rsidP="006C7FED">
                  <w:pPr>
                    <w:pStyle w:val="TableBodyText"/>
                  </w:pPr>
                  <w:r w:rsidRPr="001552DE">
                    <w:t>Tas</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1530B5" w:rsidRDefault="001530B5" w:rsidP="006C7FED">
                  <w:pPr>
                    <w:pStyle w:val="TableBodyText"/>
                  </w:pPr>
                  <w:r>
                    <w:t>497.9 ± 6.5</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ascii="MS Gothic" w:eastAsia="MS Gothic" w:hAnsi="MS Gothic" w:cs="MS Gothic" w:hint="eastAsia"/>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r>
            <w:tr w:rsidR="001530B5" w:rsidRPr="0034666A" w:rsidTr="00A11734">
              <w:tc>
                <w:tcPr>
                  <w:tcW w:w="865" w:type="dxa"/>
                  <w:tcBorders>
                    <w:top w:val="dotted" w:sz="4" w:space="0" w:color="auto"/>
                    <w:left w:val="dotted" w:sz="4" w:space="0" w:color="auto"/>
                    <w:bottom w:val="dotted" w:sz="4" w:space="0" w:color="auto"/>
                    <w:right w:val="dotted" w:sz="4" w:space="0" w:color="auto"/>
                  </w:tcBorders>
                  <w:shd w:val="clear" w:color="auto" w:fill="auto"/>
                </w:tcPr>
                <w:p w:rsidR="001530B5" w:rsidRPr="001552DE" w:rsidRDefault="001530B5" w:rsidP="006C7FED">
                  <w:pPr>
                    <w:pStyle w:val="TableBodyText"/>
                  </w:pPr>
                  <w:r w:rsidRPr="001552DE">
                    <w:t>ACT</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1530B5" w:rsidRDefault="001530B5" w:rsidP="006C7FED">
                  <w:pPr>
                    <w:pStyle w:val="TableBodyText"/>
                  </w:pPr>
                  <w:r>
                    <w:t>522.0 ± 6.0</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ascii="Cambria Math" w:hAnsi="Cambria Math" w:cs="Cambria Math"/>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ascii="Cambria Math" w:hAnsi="Cambria Math" w:cs="Cambria Math"/>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ascii="Cambria Math" w:hAnsi="Cambria Math" w:cs="Cambria Math"/>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ascii="Cambria Math" w:hAnsi="Cambria Math" w:cs="Cambria Math"/>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ascii="Cambria Math" w:hAnsi="Cambria Math" w:cs="Cambria Math"/>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ascii="Cambria Math" w:hAnsi="Cambria Math" w:cs="Cambria Math"/>
                      <w:sz w:val="20"/>
                    </w:rPr>
                    <w:t>△</w:t>
                  </w:r>
                </w:p>
              </w:tc>
            </w:tr>
            <w:tr w:rsidR="001530B5" w:rsidRPr="0034666A" w:rsidTr="00A11734">
              <w:tc>
                <w:tcPr>
                  <w:tcW w:w="865" w:type="dxa"/>
                  <w:tcBorders>
                    <w:top w:val="dotted" w:sz="4" w:space="0" w:color="auto"/>
                    <w:left w:val="dotted" w:sz="4" w:space="0" w:color="auto"/>
                    <w:bottom w:val="dotted" w:sz="4" w:space="0" w:color="auto"/>
                    <w:right w:val="dotted" w:sz="4" w:space="0" w:color="auto"/>
                  </w:tcBorders>
                  <w:shd w:val="clear" w:color="auto" w:fill="auto"/>
                </w:tcPr>
                <w:p w:rsidR="001530B5" w:rsidRPr="001552DE" w:rsidRDefault="001530B5" w:rsidP="006C7FED">
                  <w:pPr>
                    <w:pStyle w:val="TableBodyText"/>
                  </w:pPr>
                  <w:r w:rsidRPr="001552DE">
                    <w:t>NT</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1530B5" w:rsidRDefault="001530B5" w:rsidP="006C7FED">
                  <w:pPr>
                    <w:pStyle w:val="TableBodyText"/>
                  </w:pPr>
                  <w:r>
                    <w:t>425.5 ± 17.5</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r>
            <w:tr w:rsidR="001530B5" w:rsidRPr="00895A13" w:rsidTr="00A11734">
              <w:tc>
                <w:tcPr>
                  <w:tcW w:w="865" w:type="dxa"/>
                  <w:tcBorders>
                    <w:top w:val="dotted" w:sz="4" w:space="0" w:color="auto"/>
                    <w:left w:val="dotted" w:sz="4" w:space="0" w:color="auto"/>
                    <w:bottom w:val="single" w:sz="4" w:space="0" w:color="auto"/>
                    <w:right w:val="dotted" w:sz="4" w:space="0" w:color="auto"/>
                  </w:tcBorders>
                  <w:shd w:val="clear" w:color="auto" w:fill="auto"/>
                </w:tcPr>
                <w:p w:rsidR="001530B5" w:rsidRPr="001552DE" w:rsidRDefault="001530B5" w:rsidP="006C7FED">
                  <w:pPr>
                    <w:pStyle w:val="TableBodyText"/>
                  </w:pPr>
                  <w:proofErr w:type="spellStart"/>
                  <w:r w:rsidRPr="001552DE">
                    <w:t>Aust</w:t>
                  </w:r>
                  <w:proofErr w:type="spellEnd"/>
                </w:p>
              </w:tc>
              <w:tc>
                <w:tcPr>
                  <w:tcW w:w="710" w:type="dxa"/>
                  <w:tcBorders>
                    <w:top w:val="dotted" w:sz="4" w:space="0" w:color="auto"/>
                    <w:left w:val="dotted" w:sz="4" w:space="0" w:color="auto"/>
                    <w:bottom w:val="single" w:sz="4" w:space="0" w:color="auto"/>
                    <w:right w:val="dotted" w:sz="4" w:space="0" w:color="auto"/>
                  </w:tcBorders>
                  <w:shd w:val="clear" w:color="auto" w:fill="FFFFFF" w:themeFill="background1"/>
                  <w:vAlign w:val="center"/>
                </w:tcPr>
                <w:p w:rsidR="001530B5" w:rsidRDefault="001530B5" w:rsidP="006C7FED">
                  <w:pPr>
                    <w:pStyle w:val="TableBodyText"/>
                  </w:pPr>
                  <w:r>
                    <w:t>500.6 ± 1.0</w:t>
                  </w:r>
                </w:p>
              </w:tc>
              <w:tc>
                <w:tcPr>
                  <w:tcW w:w="766" w:type="dxa"/>
                  <w:tcBorders>
                    <w:top w:val="dotted" w:sz="4" w:space="0" w:color="auto"/>
                    <w:left w:val="dotted" w:sz="4" w:space="0" w:color="auto"/>
                    <w:bottom w:val="single"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c>
                <w:tcPr>
                  <w:tcW w:w="767" w:type="dxa"/>
                  <w:tcBorders>
                    <w:top w:val="dotted" w:sz="4" w:space="0" w:color="auto"/>
                    <w:left w:val="dotted" w:sz="4" w:space="0" w:color="auto"/>
                    <w:bottom w:val="single"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c>
                <w:tcPr>
                  <w:tcW w:w="767" w:type="dxa"/>
                  <w:tcBorders>
                    <w:top w:val="dotted" w:sz="4" w:space="0" w:color="auto"/>
                    <w:left w:val="dotted" w:sz="4" w:space="0" w:color="auto"/>
                    <w:bottom w:val="single"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c>
                <w:tcPr>
                  <w:tcW w:w="767" w:type="dxa"/>
                  <w:tcBorders>
                    <w:top w:val="dotted" w:sz="4" w:space="0" w:color="auto"/>
                    <w:left w:val="dotted" w:sz="4" w:space="0" w:color="auto"/>
                    <w:bottom w:val="single"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c>
                <w:tcPr>
                  <w:tcW w:w="767" w:type="dxa"/>
                  <w:tcBorders>
                    <w:top w:val="dotted" w:sz="4" w:space="0" w:color="auto"/>
                    <w:left w:val="dotted" w:sz="4" w:space="0" w:color="auto"/>
                    <w:bottom w:val="single"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c>
                <w:tcPr>
                  <w:tcW w:w="767" w:type="dxa"/>
                  <w:tcBorders>
                    <w:top w:val="dotted" w:sz="4" w:space="0" w:color="auto"/>
                    <w:left w:val="dotted" w:sz="4" w:space="0" w:color="auto"/>
                    <w:bottom w:val="single"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c>
                <w:tcPr>
                  <w:tcW w:w="767" w:type="dxa"/>
                  <w:tcBorders>
                    <w:top w:val="dotted" w:sz="4" w:space="0" w:color="auto"/>
                    <w:left w:val="dotted" w:sz="4" w:space="0" w:color="auto"/>
                    <w:bottom w:val="single"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ascii="MS Gothic" w:eastAsia="MS Gothic" w:hAnsi="MS Gothic" w:cs="MS Gothic" w:hint="eastAsia"/>
                      <w:sz w:val="20"/>
                    </w:rPr>
                    <w:t>▽</w:t>
                  </w:r>
                </w:p>
              </w:tc>
              <w:tc>
                <w:tcPr>
                  <w:tcW w:w="767" w:type="dxa"/>
                  <w:tcBorders>
                    <w:top w:val="dotted" w:sz="4" w:space="0" w:color="auto"/>
                    <w:left w:val="dotted" w:sz="4" w:space="0" w:color="auto"/>
                    <w:bottom w:val="single"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w:t>
                  </w:r>
                </w:p>
              </w:tc>
              <w:tc>
                <w:tcPr>
                  <w:tcW w:w="767" w:type="dxa"/>
                  <w:tcBorders>
                    <w:top w:val="dotted" w:sz="4" w:space="0" w:color="auto"/>
                    <w:left w:val="dotted" w:sz="4" w:space="0" w:color="auto"/>
                    <w:bottom w:val="single" w:sz="4" w:space="0" w:color="auto"/>
                    <w:right w:val="dotted" w:sz="4" w:space="0" w:color="auto"/>
                  </w:tcBorders>
                  <w:shd w:val="clear" w:color="auto" w:fill="FFFFFF" w:themeFill="background1"/>
                  <w:vAlign w:val="bottom"/>
                </w:tcPr>
                <w:p w:rsidR="001530B5" w:rsidRDefault="001530B5" w:rsidP="006C7FED">
                  <w:pPr>
                    <w:pStyle w:val="TableBodyText"/>
                    <w:rPr>
                      <w:rFonts w:cs="Arial"/>
                      <w:sz w:val="20"/>
                    </w:rPr>
                  </w:pPr>
                  <w:r>
                    <w:rPr>
                      <w:rFonts w:cs="Arial"/>
                      <w:sz w:val="20"/>
                    </w:rPr>
                    <w:t>.. </w:t>
                  </w:r>
                </w:p>
              </w:tc>
            </w:tr>
          </w:tbl>
          <w:p w:rsidR="001552DE" w:rsidRDefault="001552DE" w:rsidP="005C0D49">
            <w:pPr>
              <w:pStyle w:val="Box"/>
            </w:pPr>
          </w:p>
        </w:tc>
      </w:tr>
      <w:tr w:rsidR="006F2A4E" w:rsidTr="00A97042">
        <w:trPr>
          <w:cantSplit/>
        </w:trPr>
        <w:tc>
          <w:tcPr>
            <w:tcW w:w="8909" w:type="dxa"/>
            <w:gridSpan w:val="2"/>
            <w:tcBorders>
              <w:top w:val="nil"/>
              <w:left w:val="nil"/>
              <w:bottom w:val="nil"/>
              <w:right w:val="nil"/>
            </w:tcBorders>
            <w:shd w:val="clear" w:color="auto" w:fill="auto"/>
          </w:tcPr>
          <w:p w:rsidR="006F2A4E" w:rsidRPr="009F0531" w:rsidRDefault="006F2A4E" w:rsidP="007A42E5">
            <w:pPr>
              <w:pStyle w:val="Note"/>
            </w:pPr>
            <w:r w:rsidRPr="009F0531">
              <w:rPr>
                <w:rStyle w:val="NoteLabel"/>
                <w:b w:val="0"/>
                <w:position w:val="0"/>
              </w:rPr>
              <w:t>▲</w:t>
            </w:r>
            <w:r>
              <w:t xml:space="preserve"> </w:t>
            </w:r>
            <w:r w:rsidRPr="009F0531">
              <w:t xml:space="preserve">Average achievement is substantially above and is statistically significantly different from the comparison State/Territory. </w:t>
            </w:r>
            <w:r w:rsidRPr="009F0531">
              <w:rPr>
                <w:rFonts w:ascii="Cambria Math" w:hAnsi="Cambria Math" w:cs="Cambria Math"/>
              </w:rPr>
              <w:t>△</w:t>
            </w:r>
            <w:r w:rsidRPr="009F0531">
              <w:t xml:space="preserve"> Average achievement is above and is statistically significantly different from the comparison State/Territory. ■ Average achievement is close to or not statistically different from the comparison State/Territory. </w:t>
            </w:r>
            <w:r w:rsidRPr="009F0531">
              <w:rPr>
                <w:rFonts w:ascii="MS Gothic" w:eastAsia="MS Gothic" w:hAnsi="MS Gothic" w:cs="MS Gothic" w:hint="eastAsia"/>
              </w:rPr>
              <w:t>▽</w:t>
            </w:r>
            <w:r w:rsidR="00C32E47">
              <w:rPr>
                <w:rFonts w:ascii="MS Gothic" w:eastAsia="MS Gothic" w:hAnsi="MS Gothic" w:cs="MS Gothic"/>
              </w:rPr>
              <w:t xml:space="preserve"> </w:t>
            </w:r>
            <w:r w:rsidRPr="009F0531">
              <w:t>Average achievement is below and is statistically significantly different from the comparison State/Territory. ▼ Average achievement is substantially below and is statistically significantly different from the comparison State/Territory.</w:t>
            </w:r>
          </w:p>
          <w:p w:rsidR="006F2A4E" w:rsidRDefault="006F2A4E" w:rsidP="007A42E5">
            <w:pPr>
              <w:pStyle w:val="Note"/>
              <w:rPr>
                <w:i/>
              </w:rPr>
            </w:pPr>
            <w:proofErr w:type="spellStart"/>
            <w:r w:rsidRPr="008E77FE">
              <w:rPr>
                <w:rStyle w:val="NoteLabel"/>
              </w:rPr>
              <w:t>a</w:t>
            </w:r>
            <w:proofErr w:type="spellEnd"/>
            <w:r w:rsidRPr="009F0531">
              <w:t xml:space="preserve"> For further information and caveats see table </w:t>
            </w:r>
            <w:proofErr w:type="spellStart"/>
            <w:r w:rsidRPr="009F0531">
              <w:t>4A.39</w:t>
            </w:r>
            <w:proofErr w:type="spellEnd"/>
            <w:r w:rsidRPr="009F0531">
              <w:t>.</w:t>
            </w:r>
            <w:r>
              <w:t xml:space="preserve"> .. not applicable.</w:t>
            </w:r>
          </w:p>
        </w:tc>
      </w:tr>
      <w:tr w:rsidR="006F2A4E" w:rsidTr="00A97042">
        <w:trPr>
          <w:cantSplit/>
        </w:trPr>
        <w:tc>
          <w:tcPr>
            <w:tcW w:w="8909" w:type="dxa"/>
            <w:gridSpan w:val="2"/>
            <w:tcBorders>
              <w:top w:val="nil"/>
              <w:left w:val="nil"/>
              <w:bottom w:val="nil"/>
              <w:right w:val="nil"/>
            </w:tcBorders>
            <w:shd w:val="clear" w:color="auto" w:fill="auto"/>
          </w:tcPr>
          <w:p w:rsidR="006F2A4E" w:rsidRDefault="006F2A4E" w:rsidP="007A42E5">
            <w:pPr>
              <w:pStyle w:val="Source"/>
            </w:pPr>
            <w:r>
              <w:rPr>
                <w:i/>
              </w:rPr>
              <w:t>Source</w:t>
            </w:r>
            <w:r w:rsidRPr="00167F06">
              <w:t xml:space="preserve">: </w:t>
            </w:r>
            <w:r w:rsidRPr="006F2A4E">
              <w:t>ACARA (2014</w:t>
            </w:r>
            <w:r w:rsidR="00592D0D" w:rsidRPr="00BE4E82">
              <w:t xml:space="preserve"> and unpublished</w:t>
            </w:r>
            <w:r w:rsidRPr="006F2A4E">
              <w:t xml:space="preserve">) </w:t>
            </w:r>
            <w:proofErr w:type="spellStart"/>
            <w:r w:rsidRPr="006F2A4E">
              <w:rPr>
                <w:i/>
              </w:rPr>
              <w:t>NAPLAN</w:t>
            </w:r>
            <w:proofErr w:type="spellEnd"/>
            <w:r w:rsidRPr="006F2A4E">
              <w:rPr>
                <w:i/>
              </w:rPr>
              <w:t xml:space="preserve"> Achievement in Reading, Writing, Language Conventions and Numeracy: National Report for 2014</w:t>
            </w:r>
            <w:r w:rsidRPr="006F2A4E">
              <w:t xml:space="preserve">; table </w:t>
            </w:r>
            <w:proofErr w:type="spellStart"/>
            <w:r w:rsidRPr="006F2A4E">
              <w:t>4A.39</w:t>
            </w:r>
            <w:proofErr w:type="spellEnd"/>
            <w:r w:rsidRPr="006F2A4E">
              <w:t>.</w:t>
            </w:r>
          </w:p>
        </w:tc>
      </w:tr>
      <w:tr w:rsidR="006F2A4E" w:rsidTr="00A97042">
        <w:trPr>
          <w:cantSplit/>
        </w:trPr>
        <w:tc>
          <w:tcPr>
            <w:tcW w:w="8909" w:type="dxa"/>
            <w:gridSpan w:val="2"/>
            <w:tcBorders>
              <w:top w:val="nil"/>
              <w:left w:val="nil"/>
              <w:bottom w:val="single" w:sz="6" w:space="0" w:color="78A22F"/>
              <w:right w:val="nil"/>
            </w:tcBorders>
            <w:shd w:val="clear" w:color="auto" w:fill="auto"/>
          </w:tcPr>
          <w:p w:rsidR="006F2A4E" w:rsidRDefault="006F2A4E" w:rsidP="007A42E5">
            <w:pPr>
              <w:pStyle w:val="Box"/>
              <w:spacing w:before="0" w:line="120" w:lineRule="exact"/>
            </w:pPr>
          </w:p>
        </w:tc>
      </w:tr>
      <w:tr w:rsidR="006F2A4E" w:rsidRPr="000863A5" w:rsidTr="00A97042">
        <w:tc>
          <w:tcPr>
            <w:tcW w:w="8909" w:type="dxa"/>
            <w:gridSpan w:val="2"/>
            <w:tcBorders>
              <w:top w:val="single" w:sz="6" w:space="0" w:color="78A22F"/>
              <w:left w:val="nil"/>
              <w:bottom w:val="nil"/>
              <w:right w:val="nil"/>
            </w:tcBorders>
          </w:tcPr>
          <w:p w:rsidR="006F2A4E" w:rsidRPr="00626D32" w:rsidRDefault="006F2A4E" w:rsidP="007A42E5">
            <w:pPr>
              <w:pStyle w:val="BoxSpaceBelow"/>
            </w:pPr>
          </w:p>
        </w:tc>
      </w:tr>
    </w:tbl>
    <w:p w:rsidR="00CE6853" w:rsidRDefault="00666ECE" w:rsidP="00A11734">
      <w:pPr>
        <w:spacing w:before="240" w:line="320" w:lineRule="atLeast"/>
        <w:jc w:val="both"/>
        <w:rPr>
          <w:szCs w:val="20"/>
        </w:rPr>
      </w:pPr>
      <w:r w:rsidRPr="00666ECE">
        <w:rPr>
          <w:szCs w:val="20"/>
        </w:rPr>
        <w:t xml:space="preserve">The proportion of year 7 students who </w:t>
      </w:r>
      <w:r w:rsidRPr="002C5BBE">
        <w:rPr>
          <w:szCs w:val="20"/>
        </w:rPr>
        <w:t>achieved at or above the reading national minimum standard in 201</w:t>
      </w:r>
      <w:r w:rsidR="00D66FBA">
        <w:rPr>
          <w:szCs w:val="20"/>
        </w:rPr>
        <w:t>4</w:t>
      </w:r>
      <w:r w:rsidRPr="002C5BBE">
        <w:rPr>
          <w:szCs w:val="20"/>
        </w:rPr>
        <w:t xml:space="preserve"> was </w:t>
      </w:r>
      <w:r w:rsidR="002A79FF" w:rsidRPr="00A11734">
        <w:rPr>
          <w:shd w:val="clear" w:color="auto" w:fill="FFFFFF" w:themeFill="background1"/>
        </w:rPr>
        <w:t>94.6–95.2</w:t>
      </w:r>
      <w:r w:rsidR="00D66FBA" w:rsidRPr="00EC1693">
        <w:t xml:space="preserve"> </w:t>
      </w:r>
      <w:r w:rsidRPr="002C5BBE">
        <w:rPr>
          <w:szCs w:val="20"/>
        </w:rPr>
        <w:t xml:space="preserve">per cent nationally. The proportion </w:t>
      </w:r>
      <w:r w:rsidR="000233BF">
        <w:rPr>
          <w:szCs w:val="20"/>
        </w:rPr>
        <w:t>for</w:t>
      </w:r>
      <w:r w:rsidRPr="002C5BBE">
        <w:rPr>
          <w:szCs w:val="20"/>
        </w:rPr>
        <w:t xml:space="preserve"> </w:t>
      </w:r>
      <w:r w:rsidR="007267E2" w:rsidRPr="00BE4E82">
        <w:t>Aboriginal and Torres Strait Islander</w:t>
      </w:r>
      <w:r w:rsidRPr="002C5BBE">
        <w:rPr>
          <w:szCs w:val="20"/>
        </w:rPr>
        <w:t xml:space="preserve"> students (</w:t>
      </w:r>
      <w:r w:rsidR="002A79FF" w:rsidRPr="00A11734">
        <w:rPr>
          <w:shd w:val="clear" w:color="auto" w:fill="FFFFFF" w:themeFill="background1"/>
        </w:rPr>
        <w:t>75.3–78.9</w:t>
      </w:r>
      <w:r w:rsidR="00D66FBA" w:rsidRPr="00EC1693">
        <w:t xml:space="preserve"> </w:t>
      </w:r>
      <w:r w:rsidRPr="002C5BBE">
        <w:rPr>
          <w:szCs w:val="20"/>
        </w:rPr>
        <w:t>per cent) was significantly lower than for non</w:t>
      </w:r>
      <w:r w:rsidRPr="002C5BBE">
        <w:rPr>
          <w:szCs w:val="20"/>
        </w:rPr>
        <w:noBreakHyphen/>
        <w:t xml:space="preserve">Indigenous students </w:t>
      </w:r>
      <w:r w:rsidRPr="00A11734">
        <w:rPr>
          <w:szCs w:val="20"/>
          <w:shd w:val="clear" w:color="auto" w:fill="FFFFFF" w:themeFill="background1"/>
        </w:rPr>
        <w:t>(</w:t>
      </w:r>
      <w:r w:rsidR="002A79FF" w:rsidRPr="00A11734">
        <w:rPr>
          <w:shd w:val="clear" w:color="auto" w:fill="FFFFFF" w:themeFill="background1"/>
        </w:rPr>
        <w:t>95.7–96.1</w:t>
      </w:r>
      <w:r w:rsidR="00D66FBA" w:rsidRPr="00EC1693">
        <w:t xml:space="preserve"> </w:t>
      </w:r>
      <w:r w:rsidRPr="002C5BBE">
        <w:rPr>
          <w:szCs w:val="20"/>
        </w:rPr>
        <w:t>per cent) (figure 4.2</w:t>
      </w:r>
      <w:r w:rsidR="00FF2AB3">
        <w:rPr>
          <w:szCs w:val="20"/>
        </w:rPr>
        <w:t>6</w:t>
      </w:r>
      <w:r w:rsidRPr="002C5BBE">
        <w:rPr>
          <w:szCs w:val="20"/>
        </w:rPr>
        <w:t>). These proportions varied across jurisdictions.</w:t>
      </w:r>
    </w:p>
    <w:p w:rsidR="00D2516E" w:rsidRDefault="00D2516E" w:rsidP="0058556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2516E" w:rsidTr="0058556B">
        <w:tc>
          <w:tcPr>
            <w:tcW w:w="8771" w:type="dxa"/>
            <w:tcBorders>
              <w:top w:val="single" w:sz="6" w:space="0" w:color="78A22F"/>
              <w:left w:val="nil"/>
              <w:bottom w:val="nil"/>
              <w:right w:val="nil"/>
            </w:tcBorders>
            <w:shd w:val="clear" w:color="auto" w:fill="auto"/>
          </w:tcPr>
          <w:p w:rsidR="00D2516E" w:rsidRPr="00176D3F" w:rsidRDefault="00D2516E" w:rsidP="008612A7">
            <w:pPr>
              <w:pStyle w:val="FigureTitle"/>
            </w:pPr>
            <w:r w:rsidRPr="00784A05">
              <w:rPr>
                <w:b w:val="0"/>
              </w:rPr>
              <w:t xml:space="preserve">Figure </w:t>
            </w:r>
            <w:r w:rsidR="00B70781">
              <w:rPr>
                <w:b w:val="0"/>
              </w:rPr>
              <w:t>4.</w:t>
            </w:r>
            <w:r w:rsidR="005953B6">
              <w:rPr>
                <w:b w:val="0"/>
                <w:noProof/>
              </w:rPr>
              <w:t>26</w:t>
            </w:r>
            <w:r>
              <w:tab/>
            </w:r>
            <w:r w:rsidRPr="00D2516E">
              <w:t>Proportion of year 7 students achieving at or above the reading national minimum standard, 201</w:t>
            </w:r>
            <w:r w:rsidR="008612A7">
              <w:t>4</w:t>
            </w:r>
            <w:r w:rsidRPr="00D2516E">
              <w:rPr>
                <w:rStyle w:val="NoteLabel"/>
                <w:b/>
              </w:rPr>
              <w:t>a, b</w:t>
            </w:r>
          </w:p>
        </w:tc>
      </w:tr>
      <w:tr w:rsidR="00D2516E" w:rsidTr="002316F7">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2516E" w:rsidTr="0058556B">
              <w:trPr>
                <w:jc w:val="center"/>
              </w:trPr>
              <w:tc>
                <w:tcPr>
                  <w:tcW w:w="5000" w:type="pct"/>
                  <w:tcBorders>
                    <w:top w:val="nil"/>
                    <w:bottom w:val="nil"/>
                  </w:tcBorders>
                </w:tcPr>
                <w:p w:rsidR="00D2516E" w:rsidRDefault="00E07C77" w:rsidP="0058556B">
                  <w:pPr>
                    <w:pStyle w:val="Figure"/>
                    <w:spacing w:before="60" w:after="60"/>
                  </w:pPr>
                  <w:r>
                    <w:rPr>
                      <w:noProof/>
                    </w:rPr>
                    <w:drawing>
                      <wp:inline distT="0" distB="0" distL="0" distR="0">
                        <wp:extent cx="5391150" cy="2695575"/>
                        <wp:effectExtent l="0" t="0" r="0" b="9525"/>
                        <wp:docPr id="26" name="Picture 26" descr="Figure 4.26 Proportion of year 7 students achieving at or above the reading national minimum standard,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D2516E" w:rsidRDefault="00D2516E" w:rsidP="0058556B">
            <w:pPr>
              <w:pStyle w:val="Figure"/>
            </w:pPr>
          </w:p>
        </w:tc>
      </w:tr>
      <w:tr w:rsidR="00D2516E" w:rsidRPr="00176D3F" w:rsidTr="0058556B">
        <w:tc>
          <w:tcPr>
            <w:tcW w:w="8771" w:type="dxa"/>
            <w:tcBorders>
              <w:top w:val="nil"/>
              <w:left w:val="nil"/>
              <w:bottom w:val="nil"/>
              <w:right w:val="nil"/>
            </w:tcBorders>
            <w:shd w:val="clear" w:color="auto" w:fill="auto"/>
          </w:tcPr>
          <w:p w:rsidR="00D2516E" w:rsidRPr="00176D3F" w:rsidRDefault="00D2516E" w:rsidP="0058556B">
            <w:pPr>
              <w:pStyle w:val="Note"/>
            </w:pPr>
            <w:proofErr w:type="spellStart"/>
            <w:r>
              <w:rPr>
                <w:rStyle w:val="NoteLabel"/>
              </w:rPr>
              <w:t>a</w:t>
            </w:r>
            <w:proofErr w:type="spellEnd"/>
            <w:r>
              <w:t xml:space="preserve"> </w:t>
            </w:r>
            <w:r w:rsidRPr="00D2516E">
              <w:t xml:space="preserve">Error bars represent the 95 per cent confidence interval associated with each point estimate. </w:t>
            </w:r>
            <w:r w:rsidRPr="00820CF9">
              <w:rPr>
                <w:rStyle w:val="NoteLabel"/>
              </w:rPr>
              <w:t>b</w:t>
            </w:r>
            <w:r w:rsidRPr="00D2516E">
              <w:t xml:space="preserve"> For further information and caveats see table </w:t>
            </w:r>
            <w:proofErr w:type="spellStart"/>
            <w:r w:rsidRPr="00D2516E">
              <w:t>4A.36</w:t>
            </w:r>
            <w:proofErr w:type="spellEnd"/>
            <w:r w:rsidRPr="00D2516E">
              <w:t>.</w:t>
            </w:r>
          </w:p>
        </w:tc>
      </w:tr>
      <w:tr w:rsidR="00D2516E" w:rsidRPr="00176D3F" w:rsidTr="0058556B">
        <w:tc>
          <w:tcPr>
            <w:tcW w:w="8771" w:type="dxa"/>
            <w:tcBorders>
              <w:top w:val="nil"/>
              <w:left w:val="nil"/>
              <w:bottom w:val="nil"/>
              <w:right w:val="nil"/>
            </w:tcBorders>
            <w:shd w:val="clear" w:color="auto" w:fill="auto"/>
          </w:tcPr>
          <w:p w:rsidR="00D2516E" w:rsidRPr="00176D3F" w:rsidRDefault="00D2516E" w:rsidP="00CE6853">
            <w:pPr>
              <w:pStyle w:val="Source"/>
            </w:pPr>
            <w:r>
              <w:rPr>
                <w:i/>
              </w:rPr>
              <w:t>S</w:t>
            </w:r>
            <w:r w:rsidRPr="00784A05">
              <w:rPr>
                <w:i/>
              </w:rPr>
              <w:t>ource</w:t>
            </w:r>
            <w:r w:rsidRPr="00176D3F">
              <w:t xml:space="preserve">: </w:t>
            </w:r>
            <w:r w:rsidRPr="00D2516E">
              <w:t>ACARA (201</w:t>
            </w:r>
            <w:r w:rsidR="00CE6853">
              <w:t>4</w:t>
            </w:r>
            <w:r w:rsidRPr="00D2516E">
              <w:t xml:space="preserve"> and unpublished) </w:t>
            </w:r>
            <w:proofErr w:type="spellStart"/>
            <w:r w:rsidRPr="00D2516E">
              <w:rPr>
                <w:i/>
              </w:rPr>
              <w:t>NAPLAN</w:t>
            </w:r>
            <w:proofErr w:type="spellEnd"/>
            <w:r w:rsidRPr="00D2516E">
              <w:rPr>
                <w:i/>
              </w:rPr>
              <w:t xml:space="preserve"> Achievement in Reading, Writing, Language Conventions and Numeracy: National Report for 201</w:t>
            </w:r>
            <w:r w:rsidR="00CE6853">
              <w:rPr>
                <w:i/>
              </w:rPr>
              <w:t>4</w:t>
            </w:r>
            <w:r w:rsidRPr="00D2516E">
              <w:t xml:space="preserve">; table </w:t>
            </w:r>
            <w:proofErr w:type="spellStart"/>
            <w:r w:rsidRPr="00D2516E">
              <w:t>4A.36</w:t>
            </w:r>
            <w:proofErr w:type="spellEnd"/>
            <w:r w:rsidRPr="00D2516E">
              <w:t>.</w:t>
            </w:r>
          </w:p>
        </w:tc>
      </w:tr>
      <w:tr w:rsidR="00D2516E" w:rsidTr="0058556B">
        <w:tc>
          <w:tcPr>
            <w:tcW w:w="8771" w:type="dxa"/>
            <w:tcBorders>
              <w:top w:val="nil"/>
              <w:left w:val="nil"/>
              <w:bottom w:val="single" w:sz="6" w:space="0" w:color="78A22F"/>
              <w:right w:val="nil"/>
            </w:tcBorders>
            <w:shd w:val="clear" w:color="auto" w:fill="auto"/>
          </w:tcPr>
          <w:p w:rsidR="00D2516E" w:rsidRDefault="00D2516E" w:rsidP="0058556B">
            <w:pPr>
              <w:pStyle w:val="Figurespace"/>
            </w:pPr>
          </w:p>
        </w:tc>
      </w:tr>
      <w:tr w:rsidR="00D2516E" w:rsidRPr="000863A5" w:rsidTr="0058556B">
        <w:tc>
          <w:tcPr>
            <w:tcW w:w="8771" w:type="dxa"/>
            <w:tcBorders>
              <w:top w:val="single" w:sz="6" w:space="0" w:color="78A22F"/>
              <w:left w:val="nil"/>
              <w:bottom w:val="nil"/>
              <w:right w:val="nil"/>
            </w:tcBorders>
          </w:tcPr>
          <w:p w:rsidR="00D2516E" w:rsidRPr="00626D32" w:rsidRDefault="00D2516E" w:rsidP="0058556B">
            <w:pPr>
              <w:pStyle w:val="BoxSpaceBelow"/>
            </w:pPr>
          </w:p>
        </w:tc>
      </w:tr>
    </w:tbl>
    <w:p w:rsidR="00D66FBA" w:rsidRPr="0089766B" w:rsidRDefault="00D66FBA" w:rsidP="00D66FBA">
      <w:pPr>
        <w:pStyle w:val="BodyText"/>
      </w:pPr>
      <w:r w:rsidRPr="0089766B">
        <w:t xml:space="preserve">Statistical significance of differences across states and territories between proportions of year </w:t>
      </w:r>
      <w:r>
        <w:t>7</w:t>
      </w:r>
      <w:r w:rsidRPr="0089766B">
        <w:t xml:space="preserve"> students who achieved at or above the national minimum standard for reading in 2014 are provided in table </w:t>
      </w:r>
      <w:proofErr w:type="spellStart"/>
      <w:r w:rsidRPr="0089766B">
        <w:t>4A.36</w:t>
      </w:r>
      <w:proofErr w:type="spellEnd"/>
      <w:r w:rsidRPr="0089766B">
        <w:t>.</w:t>
      </w:r>
    </w:p>
    <w:p w:rsidR="00D66FBA" w:rsidRPr="0089766B" w:rsidRDefault="00D66FBA" w:rsidP="002316F7">
      <w:pPr>
        <w:pStyle w:val="BodyText"/>
      </w:pPr>
      <w:r w:rsidRPr="0089766B">
        <w:t xml:space="preserve">The mean scale score for year </w:t>
      </w:r>
      <w:r>
        <w:t>7</w:t>
      </w:r>
      <w:r w:rsidRPr="0089766B">
        <w:t xml:space="preserve"> reading in 2014 for all students was </w:t>
      </w:r>
      <w:r w:rsidR="002A79FF" w:rsidRPr="002316F7">
        <w:rPr>
          <w:shd w:val="clear" w:color="auto" w:fill="FFFFFF" w:themeFill="background1"/>
        </w:rPr>
        <w:t>544.7–547.5</w:t>
      </w:r>
      <w:r w:rsidRPr="0089766B">
        <w:t xml:space="preserve"> nationally. The mean scale score for Aboriginal and Torres Strait Islander students </w:t>
      </w:r>
      <w:r w:rsidR="002A79FF">
        <w:br/>
      </w:r>
      <w:r w:rsidRPr="0089766B">
        <w:t>(</w:t>
      </w:r>
      <w:r w:rsidR="002A79FF" w:rsidRPr="002316F7">
        <w:rPr>
          <w:shd w:val="clear" w:color="auto" w:fill="FFFFFF" w:themeFill="background1"/>
        </w:rPr>
        <w:t>475.3–482.7</w:t>
      </w:r>
      <w:r w:rsidRPr="002316F7">
        <w:rPr>
          <w:shd w:val="clear" w:color="auto" w:fill="FFFFFF" w:themeFill="background1"/>
        </w:rPr>
        <w:t>)</w:t>
      </w:r>
      <w:r w:rsidRPr="0089766B">
        <w:t xml:space="preserve"> was significantly lower than for non-Indigenous students (</w:t>
      </w:r>
      <w:r w:rsidR="002A79FF" w:rsidRPr="002316F7">
        <w:rPr>
          <w:shd w:val="clear" w:color="auto" w:fill="FFFFFF" w:themeFill="background1"/>
        </w:rPr>
        <w:t>548.4–55</w:t>
      </w:r>
      <w:r w:rsidR="00EB2CA3">
        <w:rPr>
          <w:shd w:val="clear" w:color="auto" w:fill="FFFFFF" w:themeFill="background1"/>
        </w:rPr>
        <w:t>1</w:t>
      </w:r>
      <w:r w:rsidR="002A79FF" w:rsidRPr="002316F7">
        <w:rPr>
          <w:shd w:val="clear" w:color="auto" w:fill="FFFFFF" w:themeFill="background1"/>
        </w:rPr>
        <w:t>.2</w:t>
      </w:r>
      <w:r w:rsidRPr="002316F7">
        <w:rPr>
          <w:shd w:val="clear" w:color="auto" w:fill="FFFFFF" w:themeFill="background1"/>
        </w:rPr>
        <w:t>).</w:t>
      </w:r>
      <w:r w:rsidRPr="0089766B">
        <w:t xml:space="preserve"> Mean scale scores varied across jurisdictions (table </w:t>
      </w:r>
      <w:proofErr w:type="spellStart"/>
      <w:r w:rsidRPr="0089766B">
        <w:t>4A.39</w:t>
      </w:r>
      <w:proofErr w:type="spellEnd"/>
      <w:r w:rsidRPr="0089766B">
        <w:t>).</w:t>
      </w:r>
    </w:p>
    <w:p w:rsidR="00D66FBA" w:rsidRDefault="00D66FBA" w:rsidP="00D66FBA">
      <w:pPr>
        <w:pStyle w:val="BodyText"/>
      </w:pPr>
      <w:r w:rsidRPr="0089766B">
        <w:t>Table 4.</w:t>
      </w:r>
      <w:r w:rsidR="00A37418">
        <w:t>9</w:t>
      </w:r>
      <w:r w:rsidRPr="0089766B">
        <w:t xml:space="preserve"> identifies statistical significance of differences between mean scale scores for year </w:t>
      </w:r>
      <w:r>
        <w:t>7</w:t>
      </w:r>
      <w:r w:rsidRPr="0089766B">
        <w:t xml:space="preserve"> reading outcomes across states and territories in 2014. </w:t>
      </w:r>
    </w:p>
    <w:p w:rsidR="006F2A4E" w:rsidRDefault="006F2A4E" w:rsidP="006F2A4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gridCol w:w="138"/>
      </w:tblGrid>
      <w:tr w:rsidR="006F2A4E" w:rsidTr="00A97042">
        <w:tc>
          <w:tcPr>
            <w:tcW w:w="8909" w:type="dxa"/>
            <w:gridSpan w:val="2"/>
            <w:tcBorders>
              <w:top w:val="single" w:sz="6" w:space="0" w:color="78A22F"/>
              <w:left w:val="nil"/>
              <w:bottom w:val="nil"/>
              <w:right w:val="nil"/>
            </w:tcBorders>
            <w:shd w:val="clear" w:color="auto" w:fill="auto"/>
          </w:tcPr>
          <w:p w:rsidR="006F2A4E" w:rsidRPr="00784A05" w:rsidRDefault="006F2A4E" w:rsidP="006F2A4E">
            <w:pPr>
              <w:pStyle w:val="TableTitle"/>
            </w:pPr>
            <w:r>
              <w:rPr>
                <w:b w:val="0"/>
              </w:rPr>
              <w:t>Table 4.</w:t>
            </w:r>
            <w:r w:rsidR="005953B6">
              <w:rPr>
                <w:b w:val="0"/>
                <w:noProof/>
              </w:rPr>
              <w:t>9</w:t>
            </w:r>
            <w:r>
              <w:tab/>
            </w:r>
            <w:r w:rsidRPr="006F2A4E">
              <w:t xml:space="preserve">Significance of differences for year </w:t>
            </w:r>
            <w:r>
              <w:t>7</w:t>
            </w:r>
            <w:r w:rsidRPr="006F2A4E">
              <w:t xml:space="preserve"> students, mean scale scores, reading, 2014</w:t>
            </w:r>
            <w:r w:rsidRPr="006F2A4E">
              <w:rPr>
                <w:rStyle w:val="NoteLabel"/>
                <w:b/>
              </w:rPr>
              <w:t>a</w:t>
            </w:r>
          </w:p>
        </w:tc>
      </w:tr>
      <w:tr w:rsidR="001552DE" w:rsidTr="005C0D49">
        <w:trPr>
          <w:gridAfter w:val="1"/>
          <w:wAfter w:w="138" w:type="dxa"/>
          <w:cantSplit/>
        </w:trPr>
        <w:tc>
          <w:tcPr>
            <w:tcW w:w="8771" w:type="dxa"/>
            <w:tcBorders>
              <w:top w:val="nil"/>
              <w:left w:val="nil"/>
              <w:bottom w:val="nil"/>
              <w:right w:val="nil"/>
            </w:tcBorders>
            <w:shd w:val="clear" w:color="auto" w:fill="auto"/>
          </w:tcPr>
          <w:tbl>
            <w:tblPr>
              <w:tblW w:w="8477" w:type="dxa"/>
              <w:tblInd w:w="10" w:type="dxa"/>
              <w:tblCellMar>
                <w:left w:w="0" w:type="dxa"/>
                <w:right w:w="0" w:type="dxa"/>
              </w:tblCellMar>
              <w:tblLook w:val="0000" w:firstRow="0" w:lastRow="0" w:firstColumn="0" w:lastColumn="0" w:noHBand="0" w:noVBand="0"/>
            </w:tblPr>
            <w:tblGrid>
              <w:gridCol w:w="865"/>
              <w:gridCol w:w="710"/>
              <w:gridCol w:w="766"/>
              <w:gridCol w:w="767"/>
              <w:gridCol w:w="767"/>
              <w:gridCol w:w="767"/>
              <w:gridCol w:w="767"/>
              <w:gridCol w:w="767"/>
              <w:gridCol w:w="767"/>
              <w:gridCol w:w="767"/>
              <w:gridCol w:w="767"/>
            </w:tblGrid>
            <w:tr w:rsidR="001552DE" w:rsidRPr="0034666A" w:rsidTr="005C0D49">
              <w:tc>
                <w:tcPr>
                  <w:tcW w:w="865" w:type="dxa"/>
                  <w:tcBorders>
                    <w:top w:val="single" w:sz="6" w:space="0" w:color="auto"/>
                  </w:tcBorders>
                  <w:shd w:val="clear" w:color="auto" w:fill="auto"/>
                </w:tcPr>
                <w:p w:rsidR="001552DE" w:rsidRPr="004708E3" w:rsidRDefault="001552DE" w:rsidP="005C0D49">
                  <w:pPr>
                    <w:keepNext/>
                    <w:keepLines/>
                    <w:spacing w:before="80" w:after="80" w:line="220" w:lineRule="atLeast"/>
                    <w:ind w:left="6" w:right="113"/>
                    <w:rPr>
                      <w:rFonts w:ascii="Arial" w:hAnsi="Arial"/>
                      <w:i/>
                      <w:sz w:val="20"/>
                      <w:szCs w:val="20"/>
                    </w:rPr>
                  </w:pPr>
                </w:p>
              </w:tc>
              <w:tc>
                <w:tcPr>
                  <w:tcW w:w="710" w:type="dxa"/>
                  <w:tcBorders>
                    <w:top w:val="single" w:sz="6" w:space="0" w:color="auto"/>
                  </w:tcBorders>
                </w:tcPr>
                <w:p w:rsidR="001552DE" w:rsidRPr="0034666A" w:rsidRDefault="001552DE" w:rsidP="005C0D49">
                  <w:pPr>
                    <w:keepNext/>
                    <w:keepLines/>
                    <w:spacing w:before="80" w:after="80" w:line="220" w:lineRule="atLeast"/>
                    <w:ind w:left="6" w:right="113"/>
                    <w:jc w:val="right"/>
                    <w:rPr>
                      <w:rFonts w:ascii="Arial" w:hAnsi="Arial"/>
                      <w:i/>
                      <w:sz w:val="20"/>
                      <w:szCs w:val="20"/>
                    </w:rPr>
                  </w:pPr>
                </w:p>
              </w:tc>
              <w:tc>
                <w:tcPr>
                  <w:tcW w:w="6902" w:type="dxa"/>
                  <w:gridSpan w:val="9"/>
                  <w:tcBorders>
                    <w:top w:val="single" w:sz="6" w:space="0" w:color="auto"/>
                  </w:tcBorders>
                  <w:shd w:val="clear" w:color="auto" w:fill="auto"/>
                  <w:vAlign w:val="center"/>
                </w:tcPr>
                <w:p w:rsidR="001552DE" w:rsidRPr="0034666A" w:rsidRDefault="001552DE" w:rsidP="005C0D49">
                  <w:pPr>
                    <w:pStyle w:val="TableColumnHeading"/>
                    <w:jc w:val="center"/>
                  </w:pPr>
                  <w:r w:rsidRPr="001552DE">
                    <w:t>Comparison jurisdiction</w:t>
                  </w:r>
                </w:p>
              </w:tc>
            </w:tr>
            <w:tr w:rsidR="001552DE" w:rsidRPr="0034666A" w:rsidTr="005C0D49">
              <w:tc>
                <w:tcPr>
                  <w:tcW w:w="865" w:type="dxa"/>
                  <w:tcBorders>
                    <w:bottom w:val="single" w:sz="4" w:space="0" w:color="auto"/>
                  </w:tcBorders>
                  <w:shd w:val="clear" w:color="auto" w:fill="auto"/>
                </w:tcPr>
                <w:p w:rsidR="001552DE" w:rsidRPr="004708E3" w:rsidRDefault="001552DE" w:rsidP="005C0D49">
                  <w:pPr>
                    <w:keepNext/>
                    <w:keepLines/>
                    <w:spacing w:before="80" w:after="80" w:line="220" w:lineRule="atLeast"/>
                    <w:ind w:left="6" w:right="113"/>
                    <w:rPr>
                      <w:rFonts w:ascii="Arial" w:hAnsi="Arial"/>
                      <w:i/>
                      <w:sz w:val="20"/>
                      <w:szCs w:val="20"/>
                    </w:rPr>
                  </w:pPr>
                </w:p>
              </w:tc>
              <w:tc>
                <w:tcPr>
                  <w:tcW w:w="710" w:type="dxa"/>
                  <w:tcBorders>
                    <w:bottom w:val="single" w:sz="4" w:space="0" w:color="auto"/>
                  </w:tcBorders>
                </w:tcPr>
                <w:p w:rsidR="001552DE" w:rsidRPr="0034666A" w:rsidRDefault="001552DE" w:rsidP="005C0D49">
                  <w:pPr>
                    <w:keepNext/>
                    <w:keepLines/>
                    <w:spacing w:before="80" w:after="80" w:line="220" w:lineRule="atLeast"/>
                    <w:ind w:left="6" w:right="113"/>
                    <w:jc w:val="right"/>
                    <w:rPr>
                      <w:rFonts w:ascii="Arial" w:hAnsi="Arial"/>
                      <w:i/>
                      <w:sz w:val="20"/>
                      <w:szCs w:val="20"/>
                    </w:rPr>
                  </w:pPr>
                </w:p>
              </w:tc>
              <w:tc>
                <w:tcPr>
                  <w:tcW w:w="766" w:type="dxa"/>
                  <w:tcBorders>
                    <w:bottom w:val="single" w:sz="4" w:space="0" w:color="auto"/>
                  </w:tcBorders>
                  <w:shd w:val="clear" w:color="auto" w:fill="auto"/>
                </w:tcPr>
                <w:p w:rsidR="001552DE" w:rsidRPr="0034666A" w:rsidRDefault="001552DE" w:rsidP="005C0D49">
                  <w:pPr>
                    <w:pStyle w:val="TableColumnHeading"/>
                  </w:pPr>
                  <w:r w:rsidRPr="0034666A">
                    <w:t>NSW</w:t>
                  </w:r>
                </w:p>
              </w:tc>
              <w:tc>
                <w:tcPr>
                  <w:tcW w:w="767" w:type="dxa"/>
                  <w:tcBorders>
                    <w:bottom w:val="single" w:sz="4" w:space="0" w:color="auto"/>
                  </w:tcBorders>
                  <w:shd w:val="clear" w:color="auto" w:fill="auto"/>
                </w:tcPr>
                <w:p w:rsidR="001552DE" w:rsidRPr="0034666A" w:rsidRDefault="001552DE" w:rsidP="005C0D49">
                  <w:pPr>
                    <w:pStyle w:val="TableColumnHeading"/>
                  </w:pPr>
                  <w:r w:rsidRPr="0034666A">
                    <w:t>Vic</w:t>
                  </w:r>
                </w:p>
              </w:tc>
              <w:tc>
                <w:tcPr>
                  <w:tcW w:w="767" w:type="dxa"/>
                  <w:tcBorders>
                    <w:bottom w:val="single" w:sz="4" w:space="0" w:color="auto"/>
                  </w:tcBorders>
                  <w:shd w:val="clear" w:color="auto" w:fill="auto"/>
                </w:tcPr>
                <w:p w:rsidR="001552DE" w:rsidRPr="0034666A" w:rsidRDefault="001552DE" w:rsidP="005C0D49">
                  <w:pPr>
                    <w:pStyle w:val="TableColumnHeading"/>
                  </w:pPr>
                  <w:r w:rsidRPr="0034666A">
                    <w:t>Qld</w:t>
                  </w:r>
                </w:p>
              </w:tc>
              <w:tc>
                <w:tcPr>
                  <w:tcW w:w="767" w:type="dxa"/>
                  <w:tcBorders>
                    <w:bottom w:val="single" w:sz="4" w:space="0" w:color="auto"/>
                  </w:tcBorders>
                  <w:shd w:val="clear" w:color="auto" w:fill="auto"/>
                </w:tcPr>
                <w:p w:rsidR="001552DE" w:rsidRPr="0034666A" w:rsidRDefault="001552DE" w:rsidP="005C0D49">
                  <w:pPr>
                    <w:pStyle w:val="TableColumnHeading"/>
                  </w:pPr>
                  <w:r w:rsidRPr="0034666A">
                    <w:t>WA</w:t>
                  </w:r>
                </w:p>
              </w:tc>
              <w:tc>
                <w:tcPr>
                  <w:tcW w:w="767" w:type="dxa"/>
                  <w:tcBorders>
                    <w:bottom w:val="single" w:sz="4" w:space="0" w:color="auto"/>
                  </w:tcBorders>
                  <w:shd w:val="clear" w:color="auto" w:fill="auto"/>
                </w:tcPr>
                <w:p w:rsidR="001552DE" w:rsidRPr="0034666A" w:rsidRDefault="001552DE" w:rsidP="005C0D49">
                  <w:pPr>
                    <w:pStyle w:val="TableColumnHeading"/>
                  </w:pPr>
                  <w:r w:rsidRPr="0034666A">
                    <w:t>SA</w:t>
                  </w:r>
                </w:p>
              </w:tc>
              <w:tc>
                <w:tcPr>
                  <w:tcW w:w="767" w:type="dxa"/>
                  <w:tcBorders>
                    <w:bottom w:val="single" w:sz="4" w:space="0" w:color="auto"/>
                  </w:tcBorders>
                  <w:shd w:val="clear" w:color="auto" w:fill="auto"/>
                </w:tcPr>
                <w:p w:rsidR="001552DE" w:rsidRPr="0034666A" w:rsidRDefault="001552DE" w:rsidP="005C0D49">
                  <w:pPr>
                    <w:pStyle w:val="TableColumnHeading"/>
                  </w:pPr>
                  <w:r w:rsidRPr="0034666A">
                    <w:t>Tas</w:t>
                  </w:r>
                </w:p>
              </w:tc>
              <w:tc>
                <w:tcPr>
                  <w:tcW w:w="767" w:type="dxa"/>
                  <w:tcBorders>
                    <w:bottom w:val="single" w:sz="4" w:space="0" w:color="auto"/>
                  </w:tcBorders>
                  <w:shd w:val="clear" w:color="auto" w:fill="auto"/>
                </w:tcPr>
                <w:p w:rsidR="001552DE" w:rsidRPr="0034666A" w:rsidRDefault="001552DE" w:rsidP="005C0D49">
                  <w:pPr>
                    <w:pStyle w:val="TableColumnHeading"/>
                  </w:pPr>
                  <w:r w:rsidRPr="0034666A">
                    <w:t>ACT</w:t>
                  </w:r>
                </w:p>
              </w:tc>
              <w:tc>
                <w:tcPr>
                  <w:tcW w:w="767" w:type="dxa"/>
                  <w:tcBorders>
                    <w:bottom w:val="single" w:sz="4" w:space="0" w:color="auto"/>
                  </w:tcBorders>
                  <w:shd w:val="clear" w:color="auto" w:fill="auto"/>
                </w:tcPr>
                <w:p w:rsidR="001552DE" w:rsidRPr="0034666A" w:rsidRDefault="001552DE" w:rsidP="005C0D49">
                  <w:pPr>
                    <w:pStyle w:val="TableColumnHeading"/>
                  </w:pPr>
                  <w:r w:rsidRPr="0034666A">
                    <w:t>NT</w:t>
                  </w:r>
                </w:p>
              </w:tc>
              <w:tc>
                <w:tcPr>
                  <w:tcW w:w="767" w:type="dxa"/>
                  <w:tcBorders>
                    <w:bottom w:val="single" w:sz="4" w:space="0" w:color="auto"/>
                  </w:tcBorders>
                  <w:shd w:val="clear" w:color="auto" w:fill="auto"/>
                </w:tcPr>
                <w:p w:rsidR="001552DE" w:rsidRPr="0034666A" w:rsidRDefault="001552DE" w:rsidP="005C0D49">
                  <w:pPr>
                    <w:pStyle w:val="TableColumnHeading"/>
                  </w:pPr>
                  <w:proofErr w:type="spellStart"/>
                  <w:r w:rsidRPr="0034666A">
                    <w:t>Aust</w:t>
                  </w:r>
                  <w:proofErr w:type="spellEnd"/>
                </w:p>
              </w:tc>
            </w:tr>
            <w:tr w:rsidR="006C7FED" w:rsidRPr="0034666A" w:rsidTr="002316F7">
              <w:tc>
                <w:tcPr>
                  <w:tcW w:w="865" w:type="dxa"/>
                  <w:tcBorders>
                    <w:top w:val="dotted" w:sz="4" w:space="0" w:color="auto"/>
                    <w:left w:val="dotted" w:sz="4" w:space="0" w:color="auto"/>
                    <w:bottom w:val="dotted" w:sz="4" w:space="0" w:color="auto"/>
                    <w:right w:val="dotted" w:sz="4" w:space="0" w:color="auto"/>
                  </w:tcBorders>
                  <w:shd w:val="clear" w:color="auto" w:fill="auto"/>
                </w:tcPr>
                <w:p w:rsidR="006C7FED" w:rsidRPr="0034666A" w:rsidRDefault="006C7FED" w:rsidP="006C7FED">
                  <w:pPr>
                    <w:pStyle w:val="TableBodyText"/>
                  </w:pP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tcPr>
                <w:p w:rsidR="006C7FED" w:rsidRDefault="006C7FED" w:rsidP="006C7FED">
                  <w:pPr>
                    <w:pStyle w:val="TableBodyText"/>
                  </w:pP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Pr="006C7FED" w:rsidRDefault="006C7FED" w:rsidP="006C7FED">
                  <w:pPr>
                    <w:pStyle w:val="TableBodyText"/>
                  </w:pPr>
                  <w:r w:rsidRPr="006C7FED">
                    <w:t xml:space="preserve">548.3 </w:t>
                  </w:r>
                  <w:r w:rsidR="00C32E47">
                    <w:br/>
                  </w:r>
                  <w:r w:rsidRPr="006C7FED">
                    <w:t>± 3.0</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Pr="006C7FED" w:rsidRDefault="006C7FED" w:rsidP="006C7FED">
                  <w:pPr>
                    <w:pStyle w:val="TableBodyText"/>
                  </w:pPr>
                  <w:r w:rsidRPr="006C7FED">
                    <w:t xml:space="preserve">550.3 </w:t>
                  </w:r>
                  <w:r w:rsidR="00C32E47">
                    <w:br/>
                  </w:r>
                  <w:r w:rsidRPr="006C7FED">
                    <w:t>± 2.6</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Pr="006C7FED" w:rsidRDefault="006C7FED" w:rsidP="006C7FED">
                  <w:pPr>
                    <w:pStyle w:val="TableBodyText"/>
                  </w:pPr>
                  <w:r w:rsidRPr="006C7FED">
                    <w:t>541.6</w:t>
                  </w:r>
                  <w:r w:rsidR="00C32E47">
                    <w:br/>
                  </w:r>
                  <w:r w:rsidRPr="006C7FED">
                    <w:t xml:space="preserve"> ± 2.2</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Pr="006C7FED" w:rsidRDefault="006C7FED" w:rsidP="006C7FED">
                  <w:pPr>
                    <w:pStyle w:val="TableBodyText"/>
                  </w:pPr>
                  <w:r w:rsidRPr="006C7FED">
                    <w:t>544.1</w:t>
                  </w:r>
                  <w:r w:rsidR="00C32E47">
                    <w:br/>
                  </w:r>
                  <w:r w:rsidRPr="006C7FED">
                    <w:t xml:space="preserve"> ± 3.4</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Pr="006C7FED" w:rsidRDefault="006C7FED" w:rsidP="006C7FED">
                  <w:pPr>
                    <w:pStyle w:val="TableBodyText"/>
                  </w:pPr>
                  <w:r w:rsidRPr="006C7FED">
                    <w:t xml:space="preserve">541.1 </w:t>
                  </w:r>
                  <w:r w:rsidR="00C32E47">
                    <w:br/>
                  </w:r>
                  <w:r w:rsidRPr="006C7FED">
                    <w:t>± 2.8</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Pr="006C7FED" w:rsidRDefault="006C7FED" w:rsidP="006C7FED">
                  <w:pPr>
                    <w:pStyle w:val="TableBodyText"/>
                  </w:pPr>
                  <w:r w:rsidRPr="006C7FED">
                    <w:t xml:space="preserve">542.9 </w:t>
                  </w:r>
                  <w:r w:rsidR="00C32E47">
                    <w:br/>
                  </w:r>
                  <w:r w:rsidRPr="006C7FED">
                    <w:t>± 6.8</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Pr="006C7FED" w:rsidRDefault="006C7FED" w:rsidP="006C7FED">
                  <w:pPr>
                    <w:pStyle w:val="TableBodyText"/>
                  </w:pPr>
                  <w:r w:rsidRPr="006C7FED">
                    <w:t xml:space="preserve">567.3 </w:t>
                  </w:r>
                  <w:r w:rsidR="00C32E47">
                    <w:br/>
                  </w:r>
                  <w:r w:rsidRPr="006C7FED">
                    <w:t>± 8.7</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Pr="006C7FED" w:rsidRDefault="006C7FED" w:rsidP="006C7FED">
                  <w:pPr>
                    <w:pStyle w:val="TableBodyText"/>
                  </w:pPr>
                  <w:r w:rsidRPr="006C7FED">
                    <w:t xml:space="preserve">478.5 </w:t>
                  </w:r>
                  <w:r w:rsidR="00C32E47">
                    <w:br/>
                  </w:r>
                  <w:r w:rsidRPr="006C7FED">
                    <w:t>± 22.6</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Pr="006C7FED" w:rsidRDefault="006C7FED" w:rsidP="006C7FED">
                  <w:pPr>
                    <w:pStyle w:val="TableBodyText"/>
                  </w:pPr>
                  <w:r w:rsidRPr="006C7FED">
                    <w:t xml:space="preserve">546.1 </w:t>
                  </w:r>
                  <w:r w:rsidR="00C32E47">
                    <w:br/>
                  </w:r>
                  <w:r w:rsidRPr="006C7FED">
                    <w:t>± 1.4</w:t>
                  </w:r>
                </w:p>
              </w:tc>
            </w:tr>
            <w:tr w:rsidR="006C7FED" w:rsidRPr="0034666A" w:rsidTr="002316F7">
              <w:tc>
                <w:tcPr>
                  <w:tcW w:w="865" w:type="dxa"/>
                  <w:tcBorders>
                    <w:top w:val="dotted" w:sz="4" w:space="0" w:color="auto"/>
                    <w:left w:val="dotted" w:sz="4" w:space="0" w:color="auto"/>
                    <w:bottom w:val="dotted" w:sz="4" w:space="0" w:color="auto"/>
                    <w:right w:val="dotted" w:sz="4" w:space="0" w:color="auto"/>
                  </w:tcBorders>
                  <w:shd w:val="clear" w:color="auto" w:fill="auto"/>
                </w:tcPr>
                <w:p w:rsidR="006C7FED" w:rsidRPr="001552DE" w:rsidRDefault="006C7FED" w:rsidP="006C7FED">
                  <w:pPr>
                    <w:pStyle w:val="TableBodyText"/>
                  </w:pPr>
                  <w:r w:rsidRPr="001552DE">
                    <w:t>NSW</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6C7FED" w:rsidRPr="006C7FED" w:rsidRDefault="006C7FED" w:rsidP="006C7FED">
                  <w:pPr>
                    <w:pStyle w:val="TableBodyText"/>
                  </w:pPr>
                  <w:r w:rsidRPr="006C7FED">
                    <w:t>548.3 ± 3.0</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r>
            <w:tr w:rsidR="006C7FED" w:rsidRPr="0034666A" w:rsidTr="002316F7">
              <w:tc>
                <w:tcPr>
                  <w:tcW w:w="865" w:type="dxa"/>
                  <w:tcBorders>
                    <w:top w:val="dotted" w:sz="4" w:space="0" w:color="auto"/>
                    <w:left w:val="dotted" w:sz="4" w:space="0" w:color="auto"/>
                    <w:bottom w:val="dotted" w:sz="4" w:space="0" w:color="auto"/>
                    <w:right w:val="dotted" w:sz="4" w:space="0" w:color="auto"/>
                  </w:tcBorders>
                  <w:shd w:val="clear" w:color="auto" w:fill="auto"/>
                </w:tcPr>
                <w:p w:rsidR="006C7FED" w:rsidRPr="001552DE" w:rsidRDefault="006C7FED" w:rsidP="006C7FED">
                  <w:pPr>
                    <w:pStyle w:val="TableBodyText"/>
                  </w:pPr>
                  <w:r w:rsidRPr="001552DE">
                    <w:t>Vic</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6C7FED" w:rsidRPr="006C7FED" w:rsidRDefault="006C7FED" w:rsidP="006C7FED">
                  <w:pPr>
                    <w:pStyle w:val="TableBodyText"/>
                  </w:pPr>
                  <w:r w:rsidRPr="006C7FED">
                    <w:t>550.3 ± 2.6</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r>
            <w:tr w:rsidR="006C7FED" w:rsidRPr="0034666A" w:rsidTr="002316F7">
              <w:tc>
                <w:tcPr>
                  <w:tcW w:w="865" w:type="dxa"/>
                  <w:tcBorders>
                    <w:top w:val="dotted" w:sz="4" w:space="0" w:color="auto"/>
                    <w:left w:val="dotted" w:sz="4" w:space="0" w:color="auto"/>
                    <w:bottom w:val="dotted" w:sz="4" w:space="0" w:color="auto"/>
                    <w:right w:val="dotted" w:sz="4" w:space="0" w:color="auto"/>
                  </w:tcBorders>
                  <w:shd w:val="clear" w:color="auto" w:fill="auto"/>
                </w:tcPr>
                <w:p w:rsidR="006C7FED" w:rsidRPr="001552DE" w:rsidRDefault="006C7FED" w:rsidP="006C7FED">
                  <w:pPr>
                    <w:pStyle w:val="TableBodyText"/>
                  </w:pPr>
                  <w:r w:rsidRPr="001552DE">
                    <w:t>Qld</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6C7FED" w:rsidRPr="006C7FED" w:rsidRDefault="006C7FED" w:rsidP="006C7FED">
                  <w:pPr>
                    <w:pStyle w:val="TableBodyText"/>
                  </w:pPr>
                  <w:r w:rsidRPr="006C7FED">
                    <w:t>541.6 ± 2.2</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r>
            <w:tr w:rsidR="006C7FED" w:rsidRPr="0034666A" w:rsidTr="002316F7">
              <w:tc>
                <w:tcPr>
                  <w:tcW w:w="865" w:type="dxa"/>
                  <w:tcBorders>
                    <w:top w:val="dotted" w:sz="4" w:space="0" w:color="auto"/>
                    <w:left w:val="dotted" w:sz="4" w:space="0" w:color="auto"/>
                    <w:bottom w:val="dotted" w:sz="4" w:space="0" w:color="auto"/>
                    <w:right w:val="dotted" w:sz="4" w:space="0" w:color="auto"/>
                  </w:tcBorders>
                  <w:shd w:val="clear" w:color="auto" w:fill="auto"/>
                </w:tcPr>
                <w:p w:rsidR="006C7FED" w:rsidRPr="001552DE" w:rsidRDefault="006C7FED" w:rsidP="006C7FED">
                  <w:pPr>
                    <w:pStyle w:val="TableBodyText"/>
                  </w:pPr>
                  <w:r w:rsidRPr="001552DE">
                    <w:t>WA</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6C7FED" w:rsidRPr="006C7FED" w:rsidRDefault="006C7FED" w:rsidP="006C7FED">
                  <w:pPr>
                    <w:pStyle w:val="TableBodyText"/>
                  </w:pPr>
                  <w:r w:rsidRPr="006C7FED">
                    <w:t>544.1 ± 3.4</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r>
            <w:tr w:rsidR="006C7FED" w:rsidRPr="0034666A" w:rsidTr="002316F7">
              <w:tc>
                <w:tcPr>
                  <w:tcW w:w="865" w:type="dxa"/>
                  <w:tcBorders>
                    <w:top w:val="dotted" w:sz="4" w:space="0" w:color="auto"/>
                    <w:left w:val="dotted" w:sz="4" w:space="0" w:color="auto"/>
                    <w:bottom w:val="dotted" w:sz="4" w:space="0" w:color="auto"/>
                    <w:right w:val="dotted" w:sz="4" w:space="0" w:color="auto"/>
                  </w:tcBorders>
                  <w:shd w:val="clear" w:color="auto" w:fill="auto"/>
                </w:tcPr>
                <w:p w:rsidR="006C7FED" w:rsidRPr="001552DE" w:rsidRDefault="006C7FED" w:rsidP="006C7FED">
                  <w:pPr>
                    <w:pStyle w:val="TableBodyText"/>
                  </w:pPr>
                  <w:r w:rsidRPr="001552DE">
                    <w:t>SA</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6C7FED" w:rsidRPr="006C7FED" w:rsidRDefault="006C7FED" w:rsidP="006C7FED">
                  <w:pPr>
                    <w:pStyle w:val="TableBodyText"/>
                  </w:pPr>
                  <w:r w:rsidRPr="006C7FED">
                    <w:t>541.1 ± 2.8</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r>
            <w:tr w:rsidR="006C7FED" w:rsidRPr="0034666A" w:rsidTr="002316F7">
              <w:tc>
                <w:tcPr>
                  <w:tcW w:w="865" w:type="dxa"/>
                  <w:tcBorders>
                    <w:top w:val="dotted" w:sz="4" w:space="0" w:color="auto"/>
                    <w:left w:val="dotted" w:sz="4" w:space="0" w:color="auto"/>
                    <w:bottom w:val="dotted" w:sz="4" w:space="0" w:color="auto"/>
                    <w:right w:val="dotted" w:sz="4" w:space="0" w:color="auto"/>
                  </w:tcBorders>
                  <w:shd w:val="clear" w:color="auto" w:fill="auto"/>
                </w:tcPr>
                <w:p w:rsidR="006C7FED" w:rsidRPr="001552DE" w:rsidRDefault="006C7FED" w:rsidP="006C7FED">
                  <w:pPr>
                    <w:pStyle w:val="TableBodyText"/>
                  </w:pPr>
                  <w:r w:rsidRPr="001552DE">
                    <w:t>Tas</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6C7FED" w:rsidRPr="006C7FED" w:rsidRDefault="006C7FED" w:rsidP="006C7FED">
                  <w:pPr>
                    <w:pStyle w:val="TableBodyText"/>
                  </w:pPr>
                  <w:r w:rsidRPr="006C7FED">
                    <w:t>542.9 ± 6.8</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r>
            <w:tr w:rsidR="006C7FED" w:rsidRPr="0034666A" w:rsidTr="002316F7">
              <w:tc>
                <w:tcPr>
                  <w:tcW w:w="865" w:type="dxa"/>
                  <w:tcBorders>
                    <w:top w:val="dotted" w:sz="4" w:space="0" w:color="auto"/>
                    <w:left w:val="dotted" w:sz="4" w:space="0" w:color="auto"/>
                    <w:bottom w:val="dotted" w:sz="4" w:space="0" w:color="auto"/>
                    <w:right w:val="dotted" w:sz="4" w:space="0" w:color="auto"/>
                  </w:tcBorders>
                  <w:shd w:val="clear" w:color="auto" w:fill="auto"/>
                </w:tcPr>
                <w:p w:rsidR="006C7FED" w:rsidRPr="001552DE" w:rsidRDefault="006C7FED" w:rsidP="006C7FED">
                  <w:pPr>
                    <w:pStyle w:val="TableBodyText"/>
                  </w:pPr>
                  <w:r w:rsidRPr="001552DE">
                    <w:t>ACT</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6C7FED" w:rsidRPr="006C7FED" w:rsidRDefault="006C7FED" w:rsidP="006C7FED">
                  <w:pPr>
                    <w:pStyle w:val="TableBodyText"/>
                  </w:pPr>
                  <w:r w:rsidRPr="006C7FED">
                    <w:t>567.3 ± 8.7</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rPr>
                      <w:rFonts w:ascii="Cambria Math" w:hAnsi="Cambria Math" w:cs="Cambria Math"/>
                    </w:rPr>
                    <w:t>△</w:t>
                  </w:r>
                </w:p>
              </w:tc>
            </w:tr>
            <w:tr w:rsidR="006C7FED" w:rsidRPr="0034666A" w:rsidTr="002316F7">
              <w:tc>
                <w:tcPr>
                  <w:tcW w:w="865" w:type="dxa"/>
                  <w:tcBorders>
                    <w:top w:val="dotted" w:sz="4" w:space="0" w:color="auto"/>
                    <w:left w:val="dotted" w:sz="4" w:space="0" w:color="auto"/>
                    <w:bottom w:val="dotted" w:sz="4" w:space="0" w:color="auto"/>
                    <w:right w:val="dotted" w:sz="4" w:space="0" w:color="auto"/>
                  </w:tcBorders>
                  <w:shd w:val="clear" w:color="auto" w:fill="auto"/>
                </w:tcPr>
                <w:p w:rsidR="006C7FED" w:rsidRPr="001552DE" w:rsidRDefault="006C7FED" w:rsidP="006C7FED">
                  <w:pPr>
                    <w:pStyle w:val="TableBodyText"/>
                  </w:pPr>
                  <w:r w:rsidRPr="001552DE">
                    <w:t>NT</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6C7FED" w:rsidRPr="006C7FED" w:rsidRDefault="006C7FED" w:rsidP="006C7FED">
                  <w:pPr>
                    <w:pStyle w:val="TableBodyText"/>
                  </w:pPr>
                  <w:r w:rsidRPr="006C7FED">
                    <w:t>478.5 ± 22.6</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r>
            <w:tr w:rsidR="006C7FED" w:rsidRPr="00895A13" w:rsidTr="002316F7">
              <w:tc>
                <w:tcPr>
                  <w:tcW w:w="865" w:type="dxa"/>
                  <w:tcBorders>
                    <w:top w:val="dotted" w:sz="4" w:space="0" w:color="auto"/>
                    <w:left w:val="dotted" w:sz="4" w:space="0" w:color="auto"/>
                    <w:bottom w:val="dotted" w:sz="4" w:space="0" w:color="auto"/>
                    <w:right w:val="dotted" w:sz="4" w:space="0" w:color="auto"/>
                  </w:tcBorders>
                  <w:shd w:val="clear" w:color="auto" w:fill="auto"/>
                </w:tcPr>
                <w:p w:rsidR="006C7FED" w:rsidRPr="001552DE" w:rsidRDefault="006C7FED" w:rsidP="006C7FED">
                  <w:pPr>
                    <w:pStyle w:val="TableBodyText"/>
                  </w:pPr>
                  <w:proofErr w:type="spellStart"/>
                  <w:r w:rsidRPr="001552DE">
                    <w:t>Aust</w:t>
                  </w:r>
                  <w:proofErr w:type="spellEnd"/>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6C7FED" w:rsidRPr="006C7FED" w:rsidRDefault="006C7FED" w:rsidP="006C7FED">
                  <w:pPr>
                    <w:pStyle w:val="TableBodyText"/>
                  </w:pPr>
                  <w:r w:rsidRPr="006C7FED">
                    <w:t>546.1 ± 1.4</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6C7FED" w:rsidRDefault="006C7FED" w:rsidP="006C7FED">
                  <w:pPr>
                    <w:pStyle w:val="TableBodyText"/>
                  </w:pPr>
                  <w:r>
                    <w:t>.. </w:t>
                  </w:r>
                </w:p>
              </w:tc>
            </w:tr>
          </w:tbl>
          <w:p w:rsidR="001552DE" w:rsidRDefault="001552DE" w:rsidP="005C0D49">
            <w:pPr>
              <w:pStyle w:val="Box"/>
            </w:pPr>
          </w:p>
        </w:tc>
      </w:tr>
      <w:tr w:rsidR="006F2A4E" w:rsidTr="00A97042">
        <w:trPr>
          <w:cantSplit/>
        </w:trPr>
        <w:tc>
          <w:tcPr>
            <w:tcW w:w="8909" w:type="dxa"/>
            <w:gridSpan w:val="2"/>
            <w:tcBorders>
              <w:top w:val="nil"/>
              <w:left w:val="nil"/>
              <w:bottom w:val="nil"/>
              <w:right w:val="nil"/>
            </w:tcBorders>
            <w:shd w:val="clear" w:color="auto" w:fill="auto"/>
          </w:tcPr>
          <w:p w:rsidR="006F2A4E" w:rsidRPr="009F0531" w:rsidRDefault="006F2A4E" w:rsidP="007A42E5">
            <w:pPr>
              <w:pStyle w:val="Note"/>
            </w:pPr>
            <w:r w:rsidRPr="009F0531">
              <w:rPr>
                <w:rStyle w:val="NoteLabel"/>
                <w:b w:val="0"/>
                <w:position w:val="0"/>
              </w:rPr>
              <w:t>▲</w:t>
            </w:r>
            <w:r>
              <w:t xml:space="preserve"> </w:t>
            </w:r>
            <w:r w:rsidRPr="009F0531">
              <w:t xml:space="preserve">Average achievement is substantially above and is statistically significantly different from the comparison State/Territory. </w:t>
            </w:r>
            <w:r w:rsidRPr="009F0531">
              <w:rPr>
                <w:rFonts w:ascii="Cambria Math" w:hAnsi="Cambria Math" w:cs="Cambria Math"/>
              </w:rPr>
              <w:t>△</w:t>
            </w:r>
            <w:r w:rsidRPr="009F0531">
              <w:t xml:space="preserve"> Average achievement is above and is statistically significantly different from the comparison State/Territory. ■ Average achievement is close to or not statistically different from the comparison State/Territory. </w:t>
            </w:r>
            <w:r w:rsidRPr="009F0531">
              <w:rPr>
                <w:rFonts w:ascii="MS Gothic" w:eastAsia="MS Gothic" w:hAnsi="MS Gothic" w:cs="MS Gothic" w:hint="eastAsia"/>
              </w:rPr>
              <w:t>▽</w:t>
            </w:r>
            <w:r w:rsidR="00C32E47">
              <w:rPr>
                <w:rFonts w:ascii="MS Gothic" w:eastAsia="MS Gothic" w:hAnsi="MS Gothic" w:cs="MS Gothic"/>
              </w:rPr>
              <w:t xml:space="preserve"> </w:t>
            </w:r>
            <w:r w:rsidRPr="009F0531">
              <w:t>Average achievement is below and is statistically significantly different from the comparison State/Territory. ▼ Average achievement is substantially below and is statistically significantly different from the comparison State/Territory.</w:t>
            </w:r>
          </w:p>
          <w:p w:rsidR="006F2A4E" w:rsidRDefault="006F2A4E" w:rsidP="007A42E5">
            <w:pPr>
              <w:pStyle w:val="Note"/>
              <w:rPr>
                <w:i/>
              </w:rPr>
            </w:pPr>
            <w:proofErr w:type="spellStart"/>
            <w:r w:rsidRPr="008E77FE">
              <w:rPr>
                <w:rStyle w:val="NoteLabel"/>
              </w:rPr>
              <w:t>a</w:t>
            </w:r>
            <w:proofErr w:type="spellEnd"/>
            <w:r w:rsidRPr="009F0531">
              <w:t xml:space="preserve"> For further information and caveats see table </w:t>
            </w:r>
            <w:proofErr w:type="spellStart"/>
            <w:r w:rsidRPr="009F0531">
              <w:t>4A.39</w:t>
            </w:r>
            <w:proofErr w:type="spellEnd"/>
            <w:r w:rsidRPr="009F0531">
              <w:t>.</w:t>
            </w:r>
            <w:r>
              <w:t xml:space="preserve"> .. not applicable.</w:t>
            </w:r>
          </w:p>
        </w:tc>
      </w:tr>
      <w:tr w:rsidR="006F2A4E" w:rsidTr="00A97042">
        <w:trPr>
          <w:cantSplit/>
        </w:trPr>
        <w:tc>
          <w:tcPr>
            <w:tcW w:w="8909" w:type="dxa"/>
            <w:gridSpan w:val="2"/>
            <w:tcBorders>
              <w:top w:val="nil"/>
              <w:left w:val="nil"/>
              <w:bottom w:val="nil"/>
              <w:right w:val="nil"/>
            </w:tcBorders>
            <w:shd w:val="clear" w:color="auto" w:fill="auto"/>
          </w:tcPr>
          <w:p w:rsidR="006F2A4E" w:rsidRDefault="006F2A4E" w:rsidP="007A42E5">
            <w:pPr>
              <w:pStyle w:val="Source"/>
            </w:pPr>
            <w:r>
              <w:rPr>
                <w:i/>
              </w:rPr>
              <w:t>Source</w:t>
            </w:r>
            <w:r w:rsidRPr="00167F06">
              <w:t xml:space="preserve">: </w:t>
            </w:r>
            <w:r w:rsidRPr="006F2A4E">
              <w:t>ACARA (2014</w:t>
            </w:r>
            <w:r w:rsidR="00592D0D" w:rsidRPr="00BE4E82">
              <w:t xml:space="preserve"> and unpublished</w:t>
            </w:r>
            <w:r w:rsidRPr="006F2A4E">
              <w:t xml:space="preserve">) </w:t>
            </w:r>
            <w:proofErr w:type="spellStart"/>
            <w:r w:rsidRPr="006F2A4E">
              <w:rPr>
                <w:i/>
              </w:rPr>
              <w:t>NAPLAN</w:t>
            </w:r>
            <w:proofErr w:type="spellEnd"/>
            <w:r w:rsidRPr="006F2A4E">
              <w:rPr>
                <w:i/>
              </w:rPr>
              <w:t xml:space="preserve"> Achievement in Reading, Writing, Language Conventions and Numeracy: National Report for 2014</w:t>
            </w:r>
            <w:r w:rsidRPr="006F2A4E">
              <w:t xml:space="preserve">; table </w:t>
            </w:r>
            <w:proofErr w:type="spellStart"/>
            <w:r w:rsidRPr="006F2A4E">
              <w:t>4A.39</w:t>
            </w:r>
            <w:proofErr w:type="spellEnd"/>
            <w:r w:rsidRPr="006F2A4E">
              <w:t>.</w:t>
            </w:r>
          </w:p>
        </w:tc>
      </w:tr>
      <w:tr w:rsidR="006F2A4E" w:rsidTr="00A97042">
        <w:trPr>
          <w:cantSplit/>
        </w:trPr>
        <w:tc>
          <w:tcPr>
            <w:tcW w:w="8909" w:type="dxa"/>
            <w:gridSpan w:val="2"/>
            <w:tcBorders>
              <w:top w:val="nil"/>
              <w:left w:val="nil"/>
              <w:bottom w:val="single" w:sz="6" w:space="0" w:color="78A22F"/>
              <w:right w:val="nil"/>
            </w:tcBorders>
            <w:shd w:val="clear" w:color="auto" w:fill="auto"/>
          </w:tcPr>
          <w:p w:rsidR="006F2A4E" w:rsidRDefault="006F2A4E" w:rsidP="007A42E5">
            <w:pPr>
              <w:pStyle w:val="Box"/>
              <w:spacing w:before="0" w:line="120" w:lineRule="exact"/>
            </w:pPr>
          </w:p>
        </w:tc>
      </w:tr>
      <w:tr w:rsidR="006F2A4E" w:rsidRPr="000863A5" w:rsidTr="00A97042">
        <w:tc>
          <w:tcPr>
            <w:tcW w:w="8909" w:type="dxa"/>
            <w:gridSpan w:val="2"/>
            <w:tcBorders>
              <w:top w:val="single" w:sz="6" w:space="0" w:color="78A22F"/>
              <w:left w:val="nil"/>
              <w:bottom w:val="nil"/>
              <w:right w:val="nil"/>
            </w:tcBorders>
          </w:tcPr>
          <w:p w:rsidR="006F2A4E" w:rsidRPr="00626D32" w:rsidRDefault="006F2A4E" w:rsidP="007A42E5">
            <w:pPr>
              <w:pStyle w:val="BoxSpaceBelow"/>
            </w:pPr>
          </w:p>
        </w:tc>
      </w:tr>
    </w:tbl>
    <w:p w:rsidR="00D66FBA" w:rsidRDefault="00D66FBA" w:rsidP="002316F7">
      <w:pPr>
        <w:spacing w:before="240" w:line="320" w:lineRule="atLeast"/>
        <w:jc w:val="both"/>
        <w:rPr>
          <w:szCs w:val="20"/>
        </w:rPr>
      </w:pPr>
      <w:r w:rsidRPr="00666ECE">
        <w:rPr>
          <w:szCs w:val="20"/>
        </w:rPr>
        <w:t xml:space="preserve">The proportion of year </w:t>
      </w:r>
      <w:r>
        <w:rPr>
          <w:szCs w:val="20"/>
        </w:rPr>
        <w:t>9</w:t>
      </w:r>
      <w:r w:rsidRPr="00666ECE">
        <w:rPr>
          <w:szCs w:val="20"/>
        </w:rPr>
        <w:t xml:space="preserve"> students who </w:t>
      </w:r>
      <w:r w:rsidRPr="002C5BBE">
        <w:rPr>
          <w:szCs w:val="20"/>
        </w:rPr>
        <w:t>achieved at or above the reading national minimum standard in 201</w:t>
      </w:r>
      <w:r>
        <w:rPr>
          <w:szCs w:val="20"/>
        </w:rPr>
        <w:t>4</w:t>
      </w:r>
      <w:r w:rsidRPr="002C5BBE">
        <w:rPr>
          <w:szCs w:val="20"/>
        </w:rPr>
        <w:t xml:space="preserve"> was </w:t>
      </w:r>
      <w:r w:rsidR="002A79FF" w:rsidRPr="002316F7">
        <w:rPr>
          <w:shd w:val="clear" w:color="auto" w:fill="FFFFFF" w:themeFill="background1"/>
        </w:rPr>
        <w:t>91.7–92.5</w:t>
      </w:r>
      <w:r w:rsidRPr="00EC1693">
        <w:t xml:space="preserve"> </w:t>
      </w:r>
      <w:r w:rsidRPr="002C5BBE">
        <w:rPr>
          <w:szCs w:val="20"/>
        </w:rPr>
        <w:t xml:space="preserve">per cent nationally. The proportion </w:t>
      </w:r>
      <w:r>
        <w:rPr>
          <w:szCs w:val="20"/>
        </w:rPr>
        <w:t>for</w:t>
      </w:r>
      <w:r w:rsidRPr="002C5BBE">
        <w:rPr>
          <w:szCs w:val="20"/>
        </w:rPr>
        <w:t xml:space="preserve"> </w:t>
      </w:r>
      <w:r w:rsidR="007267E2" w:rsidRPr="00BE4E82">
        <w:t>Aboriginal and Torres Strait Islander</w:t>
      </w:r>
      <w:r w:rsidRPr="002C5BBE">
        <w:rPr>
          <w:szCs w:val="20"/>
        </w:rPr>
        <w:t xml:space="preserve"> students (</w:t>
      </w:r>
      <w:r w:rsidR="002A79FF" w:rsidRPr="002316F7">
        <w:rPr>
          <w:shd w:val="clear" w:color="auto" w:fill="FFFFFF" w:themeFill="background1"/>
        </w:rPr>
        <w:t>69.6–72.8</w:t>
      </w:r>
      <w:r w:rsidRPr="00EC1693">
        <w:t xml:space="preserve"> </w:t>
      </w:r>
      <w:r w:rsidRPr="002C5BBE">
        <w:rPr>
          <w:szCs w:val="20"/>
        </w:rPr>
        <w:t>per cent) was significantly lower than for non</w:t>
      </w:r>
      <w:r w:rsidRPr="002C5BBE">
        <w:rPr>
          <w:szCs w:val="20"/>
        </w:rPr>
        <w:noBreakHyphen/>
        <w:t>Indigenous students (</w:t>
      </w:r>
      <w:r w:rsidR="002A79FF" w:rsidRPr="002316F7">
        <w:rPr>
          <w:shd w:val="clear" w:color="auto" w:fill="FFFFFF" w:themeFill="background1"/>
        </w:rPr>
        <w:t>93.0–93.6</w:t>
      </w:r>
      <w:r w:rsidRPr="00EC1693">
        <w:t xml:space="preserve"> </w:t>
      </w:r>
      <w:r w:rsidRPr="002C5BBE">
        <w:rPr>
          <w:szCs w:val="20"/>
        </w:rPr>
        <w:t>per cent) (figure 4.2</w:t>
      </w:r>
      <w:r w:rsidR="00FF2AB3">
        <w:rPr>
          <w:szCs w:val="20"/>
        </w:rPr>
        <w:t>7</w:t>
      </w:r>
      <w:r w:rsidRPr="002C5BBE">
        <w:rPr>
          <w:szCs w:val="20"/>
        </w:rPr>
        <w:t>). These proportions varied across jurisdictions.</w:t>
      </w:r>
    </w:p>
    <w:p w:rsidR="00A7175E" w:rsidRDefault="00A7175E" w:rsidP="00B945F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7175E" w:rsidTr="00B945FF">
        <w:tc>
          <w:tcPr>
            <w:tcW w:w="8771" w:type="dxa"/>
            <w:tcBorders>
              <w:top w:val="single" w:sz="6" w:space="0" w:color="78A22F"/>
              <w:left w:val="nil"/>
              <w:bottom w:val="nil"/>
              <w:right w:val="nil"/>
            </w:tcBorders>
            <w:shd w:val="clear" w:color="auto" w:fill="auto"/>
          </w:tcPr>
          <w:p w:rsidR="00A7175E" w:rsidRPr="00176D3F" w:rsidRDefault="00A7175E" w:rsidP="00A7175E">
            <w:pPr>
              <w:pStyle w:val="FigureTitle"/>
            </w:pPr>
            <w:r w:rsidRPr="00784A05">
              <w:rPr>
                <w:b w:val="0"/>
              </w:rPr>
              <w:t xml:space="preserve">Figure </w:t>
            </w:r>
            <w:r>
              <w:rPr>
                <w:b w:val="0"/>
              </w:rPr>
              <w:t>4.27</w:t>
            </w:r>
            <w:r>
              <w:tab/>
            </w:r>
            <w:r w:rsidRPr="00A7175E">
              <w:t>Proportion of year 9 students achieving at or above the reading national minimum standard, 2014</w:t>
            </w:r>
            <w:r w:rsidRPr="00A7175E">
              <w:rPr>
                <w:rStyle w:val="NoteLabel"/>
                <w:b/>
              </w:rPr>
              <w:t>a, b</w:t>
            </w:r>
          </w:p>
        </w:tc>
      </w:tr>
      <w:tr w:rsidR="00A7175E" w:rsidTr="00B945F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A7175E" w:rsidTr="00B945FF">
              <w:trPr>
                <w:jc w:val="center"/>
              </w:trPr>
              <w:tc>
                <w:tcPr>
                  <w:tcW w:w="5000" w:type="pct"/>
                  <w:tcBorders>
                    <w:top w:val="nil"/>
                    <w:bottom w:val="nil"/>
                  </w:tcBorders>
                </w:tcPr>
                <w:p w:rsidR="00A7175E" w:rsidRDefault="00547047" w:rsidP="00B945FF">
                  <w:pPr>
                    <w:pStyle w:val="Figure"/>
                    <w:spacing w:before="60" w:after="60"/>
                  </w:pPr>
                  <w:r>
                    <w:rPr>
                      <w:noProof/>
                    </w:rPr>
                    <w:drawing>
                      <wp:inline distT="0" distB="0" distL="0" distR="0">
                        <wp:extent cx="5391150" cy="2695575"/>
                        <wp:effectExtent l="0" t="0" r="0" b="9525"/>
                        <wp:docPr id="27" name="Picture 27" descr="Figure 4.27 Proportion of year 9 students achieving at or above the reading national minimum standard,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A7175E" w:rsidRDefault="00A7175E" w:rsidP="00B945FF">
            <w:pPr>
              <w:pStyle w:val="Figure"/>
            </w:pPr>
          </w:p>
        </w:tc>
      </w:tr>
      <w:tr w:rsidR="00A7175E" w:rsidRPr="00176D3F" w:rsidTr="00B945FF">
        <w:tc>
          <w:tcPr>
            <w:tcW w:w="8771" w:type="dxa"/>
            <w:tcBorders>
              <w:top w:val="nil"/>
              <w:left w:val="nil"/>
              <w:bottom w:val="nil"/>
              <w:right w:val="nil"/>
            </w:tcBorders>
            <w:shd w:val="clear" w:color="auto" w:fill="auto"/>
          </w:tcPr>
          <w:p w:rsidR="00A7175E" w:rsidRPr="00176D3F" w:rsidRDefault="00A7175E" w:rsidP="00B945FF">
            <w:pPr>
              <w:pStyle w:val="Note"/>
            </w:pPr>
            <w:r>
              <w:rPr>
                <w:rStyle w:val="NoteLabel"/>
              </w:rPr>
              <w:t>a</w:t>
            </w:r>
            <w:r>
              <w:t xml:space="preserve"> </w:t>
            </w:r>
            <w:r w:rsidRPr="00A7175E">
              <w:t xml:space="preserve">Error bars represent the 95 per cent confidence interval associated with each point estimate. </w:t>
            </w:r>
            <w:r w:rsidRPr="00A7175E">
              <w:rPr>
                <w:b/>
              </w:rPr>
              <w:t>b</w:t>
            </w:r>
            <w:r w:rsidRPr="00A7175E">
              <w:t> For further information and caveats see table 4A.36</w:t>
            </w:r>
            <w:r>
              <w:t>.</w:t>
            </w:r>
          </w:p>
        </w:tc>
      </w:tr>
      <w:tr w:rsidR="00A7175E" w:rsidRPr="00176D3F" w:rsidTr="00B945FF">
        <w:tc>
          <w:tcPr>
            <w:tcW w:w="8771" w:type="dxa"/>
            <w:tcBorders>
              <w:top w:val="nil"/>
              <w:left w:val="nil"/>
              <w:bottom w:val="nil"/>
              <w:right w:val="nil"/>
            </w:tcBorders>
            <w:shd w:val="clear" w:color="auto" w:fill="auto"/>
          </w:tcPr>
          <w:p w:rsidR="00A7175E" w:rsidRPr="00176D3F" w:rsidRDefault="00A7175E" w:rsidP="00B945FF">
            <w:pPr>
              <w:pStyle w:val="Source"/>
            </w:pPr>
            <w:r w:rsidRPr="00A7175E">
              <w:rPr>
                <w:i/>
              </w:rPr>
              <w:t>Source: ACARA (2014 and unpublished) NAPLAN Achievement in Reading, Writing, Language Conventions and Numeracy: National Report for 2014; table 4A.36.</w:t>
            </w:r>
          </w:p>
        </w:tc>
      </w:tr>
      <w:tr w:rsidR="00A7175E" w:rsidTr="00B945FF">
        <w:tc>
          <w:tcPr>
            <w:tcW w:w="8771" w:type="dxa"/>
            <w:tcBorders>
              <w:top w:val="nil"/>
              <w:left w:val="nil"/>
              <w:bottom w:val="single" w:sz="6" w:space="0" w:color="78A22F"/>
              <w:right w:val="nil"/>
            </w:tcBorders>
            <w:shd w:val="clear" w:color="auto" w:fill="auto"/>
          </w:tcPr>
          <w:p w:rsidR="00A7175E" w:rsidRDefault="00A7175E" w:rsidP="00B945FF">
            <w:pPr>
              <w:pStyle w:val="Figurespace"/>
            </w:pPr>
          </w:p>
        </w:tc>
      </w:tr>
      <w:tr w:rsidR="00A7175E" w:rsidRPr="000863A5" w:rsidTr="00B945FF">
        <w:tc>
          <w:tcPr>
            <w:tcW w:w="8771" w:type="dxa"/>
            <w:tcBorders>
              <w:top w:val="single" w:sz="6" w:space="0" w:color="78A22F"/>
              <w:left w:val="nil"/>
              <w:bottom w:val="nil"/>
              <w:right w:val="nil"/>
            </w:tcBorders>
          </w:tcPr>
          <w:p w:rsidR="00A7175E" w:rsidRPr="00626D32" w:rsidRDefault="00A7175E" w:rsidP="00B945FF">
            <w:pPr>
              <w:pStyle w:val="BoxSpaceBelow"/>
            </w:pPr>
          </w:p>
        </w:tc>
      </w:tr>
    </w:tbl>
    <w:p w:rsidR="00D66FBA" w:rsidRPr="0089766B" w:rsidRDefault="00D66FBA" w:rsidP="00D66FBA">
      <w:pPr>
        <w:pStyle w:val="BodyText"/>
      </w:pPr>
      <w:r w:rsidRPr="0089766B">
        <w:t xml:space="preserve">Statistical significance of differences across states and territories between proportions of year </w:t>
      </w:r>
      <w:r>
        <w:t>9</w:t>
      </w:r>
      <w:r w:rsidRPr="0089766B">
        <w:t xml:space="preserve"> students who achieved at or above the national minimum standard for reading in 2014 are provided in table 4A.36.</w:t>
      </w:r>
    </w:p>
    <w:p w:rsidR="00D66FBA" w:rsidRPr="0089766B" w:rsidRDefault="00D66FBA" w:rsidP="002316F7">
      <w:pPr>
        <w:pStyle w:val="BodyText"/>
      </w:pPr>
      <w:r w:rsidRPr="0089766B">
        <w:t xml:space="preserve">The mean scale score for year </w:t>
      </w:r>
      <w:r>
        <w:t>9</w:t>
      </w:r>
      <w:r w:rsidRPr="0089766B">
        <w:t xml:space="preserve"> reading in 2014 for all students was </w:t>
      </w:r>
      <w:r w:rsidR="002A79FF" w:rsidRPr="002316F7">
        <w:rPr>
          <w:shd w:val="clear" w:color="auto" w:fill="FFFFFF" w:themeFill="background1"/>
        </w:rPr>
        <w:t>578.9–581.9</w:t>
      </w:r>
      <w:r w:rsidRPr="0089766B">
        <w:t xml:space="preserve"> nationally. The mean scale score for Aboriginal and Torres Strait Islander students </w:t>
      </w:r>
      <w:r w:rsidR="002A79FF">
        <w:br/>
      </w:r>
      <w:r w:rsidRPr="0089766B">
        <w:t>(</w:t>
      </w:r>
      <w:r w:rsidR="002A79FF" w:rsidRPr="002316F7">
        <w:rPr>
          <w:shd w:val="clear" w:color="auto" w:fill="FFFFFF" w:themeFill="background1"/>
        </w:rPr>
        <w:t>514.2–520.6</w:t>
      </w:r>
      <w:r w:rsidRPr="0089766B">
        <w:t>) was significantly lower than for non-Indigenous students (</w:t>
      </w:r>
      <w:r w:rsidR="002A79FF" w:rsidRPr="002316F7">
        <w:rPr>
          <w:shd w:val="clear" w:color="auto" w:fill="FFFFFF" w:themeFill="background1"/>
        </w:rPr>
        <w:t>582.4–585.4</w:t>
      </w:r>
      <w:r w:rsidRPr="0089766B">
        <w:t>). Mean scale scores varied across jurisdictions (table 4A.39).</w:t>
      </w:r>
    </w:p>
    <w:p w:rsidR="00D66FBA" w:rsidRDefault="00D66FBA" w:rsidP="00D66FBA">
      <w:pPr>
        <w:pStyle w:val="BodyText"/>
      </w:pPr>
      <w:r w:rsidRPr="0089766B">
        <w:t>Table 4.</w:t>
      </w:r>
      <w:r w:rsidR="00A37418">
        <w:t>10</w:t>
      </w:r>
      <w:r w:rsidRPr="0089766B">
        <w:t xml:space="preserve"> identifies statistical significance of differences between mean scale scores for year </w:t>
      </w:r>
      <w:r>
        <w:t>9</w:t>
      </w:r>
      <w:r w:rsidRPr="0089766B">
        <w:t xml:space="preserve"> reading outcomes across states and territories in 2014. </w:t>
      </w:r>
    </w:p>
    <w:p w:rsidR="006F2A4E" w:rsidRDefault="006F2A4E" w:rsidP="006F2A4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gridCol w:w="138"/>
      </w:tblGrid>
      <w:tr w:rsidR="006F2A4E" w:rsidTr="00A97042">
        <w:tc>
          <w:tcPr>
            <w:tcW w:w="8909" w:type="dxa"/>
            <w:gridSpan w:val="2"/>
            <w:tcBorders>
              <w:top w:val="single" w:sz="6" w:space="0" w:color="78A22F"/>
              <w:left w:val="nil"/>
              <w:bottom w:val="nil"/>
              <w:right w:val="nil"/>
            </w:tcBorders>
            <w:shd w:val="clear" w:color="auto" w:fill="auto"/>
          </w:tcPr>
          <w:p w:rsidR="006F2A4E" w:rsidRPr="00784A05" w:rsidRDefault="006F2A4E" w:rsidP="006F2A4E">
            <w:pPr>
              <w:pStyle w:val="TableTitle"/>
            </w:pPr>
            <w:r>
              <w:rPr>
                <w:b w:val="0"/>
              </w:rPr>
              <w:t>Table 4.</w:t>
            </w:r>
            <w:r w:rsidR="005953B6">
              <w:rPr>
                <w:b w:val="0"/>
                <w:noProof/>
              </w:rPr>
              <w:t>10</w:t>
            </w:r>
            <w:r>
              <w:tab/>
            </w:r>
            <w:r w:rsidRPr="006F2A4E">
              <w:t xml:space="preserve">Significance of differences for year </w:t>
            </w:r>
            <w:r>
              <w:t>9</w:t>
            </w:r>
            <w:r w:rsidRPr="006F2A4E">
              <w:t xml:space="preserve"> students, mean scale scores, reading, 2014</w:t>
            </w:r>
            <w:r w:rsidRPr="006F2A4E">
              <w:rPr>
                <w:rStyle w:val="NoteLabel"/>
                <w:b/>
              </w:rPr>
              <w:t>a</w:t>
            </w:r>
          </w:p>
        </w:tc>
      </w:tr>
      <w:tr w:rsidR="001552DE" w:rsidTr="005C0D49">
        <w:trPr>
          <w:gridAfter w:val="1"/>
          <w:wAfter w:w="138" w:type="dxa"/>
          <w:cantSplit/>
        </w:trPr>
        <w:tc>
          <w:tcPr>
            <w:tcW w:w="8771" w:type="dxa"/>
            <w:tcBorders>
              <w:top w:val="nil"/>
              <w:left w:val="nil"/>
              <w:bottom w:val="nil"/>
              <w:right w:val="nil"/>
            </w:tcBorders>
            <w:shd w:val="clear" w:color="auto" w:fill="auto"/>
          </w:tcPr>
          <w:tbl>
            <w:tblPr>
              <w:tblW w:w="8477" w:type="dxa"/>
              <w:tblInd w:w="10" w:type="dxa"/>
              <w:tblCellMar>
                <w:left w:w="0" w:type="dxa"/>
                <w:right w:w="0" w:type="dxa"/>
              </w:tblCellMar>
              <w:tblLook w:val="0000" w:firstRow="0" w:lastRow="0" w:firstColumn="0" w:lastColumn="0" w:noHBand="0" w:noVBand="0"/>
            </w:tblPr>
            <w:tblGrid>
              <w:gridCol w:w="865"/>
              <w:gridCol w:w="710"/>
              <w:gridCol w:w="766"/>
              <w:gridCol w:w="767"/>
              <w:gridCol w:w="767"/>
              <w:gridCol w:w="767"/>
              <w:gridCol w:w="767"/>
              <w:gridCol w:w="767"/>
              <w:gridCol w:w="767"/>
              <w:gridCol w:w="767"/>
              <w:gridCol w:w="767"/>
            </w:tblGrid>
            <w:tr w:rsidR="001552DE" w:rsidRPr="0034666A" w:rsidTr="005C0D49">
              <w:tc>
                <w:tcPr>
                  <w:tcW w:w="865" w:type="dxa"/>
                  <w:tcBorders>
                    <w:top w:val="single" w:sz="6" w:space="0" w:color="auto"/>
                  </w:tcBorders>
                  <w:shd w:val="clear" w:color="auto" w:fill="auto"/>
                </w:tcPr>
                <w:p w:rsidR="001552DE" w:rsidRPr="004708E3" w:rsidRDefault="001552DE" w:rsidP="005C0D49">
                  <w:pPr>
                    <w:keepNext/>
                    <w:keepLines/>
                    <w:spacing w:before="80" w:after="80" w:line="220" w:lineRule="atLeast"/>
                    <w:ind w:left="6" w:right="113"/>
                    <w:rPr>
                      <w:rFonts w:ascii="Arial" w:hAnsi="Arial"/>
                      <w:i/>
                      <w:sz w:val="20"/>
                      <w:szCs w:val="20"/>
                    </w:rPr>
                  </w:pPr>
                </w:p>
              </w:tc>
              <w:tc>
                <w:tcPr>
                  <w:tcW w:w="710" w:type="dxa"/>
                  <w:tcBorders>
                    <w:top w:val="single" w:sz="6" w:space="0" w:color="auto"/>
                  </w:tcBorders>
                </w:tcPr>
                <w:p w:rsidR="001552DE" w:rsidRPr="0034666A" w:rsidRDefault="001552DE" w:rsidP="005C0D49">
                  <w:pPr>
                    <w:keepNext/>
                    <w:keepLines/>
                    <w:spacing w:before="80" w:after="80" w:line="220" w:lineRule="atLeast"/>
                    <w:ind w:left="6" w:right="113"/>
                    <w:jc w:val="right"/>
                    <w:rPr>
                      <w:rFonts w:ascii="Arial" w:hAnsi="Arial"/>
                      <w:i/>
                      <w:sz w:val="20"/>
                      <w:szCs w:val="20"/>
                    </w:rPr>
                  </w:pPr>
                </w:p>
              </w:tc>
              <w:tc>
                <w:tcPr>
                  <w:tcW w:w="6902" w:type="dxa"/>
                  <w:gridSpan w:val="9"/>
                  <w:tcBorders>
                    <w:top w:val="single" w:sz="6" w:space="0" w:color="auto"/>
                  </w:tcBorders>
                  <w:shd w:val="clear" w:color="auto" w:fill="auto"/>
                  <w:vAlign w:val="center"/>
                </w:tcPr>
                <w:p w:rsidR="001552DE" w:rsidRPr="0034666A" w:rsidRDefault="001552DE" w:rsidP="005C0D49">
                  <w:pPr>
                    <w:pStyle w:val="TableColumnHeading"/>
                    <w:jc w:val="center"/>
                  </w:pPr>
                  <w:r w:rsidRPr="001552DE">
                    <w:t>Comparison jurisdiction</w:t>
                  </w:r>
                </w:p>
              </w:tc>
            </w:tr>
            <w:tr w:rsidR="001552DE" w:rsidRPr="0034666A" w:rsidTr="005C0D49">
              <w:tc>
                <w:tcPr>
                  <w:tcW w:w="865" w:type="dxa"/>
                  <w:tcBorders>
                    <w:bottom w:val="single" w:sz="4" w:space="0" w:color="auto"/>
                  </w:tcBorders>
                  <w:shd w:val="clear" w:color="auto" w:fill="auto"/>
                </w:tcPr>
                <w:p w:rsidR="001552DE" w:rsidRPr="004708E3" w:rsidRDefault="001552DE" w:rsidP="005C0D49">
                  <w:pPr>
                    <w:keepNext/>
                    <w:keepLines/>
                    <w:spacing w:before="80" w:after="80" w:line="220" w:lineRule="atLeast"/>
                    <w:ind w:left="6" w:right="113"/>
                    <w:rPr>
                      <w:rFonts w:ascii="Arial" w:hAnsi="Arial"/>
                      <w:i/>
                      <w:sz w:val="20"/>
                      <w:szCs w:val="20"/>
                    </w:rPr>
                  </w:pPr>
                </w:p>
              </w:tc>
              <w:tc>
                <w:tcPr>
                  <w:tcW w:w="710" w:type="dxa"/>
                  <w:tcBorders>
                    <w:bottom w:val="single" w:sz="4" w:space="0" w:color="auto"/>
                  </w:tcBorders>
                </w:tcPr>
                <w:p w:rsidR="001552DE" w:rsidRPr="0034666A" w:rsidRDefault="001552DE" w:rsidP="005C0D49">
                  <w:pPr>
                    <w:keepNext/>
                    <w:keepLines/>
                    <w:spacing w:before="80" w:after="80" w:line="220" w:lineRule="atLeast"/>
                    <w:ind w:left="6" w:right="113"/>
                    <w:jc w:val="right"/>
                    <w:rPr>
                      <w:rFonts w:ascii="Arial" w:hAnsi="Arial"/>
                      <w:i/>
                      <w:sz w:val="20"/>
                      <w:szCs w:val="20"/>
                    </w:rPr>
                  </w:pPr>
                </w:p>
              </w:tc>
              <w:tc>
                <w:tcPr>
                  <w:tcW w:w="766" w:type="dxa"/>
                  <w:tcBorders>
                    <w:bottom w:val="single" w:sz="4" w:space="0" w:color="auto"/>
                  </w:tcBorders>
                  <w:shd w:val="clear" w:color="auto" w:fill="auto"/>
                </w:tcPr>
                <w:p w:rsidR="001552DE" w:rsidRPr="0034666A" w:rsidRDefault="001552DE" w:rsidP="005C0D49">
                  <w:pPr>
                    <w:pStyle w:val="TableColumnHeading"/>
                  </w:pPr>
                  <w:r w:rsidRPr="0034666A">
                    <w:t>NSW</w:t>
                  </w:r>
                </w:p>
              </w:tc>
              <w:tc>
                <w:tcPr>
                  <w:tcW w:w="767" w:type="dxa"/>
                  <w:tcBorders>
                    <w:bottom w:val="single" w:sz="4" w:space="0" w:color="auto"/>
                  </w:tcBorders>
                  <w:shd w:val="clear" w:color="auto" w:fill="auto"/>
                </w:tcPr>
                <w:p w:rsidR="001552DE" w:rsidRPr="0034666A" w:rsidRDefault="001552DE" w:rsidP="005C0D49">
                  <w:pPr>
                    <w:pStyle w:val="TableColumnHeading"/>
                  </w:pPr>
                  <w:r w:rsidRPr="0034666A">
                    <w:t>Vic</w:t>
                  </w:r>
                </w:p>
              </w:tc>
              <w:tc>
                <w:tcPr>
                  <w:tcW w:w="767" w:type="dxa"/>
                  <w:tcBorders>
                    <w:bottom w:val="single" w:sz="4" w:space="0" w:color="auto"/>
                  </w:tcBorders>
                  <w:shd w:val="clear" w:color="auto" w:fill="auto"/>
                </w:tcPr>
                <w:p w:rsidR="001552DE" w:rsidRPr="0034666A" w:rsidRDefault="001552DE" w:rsidP="005C0D49">
                  <w:pPr>
                    <w:pStyle w:val="TableColumnHeading"/>
                  </w:pPr>
                  <w:r w:rsidRPr="0034666A">
                    <w:t>Qld</w:t>
                  </w:r>
                </w:p>
              </w:tc>
              <w:tc>
                <w:tcPr>
                  <w:tcW w:w="767" w:type="dxa"/>
                  <w:tcBorders>
                    <w:bottom w:val="single" w:sz="4" w:space="0" w:color="auto"/>
                  </w:tcBorders>
                  <w:shd w:val="clear" w:color="auto" w:fill="auto"/>
                </w:tcPr>
                <w:p w:rsidR="001552DE" w:rsidRPr="0034666A" w:rsidRDefault="001552DE" w:rsidP="005C0D49">
                  <w:pPr>
                    <w:pStyle w:val="TableColumnHeading"/>
                  </w:pPr>
                  <w:r w:rsidRPr="0034666A">
                    <w:t>WA</w:t>
                  </w:r>
                </w:p>
              </w:tc>
              <w:tc>
                <w:tcPr>
                  <w:tcW w:w="767" w:type="dxa"/>
                  <w:tcBorders>
                    <w:bottom w:val="single" w:sz="4" w:space="0" w:color="auto"/>
                  </w:tcBorders>
                  <w:shd w:val="clear" w:color="auto" w:fill="auto"/>
                </w:tcPr>
                <w:p w:rsidR="001552DE" w:rsidRPr="0034666A" w:rsidRDefault="001552DE" w:rsidP="005C0D49">
                  <w:pPr>
                    <w:pStyle w:val="TableColumnHeading"/>
                  </w:pPr>
                  <w:r w:rsidRPr="0034666A">
                    <w:t>SA</w:t>
                  </w:r>
                </w:p>
              </w:tc>
              <w:tc>
                <w:tcPr>
                  <w:tcW w:w="767" w:type="dxa"/>
                  <w:tcBorders>
                    <w:bottom w:val="single" w:sz="4" w:space="0" w:color="auto"/>
                  </w:tcBorders>
                  <w:shd w:val="clear" w:color="auto" w:fill="auto"/>
                </w:tcPr>
                <w:p w:rsidR="001552DE" w:rsidRPr="0034666A" w:rsidRDefault="001552DE" w:rsidP="005C0D49">
                  <w:pPr>
                    <w:pStyle w:val="TableColumnHeading"/>
                  </w:pPr>
                  <w:r w:rsidRPr="0034666A">
                    <w:t>Tas</w:t>
                  </w:r>
                </w:p>
              </w:tc>
              <w:tc>
                <w:tcPr>
                  <w:tcW w:w="767" w:type="dxa"/>
                  <w:tcBorders>
                    <w:bottom w:val="single" w:sz="4" w:space="0" w:color="auto"/>
                  </w:tcBorders>
                  <w:shd w:val="clear" w:color="auto" w:fill="auto"/>
                </w:tcPr>
                <w:p w:rsidR="001552DE" w:rsidRPr="0034666A" w:rsidRDefault="001552DE" w:rsidP="005C0D49">
                  <w:pPr>
                    <w:pStyle w:val="TableColumnHeading"/>
                  </w:pPr>
                  <w:r w:rsidRPr="0034666A">
                    <w:t>ACT</w:t>
                  </w:r>
                </w:p>
              </w:tc>
              <w:tc>
                <w:tcPr>
                  <w:tcW w:w="767" w:type="dxa"/>
                  <w:tcBorders>
                    <w:bottom w:val="single" w:sz="4" w:space="0" w:color="auto"/>
                  </w:tcBorders>
                  <w:shd w:val="clear" w:color="auto" w:fill="auto"/>
                </w:tcPr>
                <w:p w:rsidR="001552DE" w:rsidRPr="0034666A" w:rsidRDefault="001552DE" w:rsidP="005C0D49">
                  <w:pPr>
                    <w:pStyle w:val="TableColumnHeading"/>
                  </w:pPr>
                  <w:r w:rsidRPr="0034666A">
                    <w:t>NT</w:t>
                  </w:r>
                </w:p>
              </w:tc>
              <w:tc>
                <w:tcPr>
                  <w:tcW w:w="767" w:type="dxa"/>
                  <w:tcBorders>
                    <w:bottom w:val="single" w:sz="4" w:space="0" w:color="auto"/>
                  </w:tcBorders>
                  <w:shd w:val="clear" w:color="auto" w:fill="auto"/>
                </w:tcPr>
                <w:p w:rsidR="001552DE" w:rsidRPr="0034666A" w:rsidRDefault="001552DE" w:rsidP="005C0D49">
                  <w:pPr>
                    <w:pStyle w:val="TableColumnHeading"/>
                  </w:pPr>
                  <w:r w:rsidRPr="0034666A">
                    <w:t>Aust</w:t>
                  </w:r>
                </w:p>
              </w:tc>
            </w:tr>
            <w:tr w:rsidR="003E0F27" w:rsidRPr="0034666A" w:rsidTr="002316F7">
              <w:tc>
                <w:tcPr>
                  <w:tcW w:w="865" w:type="dxa"/>
                  <w:tcBorders>
                    <w:top w:val="dotted" w:sz="4" w:space="0" w:color="auto"/>
                    <w:left w:val="dotted" w:sz="4" w:space="0" w:color="auto"/>
                    <w:bottom w:val="dotted" w:sz="4" w:space="0" w:color="auto"/>
                    <w:right w:val="dotted" w:sz="4" w:space="0" w:color="auto"/>
                  </w:tcBorders>
                  <w:shd w:val="clear" w:color="auto" w:fill="auto"/>
                </w:tcPr>
                <w:p w:rsidR="003E0F27" w:rsidRPr="003E0F27" w:rsidRDefault="003E0F27" w:rsidP="003E0F27">
                  <w:pPr>
                    <w:pStyle w:val="TableBodyText"/>
                  </w:pP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tcPr>
                <w:p w:rsidR="003E0F27" w:rsidRPr="003E0F27" w:rsidRDefault="003E0F27" w:rsidP="003E0F27">
                  <w:pPr>
                    <w:pStyle w:val="TableBodyText"/>
                  </w:pP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Pr="003E0F27" w:rsidRDefault="003E0F27" w:rsidP="003E0F27">
                  <w:pPr>
                    <w:pStyle w:val="TableBodyText"/>
                  </w:pPr>
                  <w:r w:rsidRPr="003E0F27">
                    <w:t xml:space="preserve">584.3 </w:t>
                  </w:r>
                  <w:r w:rsidR="00C32E47">
                    <w:br/>
                  </w:r>
                  <w:r w:rsidRPr="003E0F27">
                    <w:t>± 2.9</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Pr="003E0F27" w:rsidRDefault="003E0F27" w:rsidP="003E0F27">
                  <w:pPr>
                    <w:pStyle w:val="TableBodyText"/>
                  </w:pPr>
                  <w:r w:rsidRPr="003E0F27">
                    <w:t xml:space="preserve">585.5 </w:t>
                  </w:r>
                  <w:r w:rsidR="00C32E47">
                    <w:br/>
                  </w:r>
                  <w:r w:rsidRPr="003E0F27">
                    <w:t>± 2.9</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Pr="003E0F27" w:rsidRDefault="003E0F27" w:rsidP="003E0F27">
                  <w:pPr>
                    <w:pStyle w:val="TableBodyText"/>
                  </w:pPr>
                  <w:r w:rsidRPr="003E0F27">
                    <w:t xml:space="preserve">571.6 </w:t>
                  </w:r>
                  <w:r w:rsidR="00C32E47">
                    <w:br/>
                  </w:r>
                  <w:r w:rsidRPr="003E0F27">
                    <w:t>± 3.1</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Pr="003E0F27" w:rsidRDefault="003E0F27" w:rsidP="003E0F27">
                  <w:pPr>
                    <w:pStyle w:val="TableBodyText"/>
                  </w:pPr>
                  <w:r w:rsidRPr="003E0F27">
                    <w:t xml:space="preserve">584.4 </w:t>
                  </w:r>
                  <w:r w:rsidR="00C32E47">
                    <w:br/>
                  </w:r>
                  <w:r w:rsidRPr="003E0F27">
                    <w:t>± 4.8</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Pr="003E0F27" w:rsidRDefault="003E0F27" w:rsidP="003E0F27">
                  <w:pPr>
                    <w:pStyle w:val="TableBodyText"/>
                  </w:pPr>
                  <w:r w:rsidRPr="003E0F27">
                    <w:t xml:space="preserve">573.0 </w:t>
                  </w:r>
                  <w:r w:rsidR="00C32E47">
                    <w:br/>
                  </w:r>
                  <w:r w:rsidRPr="003E0F27">
                    <w:t>± 5.0</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Pr="003E0F27" w:rsidRDefault="003E0F27" w:rsidP="003E0F27">
                  <w:pPr>
                    <w:pStyle w:val="TableBodyText"/>
                  </w:pPr>
                  <w:r w:rsidRPr="003E0F27">
                    <w:t xml:space="preserve">573.4 </w:t>
                  </w:r>
                  <w:r w:rsidR="00C32E47">
                    <w:br/>
                  </w:r>
                  <w:r w:rsidRPr="003E0F27">
                    <w:t>± 7.4</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Pr="003E0F27" w:rsidRDefault="003E0F27" w:rsidP="003E0F27">
                  <w:pPr>
                    <w:pStyle w:val="TableBodyText"/>
                  </w:pPr>
                  <w:r w:rsidRPr="003E0F27">
                    <w:t xml:space="preserve">597.3 </w:t>
                  </w:r>
                  <w:r w:rsidR="00C32E47">
                    <w:br/>
                  </w:r>
                  <w:r w:rsidRPr="003E0F27">
                    <w:t>± 8.6</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Pr="003E0F27" w:rsidRDefault="003E0F27" w:rsidP="003E0F27">
                  <w:pPr>
                    <w:pStyle w:val="TableBodyText"/>
                  </w:pPr>
                  <w:r w:rsidRPr="003E0F27">
                    <w:t xml:space="preserve">521.7 </w:t>
                  </w:r>
                  <w:r w:rsidR="00C32E47">
                    <w:br/>
                  </w:r>
                  <w:r w:rsidRPr="003E0F27">
                    <w:t>± 22.2</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Pr="003E0F27" w:rsidRDefault="003E0F27" w:rsidP="003E0F27">
                  <w:pPr>
                    <w:pStyle w:val="TableBodyText"/>
                  </w:pPr>
                  <w:r w:rsidRPr="003E0F27">
                    <w:t xml:space="preserve">580.4 </w:t>
                  </w:r>
                  <w:r w:rsidR="00C32E47">
                    <w:br/>
                  </w:r>
                  <w:r w:rsidRPr="003E0F27">
                    <w:t>± 1.5</w:t>
                  </w:r>
                </w:p>
              </w:tc>
            </w:tr>
            <w:tr w:rsidR="003E0F27" w:rsidRPr="0034666A" w:rsidTr="002316F7">
              <w:tc>
                <w:tcPr>
                  <w:tcW w:w="865" w:type="dxa"/>
                  <w:tcBorders>
                    <w:top w:val="dotted" w:sz="4" w:space="0" w:color="auto"/>
                    <w:left w:val="dotted" w:sz="4" w:space="0" w:color="auto"/>
                    <w:bottom w:val="dotted" w:sz="4" w:space="0" w:color="auto"/>
                    <w:right w:val="dotted" w:sz="4" w:space="0" w:color="auto"/>
                  </w:tcBorders>
                  <w:shd w:val="clear" w:color="auto" w:fill="auto"/>
                </w:tcPr>
                <w:p w:rsidR="003E0F27" w:rsidRPr="001552DE" w:rsidRDefault="003E0F27" w:rsidP="005C0D49">
                  <w:pPr>
                    <w:pStyle w:val="TableColumnHeading"/>
                  </w:pPr>
                  <w:r w:rsidRPr="001552DE">
                    <w:t>NSW</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3E0F27" w:rsidRPr="003E0F27" w:rsidRDefault="003E0F27" w:rsidP="003E0F27">
                  <w:pPr>
                    <w:pStyle w:val="TableBodyText"/>
                  </w:pPr>
                  <w:r w:rsidRPr="003E0F27">
                    <w:t>584.3 ± 2.9</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w:t>
                  </w:r>
                </w:p>
              </w:tc>
            </w:tr>
            <w:tr w:rsidR="003E0F27" w:rsidRPr="0034666A" w:rsidTr="002316F7">
              <w:tc>
                <w:tcPr>
                  <w:tcW w:w="865" w:type="dxa"/>
                  <w:tcBorders>
                    <w:top w:val="dotted" w:sz="4" w:space="0" w:color="auto"/>
                    <w:left w:val="dotted" w:sz="4" w:space="0" w:color="auto"/>
                    <w:bottom w:val="dotted" w:sz="4" w:space="0" w:color="auto"/>
                    <w:right w:val="dotted" w:sz="4" w:space="0" w:color="auto"/>
                  </w:tcBorders>
                  <w:shd w:val="clear" w:color="auto" w:fill="auto"/>
                </w:tcPr>
                <w:p w:rsidR="003E0F27" w:rsidRPr="001552DE" w:rsidRDefault="003E0F27" w:rsidP="005C0D49">
                  <w:pPr>
                    <w:pStyle w:val="TableColumnHeading"/>
                  </w:pPr>
                  <w:r w:rsidRPr="001552DE">
                    <w:t>Vic</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3E0F27" w:rsidRPr="003E0F27" w:rsidRDefault="003E0F27" w:rsidP="003E0F27">
                  <w:pPr>
                    <w:pStyle w:val="TableBodyText"/>
                  </w:pPr>
                  <w:r w:rsidRPr="003E0F27">
                    <w:t>585.5 ± 2.9</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rPr>
                      <w:szCs w:val="18"/>
                    </w:rPr>
                  </w:pPr>
                  <w:r>
                    <w:rPr>
                      <w:szCs w:val="18"/>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rPr>
                      <w:szCs w:val="18"/>
                    </w:rPr>
                  </w:pPr>
                  <w:r>
                    <w:rPr>
                      <w:szCs w:val="18"/>
                    </w:rP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rPr>
                      <w:szCs w:val="18"/>
                    </w:rPr>
                  </w:pPr>
                  <w:r>
                    <w:rPr>
                      <w:rFonts w:ascii="Cambria Math" w:hAnsi="Cambria Math" w:cs="Cambria Math"/>
                      <w:szCs w:val="18"/>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rPr>
                      <w:szCs w:val="18"/>
                    </w:rPr>
                  </w:pPr>
                  <w:r>
                    <w:rPr>
                      <w:szCs w:val="18"/>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rPr>
                      <w:szCs w:val="18"/>
                    </w:rPr>
                  </w:pPr>
                  <w:r>
                    <w:rPr>
                      <w:szCs w:val="18"/>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rPr>
                      <w:szCs w:val="18"/>
                    </w:rPr>
                  </w:pPr>
                  <w:r>
                    <w:rPr>
                      <w:szCs w:val="18"/>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rPr>
                      <w:szCs w:val="18"/>
                    </w:rPr>
                  </w:pPr>
                  <w:r>
                    <w:rPr>
                      <w:szCs w:val="18"/>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rPr>
                      <w:szCs w:val="18"/>
                    </w:rPr>
                  </w:pPr>
                  <w:r>
                    <w:rPr>
                      <w:szCs w:val="18"/>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rPr>
                      <w:szCs w:val="18"/>
                    </w:rPr>
                  </w:pPr>
                  <w:r>
                    <w:rPr>
                      <w:szCs w:val="18"/>
                    </w:rPr>
                    <w:t>■</w:t>
                  </w:r>
                </w:p>
              </w:tc>
            </w:tr>
            <w:tr w:rsidR="003E0F27" w:rsidRPr="0034666A" w:rsidTr="002316F7">
              <w:tc>
                <w:tcPr>
                  <w:tcW w:w="865" w:type="dxa"/>
                  <w:tcBorders>
                    <w:top w:val="dotted" w:sz="4" w:space="0" w:color="auto"/>
                    <w:left w:val="dotted" w:sz="4" w:space="0" w:color="auto"/>
                    <w:bottom w:val="dotted" w:sz="4" w:space="0" w:color="auto"/>
                    <w:right w:val="dotted" w:sz="4" w:space="0" w:color="auto"/>
                  </w:tcBorders>
                  <w:shd w:val="clear" w:color="auto" w:fill="auto"/>
                </w:tcPr>
                <w:p w:rsidR="003E0F27" w:rsidRPr="001552DE" w:rsidRDefault="003E0F27" w:rsidP="005C0D49">
                  <w:pPr>
                    <w:pStyle w:val="TableColumnHeading"/>
                  </w:pPr>
                  <w:r w:rsidRPr="001552DE">
                    <w:t>Qld</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3E0F27" w:rsidRPr="003E0F27" w:rsidRDefault="003E0F27" w:rsidP="003E0F27">
                  <w:pPr>
                    <w:pStyle w:val="TableBodyText"/>
                  </w:pPr>
                  <w:r w:rsidRPr="003E0F27">
                    <w:t>571.6 ± 3.1</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w:t>
                  </w:r>
                </w:p>
              </w:tc>
            </w:tr>
            <w:tr w:rsidR="003E0F27" w:rsidRPr="0034666A" w:rsidTr="002316F7">
              <w:tc>
                <w:tcPr>
                  <w:tcW w:w="865" w:type="dxa"/>
                  <w:tcBorders>
                    <w:top w:val="dotted" w:sz="4" w:space="0" w:color="auto"/>
                    <w:left w:val="dotted" w:sz="4" w:space="0" w:color="auto"/>
                    <w:bottom w:val="dotted" w:sz="4" w:space="0" w:color="auto"/>
                    <w:right w:val="dotted" w:sz="4" w:space="0" w:color="auto"/>
                  </w:tcBorders>
                  <w:shd w:val="clear" w:color="auto" w:fill="auto"/>
                </w:tcPr>
                <w:p w:rsidR="003E0F27" w:rsidRPr="001552DE" w:rsidRDefault="003E0F27" w:rsidP="005C0D49">
                  <w:pPr>
                    <w:pStyle w:val="TableColumnHeading"/>
                  </w:pPr>
                  <w:r w:rsidRPr="001552DE">
                    <w:t>WA</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3E0F27" w:rsidRPr="003E0F27" w:rsidRDefault="003E0F27" w:rsidP="003E0F27">
                  <w:pPr>
                    <w:pStyle w:val="TableBodyText"/>
                  </w:pPr>
                  <w:r w:rsidRPr="003E0F27">
                    <w:t>584.4 ± 4.8</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w:t>
                  </w:r>
                </w:p>
              </w:tc>
            </w:tr>
            <w:tr w:rsidR="003E0F27" w:rsidRPr="0034666A" w:rsidTr="002316F7">
              <w:tc>
                <w:tcPr>
                  <w:tcW w:w="865" w:type="dxa"/>
                  <w:tcBorders>
                    <w:top w:val="dotted" w:sz="4" w:space="0" w:color="auto"/>
                    <w:left w:val="dotted" w:sz="4" w:space="0" w:color="auto"/>
                    <w:bottom w:val="dotted" w:sz="4" w:space="0" w:color="auto"/>
                    <w:right w:val="dotted" w:sz="4" w:space="0" w:color="auto"/>
                  </w:tcBorders>
                  <w:shd w:val="clear" w:color="auto" w:fill="auto"/>
                </w:tcPr>
                <w:p w:rsidR="003E0F27" w:rsidRPr="001552DE" w:rsidRDefault="003E0F27" w:rsidP="005C0D49">
                  <w:pPr>
                    <w:pStyle w:val="TableColumnHeading"/>
                  </w:pPr>
                  <w:r w:rsidRPr="001552DE">
                    <w:t>SA</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3E0F27" w:rsidRPr="003E0F27" w:rsidRDefault="003E0F27" w:rsidP="003E0F27">
                  <w:pPr>
                    <w:pStyle w:val="TableBodyText"/>
                  </w:pPr>
                  <w:r w:rsidRPr="003E0F27">
                    <w:t>573.0 ± 5.0</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w:t>
                  </w:r>
                </w:p>
              </w:tc>
            </w:tr>
            <w:tr w:rsidR="003E0F27" w:rsidRPr="0034666A" w:rsidTr="002316F7">
              <w:tc>
                <w:tcPr>
                  <w:tcW w:w="865" w:type="dxa"/>
                  <w:tcBorders>
                    <w:top w:val="dotted" w:sz="4" w:space="0" w:color="auto"/>
                    <w:left w:val="dotted" w:sz="4" w:space="0" w:color="auto"/>
                    <w:bottom w:val="dotted" w:sz="4" w:space="0" w:color="auto"/>
                    <w:right w:val="dotted" w:sz="4" w:space="0" w:color="auto"/>
                  </w:tcBorders>
                  <w:shd w:val="clear" w:color="auto" w:fill="auto"/>
                </w:tcPr>
                <w:p w:rsidR="003E0F27" w:rsidRPr="001552DE" w:rsidRDefault="003E0F27" w:rsidP="005C0D49">
                  <w:pPr>
                    <w:pStyle w:val="TableColumnHeading"/>
                  </w:pPr>
                  <w:r w:rsidRPr="001552DE">
                    <w:t>Tas</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3E0F27" w:rsidRPr="003E0F27" w:rsidRDefault="003E0F27" w:rsidP="003E0F27">
                  <w:pPr>
                    <w:pStyle w:val="TableBodyText"/>
                  </w:pPr>
                  <w:r w:rsidRPr="003E0F27">
                    <w:t>573.4 ± 7.4</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w:t>
                  </w:r>
                </w:p>
              </w:tc>
            </w:tr>
            <w:tr w:rsidR="003E0F27" w:rsidRPr="0034666A" w:rsidTr="002316F7">
              <w:tc>
                <w:tcPr>
                  <w:tcW w:w="865" w:type="dxa"/>
                  <w:tcBorders>
                    <w:top w:val="dotted" w:sz="4" w:space="0" w:color="auto"/>
                    <w:left w:val="dotted" w:sz="4" w:space="0" w:color="auto"/>
                    <w:bottom w:val="dotted" w:sz="4" w:space="0" w:color="auto"/>
                    <w:right w:val="dotted" w:sz="4" w:space="0" w:color="auto"/>
                  </w:tcBorders>
                  <w:shd w:val="clear" w:color="auto" w:fill="auto"/>
                </w:tcPr>
                <w:p w:rsidR="003E0F27" w:rsidRPr="001552DE" w:rsidRDefault="003E0F27" w:rsidP="005C0D49">
                  <w:pPr>
                    <w:pStyle w:val="TableColumnHeading"/>
                  </w:pPr>
                  <w:r w:rsidRPr="001552DE">
                    <w:t>ACT</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3E0F27" w:rsidRPr="003E0F27" w:rsidRDefault="003E0F27" w:rsidP="003E0F27">
                  <w:pPr>
                    <w:pStyle w:val="TableBodyText"/>
                  </w:pPr>
                  <w:r w:rsidRPr="003E0F27">
                    <w:t>597.3 ± 8.6</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rPr>
                      <w:rFonts w:ascii="Cambria Math" w:hAnsi="Cambria Math" w:cs="Cambria Math"/>
                    </w:rPr>
                    <w:t>△</w:t>
                  </w:r>
                </w:p>
              </w:tc>
            </w:tr>
            <w:tr w:rsidR="003E0F27" w:rsidRPr="0034666A" w:rsidTr="002316F7">
              <w:tc>
                <w:tcPr>
                  <w:tcW w:w="865" w:type="dxa"/>
                  <w:tcBorders>
                    <w:top w:val="dotted" w:sz="4" w:space="0" w:color="auto"/>
                    <w:left w:val="dotted" w:sz="4" w:space="0" w:color="auto"/>
                    <w:bottom w:val="dotted" w:sz="4" w:space="0" w:color="auto"/>
                    <w:right w:val="dotted" w:sz="4" w:space="0" w:color="auto"/>
                  </w:tcBorders>
                  <w:shd w:val="clear" w:color="auto" w:fill="auto"/>
                </w:tcPr>
                <w:p w:rsidR="003E0F27" w:rsidRPr="001552DE" w:rsidRDefault="003E0F27" w:rsidP="005C0D49">
                  <w:pPr>
                    <w:pStyle w:val="TableColumnHeading"/>
                  </w:pPr>
                  <w:r w:rsidRPr="001552DE">
                    <w:t>NT</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3E0F27" w:rsidRPr="003E0F27" w:rsidRDefault="003E0F27" w:rsidP="003E0F27">
                  <w:pPr>
                    <w:pStyle w:val="TableBodyText"/>
                  </w:pPr>
                  <w:r w:rsidRPr="003E0F27">
                    <w:t>521.7 ± 22.2</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w:t>
                  </w:r>
                </w:p>
              </w:tc>
            </w:tr>
            <w:tr w:rsidR="003E0F27" w:rsidRPr="00895A13" w:rsidTr="002316F7">
              <w:tc>
                <w:tcPr>
                  <w:tcW w:w="865" w:type="dxa"/>
                  <w:tcBorders>
                    <w:top w:val="dotted" w:sz="4" w:space="0" w:color="auto"/>
                    <w:left w:val="dotted" w:sz="4" w:space="0" w:color="auto"/>
                    <w:bottom w:val="dotted" w:sz="4" w:space="0" w:color="auto"/>
                    <w:right w:val="dotted" w:sz="4" w:space="0" w:color="auto"/>
                  </w:tcBorders>
                  <w:shd w:val="clear" w:color="auto" w:fill="auto"/>
                </w:tcPr>
                <w:p w:rsidR="003E0F27" w:rsidRPr="001552DE" w:rsidRDefault="003E0F27" w:rsidP="005C0D49">
                  <w:pPr>
                    <w:pStyle w:val="TableColumnHeading"/>
                  </w:pPr>
                  <w:r w:rsidRPr="001552DE">
                    <w:t>Aust</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3E0F27" w:rsidRPr="003E0F27" w:rsidRDefault="003E0F27" w:rsidP="003E0F27">
                  <w:pPr>
                    <w:pStyle w:val="TableBodyText"/>
                  </w:pPr>
                  <w:r w:rsidRPr="003E0F27">
                    <w:t>580.4 ± 1.5</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3E0F27" w:rsidRDefault="003E0F27" w:rsidP="003E0F27">
                  <w:pPr>
                    <w:pStyle w:val="TableBodyText"/>
                  </w:pPr>
                  <w:r>
                    <w:t>.. </w:t>
                  </w:r>
                </w:p>
              </w:tc>
            </w:tr>
          </w:tbl>
          <w:p w:rsidR="001552DE" w:rsidRDefault="001552DE" w:rsidP="005C0D49">
            <w:pPr>
              <w:pStyle w:val="Box"/>
            </w:pPr>
          </w:p>
        </w:tc>
      </w:tr>
      <w:tr w:rsidR="006F2A4E" w:rsidTr="00A97042">
        <w:trPr>
          <w:cantSplit/>
        </w:trPr>
        <w:tc>
          <w:tcPr>
            <w:tcW w:w="8909" w:type="dxa"/>
            <w:gridSpan w:val="2"/>
            <w:tcBorders>
              <w:top w:val="nil"/>
              <w:left w:val="nil"/>
              <w:bottom w:val="nil"/>
              <w:right w:val="nil"/>
            </w:tcBorders>
            <w:shd w:val="clear" w:color="auto" w:fill="auto"/>
          </w:tcPr>
          <w:p w:rsidR="006F2A4E" w:rsidRPr="009F0531" w:rsidRDefault="006F2A4E" w:rsidP="007A42E5">
            <w:pPr>
              <w:pStyle w:val="Note"/>
            </w:pPr>
            <w:r w:rsidRPr="009F0531">
              <w:rPr>
                <w:rStyle w:val="NoteLabel"/>
                <w:b w:val="0"/>
                <w:position w:val="0"/>
              </w:rPr>
              <w:t>▲</w:t>
            </w:r>
            <w:r>
              <w:t xml:space="preserve"> </w:t>
            </w:r>
            <w:r w:rsidRPr="009F0531">
              <w:t xml:space="preserve">Average achievement is substantially above and is statistically significantly different from the comparison State/Territory. </w:t>
            </w:r>
            <w:r w:rsidRPr="009F0531">
              <w:rPr>
                <w:rFonts w:ascii="Cambria Math" w:hAnsi="Cambria Math" w:cs="Cambria Math"/>
              </w:rPr>
              <w:t>△</w:t>
            </w:r>
            <w:r w:rsidRPr="009F0531">
              <w:t xml:space="preserve"> Average achievement is above and is statistically significantly different from the comparison State/Territory. ■ Average achievement is close to or not statistically different from the comparison State/Territory. </w:t>
            </w:r>
            <w:r w:rsidRPr="009F0531">
              <w:rPr>
                <w:rFonts w:ascii="MS Gothic" w:eastAsia="MS Gothic" w:hAnsi="MS Gothic" w:cs="MS Gothic" w:hint="eastAsia"/>
              </w:rPr>
              <w:t>▽</w:t>
            </w:r>
            <w:r w:rsidR="00C32E47">
              <w:rPr>
                <w:rFonts w:ascii="MS Gothic" w:eastAsia="MS Gothic" w:hAnsi="MS Gothic" w:cs="MS Gothic"/>
              </w:rPr>
              <w:t xml:space="preserve"> </w:t>
            </w:r>
            <w:r w:rsidRPr="009F0531">
              <w:t>Average achievement is below and is statistically significantly different from the comparison State/Territory. ▼ Average achievement is substantially below and is statistically significantly different from the comparison State/Territory.</w:t>
            </w:r>
          </w:p>
          <w:p w:rsidR="006F2A4E" w:rsidRDefault="006F2A4E" w:rsidP="007A42E5">
            <w:pPr>
              <w:pStyle w:val="Note"/>
              <w:rPr>
                <w:i/>
              </w:rPr>
            </w:pPr>
            <w:r w:rsidRPr="008E77FE">
              <w:rPr>
                <w:rStyle w:val="NoteLabel"/>
              </w:rPr>
              <w:t>a</w:t>
            </w:r>
            <w:r w:rsidRPr="009F0531">
              <w:t> For further information and caveats see table 4A.39.</w:t>
            </w:r>
            <w:r>
              <w:t xml:space="preserve"> .. not applicable.</w:t>
            </w:r>
          </w:p>
        </w:tc>
      </w:tr>
      <w:tr w:rsidR="006F2A4E" w:rsidTr="00A97042">
        <w:trPr>
          <w:cantSplit/>
        </w:trPr>
        <w:tc>
          <w:tcPr>
            <w:tcW w:w="8909" w:type="dxa"/>
            <w:gridSpan w:val="2"/>
            <w:tcBorders>
              <w:top w:val="nil"/>
              <w:left w:val="nil"/>
              <w:bottom w:val="nil"/>
              <w:right w:val="nil"/>
            </w:tcBorders>
            <w:shd w:val="clear" w:color="auto" w:fill="auto"/>
          </w:tcPr>
          <w:p w:rsidR="006F2A4E" w:rsidRDefault="006F2A4E" w:rsidP="007A42E5">
            <w:pPr>
              <w:pStyle w:val="Source"/>
            </w:pPr>
            <w:r>
              <w:rPr>
                <w:i/>
              </w:rPr>
              <w:t>Source</w:t>
            </w:r>
            <w:r w:rsidRPr="00167F06">
              <w:t xml:space="preserve">: </w:t>
            </w:r>
            <w:r w:rsidRPr="006F2A4E">
              <w:t>ACARA (2014</w:t>
            </w:r>
            <w:r w:rsidR="00592D0D" w:rsidRPr="00BE4E82">
              <w:t xml:space="preserve"> and unpublished</w:t>
            </w:r>
            <w:r w:rsidRPr="006F2A4E">
              <w:t xml:space="preserve">) </w:t>
            </w:r>
            <w:r w:rsidRPr="006F2A4E">
              <w:rPr>
                <w:i/>
              </w:rPr>
              <w:t>NAPLAN Achievement in Reading, Writing, Language Conventions and Numeracy: National Report for 2014</w:t>
            </w:r>
            <w:r w:rsidRPr="006F2A4E">
              <w:t>; table 4A.39.</w:t>
            </w:r>
          </w:p>
        </w:tc>
      </w:tr>
      <w:tr w:rsidR="006F2A4E" w:rsidTr="00A97042">
        <w:trPr>
          <w:cantSplit/>
        </w:trPr>
        <w:tc>
          <w:tcPr>
            <w:tcW w:w="8909" w:type="dxa"/>
            <w:gridSpan w:val="2"/>
            <w:tcBorders>
              <w:top w:val="nil"/>
              <w:left w:val="nil"/>
              <w:bottom w:val="single" w:sz="6" w:space="0" w:color="78A22F"/>
              <w:right w:val="nil"/>
            </w:tcBorders>
            <w:shd w:val="clear" w:color="auto" w:fill="auto"/>
          </w:tcPr>
          <w:p w:rsidR="006F2A4E" w:rsidRDefault="006F2A4E" w:rsidP="007A42E5">
            <w:pPr>
              <w:pStyle w:val="Box"/>
              <w:spacing w:before="0" w:line="120" w:lineRule="exact"/>
            </w:pPr>
          </w:p>
        </w:tc>
      </w:tr>
      <w:tr w:rsidR="006F2A4E" w:rsidRPr="000863A5" w:rsidTr="00A97042">
        <w:tc>
          <w:tcPr>
            <w:tcW w:w="8909" w:type="dxa"/>
            <w:gridSpan w:val="2"/>
            <w:tcBorders>
              <w:top w:val="single" w:sz="6" w:space="0" w:color="78A22F"/>
              <w:left w:val="nil"/>
              <w:bottom w:val="nil"/>
              <w:right w:val="nil"/>
            </w:tcBorders>
          </w:tcPr>
          <w:p w:rsidR="006F2A4E" w:rsidRPr="00626D32" w:rsidRDefault="006F2A4E" w:rsidP="007A42E5">
            <w:pPr>
              <w:pStyle w:val="BoxSpaceBelow"/>
            </w:pPr>
          </w:p>
        </w:tc>
      </w:tr>
    </w:tbl>
    <w:p w:rsidR="00666ECE" w:rsidRPr="00666ECE" w:rsidRDefault="00666ECE" w:rsidP="007B0AE2">
      <w:pPr>
        <w:pStyle w:val="Heading6"/>
      </w:pPr>
      <w:r w:rsidRPr="00666ECE">
        <w:t>Geolocation</w:t>
      </w:r>
    </w:p>
    <w:p w:rsidR="00666ECE" w:rsidRPr="007B32D4" w:rsidRDefault="00666ECE" w:rsidP="002316F7">
      <w:pPr>
        <w:pStyle w:val="BodyText"/>
      </w:pPr>
      <w:r w:rsidRPr="00CE6669">
        <w:t>Nationally, in 201</w:t>
      </w:r>
      <w:r w:rsidR="00B13ED5">
        <w:t>4</w:t>
      </w:r>
      <w:r w:rsidRPr="00CE6669">
        <w:t xml:space="preserve">, reading outcomes tended to decline with remoteness. In year </w:t>
      </w:r>
      <w:r w:rsidR="000A554E">
        <w:t>3</w:t>
      </w:r>
      <w:r w:rsidRPr="00CE6669">
        <w:t>, for example</w:t>
      </w:r>
      <w:r w:rsidRPr="002316F7">
        <w:rPr>
          <w:shd w:val="clear" w:color="auto" w:fill="FFFFFF" w:themeFill="background1"/>
        </w:rPr>
        <w:t xml:space="preserve">, </w:t>
      </w:r>
      <w:r w:rsidR="002A79FF" w:rsidRPr="002316F7">
        <w:rPr>
          <w:shd w:val="clear" w:color="auto" w:fill="FFFFFF" w:themeFill="background1"/>
        </w:rPr>
        <w:t>94.5–94.9</w:t>
      </w:r>
      <w:r w:rsidRPr="002316F7">
        <w:rPr>
          <w:shd w:val="clear" w:color="auto" w:fill="FFFFFF" w:themeFill="background1"/>
        </w:rPr>
        <w:t xml:space="preserve"> per</w:t>
      </w:r>
      <w:r w:rsidRPr="00CE6669">
        <w:t xml:space="preserve"> cent of students in metropolitan areas achieved at or above the reading national minimum standard, </w:t>
      </w:r>
      <w:r w:rsidR="00085459">
        <w:t xml:space="preserve">significantly </w:t>
      </w:r>
      <w:r w:rsidRPr="00CE6669">
        <w:t>higher than the proportions of provincial students (</w:t>
      </w:r>
      <w:r w:rsidR="002A79FF" w:rsidRPr="002316F7">
        <w:rPr>
          <w:shd w:val="clear" w:color="auto" w:fill="FFFFFF" w:themeFill="background1"/>
        </w:rPr>
        <w:t>91.8–92.6</w:t>
      </w:r>
      <w:r w:rsidR="005303EE" w:rsidRPr="00CE6669">
        <w:t xml:space="preserve"> </w:t>
      </w:r>
      <w:r w:rsidRPr="00CE6669">
        <w:t>per cent), remote students (</w:t>
      </w:r>
      <w:r w:rsidR="002A79FF" w:rsidRPr="002316F7">
        <w:rPr>
          <w:shd w:val="clear" w:color="auto" w:fill="FFFFFF" w:themeFill="background1"/>
        </w:rPr>
        <w:t>81.7–86.7</w:t>
      </w:r>
      <w:r w:rsidR="00C43453">
        <w:t xml:space="preserve"> </w:t>
      </w:r>
      <w:r w:rsidRPr="00CE6669">
        <w:t xml:space="preserve">per cent) and </w:t>
      </w:r>
      <w:r w:rsidRPr="007B32D4">
        <w:t>very remote students (</w:t>
      </w:r>
      <w:r w:rsidR="002A79FF" w:rsidRPr="002316F7">
        <w:rPr>
          <w:shd w:val="clear" w:color="auto" w:fill="FFFFFF" w:themeFill="background1"/>
        </w:rPr>
        <w:t>49.6–61.8</w:t>
      </w:r>
      <w:r w:rsidR="005303EE" w:rsidRPr="002316F7">
        <w:rPr>
          <w:shd w:val="clear" w:color="auto" w:fill="FFFFFF" w:themeFill="background1"/>
        </w:rPr>
        <w:t xml:space="preserve"> </w:t>
      </w:r>
      <w:r w:rsidRPr="002316F7">
        <w:rPr>
          <w:shd w:val="clear" w:color="auto" w:fill="FFFFFF" w:themeFill="background1"/>
        </w:rPr>
        <w:t>per</w:t>
      </w:r>
      <w:r w:rsidRPr="007B32D4">
        <w:t xml:space="preserve"> cent) (figure 4.</w:t>
      </w:r>
      <w:r w:rsidR="00A37418">
        <w:t>2</w:t>
      </w:r>
      <w:r w:rsidR="00FF2AB3">
        <w:t>8</w:t>
      </w:r>
      <w:r w:rsidRPr="007B32D4">
        <w:t>).</w:t>
      </w:r>
    </w:p>
    <w:p w:rsidR="00666ECE" w:rsidRPr="007B32D4" w:rsidRDefault="00666ECE" w:rsidP="0089766B">
      <w:pPr>
        <w:pStyle w:val="BodyText"/>
        <w:rPr>
          <w:szCs w:val="26"/>
        </w:rPr>
      </w:pPr>
      <w:bookmarkStart w:id="21" w:name="OLE_LINK98"/>
      <w:bookmarkStart w:id="22" w:name="OLE_LINK99"/>
      <w:r w:rsidRPr="007B32D4">
        <w:t xml:space="preserve">For all geolocation categories across years 3, 5, 7 and 9, reading outcomes nationally for </w:t>
      </w:r>
      <w:r w:rsidR="002D5668">
        <w:t>Aboriginal and Torres Strait Islander</w:t>
      </w:r>
      <w:r w:rsidRPr="007B32D4">
        <w:t xml:space="preserve"> students were lower than those for non-Indigenous students. Nationally, outcomes for </w:t>
      </w:r>
      <w:r w:rsidR="002D5668">
        <w:t>Aboriginal and Torres Strait Islander</w:t>
      </w:r>
      <w:r w:rsidRPr="007B32D4">
        <w:t xml:space="preserve"> students generally declined as remoteness increased, and</w:t>
      </w:r>
      <w:bookmarkStart w:id="23" w:name="OLE_LINK88"/>
      <w:bookmarkStart w:id="24" w:name="OLE_LINK89"/>
      <w:r w:rsidRPr="007B32D4">
        <w:rPr>
          <w:szCs w:val="26"/>
        </w:rPr>
        <w:t xml:space="preserve"> the gap in learning outcomes between </w:t>
      </w:r>
      <w:r w:rsidR="00701AD6" w:rsidRPr="00701AD6">
        <w:rPr>
          <w:szCs w:val="26"/>
        </w:rPr>
        <w:t>Aboriginal and Torres Strait Islander</w:t>
      </w:r>
      <w:r w:rsidRPr="007B32D4">
        <w:rPr>
          <w:szCs w:val="26"/>
        </w:rPr>
        <w:t xml:space="preserve"> studen</w:t>
      </w:r>
      <w:r w:rsidR="00404778" w:rsidRPr="007B32D4">
        <w:rPr>
          <w:szCs w:val="26"/>
        </w:rPr>
        <w:t xml:space="preserve">ts and non-Indigenous students </w:t>
      </w:r>
      <w:r w:rsidRPr="007B32D4">
        <w:rPr>
          <w:szCs w:val="26"/>
        </w:rPr>
        <w:t>was generally greater in remote and very remote areas than in metropolitan and provincial areas.</w:t>
      </w:r>
    </w:p>
    <w:p w:rsidR="00666ECE" w:rsidRPr="00666ECE" w:rsidRDefault="00666ECE" w:rsidP="0089766B">
      <w:pPr>
        <w:pStyle w:val="BodyText"/>
      </w:pPr>
      <w:r w:rsidRPr="007B32D4">
        <w:lastRenderedPageBreak/>
        <w:t xml:space="preserve">State and Territory results by Indigenous status and geolocation for years 3, 5, </w:t>
      </w:r>
      <w:r w:rsidRPr="00666ECE">
        <w:t>7 and 9 reading literacy are in table 4A.3</w:t>
      </w:r>
      <w:r w:rsidR="00220AAE">
        <w:t>7</w:t>
      </w:r>
      <w:r w:rsidRPr="00666ECE">
        <w:t>. The general pattern in jurisdictions appears similar to the national results. However, due to relatively large confidence intervals, caution should be exercised when making comparisons for some data. Mean scale score results by Indigenous status and geolocation are provided in table 4A.</w:t>
      </w:r>
      <w:r w:rsidR="00220AAE">
        <w:t>40</w:t>
      </w:r>
      <w:r w:rsidRPr="00666ECE">
        <w:t>.</w:t>
      </w:r>
    </w:p>
    <w:bookmarkEnd w:id="21"/>
    <w:bookmarkEnd w:id="22"/>
    <w:bookmarkEnd w:id="23"/>
    <w:bookmarkEnd w:id="24"/>
    <w:p w:rsidR="0089766B" w:rsidRDefault="0089766B" w:rsidP="00B4549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9766B" w:rsidTr="00B45495">
        <w:tc>
          <w:tcPr>
            <w:tcW w:w="8771" w:type="dxa"/>
            <w:tcBorders>
              <w:top w:val="single" w:sz="6" w:space="0" w:color="78A22F"/>
              <w:left w:val="nil"/>
              <w:bottom w:val="nil"/>
              <w:right w:val="nil"/>
            </w:tcBorders>
            <w:shd w:val="clear" w:color="auto" w:fill="auto"/>
          </w:tcPr>
          <w:p w:rsidR="0089766B" w:rsidRPr="00176D3F" w:rsidRDefault="0089766B" w:rsidP="0089766B">
            <w:pPr>
              <w:pStyle w:val="FigureTitle"/>
            </w:pPr>
            <w:r w:rsidRPr="00784A05">
              <w:rPr>
                <w:b w:val="0"/>
              </w:rPr>
              <w:t xml:space="preserve">Figure </w:t>
            </w:r>
            <w:r w:rsidR="00B70781">
              <w:rPr>
                <w:b w:val="0"/>
              </w:rPr>
              <w:t>4.</w:t>
            </w:r>
            <w:r w:rsidR="005953B6">
              <w:rPr>
                <w:b w:val="0"/>
                <w:noProof/>
              </w:rPr>
              <w:t>28</w:t>
            </w:r>
            <w:r>
              <w:tab/>
            </w:r>
            <w:r w:rsidRPr="0089766B">
              <w:t>National proportion of year 3 students achieving at or above the reading national minimum standard, by Indigenous status and geolocation, 201</w:t>
            </w:r>
            <w:r>
              <w:t>4</w:t>
            </w:r>
            <w:r w:rsidRPr="0089766B">
              <w:rPr>
                <w:rStyle w:val="NoteLabel"/>
                <w:b/>
              </w:rPr>
              <w:t>a, b</w:t>
            </w:r>
          </w:p>
        </w:tc>
      </w:tr>
      <w:tr w:rsidR="0089766B" w:rsidTr="002316F7">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89766B" w:rsidTr="00B45495">
              <w:trPr>
                <w:jc w:val="center"/>
              </w:trPr>
              <w:tc>
                <w:tcPr>
                  <w:tcW w:w="5000" w:type="pct"/>
                  <w:tcBorders>
                    <w:top w:val="nil"/>
                    <w:bottom w:val="nil"/>
                  </w:tcBorders>
                </w:tcPr>
                <w:p w:rsidR="0089766B" w:rsidRDefault="00E07C77" w:rsidP="00B45495">
                  <w:pPr>
                    <w:pStyle w:val="Figure"/>
                    <w:spacing w:before="60" w:after="60"/>
                  </w:pPr>
                  <w:r>
                    <w:rPr>
                      <w:noProof/>
                    </w:rPr>
                    <w:drawing>
                      <wp:inline distT="0" distB="0" distL="0" distR="0" wp14:anchorId="15256A6E" wp14:editId="5770B15C">
                        <wp:extent cx="5391150" cy="2695575"/>
                        <wp:effectExtent l="0" t="0" r="0" b="9525"/>
                        <wp:docPr id="28" name="Picture 28" descr="Figure 4.28 National proportion of year 3 students achieving at or above the reading national minimum standard, by Indigenous status and geolocation,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89766B" w:rsidRDefault="0089766B" w:rsidP="00B45495">
            <w:pPr>
              <w:pStyle w:val="Figure"/>
            </w:pPr>
          </w:p>
        </w:tc>
      </w:tr>
      <w:tr w:rsidR="0089766B" w:rsidRPr="00176D3F" w:rsidTr="00B45495">
        <w:tc>
          <w:tcPr>
            <w:tcW w:w="8771" w:type="dxa"/>
            <w:tcBorders>
              <w:top w:val="nil"/>
              <w:left w:val="nil"/>
              <w:bottom w:val="nil"/>
              <w:right w:val="nil"/>
            </w:tcBorders>
            <w:shd w:val="clear" w:color="auto" w:fill="auto"/>
          </w:tcPr>
          <w:p w:rsidR="0089766B" w:rsidRPr="00176D3F" w:rsidRDefault="0089766B" w:rsidP="00B45495">
            <w:pPr>
              <w:pStyle w:val="Note"/>
            </w:pPr>
            <w:r>
              <w:rPr>
                <w:rStyle w:val="NoteLabel"/>
              </w:rPr>
              <w:t>a</w:t>
            </w:r>
            <w:r>
              <w:t xml:space="preserve"> </w:t>
            </w:r>
            <w:r w:rsidRPr="0089766B">
              <w:sym w:font="Symbol" w:char="F020"/>
            </w:r>
            <w:r w:rsidRPr="0089766B">
              <w:t xml:space="preserve"> Error bars represent the 95 per cent confidence interval associated with each point estimate. </w:t>
            </w:r>
            <w:r w:rsidRPr="00820CF9">
              <w:rPr>
                <w:rStyle w:val="NoteLabel"/>
              </w:rPr>
              <w:t>b</w:t>
            </w:r>
            <w:r w:rsidRPr="0089766B">
              <w:t> Data for year 3 students are shown and may not be representative of students in years 5, 7 and 9</w:t>
            </w:r>
            <w:r w:rsidR="00CD7A77">
              <w:t>,</w:t>
            </w:r>
            <w:r w:rsidRPr="0089766B">
              <w:t xml:space="preserve"> which are detailed in table 4A.37. </w:t>
            </w:r>
          </w:p>
        </w:tc>
      </w:tr>
      <w:tr w:rsidR="0089766B" w:rsidRPr="00176D3F" w:rsidTr="00B45495">
        <w:tc>
          <w:tcPr>
            <w:tcW w:w="8771" w:type="dxa"/>
            <w:tcBorders>
              <w:top w:val="nil"/>
              <w:left w:val="nil"/>
              <w:bottom w:val="nil"/>
              <w:right w:val="nil"/>
            </w:tcBorders>
            <w:shd w:val="clear" w:color="auto" w:fill="auto"/>
          </w:tcPr>
          <w:p w:rsidR="0089766B" w:rsidRPr="00176D3F" w:rsidRDefault="0089766B" w:rsidP="00CE6853">
            <w:pPr>
              <w:pStyle w:val="Source"/>
            </w:pPr>
            <w:r>
              <w:rPr>
                <w:i/>
              </w:rPr>
              <w:t>S</w:t>
            </w:r>
            <w:r w:rsidRPr="00784A05">
              <w:rPr>
                <w:i/>
              </w:rPr>
              <w:t>ource</w:t>
            </w:r>
            <w:r w:rsidRPr="00176D3F">
              <w:t xml:space="preserve">: </w:t>
            </w:r>
            <w:r w:rsidRPr="0089766B">
              <w:t>ACARA (201</w:t>
            </w:r>
            <w:r w:rsidR="00CE6853">
              <w:t>4</w:t>
            </w:r>
            <w:r w:rsidRPr="0089766B">
              <w:t xml:space="preserve"> and unpublished) </w:t>
            </w:r>
            <w:r w:rsidRPr="0089766B">
              <w:rPr>
                <w:i/>
              </w:rPr>
              <w:t>NAPLAN Achievement in Reading, Writing, Language Conventions and Numeracy: National Report for 201</w:t>
            </w:r>
            <w:r w:rsidR="00CE6853">
              <w:rPr>
                <w:i/>
              </w:rPr>
              <w:t>4</w:t>
            </w:r>
            <w:r w:rsidRPr="0089766B">
              <w:t>; table 4A.37.</w:t>
            </w:r>
          </w:p>
        </w:tc>
      </w:tr>
      <w:tr w:rsidR="0089766B" w:rsidTr="00B45495">
        <w:tc>
          <w:tcPr>
            <w:tcW w:w="8771" w:type="dxa"/>
            <w:tcBorders>
              <w:top w:val="nil"/>
              <w:left w:val="nil"/>
              <w:bottom w:val="single" w:sz="6" w:space="0" w:color="78A22F"/>
              <w:right w:val="nil"/>
            </w:tcBorders>
            <w:shd w:val="clear" w:color="auto" w:fill="auto"/>
          </w:tcPr>
          <w:p w:rsidR="0089766B" w:rsidRDefault="0089766B" w:rsidP="00B45495">
            <w:pPr>
              <w:pStyle w:val="Figurespace"/>
            </w:pPr>
          </w:p>
        </w:tc>
      </w:tr>
      <w:tr w:rsidR="0089766B" w:rsidRPr="000863A5" w:rsidTr="00B45495">
        <w:tc>
          <w:tcPr>
            <w:tcW w:w="8771" w:type="dxa"/>
            <w:tcBorders>
              <w:top w:val="single" w:sz="6" w:space="0" w:color="78A22F"/>
              <w:left w:val="nil"/>
              <w:bottom w:val="nil"/>
              <w:right w:val="nil"/>
            </w:tcBorders>
          </w:tcPr>
          <w:p w:rsidR="0089766B" w:rsidRPr="00626D32" w:rsidRDefault="0089766B" w:rsidP="00B45495">
            <w:pPr>
              <w:pStyle w:val="BoxSpaceBelow"/>
            </w:pPr>
          </w:p>
        </w:tc>
      </w:tr>
    </w:tbl>
    <w:p w:rsidR="00666ECE" w:rsidRPr="00666ECE" w:rsidRDefault="00666ECE" w:rsidP="007B0AE2">
      <w:pPr>
        <w:pStyle w:val="Heading6"/>
      </w:pPr>
      <w:r w:rsidRPr="00666ECE">
        <w:t>Socio</w:t>
      </w:r>
      <w:r w:rsidR="009131A4">
        <w:t>-</w:t>
      </w:r>
      <w:r w:rsidRPr="00666ECE">
        <w:t>economic status</w:t>
      </w:r>
    </w:p>
    <w:p w:rsidR="00666ECE" w:rsidRPr="00666ECE" w:rsidRDefault="00666ECE" w:rsidP="0089766B">
      <w:pPr>
        <w:pStyle w:val="BodyText"/>
      </w:pPr>
      <w:r w:rsidRPr="00666ECE">
        <w:t xml:space="preserve">State and </w:t>
      </w:r>
      <w:r w:rsidR="00406C4A">
        <w:t>T</w:t>
      </w:r>
      <w:r w:rsidRPr="00666ECE">
        <w:t>erritory data on the proportions of students achieving at or above the national minimum standard and mean scale scores in reading assessment for years</w:t>
      </w:r>
      <w:r w:rsidR="00B13ED5">
        <w:t xml:space="preserve"> </w:t>
      </w:r>
      <w:r w:rsidRPr="00666ECE">
        <w:t>3, 5, 7 and 9 by parental education and parental occupation for 201</w:t>
      </w:r>
      <w:r w:rsidR="00B13ED5">
        <w:t>4</w:t>
      </w:r>
      <w:r w:rsidRPr="00666ECE">
        <w:t xml:space="preserve"> are included in tables</w:t>
      </w:r>
      <w:r w:rsidR="003E2CB5">
        <w:t xml:space="preserve"> </w:t>
      </w:r>
      <w:r w:rsidRPr="00666ECE">
        <w:t>4A.3</w:t>
      </w:r>
      <w:r w:rsidR="00220AAE">
        <w:t>8</w:t>
      </w:r>
      <w:r w:rsidRPr="00666ECE">
        <w:t xml:space="preserve"> and 4A.</w:t>
      </w:r>
      <w:r w:rsidR="00220AAE">
        <w:t>41</w:t>
      </w:r>
      <w:r w:rsidRPr="00666ECE">
        <w:t xml:space="preserve">. </w:t>
      </w:r>
      <w:r w:rsidR="00D948AA">
        <w:t>D</w:t>
      </w:r>
      <w:r w:rsidRPr="00666ECE">
        <w:t xml:space="preserve">ata </w:t>
      </w:r>
      <w:r w:rsidR="00B13ED5">
        <w:t>2013 are in table</w:t>
      </w:r>
      <w:r w:rsidR="00252EB9">
        <w:t>s</w:t>
      </w:r>
      <w:r w:rsidR="00B13ED5">
        <w:t xml:space="preserve"> </w:t>
      </w:r>
      <w:proofErr w:type="spellStart"/>
      <w:r w:rsidR="00B13ED5">
        <w:t>4A.</w:t>
      </w:r>
      <w:r w:rsidR="00252EB9">
        <w:t>56</w:t>
      </w:r>
      <w:proofErr w:type="spellEnd"/>
      <w:r w:rsidR="00252EB9">
        <w:t xml:space="preserve"> and </w:t>
      </w:r>
      <w:proofErr w:type="spellStart"/>
      <w:r w:rsidR="00321BBB">
        <w:t>4A.</w:t>
      </w:r>
      <w:r w:rsidR="00252EB9">
        <w:t>59</w:t>
      </w:r>
      <w:proofErr w:type="spellEnd"/>
      <w:r w:rsidR="00B13ED5">
        <w:t xml:space="preserve">. Data </w:t>
      </w:r>
      <w:r w:rsidR="00D948AA">
        <w:t>for</w:t>
      </w:r>
      <w:r w:rsidR="00AF243E">
        <w:t xml:space="preserve"> 2010</w:t>
      </w:r>
      <w:r w:rsidR="00B13ED5">
        <w:t>, 2011 and 2012</w:t>
      </w:r>
      <w:r w:rsidRPr="00666ECE">
        <w:t xml:space="preserve"> were included in </w:t>
      </w:r>
      <w:r w:rsidR="00D948AA">
        <w:t xml:space="preserve">the </w:t>
      </w:r>
      <w:r w:rsidR="00B13ED5">
        <w:t>earlier</w:t>
      </w:r>
      <w:r w:rsidR="00FC2FDF">
        <w:t xml:space="preserve"> </w:t>
      </w:r>
      <w:r w:rsidR="00D948AA">
        <w:t>Report</w:t>
      </w:r>
      <w:r w:rsidR="00FC2FDF">
        <w:t>s</w:t>
      </w:r>
      <w:r w:rsidRPr="00666ECE">
        <w:t>.</w:t>
      </w:r>
    </w:p>
    <w:p w:rsidR="007072F5" w:rsidRDefault="00076F94" w:rsidP="007B0AE2">
      <w:pPr>
        <w:pStyle w:val="Heading6"/>
      </w:pPr>
      <w:r w:rsidRPr="00076F94">
        <w:t>Time series analysis of NAP</w:t>
      </w:r>
      <w:r w:rsidR="007072F5">
        <w:t>LAN reading outcomes</w:t>
      </w:r>
    </w:p>
    <w:p w:rsidR="007072F5" w:rsidRPr="0089766B" w:rsidRDefault="007072F5" w:rsidP="0089766B">
      <w:pPr>
        <w:pStyle w:val="BodyText"/>
      </w:pPr>
      <w:r w:rsidRPr="0089766B">
        <w:t>The following time series outcomes are reported:</w:t>
      </w:r>
    </w:p>
    <w:p w:rsidR="007072F5" w:rsidRPr="0089766B" w:rsidRDefault="007072F5" w:rsidP="0089766B">
      <w:pPr>
        <w:pStyle w:val="ListBullet"/>
      </w:pPr>
      <w:r w:rsidRPr="0089766B">
        <w:t xml:space="preserve">The difference between two given years for a level (for example, year </w:t>
      </w:r>
      <w:r w:rsidR="00C43453" w:rsidRPr="0089766B">
        <w:t>5</w:t>
      </w:r>
      <w:r w:rsidRPr="0089766B">
        <w:t xml:space="preserve"> reading from 201</w:t>
      </w:r>
      <w:r w:rsidR="00B13ED5" w:rsidRPr="0089766B">
        <w:t>3</w:t>
      </w:r>
      <w:r w:rsidRPr="0089766B">
        <w:t xml:space="preserve"> to 201</w:t>
      </w:r>
      <w:r w:rsidR="00B13ED5" w:rsidRPr="0089766B">
        <w:t>4</w:t>
      </w:r>
      <w:r w:rsidRPr="0089766B">
        <w:t>), for both the proportion at and above the national minimum standard and mean scale scores</w:t>
      </w:r>
      <w:r w:rsidR="00C43453" w:rsidRPr="0089766B">
        <w:t>.</w:t>
      </w:r>
    </w:p>
    <w:p w:rsidR="007072F5" w:rsidRPr="0089766B" w:rsidRDefault="007072F5" w:rsidP="0089766B">
      <w:pPr>
        <w:pStyle w:val="ListBullet"/>
      </w:pPr>
      <w:r w:rsidRPr="0089766B">
        <w:lastRenderedPageBreak/>
        <w:t>The gain in mean scale score by a cohort of students as they move between year levels (for example year 3 reading in 201</w:t>
      </w:r>
      <w:r w:rsidR="00B13ED5" w:rsidRPr="0089766B">
        <w:t>2</w:t>
      </w:r>
      <w:r w:rsidRPr="0089766B">
        <w:t xml:space="preserve"> to year 5 reading in 201</w:t>
      </w:r>
      <w:r w:rsidR="00B13ED5" w:rsidRPr="0089766B">
        <w:t>4</w:t>
      </w:r>
      <w:r w:rsidRPr="0089766B">
        <w:t>).</w:t>
      </w:r>
    </w:p>
    <w:p w:rsidR="00076F94" w:rsidRDefault="00076F94" w:rsidP="007B0AE2">
      <w:pPr>
        <w:pStyle w:val="Heading6"/>
      </w:pPr>
      <w:r w:rsidRPr="00076F94">
        <w:t>Statistical significance of differences between years</w:t>
      </w:r>
    </w:p>
    <w:p w:rsidR="00085459" w:rsidRPr="007B32D4" w:rsidRDefault="00085459" w:rsidP="00197701">
      <w:pPr>
        <w:pStyle w:val="BodyText"/>
        <w:shd w:val="clear" w:color="auto" w:fill="FFFFFF" w:themeFill="background1"/>
      </w:pPr>
      <w:r w:rsidRPr="007B32D4">
        <w:t>Table 4.</w:t>
      </w:r>
      <w:r w:rsidR="00A37418">
        <w:t>11</w:t>
      </w:r>
      <w:r w:rsidRPr="007B32D4">
        <w:t xml:space="preserve"> provides a summary of differences in achievement </w:t>
      </w:r>
      <w:r w:rsidR="00C43453">
        <w:t xml:space="preserve">at year 5 </w:t>
      </w:r>
      <w:r w:rsidRPr="007B32D4">
        <w:t>for mean scale score and proportions at and above national minimum standard</w:t>
      </w:r>
      <w:r w:rsidR="005C1D95">
        <w:t xml:space="preserve"> for reading</w:t>
      </w:r>
      <w:r w:rsidRPr="007B32D4">
        <w:t>, by Indigenous status, on a national basis</w:t>
      </w:r>
      <w:r w:rsidR="005C1D95">
        <w:t>,</w:t>
      </w:r>
      <w:r w:rsidRPr="007B32D4">
        <w:t xml:space="preserve"> across various years. Data for states and territories are in </w:t>
      </w:r>
      <w:r w:rsidRPr="00653D15">
        <w:rPr>
          <w:shd w:val="clear" w:color="auto" w:fill="FFFFFF" w:themeFill="background1"/>
        </w:rPr>
        <w:t>tables 4A.4</w:t>
      </w:r>
      <w:r w:rsidR="00220AAE" w:rsidRPr="00653D15">
        <w:rPr>
          <w:shd w:val="clear" w:color="auto" w:fill="FFFFFF" w:themeFill="background1"/>
        </w:rPr>
        <w:t>4</w:t>
      </w:r>
      <w:r w:rsidRPr="00653D15">
        <w:rPr>
          <w:shd w:val="clear" w:color="auto" w:fill="FFFFFF" w:themeFill="background1"/>
        </w:rPr>
        <w:t>–</w:t>
      </w:r>
      <w:r w:rsidR="00220AAE" w:rsidRPr="00653D15">
        <w:rPr>
          <w:shd w:val="clear" w:color="auto" w:fill="FFFFFF" w:themeFill="background1"/>
        </w:rPr>
        <w:t>51</w:t>
      </w:r>
      <w:r w:rsidRPr="00653D15">
        <w:rPr>
          <w:shd w:val="clear" w:color="auto" w:fill="FFFFFF" w:themeFill="background1"/>
        </w:rPr>
        <w:t>.</w:t>
      </w:r>
      <w:r w:rsidRPr="007B32D4">
        <w:t xml:space="preserve"> These data are not comparable across jurisdictions and can only be used for a comparison across time for a jurisdiction, or nationally.</w:t>
      </w:r>
    </w:p>
    <w:p w:rsidR="0011371F" w:rsidRDefault="00076F94" w:rsidP="00197701">
      <w:pPr>
        <w:pStyle w:val="BodyText"/>
        <w:shd w:val="clear" w:color="auto" w:fill="FFFFFF" w:themeFill="background1"/>
      </w:pPr>
      <w:r w:rsidRPr="007B32D4">
        <w:t xml:space="preserve">Nationally, </w:t>
      </w:r>
      <w:r w:rsidR="0011371F">
        <w:t>for year 5 reading</w:t>
      </w:r>
      <w:r w:rsidR="0024765E">
        <w:t>:</w:t>
      </w:r>
    </w:p>
    <w:p w:rsidR="0011371F" w:rsidRDefault="00076F94" w:rsidP="00197701">
      <w:pPr>
        <w:pStyle w:val="ListBullet"/>
        <w:shd w:val="clear" w:color="auto" w:fill="FFFFFF" w:themeFill="background1"/>
      </w:pPr>
      <w:r w:rsidRPr="007B32D4">
        <w:t>the</w:t>
      </w:r>
      <w:r w:rsidR="0011371F">
        <w:t xml:space="preserve"> </w:t>
      </w:r>
      <w:r w:rsidR="0009443A">
        <w:t>proportion</w:t>
      </w:r>
      <w:r w:rsidR="0011371F">
        <w:t xml:space="preserve"> of students </w:t>
      </w:r>
      <w:r w:rsidR="0024765E">
        <w:t xml:space="preserve">achieving </w:t>
      </w:r>
      <w:r w:rsidR="0011371F">
        <w:t xml:space="preserve">at or above the </w:t>
      </w:r>
      <w:r w:rsidR="005C1D95" w:rsidRPr="007B32D4">
        <w:t>national minimum standard</w:t>
      </w:r>
      <w:r w:rsidR="0011371F">
        <w:t xml:space="preserve"> in 2014 was </w:t>
      </w:r>
      <w:r w:rsidR="002E3D01">
        <w:t>lower than</w:t>
      </w:r>
      <w:r w:rsidR="0011371F">
        <w:t xml:space="preserve"> and </w:t>
      </w:r>
      <w:r w:rsidR="005C1D95">
        <w:t xml:space="preserve">was </w:t>
      </w:r>
      <w:r w:rsidR="0011371F">
        <w:t xml:space="preserve">statistically significantly different from 2013, but </w:t>
      </w:r>
      <w:r w:rsidR="005C1D95">
        <w:t xml:space="preserve">close to or </w:t>
      </w:r>
      <w:r w:rsidR="0011371F">
        <w:t xml:space="preserve">not statistically significantly different from 2008. The mean scale score for 2014 was </w:t>
      </w:r>
      <w:r w:rsidR="0024765E">
        <w:t xml:space="preserve">above and </w:t>
      </w:r>
      <w:r w:rsidR="005C1D95">
        <w:t xml:space="preserve">was </w:t>
      </w:r>
      <w:r w:rsidR="0024765E">
        <w:t>statistically significantly different from 2008, but close to or not statistically significantly different from 2013</w:t>
      </w:r>
    </w:p>
    <w:p w:rsidR="0024765E" w:rsidRDefault="00BF6853" w:rsidP="00197701">
      <w:pPr>
        <w:pStyle w:val="ListBullet"/>
        <w:shd w:val="clear" w:color="auto" w:fill="FFFFFF" w:themeFill="background1"/>
      </w:pPr>
      <w:r>
        <w:t xml:space="preserve">the </w:t>
      </w:r>
      <w:r w:rsidR="0009443A">
        <w:t>proportion</w:t>
      </w:r>
      <w:r>
        <w:t xml:space="preserve"> of Aboriginal and Torres Strait Islander students achieving at or above the </w:t>
      </w:r>
      <w:r w:rsidR="005C1D95" w:rsidRPr="007B32D4">
        <w:t>national minimum standard</w:t>
      </w:r>
      <w:r>
        <w:t xml:space="preserve"> in 2014 was </w:t>
      </w:r>
      <w:r w:rsidR="0030452D">
        <w:t>lower then</w:t>
      </w:r>
      <w:r>
        <w:t xml:space="preserve"> and </w:t>
      </w:r>
      <w:r w:rsidR="0009443A">
        <w:t xml:space="preserve">was </w:t>
      </w:r>
      <w:r>
        <w:t xml:space="preserve">statistically significantly different from 2013, but </w:t>
      </w:r>
      <w:r w:rsidR="005C1D95">
        <w:t xml:space="preserve">close to or not </w:t>
      </w:r>
      <w:r>
        <w:t xml:space="preserve">statistically significantly different from 2008. The mean scale score for Aboriginal and Torres Strait Islander students in 2014 was below and </w:t>
      </w:r>
      <w:r w:rsidR="0009443A">
        <w:t xml:space="preserve">was </w:t>
      </w:r>
      <w:r>
        <w:t xml:space="preserve">statistically significantly different from 2013, but </w:t>
      </w:r>
      <w:r w:rsidR="0009443A">
        <w:t xml:space="preserve">was </w:t>
      </w:r>
      <w:r w:rsidR="005C1D95">
        <w:t xml:space="preserve">above and </w:t>
      </w:r>
      <w:r w:rsidR="0009443A">
        <w:t xml:space="preserve">was </w:t>
      </w:r>
      <w:r w:rsidR="005C1D95">
        <w:t>statistically significantly different</w:t>
      </w:r>
      <w:r>
        <w:t xml:space="preserve"> from 2008</w:t>
      </w:r>
    </w:p>
    <w:p w:rsidR="00BF6853" w:rsidRDefault="00BF6853" w:rsidP="00197701">
      <w:pPr>
        <w:pStyle w:val="ListBullet"/>
        <w:shd w:val="clear" w:color="auto" w:fill="FFFFFF" w:themeFill="background1"/>
      </w:pPr>
      <w:r w:rsidRPr="007B32D4">
        <w:t>the</w:t>
      </w:r>
      <w:r>
        <w:t xml:space="preserve"> </w:t>
      </w:r>
      <w:r w:rsidR="0009443A">
        <w:t>proportion</w:t>
      </w:r>
      <w:r>
        <w:t xml:space="preserve"> of non-Indigenous students achieving at or above the </w:t>
      </w:r>
      <w:r w:rsidR="005C1D95" w:rsidRPr="007B32D4">
        <w:t>national minimum standard</w:t>
      </w:r>
      <w:r>
        <w:t xml:space="preserve"> in 2014 was </w:t>
      </w:r>
      <w:r w:rsidR="0009443A">
        <w:t xml:space="preserve">lower than </w:t>
      </w:r>
      <w:r>
        <w:t xml:space="preserve">and </w:t>
      </w:r>
      <w:r w:rsidR="0009443A">
        <w:t xml:space="preserve">was </w:t>
      </w:r>
      <w:r>
        <w:t xml:space="preserve">statistically significantly different from 2013, but </w:t>
      </w:r>
      <w:r w:rsidR="0009443A">
        <w:t xml:space="preserve">close to or </w:t>
      </w:r>
      <w:r>
        <w:t xml:space="preserve">not statistically significantly different from 2008. The mean scale score for non-Indigenous students in 2014 was above and </w:t>
      </w:r>
      <w:r w:rsidR="0009443A">
        <w:t xml:space="preserve">was </w:t>
      </w:r>
      <w:r>
        <w:t>statistically significantly different from 2008, but close to or not statistically significantly different from 2013 (table 4.11).</w:t>
      </w:r>
    </w:p>
    <w:p w:rsidR="003E52C6" w:rsidRDefault="00076F94" w:rsidP="00197701">
      <w:pPr>
        <w:pStyle w:val="BodyText"/>
        <w:shd w:val="clear" w:color="auto" w:fill="FFFFFF" w:themeFill="background1"/>
        <w:rPr>
          <w:shd w:val="clear" w:color="auto" w:fill="FFFFFF" w:themeFill="background1"/>
        </w:rPr>
      </w:pPr>
      <w:r w:rsidRPr="007B32D4">
        <w:t xml:space="preserve">Data for years </w:t>
      </w:r>
      <w:r w:rsidR="004C1479" w:rsidRPr="007B32D4">
        <w:t>3</w:t>
      </w:r>
      <w:r w:rsidRPr="007B32D4">
        <w:t xml:space="preserve">, 7 and 9 and proportions at or above </w:t>
      </w:r>
      <w:r w:rsidR="005C1D95">
        <w:t xml:space="preserve">the </w:t>
      </w:r>
      <w:r w:rsidRPr="007B32D4">
        <w:t xml:space="preserve">national minimum standard for LBOTE students and by sex are included </w:t>
      </w:r>
      <w:r w:rsidR="00F562B5" w:rsidRPr="007B32D4">
        <w:t xml:space="preserve">separately for each </w:t>
      </w:r>
      <w:r w:rsidR="00406C4A">
        <w:t>S</w:t>
      </w:r>
      <w:r w:rsidR="00F562B5" w:rsidRPr="007B32D4">
        <w:t xml:space="preserve">tate and </w:t>
      </w:r>
      <w:r w:rsidR="00406C4A">
        <w:rPr>
          <w:shd w:val="clear" w:color="auto" w:fill="FFFFFF" w:themeFill="background1"/>
        </w:rPr>
        <w:t>T</w:t>
      </w:r>
      <w:r w:rsidR="00F562B5" w:rsidRPr="007B32D4">
        <w:rPr>
          <w:shd w:val="clear" w:color="auto" w:fill="FFFFFF" w:themeFill="background1"/>
        </w:rPr>
        <w:t xml:space="preserve">erritory </w:t>
      </w:r>
      <w:r w:rsidR="00F405A8" w:rsidRPr="007B32D4">
        <w:rPr>
          <w:shd w:val="clear" w:color="auto" w:fill="FFFFFF" w:themeFill="background1"/>
        </w:rPr>
        <w:t xml:space="preserve">and nationally </w:t>
      </w:r>
      <w:r w:rsidRPr="007B32D4">
        <w:rPr>
          <w:shd w:val="clear" w:color="auto" w:fill="FFFFFF" w:themeFill="background1"/>
        </w:rPr>
        <w:t>in tables 4A.4</w:t>
      </w:r>
      <w:r w:rsidR="00220AAE">
        <w:rPr>
          <w:shd w:val="clear" w:color="auto" w:fill="FFFFFF" w:themeFill="background1"/>
        </w:rPr>
        <w:t>4</w:t>
      </w:r>
      <w:r w:rsidR="00292174" w:rsidRPr="007B32D4">
        <w:rPr>
          <w:shd w:val="clear" w:color="auto" w:fill="FFFFFF" w:themeFill="background1"/>
        </w:rPr>
        <w:t>–</w:t>
      </w:r>
      <w:r w:rsidR="00220AAE">
        <w:rPr>
          <w:shd w:val="clear" w:color="auto" w:fill="FFFFFF" w:themeFill="background1"/>
        </w:rPr>
        <w:t>52</w:t>
      </w:r>
      <w:r w:rsidRPr="007B32D4">
        <w:rPr>
          <w:shd w:val="clear" w:color="auto" w:fill="FFFFFF" w:themeFill="background1"/>
        </w:rPr>
        <w:t>.</w:t>
      </w:r>
      <w:r w:rsidR="003E52C6" w:rsidRPr="007B32D4">
        <w:rPr>
          <w:shd w:val="clear" w:color="auto" w:fill="FFFFFF" w:themeFill="background1"/>
        </w:rPr>
        <w:t xml:space="preserve"> </w:t>
      </w:r>
    </w:p>
    <w:p w:rsidR="00B54118" w:rsidRDefault="00B54118" w:rsidP="0089766B">
      <w:pPr>
        <w:pStyle w:val="BodyText"/>
        <w:rPr>
          <w:shd w:val="clear" w:color="auto" w:fill="FFFFFF" w:themeFill="background1"/>
        </w:rPr>
      </w:pPr>
      <w:r>
        <w:rPr>
          <w:shd w:val="clear" w:color="auto" w:fill="FFFFFF" w:themeFill="background1"/>
        </w:rPr>
        <w:t>Data for years 200</w:t>
      </w:r>
      <w:r w:rsidR="004E52C6">
        <w:rPr>
          <w:shd w:val="clear" w:color="auto" w:fill="FFFFFF" w:themeFill="background1"/>
        </w:rPr>
        <w:t xml:space="preserve">8 and </w:t>
      </w:r>
      <w:r>
        <w:rPr>
          <w:shd w:val="clear" w:color="auto" w:fill="FFFFFF" w:themeFill="background1"/>
        </w:rPr>
        <w:t>201</w:t>
      </w:r>
      <w:r w:rsidR="004E52C6">
        <w:rPr>
          <w:shd w:val="clear" w:color="auto" w:fill="FFFFFF" w:themeFill="background1"/>
        </w:rPr>
        <w:t>2</w:t>
      </w:r>
      <w:r w:rsidR="00BF6853">
        <w:rPr>
          <w:shd w:val="clear" w:color="auto" w:fill="FFFFFF" w:themeFill="background1"/>
        </w:rPr>
        <w:t xml:space="preserve"> to </w:t>
      </w:r>
      <w:r>
        <w:rPr>
          <w:shd w:val="clear" w:color="auto" w:fill="FFFFFF" w:themeFill="background1"/>
        </w:rPr>
        <w:t xml:space="preserve">2013 are </w:t>
      </w:r>
      <w:r w:rsidR="004E52C6">
        <w:rPr>
          <w:shd w:val="clear" w:color="auto" w:fill="FFFFFF" w:themeFill="background1"/>
        </w:rPr>
        <w:t>included</w:t>
      </w:r>
      <w:r>
        <w:rPr>
          <w:shd w:val="clear" w:color="auto" w:fill="FFFFFF" w:themeFill="background1"/>
        </w:rPr>
        <w:t xml:space="preserve"> in tables 4A.62–70.</w:t>
      </w:r>
    </w:p>
    <w:p w:rsidR="00D74DE6" w:rsidRDefault="00D74DE6" w:rsidP="001D0F7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67"/>
        <w:gridCol w:w="142"/>
      </w:tblGrid>
      <w:tr w:rsidR="00D74DE6" w:rsidTr="006A2830">
        <w:tc>
          <w:tcPr>
            <w:tcW w:w="8909" w:type="dxa"/>
            <w:gridSpan w:val="2"/>
            <w:tcBorders>
              <w:top w:val="single" w:sz="6" w:space="0" w:color="78A22F"/>
              <w:left w:val="nil"/>
              <w:bottom w:val="nil"/>
              <w:right w:val="nil"/>
            </w:tcBorders>
            <w:shd w:val="clear" w:color="auto" w:fill="auto"/>
          </w:tcPr>
          <w:p w:rsidR="00D74DE6" w:rsidRPr="00784A05" w:rsidRDefault="00D74DE6" w:rsidP="002D0E4E">
            <w:pPr>
              <w:pStyle w:val="TableTitle"/>
            </w:pPr>
            <w:r>
              <w:rPr>
                <w:b w:val="0"/>
              </w:rPr>
              <w:t xml:space="preserve">Table </w:t>
            </w:r>
            <w:r w:rsidR="00B70781">
              <w:rPr>
                <w:b w:val="0"/>
              </w:rPr>
              <w:t>4.</w:t>
            </w:r>
            <w:r w:rsidR="005953B6">
              <w:rPr>
                <w:b w:val="0"/>
                <w:noProof/>
              </w:rPr>
              <w:t>11</w:t>
            </w:r>
            <w:r>
              <w:tab/>
            </w:r>
            <w:r w:rsidRPr="00D74DE6">
              <w:t xml:space="preserve">Mean scale scores and proportion of students who achieved at or above the national minimum standard for year 5 reading, </w:t>
            </w:r>
            <w:r w:rsidRPr="00197701">
              <w:rPr>
                <w:shd w:val="clear" w:color="auto" w:fill="FFFFFF" w:themeFill="background1"/>
              </w:rPr>
              <w:t xml:space="preserve">and </w:t>
            </w:r>
            <w:r w:rsidR="002D0E4E" w:rsidRPr="00197701">
              <w:rPr>
                <w:shd w:val="clear" w:color="auto" w:fill="FFFFFF" w:themeFill="background1"/>
              </w:rPr>
              <w:t>nature of the</w:t>
            </w:r>
            <w:r w:rsidRPr="00197701">
              <w:rPr>
                <w:shd w:val="clear" w:color="auto" w:fill="FFFFFF" w:themeFill="background1"/>
              </w:rPr>
              <w:t xml:space="preserve"> differences</w:t>
            </w:r>
            <w:r w:rsidR="0009443A" w:rsidRPr="00197701">
              <w:rPr>
                <w:shd w:val="clear" w:color="auto" w:fill="FFFFFF" w:themeFill="background1"/>
              </w:rPr>
              <w:t>, 2008 and 2013 to 2014</w:t>
            </w:r>
            <w:r w:rsidRPr="00197701">
              <w:rPr>
                <w:shd w:val="clear" w:color="auto" w:fill="FFFFFF" w:themeFill="background1"/>
              </w:rPr>
              <w:t>,</w:t>
            </w:r>
            <w:r w:rsidRPr="00D74DE6">
              <w:t xml:space="preserve"> Australia</w:t>
            </w:r>
            <w:r w:rsidRPr="00D74DE6">
              <w:rPr>
                <w:rStyle w:val="NoteLabel"/>
                <w:b/>
              </w:rPr>
              <w:t>a, b</w:t>
            </w:r>
            <w:r w:rsidR="006823CF">
              <w:rPr>
                <w:rStyle w:val="NoteLabel"/>
                <w:b/>
              </w:rPr>
              <w:t xml:space="preserve"> </w:t>
            </w:r>
          </w:p>
        </w:tc>
      </w:tr>
      <w:tr w:rsidR="00D74DE6" w:rsidTr="006A2830">
        <w:trPr>
          <w:gridAfter w:val="1"/>
          <w:wAfter w:w="142" w:type="dxa"/>
          <w:cantSplit/>
        </w:trPr>
        <w:tc>
          <w:tcPr>
            <w:tcW w:w="8767" w:type="dxa"/>
            <w:tcBorders>
              <w:top w:val="nil"/>
              <w:left w:val="nil"/>
              <w:bottom w:val="nil"/>
              <w:right w:val="nil"/>
            </w:tcBorders>
            <w:shd w:val="clear" w:color="auto" w:fill="FFFFFF" w:themeFill="background1"/>
          </w:tcPr>
          <w:tbl>
            <w:tblPr>
              <w:tblW w:w="8799" w:type="dxa"/>
              <w:tblLayout w:type="fixed"/>
              <w:tblCellMar>
                <w:left w:w="0" w:type="dxa"/>
                <w:right w:w="0" w:type="dxa"/>
              </w:tblCellMar>
              <w:tblLook w:val="0000" w:firstRow="0" w:lastRow="0" w:firstColumn="0" w:lastColumn="0" w:noHBand="0" w:noVBand="0"/>
            </w:tblPr>
            <w:tblGrid>
              <w:gridCol w:w="1614"/>
              <w:gridCol w:w="495"/>
              <w:gridCol w:w="220"/>
              <w:gridCol w:w="957"/>
              <w:gridCol w:w="33"/>
              <w:gridCol w:w="667"/>
              <w:gridCol w:w="355"/>
              <w:gridCol w:w="190"/>
              <w:gridCol w:w="1211"/>
              <w:gridCol w:w="157"/>
              <w:gridCol w:w="111"/>
              <w:gridCol w:w="941"/>
              <w:gridCol w:w="90"/>
              <w:gridCol w:w="1443"/>
              <w:gridCol w:w="315"/>
            </w:tblGrid>
            <w:tr w:rsidR="006A2830" w:rsidRPr="00F41936" w:rsidTr="00197701">
              <w:trPr>
                <w:gridAfter w:val="1"/>
                <w:wAfter w:w="180" w:type="pct"/>
                <w:trHeight w:val="490"/>
              </w:trPr>
              <w:tc>
                <w:tcPr>
                  <w:tcW w:w="917" w:type="pct"/>
                  <w:tcBorders>
                    <w:top w:val="single" w:sz="6" w:space="0" w:color="auto"/>
                    <w:bottom w:val="single" w:sz="6" w:space="0" w:color="auto"/>
                  </w:tcBorders>
                  <w:shd w:val="clear" w:color="auto" w:fill="auto"/>
                  <w:vAlign w:val="center"/>
                </w:tcPr>
                <w:p w:rsidR="0009443A" w:rsidRPr="00F41936" w:rsidRDefault="0009443A" w:rsidP="0009443A">
                  <w:pPr>
                    <w:pStyle w:val="TableColumnHeading"/>
                    <w:jc w:val="left"/>
                  </w:pPr>
                </w:p>
              </w:tc>
              <w:tc>
                <w:tcPr>
                  <w:tcW w:w="281" w:type="pct"/>
                  <w:tcBorders>
                    <w:top w:val="single" w:sz="6" w:space="0" w:color="auto"/>
                    <w:bottom w:val="single" w:sz="6" w:space="0" w:color="auto"/>
                  </w:tcBorders>
                  <w:vAlign w:val="center"/>
                </w:tcPr>
                <w:p w:rsidR="0009443A" w:rsidRPr="00F41936" w:rsidRDefault="0009443A" w:rsidP="0009443A">
                  <w:pPr>
                    <w:pStyle w:val="TableColumnHeading"/>
                    <w:jc w:val="left"/>
                  </w:pPr>
                </w:p>
              </w:tc>
              <w:tc>
                <w:tcPr>
                  <w:tcW w:w="669" w:type="pct"/>
                  <w:gridSpan w:val="2"/>
                  <w:tcBorders>
                    <w:top w:val="single" w:sz="6" w:space="0" w:color="auto"/>
                    <w:bottom w:val="single" w:sz="6" w:space="0" w:color="auto"/>
                  </w:tcBorders>
                  <w:shd w:val="clear" w:color="auto" w:fill="auto"/>
                  <w:vAlign w:val="center"/>
                </w:tcPr>
                <w:p w:rsidR="0009443A" w:rsidRPr="00F41936" w:rsidRDefault="0009443A" w:rsidP="0009443A">
                  <w:pPr>
                    <w:pStyle w:val="TableColumnHeading"/>
                    <w:jc w:val="left"/>
                  </w:pPr>
                </w:p>
              </w:tc>
              <w:tc>
                <w:tcPr>
                  <w:tcW w:w="600" w:type="pct"/>
                  <w:gridSpan w:val="3"/>
                  <w:tcBorders>
                    <w:top w:val="single" w:sz="6" w:space="0" w:color="auto"/>
                    <w:bottom w:val="single" w:sz="6" w:space="0" w:color="auto"/>
                  </w:tcBorders>
                  <w:vAlign w:val="center"/>
                </w:tcPr>
                <w:p w:rsidR="0009443A" w:rsidRPr="00F41936" w:rsidRDefault="0009443A" w:rsidP="0009443A">
                  <w:pPr>
                    <w:pStyle w:val="TableColumnHeading"/>
                    <w:ind w:right="28"/>
                    <w:jc w:val="left"/>
                  </w:pPr>
                </w:p>
              </w:tc>
              <w:tc>
                <w:tcPr>
                  <w:tcW w:w="885" w:type="pct"/>
                  <w:gridSpan w:val="3"/>
                  <w:tcBorders>
                    <w:top w:val="single" w:sz="6" w:space="0" w:color="auto"/>
                    <w:bottom w:val="single" w:sz="6" w:space="0" w:color="auto"/>
                  </w:tcBorders>
                  <w:vAlign w:val="center"/>
                </w:tcPr>
                <w:p w:rsidR="0009443A" w:rsidRPr="00F41936" w:rsidRDefault="0009443A" w:rsidP="0009443A">
                  <w:pPr>
                    <w:pStyle w:val="TableColumnHeading"/>
                    <w:ind w:right="28"/>
                    <w:jc w:val="left"/>
                  </w:pPr>
                </w:p>
              </w:tc>
              <w:tc>
                <w:tcPr>
                  <w:tcW w:w="1468" w:type="pct"/>
                  <w:gridSpan w:val="4"/>
                  <w:tcBorders>
                    <w:top w:val="single" w:sz="6" w:space="0" w:color="auto"/>
                    <w:bottom w:val="single" w:sz="6" w:space="0" w:color="auto"/>
                  </w:tcBorders>
                  <w:shd w:val="clear" w:color="auto" w:fill="FFFFFF" w:themeFill="background1"/>
                  <w:vAlign w:val="center"/>
                </w:tcPr>
                <w:p w:rsidR="0009443A" w:rsidRPr="00F41936" w:rsidRDefault="0009443A" w:rsidP="0009443A">
                  <w:pPr>
                    <w:pStyle w:val="TableColumnHeading"/>
                    <w:ind w:left="143" w:right="-566" w:hanging="2"/>
                    <w:jc w:val="left"/>
                  </w:pPr>
                  <w:r>
                    <w:t>Nature</w:t>
                  </w:r>
                  <w:r w:rsidRPr="00F41936">
                    <w:t xml:space="preserve"> of </w:t>
                  </w:r>
                  <w:r>
                    <w:t xml:space="preserve">the </w:t>
                  </w:r>
                  <w:r w:rsidRPr="00F41936">
                    <w:t>difference</w:t>
                  </w:r>
                  <w:r>
                    <w:t>s</w:t>
                  </w:r>
                  <w:r w:rsidRPr="00F41936">
                    <w:t xml:space="preserve"> </w:t>
                  </w:r>
                </w:p>
              </w:tc>
            </w:tr>
            <w:tr w:rsidR="006A2830" w:rsidRPr="00D74DE6" w:rsidTr="006A2830">
              <w:tc>
                <w:tcPr>
                  <w:tcW w:w="917" w:type="pct"/>
                  <w:tcBorders>
                    <w:top w:val="single" w:sz="6" w:space="0" w:color="auto"/>
                  </w:tcBorders>
                  <w:vAlign w:val="center"/>
                </w:tcPr>
                <w:p w:rsidR="0009443A" w:rsidRPr="00D74DE6" w:rsidRDefault="0009443A" w:rsidP="00D74DE6">
                  <w:pPr>
                    <w:pStyle w:val="TableColumnHeading"/>
                    <w:jc w:val="center"/>
                  </w:pPr>
                </w:p>
              </w:tc>
              <w:tc>
                <w:tcPr>
                  <w:tcW w:w="281" w:type="pct"/>
                  <w:tcBorders>
                    <w:top w:val="single" w:sz="6" w:space="0" w:color="auto"/>
                  </w:tcBorders>
                </w:tcPr>
                <w:p w:rsidR="0009443A" w:rsidRPr="00D74DE6" w:rsidRDefault="0009443A" w:rsidP="002D0E4E">
                  <w:pPr>
                    <w:pStyle w:val="TableColumnHeading"/>
                    <w:ind w:left="350"/>
                    <w:jc w:val="center"/>
                  </w:pPr>
                </w:p>
              </w:tc>
              <w:tc>
                <w:tcPr>
                  <w:tcW w:w="688" w:type="pct"/>
                  <w:gridSpan w:val="3"/>
                  <w:tcBorders>
                    <w:top w:val="single" w:sz="6" w:space="0" w:color="auto"/>
                  </w:tcBorders>
                  <w:vAlign w:val="center"/>
                </w:tcPr>
                <w:p w:rsidR="0009443A" w:rsidRPr="00D74DE6" w:rsidRDefault="0009443A" w:rsidP="002D0E4E">
                  <w:pPr>
                    <w:pStyle w:val="TableColumnHeading"/>
                    <w:ind w:left="350"/>
                    <w:jc w:val="center"/>
                  </w:pPr>
                  <w:r w:rsidRPr="00D74DE6">
                    <w:t>2008</w:t>
                  </w:r>
                </w:p>
              </w:tc>
              <w:tc>
                <w:tcPr>
                  <w:tcW w:w="689" w:type="pct"/>
                  <w:gridSpan w:val="3"/>
                  <w:tcBorders>
                    <w:top w:val="single" w:sz="6" w:space="0" w:color="auto"/>
                  </w:tcBorders>
                  <w:vAlign w:val="center"/>
                </w:tcPr>
                <w:p w:rsidR="0009443A" w:rsidRPr="00D74DE6" w:rsidRDefault="0009443A" w:rsidP="00D42F26">
                  <w:pPr>
                    <w:pStyle w:val="TableColumnHeading"/>
                    <w:ind w:left="350"/>
                  </w:pPr>
                  <w:r w:rsidRPr="00D74DE6">
                    <w:t>2013</w:t>
                  </w:r>
                </w:p>
              </w:tc>
              <w:tc>
                <w:tcPr>
                  <w:tcW w:w="688" w:type="pct"/>
                  <w:tcBorders>
                    <w:top w:val="single" w:sz="6" w:space="0" w:color="auto"/>
                  </w:tcBorders>
                  <w:vAlign w:val="center"/>
                </w:tcPr>
                <w:p w:rsidR="0009443A" w:rsidRPr="00D74DE6" w:rsidRDefault="0009443A" w:rsidP="002D0E4E">
                  <w:pPr>
                    <w:pStyle w:val="TableColumnHeading"/>
                    <w:ind w:left="350"/>
                    <w:jc w:val="center"/>
                  </w:pPr>
                  <w:r w:rsidRPr="00D74DE6">
                    <w:t>2014</w:t>
                  </w:r>
                </w:p>
              </w:tc>
              <w:tc>
                <w:tcPr>
                  <w:tcW w:w="687" w:type="pct"/>
                  <w:gridSpan w:val="3"/>
                  <w:tcBorders>
                    <w:top w:val="single" w:sz="6" w:space="0" w:color="auto"/>
                  </w:tcBorders>
                  <w:vAlign w:val="center"/>
                </w:tcPr>
                <w:p w:rsidR="0009443A" w:rsidRPr="00D74DE6" w:rsidRDefault="0009443A" w:rsidP="006A2830">
                  <w:pPr>
                    <w:pStyle w:val="TableColumnHeading"/>
                    <w:jc w:val="center"/>
                  </w:pPr>
                  <w:r w:rsidRPr="00D74DE6">
                    <w:t>2008 to 2014</w:t>
                  </w:r>
                </w:p>
              </w:tc>
              <w:tc>
                <w:tcPr>
                  <w:tcW w:w="1051" w:type="pct"/>
                  <w:gridSpan w:val="3"/>
                  <w:tcBorders>
                    <w:top w:val="single" w:sz="6" w:space="0" w:color="auto"/>
                  </w:tcBorders>
                  <w:vAlign w:val="center"/>
                </w:tcPr>
                <w:p w:rsidR="0009443A" w:rsidRPr="00D74DE6" w:rsidRDefault="0009443A" w:rsidP="006A2830">
                  <w:pPr>
                    <w:pStyle w:val="TableColumnHeading"/>
                    <w:jc w:val="center"/>
                  </w:pPr>
                  <w:r w:rsidRPr="00D74DE6">
                    <w:t>2013 to 2014</w:t>
                  </w:r>
                </w:p>
              </w:tc>
            </w:tr>
            <w:tr w:rsidR="0009443A" w:rsidRPr="00F41936" w:rsidTr="006A2830">
              <w:trPr>
                <w:gridAfter w:val="7"/>
                <w:wAfter w:w="2426" w:type="pct"/>
              </w:trPr>
              <w:tc>
                <w:tcPr>
                  <w:tcW w:w="2574" w:type="pct"/>
                  <w:gridSpan w:val="8"/>
                </w:tcPr>
                <w:p w:rsidR="0009443A" w:rsidRPr="00F41936" w:rsidRDefault="0009443A" w:rsidP="002D0E4E">
                  <w:pPr>
                    <w:pStyle w:val="TableBodyText"/>
                    <w:ind w:right="28"/>
                    <w:jc w:val="left"/>
                  </w:pPr>
                  <w:r w:rsidRPr="002D0E4E">
                    <w:rPr>
                      <w:b/>
                    </w:rPr>
                    <w:t>Aboriginal and Torres Strait Islander students</w:t>
                  </w:r>
                </w:p>
              </w:tc>
            </w:tr>
            <w:tr w:rsidR="00E0600E" w:rsidRPr="00F41936" w:rsidTr="00197701">
              <w:trPr>
                <w:gridAfter w:val="1"/>
                <w:wAfter w:w="180" w:type="pct"/>
              </w:trPr>
              <w:tc>
                <w:tcPr>
                  <w:tcW w:w="917" w:type="pct"/>
                </w:tcPr>
                <w:p w:rsidR="0009443A" w:rsidRPr="00F41936" w:rsidRDefault="0009443A" w:rsidP="0023294D">
                  <w:pPr>
                    <w:pStyle w:val="TableUnitsRow"/>
                    <w:jc w:val="left"/>
                  </w:pPr>
                  <w:r w:rsidRPr="00F41936">
                    <w:t>Mean scale score</w:t>
                  </w:r>
                </w:p>
              </w:tc>
              <w:tc>
                <w:tcPr>
                  <w:tcW w:w="281" w:type="pct"/>
                </w:tcPr>
                <w:p w:rsidR="0009443A" w:rsidRDefault="0009443A" w:rsidP="006A2830">
                  <w:pPr>
                    <w:pStyle w:val="TableUnitsRow"/>
                  </w:pPr>
                  <w:r>
                    <w:t>no.</w:t>
                  </w:r>
                </w:p>
              </w:tc>
              <w:tc>
                <w:tcPr>
                  <w:tcW w:w="688" w:type="pct"/>
                  <w:gridSpan w:val="3"/>
                  <w:vAlign w:val="center"/>
                </w:tcPr>
                <w:p w:rsidR="0009443A" w:rsidRDefault="0009443A" w:rsidP="006A2830">
                  <w:pPr>
                    <w:pStyle w:val="TableUnitsRow"/>
                  </w:pPr>
                  <w:r>
                    <w:t>403.4 ± 4.1</w:t>
                  </w:r>
                </w:p>
              </w:tc>
              <w:tc>
                <w:tcPr>
                  <w:tcW w:w="689" w:type="pct"/>
                  <w:gridSpan w:val="3"/>
                  <w:vAlign w:val="center"/>
                </w:tcPr>
                <w:p w:rsidR="0009443A" w:rsidRDefault="0009443A" w:rsidP="006A2830">
                  <w:pPr>
                    <w:pStyle w:val="TableUnitsRow"/>
                  </w:pPr>
                  <w:r>
                    <w:t>439.4 ± 3.4</w:t>
                  </w:r>
                </w:p>
              </w:tc>
              <w:tc>
                <w:tcPr>
                  <w:tcW w:w="688" w:type="pct"/>
                  <w:vAlign w:val="center"/>
                </w:tcPr>
                <w:p w:rsidR="0009443A" w:rsidRDefault="0009443A" w:rsidP="006A2830">
                  <w:pPr>
                    <w:pStyle w:val="TableUnitsRow"/>
                  </w:pPr>
                  <w:r>
                    <w:t>422.1 ± 3.4</w:t>
                  </w:r>
                </w:p>
              </w:tc>
              <w:tc>
                <w:tcPr>
                  <w:tcW w:w="687" w:type="pct"/>
                  <w:gridSpan w:val="3"/>
                  <w:shd w:val="clear" w:color="auto" w:fill="FFFFFF" w:themeFill="background1"/>
                  <w:vAlign w:val="center"/>
                </w:tcPr>
                <w:p w:rsidR="0009443A" w:rsidRPr="009D1C5F" w:rsidRDefault="0009443A">
                  <w:pPr>
                    <w:jc w:val="center"/>
                    <w:rPr>
                      <w:rFonts w:ascii="MS Gothic" w:eastAsia="MS Gothic" w:hAnsi="MS Gothic" w:cs="Arial"/>
                      <w:color w:val="000000"/>
                      <w:sz w:val="18"/>
                      <w:szCs w:val="18"/>
                    </w:rPr>
                  </w:pPr>
                  <w:r w:rsidRPr="009D1C5F">
                    <w:rPr>
                      <w:rFonts w:ascii="MS Gothic" w:eastAsia="MS Gothic" w:hAnsi="MS Gothic" w:cs="Cambria Math"/>
                      <w:color w:val="000000"/>
                      <w:sz w:val="18"/>
                      <w:szCs w:val="18"/>
                    </w:rPr>
                    <w:t>△</w:t>
                  </w:r>
                </w:p>
              </w:tc>
              <w:tc>
                <w:tcPr>
                  <w:tcW w:w="871" w:type="pct"/>
                  <w:gridSpan w:val="2"/>
                  <w:shd w:val="clear" w:color="auto" w:fill="FFFFFF" w:themeFill="background1"/>
                  <w:vAlign w:val="center"/>
                </w:tcPr>
                <w:p w:rsidR="0009443A" w:rsidRPr="009D1C5F" w:rsidRDefault="0009443A">
                  <w:pPr>
                    <w:jc w:val="center"/>
                    <w:rPr>
                      <w:rFonts w:ascii="Arial" w:hAnsi="Arial" w:cs="Arial"/>
                      <w:color w:val="000000"/>
                      <w:sz w:val="18"/>
                      <w:szCs w:val="18"/>
                    </w:rPr>
                  </w:pPr>
                  <w:r w:rsidRPr="009D1C5F">
                    <w:rPr>
                      <w:rFonts w:ascii="MS Gothic" w:eastAsia="MS Gothic" w:hAnsi="MS Gothic" w:cs="MS Gothic" w:hint="eastAsia"/>
                      <w:color w:val="000000"/>
                      <w:sz w:val="18"/>
                      <w:szCs w:val="18"/>
                    </w:rPr>
                    <w:t>▽</w:t>
                  </w:r>
                </w:p>
              </w:tc>
            </w:tr>
            <w:tr w:rsidR="00E0600E" w:rsidRPr="00F41936" w:rsidTr="00197701">
              <w:trPr>
                <w:gridAfter w:val="1"/>
                <w:wAfter w:w="180" w:type="pct"/>
              </w:trPr>
              <w:tc>
                <w:tcPr>
                  <w:tcW w:w="917" w:type="pct"/>
                </w:tcPr>
                <w:p w:rsidR="0009443A" w:rsidRPr="00F41936" w:rsidRDefault="0009443A" w:rsidP="0023294D">
                  <w:pPr>
                    <w:pStyle w:val="TableUnitsRow"/>
                    <w:jc w:val="left"/>
                  </w:pPr>
                  <w:r w:rsidRPr="00F41936">
                    <w:t>At or above NMS</w:t>
                  </w:r>
                </w:p>
              </w:tc>
              <w:tc>
                <w:tcPr>
                  <w:tcW w:w="281" w:type="pct"/>
                </w:tcPr>
                <w:p w:rsidR="0009443A" w:rsidRDefault="0009443A" w:rsidP="006A2830">
                  <w:pPr>
                    <w:pStyle w:val="TableUnitsRow"/>
                  </w:pPr>
                  <w:r>
                    <w:t>%</w:t>
                  </w:r>
                </w:p>
              </w:tc>
              <w:tc>
                <w:tcPr>
                  <w:tcW w:w="688" w:type="pct"/>
                  <w:gridSpan w:val="3"/>
                  <w:vAlign w:val="center"/>
                </w:tcPr>
                <w:p w:rsidR="0009443A" w:rsidRDefault="0009443A" w:rsidP="006A2830">
                  <w:pPr>
                    <w:pStyle w:val="TableUnitsRow"/>
                  </w:pPr>
                  <w:r>
                    <w:t>63.4 ± 1.8</w:t>
                  </w:r>
                </w:p>
              </w:tc>
              <w:tc>
                <w:tcPr>
                  <w:tcW w:w="689" w:type="pct"/>
                  <w:gridSpan w:val="3"/>
                  <w:vAlign w:val="center"/>
                </w:tcPr>
                <w:p w:rsidR="0009443A" w:rsidRDefault="0009443A" w:rsidP="006A2830">
                  <w:pPr>
                    <w:pStyle w:val="TableUnitsRow"/>
                  </w:pPr>
                  <w:r>
                    <w:t>83.3 ± 1.7</w:t>
                  </w:r>
                </w:p>
              </w:tc>
              <w:tc>
                <w:tcPr>
                  <w:tcW w:w="688" w:type="pct"/>
                  <w:vAlign w:val="center"/>
                </w:tcPr>
                <w:p w:rsidR="0009443A" w:rsidRDefault="0009443A" w:rsidP="006A2830">
                  <w:pPr>
                    <w:pStyle w:val="TableUnitsRow"/>
                  </w:pPr>
                  <w:r>
                    <w:t>70.3 ± 1.6</w:t>
                  </w:r>
                </w:p>
              </w:tc>
              <w:tc>
                <w:tcPr>
                  <w:tcW w:w="687" w:type="pct"/>
                  <w:gridSpan w:val="3"/>
                  <w:shd w:val="clear" w:color="auto" w:fill="FFFFFF" w:themeFill="background1"/>
                  <w:vAlign w:val="center"/>
                </w:tcPr>
                <w:p w:rsidR="0009443A" w:rsidRPr="009D1C5F" w:rsidRDefault="0009443A">
                  <w:pPr>
                    <w:jc w:val="center"/>
                    <w:rPr>
                      <w:rFonts w:ascii="Arial" w:hAnsi="Arial" w:cs="Arial"/>
                      <w:color w:val="000000"/>
                      <w:sz w:val="18"/>
                      <w:szCs w:val="18"/>
                    </w:rPr>
                  </w:pPr>
                  <w:r w:rsidRPr="009D1C5F">
                    <w:rPr>
                      <w:rFonts w:ascii="Arial" w:hAnsi="Arial" w:cs="Arial"/>
                      <w:color w:val="000000"/>
                      <w:sz w:val="18"/>
                      <w:szCs w:val="18"/>
                    </w:rPr>
                    <w:t>■</w:t>
                  </w:r>
                </w:p>
              </w:tc>
              <w:tc>
                <w:tcPr>
                  <w:tcW w:w="871" w:type="pct"/>
                  <w:gridSpan w:val="2"/>
                  <w:shd w:val="clear" w:color="auto" w:fill="FFFFFF" w:themeFill="background1"/>
                  <w:vAlign w:val="center"/>
                </w:tcPr>
                <w:p w:rsidR="0009443A" w:rsidRPr="009D1C5F" w:rsidRDefault="0009443A">
                  <w:pPr>
                    <w:jc w:val="center"/>
                    <w:rPr>
                      <w:rFonts w:ascii="Arial" w:hAnsi="Arial" w:cs="Arial"/>
                      <w:color w:val="000000"/>
                      <w:sz w:val="18"/>
                      <w:szCs w:val="18"/>
                    </w:rPr>
                  </w:pPr>
                  <w:r w:rsidRPr="009D1C5F">
                    <w:rPr>
                      <w:rFonts w:ascii="MS Gothic" w:eastAsia="MS Gothic" w:hAnsi="MS Gothic" w:cs="MS Gothic" w:hint="eastAsia"/>
                      <w:color w:val="000000"/>
                      <w:sz w:val="18"/>
                      <w:szCs w:val="18"/>
                    </w:rPr>
                    <w:t>▽</w:t>
                  </w:r>
                </w:p>
              </w:tc>
            </w:tr>
            <w:tr w:rsidR="0009443A" w:rsidRPr="00F41936" w:rsidTr="00197701">
              <w:trPr>
                <w:gridAfter w:val="1"/>
                <w:wAfter w:w="180" w:type="pct"/>
              </w:trPr>
              <w:tc>
                <w:tcPr>
                  <w:tcW w:w="3415" w:type="pct"/>
                  <w:gridSpan w:val="11"/>
                  <w:shd w:val="clear" w:color="auto" w:fill="FFFFFF" w:themeFill="background1"/>
                  <w:vAlign w:val="center"/>
                </w:tcPr>
                <w:p w:rsidR="0009443A" w:rsidRPr="0023294D" w:rsidRDefault="0009443A" w:rsidP="0023294D">
                  <w:pPr>
                    <w:pStyle w:val="TableUnitsRow"/>
                    <w:jc w:val="left"/>
                    <w:rPr>
                      <w:b/>
                    </w:rPr>
                  </w:pPr>
                  <w:r w:rsidRPr="0023294D">
                    <w:rPr>
                      <w:b/>
                    </w:rPr>
                    <w:t>Non-Indigenous students</w:t>
                  </w:r>
                </w:p>
              </w:tc>
              <w:tc>
                <w:tcPr>
                  <w:tcW w:w="586" w:type="pct"/>
                  <w:gridSpan w:val="2"/>
                  <w:shd w:val="clear" w:color="auto" w:fill="FFFFFF" w:themeFill="background1"/>
                </w:tcPr>
                <w:p w:rsidR="0009443A" w:rsidRPr="009D1C5F" w:rsidRDefault="0009443A" w:rsidP="001D0F72">
                  <w:pPr>
                    <w:pStyle w:val="TableBodyText"/>
                    <w:jc w:val="center"/>
                    <w:rPr>
                      <w:szCs w:val="18"/>
                    </w:rPr>
                  </w:pPr>
                </w:p>
              </w:tc>
              <w:tc>
                <w:tcPr>
                  <w:tcW w:w="819" w:type="pct"/>
                  <w:shd w:val="clear" w:color="auto" w:fill="FFFFFF" w:themeFill="background1"/>
                </w:tcPr>
                <w:p w:rsidR="0009443A" w:rsidRPr="009D1C5F" w:rsidRDefault="0009443A" w:rsidP="001D0F72">
                  <w:pPr>
                    <w:pStyle w:val="TableBodyText"/>
                    <w:jc w:val="center"/>
                    <w:rPr>
                      <w:szCs w:val="18"/>
                    </w:rPr>
                  </w:pPr>
                </w:p>
              </w:tc>
            </w:tr>
            <w:tr w:rsidR="00E0600E" w:rsidRPr="00F41936" w:rsidTr="00197701">
              <w:trPr>
                <w:gridAfter w:val="1"/>
                <w:wAfter w:w="180" w:type="pct"/>
              </w:trPr>
              <w:tc>
                <w:tcPr>
                  <w:tcW w:w="917" w:type="pct"/>
                  <w:vAlign w:val="center"/>
                </w:tcPr>
                <w:p w:rsidR="0009443A" w:rsidRPr="00F41936" w:rsidRDefault="0009443A" w:rsidP="0023294D">
                  <w:pPr>
                    <w:pStyle w:val="TableUnitsRow"/>
                    <w:jc w:val="left"/>
                  </w:pPr>
                  <w:r w:rsidRPr="00F41936">
                    <w:t>Mean scale score</w:t>
                  </w:r>
                </w:p>
              </w:tc>
              <w:tc>
                <w:tcPr>
                  <w:tcW w:w="281" w:type="pct"/>
                </w:tcPr>
                <w:p w:rsidR="0009443A" w:rsidRDefault="0009443A" w:rsidP="006A2830">
                  <w:pPr>
                    <w:pStyle w:val="TableUnitsRow"/>
                  </w:pPr>
                  <w:r>
                    <w:t>no.</w:t>
                  </w:r>
                </w:p>
              </w:tc>
              <w:tc>
                <w:tcPr>
                  <w:tcW w:w="688" w:type="pct"/>
                  <w:gridSpan w:val="3"/>
                  <w:vAlign w:val="center"/>
                </w:tcPr>
                <w:p w:rsidR="0009443A" w:rsidRDefault="0009443A" w:rsidP="006A2830">
                  <w:pPr>
                    <w:pStyle w:val="TableUnitsRow"/>
                  </w:pPr>
                  <w:r>
                    <w:t>488.7 ± 1.0</w:t>
                  </w:r>
                </w:p>
              </w:tc>
              <w:tc>
                <w:tcPr>
                  <w:tcW w:w="689" w:type="pct"/>
                  <w:gridSpan w:val="3"/>
                  <w:vAlign w:val="center"/>
                </w:tcPr>
                <w:p w:rsidR="0009443A" w:rsidRDefault="0009443A" w:rsidP="006A2830">
                  <w:pPr>
                    <w:pStyle w:val="TableUnitsRow"/>
                  </w:pPr>
                  <w:r>
                    <w:t>505.9 ± 0.8</w:t>
                  </w:r>
                </w:p>
              </w:tc>
              <w:tc>
                <w:tcPr>
                  <w:tcW w:w="688" w:type="pct"/>
                  <w:vAlign w:val="center"/>
                </w:tcPr>
                <w:p w:rsidR="0009443A" w:rsidRDefault="0009443A" w:rsidP="006A2830">
                  <w:pPr>
                    <w:pStyle w:val="TableUnitsRow"/>
                  </w:pPr>
                  <w:r>
                    <w:t>505.0 ± 1.0</w:t>
                  </w:r>
                </w:p>
              </w:tc>
              <w:tc>
                <w:tcPr>
                  <w:tcW w:w="687" w:type="pct"/>
                  <w:gridSpan w:val="3"/>
                  <w:shd w:val="clear" w:color="auto" w:fill="FFFFFF" w:themeFill="background1"/>
                  <w:vAlign w:val="center"/>
                </w:tcPr>
                <w:p w:rsidR="0009443A" w:rsidRPr="009D1C5F" w:rsidRDefault="0009443A">
                  <w:pPr>
                    <w:jc w:val="center"/>
                    <w:rPr>
                      <w:rFonts w:ascii="MS Gothic" w:eastAsia="MS Gothic" w:hAnsi="MS Gothic" w:cs="Arial"/>
                      <w:color w:val="000000"/>
                      <w:sz w:val="18"/>
                      <w:szCs w:val="18"/>
                    </w:rPr>
                  </w:pPr>
                  <w:r w:rsidRPr="009D1C5F">
                    <w:rPr>
                      <w:rFonts w:ascii="MS Gothic" w:eastAsia="MS Gothic" w:hAnsi="MS Gothic" w:cs="Cambria Math"/>
                      <w:color w:val="000000"/>
                      <w:sz w:val="18"/>
                      <w:szCs w:val="18"/>
                    </w:rPr>
                    <w:t>△</w:t>
                  </w:r>
                </w:p>
              </w:tc>
              <w:tc>
                <w:tcPr>
                  <w:tcW w:w="871" w:type="pct"/>
                  <w:gridSpan w:val="2"/>
                  <w:shd w:val="clear" w:color="auto" w:fill="FFFFFF" w:themeFill="background1"/>
                  <w:vAlign w:val="center"/>
                </w:tcPr>
                <w:p w:rsidR="0009443A" w:rsidRPr="009D1C5F" w:rsidRDefault="0009443A">
                  <w:pPr>
                    <w:jc w:val="center"/>
                    <w:rPr>
                      <w:rFonts w:ascii="Arial" w:hAnsi="Arial" w:cs="Arial"/>
                      <w:color w:val="000000"/>
                      <w:sz w:val="18"/>
                      <w:szCs w:val="18"/>
                    </w:rPr>
                  </w:pPr>
                  <w:r w:rsidRPr="009D1C5F">
                    <w:rPr>
                      <w:rFonts w:ascii="Arial" w:hAnsi="Arial" w:cs="Arial"/>
                      <w:color w:val="000000"/>
                      <w:sz w:val="18"/>
                      <w:szCs w:val="18"/>
                    </w:rPr>
                    <w:t>■</w:t>
                  </w:r>
                </w:p>
              </w:tc>
            </w:tr>
            <w:tr w:rsidR="00E0600E" w:rsidRPr="00F41936" w:rsidTr="00197701">
              <w:trPr>
                <w:gridAfter w:val="1"/>
                <w:wAfter w:w="180" w:type="pct"/>
              </w:trPr>
              <w:tc>
                <w:tcPr>
                  <w:tcW w:w="917" w:type="pct"/>
                  <w:vAlign w:val="center"/>
                </w:tcPr>
                <w:p w:rsidR="0009443A" w:rsidRPr="00F41936" w:rsidRDefault="0009443A" w:rsidP="0023294D">
                  <w:pPr>
                    <w:pStyle w:val="TableUnitsRow"/>
                    <w:jc w:val="left"/>
                  </w:pPr>
                  <w:r w:rsidRPr="00F41936">
                    <w:t>At or above NMS</w:t>
                  </w:r>
                </w:p>
              </w:tc>
              <w:tc>
                <w:tcPr>
                  <w:tcW w:w="281" w:type="pct"/>
                </w:tcPr>
                <w:p w:rsidR="0009443A" w:rsidRDefault="0009443A" w:rsidP="006A2830">
                  <w:pPr>
                    <w:pStyle w:val="TableUnitsRow"/>
                  </w:pPr>
                  <w:r>
                    <w:t>%</w:t>
                  </w:r>
                </w:p>
              </w:tc>
              <w:tc>
                <w:tcPr>
                  <w:tcW w:w="688" w:type="pct"/>
                  <w:gridSpan w:val="3"/>
                  <w:vAlign w:val="center"/>
                </w:tcPr>
                <w:p w:rsidR="0009443A" w:rsidRDefault="0009443A" w:rsidP="006A2830">
                  <w:pPr>
                    <w:pStyle w:val="TableUnitsRow"/>
                  </w:pPr>
                  <w:r>
                    <w:t>92.6 ± 0.2</w:t>
                  </w:r>
                </w:p>
              </w:tc>
              <w:tc>
                <w:tcPr>
                  <w:tcW w:w="689" w:type="pct"/>
                  <w:gridSpan w:val="3"/>
                  <w:vAlign w:val="center"/>
                </w:tcPr>
                <w:p w:rsidR="0009443A" w:rsidRDefault="0009443A" w:rsidP="006A2830">
                  <w:pPr>
                    <w:pStyle w:val="TableUnitsRow"/>
                  </w:pPr>
                  <w:r>
                    <w:t>96.9 ± 0.1</w:t>
                  </w:r>
                </w:p>
              </w:tc>
              <w:tc>
                <w:tcPr>
                  <w:tcW w:w="688" w:type="pct"/>
                  <w:vAlign w:val="center"/>
                </w:tcPr>
                <w:p w:rsidR="0009443A" w:rsidRDefault="0009443A" w:rsidP="006A2830">
                  <w:pPr>
                    <w:pStyle w:val="TableUnitsRow"/>
                  </w:pPr>
                  <w:r>
                    <w:t>94.2 ± 0.2</w:t>
                  </w:r>
                </w:p>
              </w:tc>
              <w:tc>
                <w:tcPr>
                  <w:tcW w:w="687" w:type="pct"/>
                  <w:gridSpan w:val="3"/>
                  <w:shd w:val="clear" w:color="auto" w:fill="FFFFFF" w:themeFill="background1"/>
                  <w:vAlign w:val="center"/>
                </w:tcPr>
                <w:p w:rsidR="0009443A" w:rsidRPr="009D1C5F" w:rsidRDefault="0009443A">
                  <w:pPr>
                    <w:jc w:val="center"/>
                    <w:rPr>
                      <w:rFonts w:ascii="Arial" w:hAnsi="Arial" w:cs="Arial"/>
                      <w:color w:val="000000"/>
                      <w:sz w:val="18"/>
                      <w:szCs w:val="18"/>
                    </w:rPr>
                  </w:pPr>
                  <w:r w:rsidRPr="009D1C5F">
                    <w:rPr>
                      <w:rFonts w:ascii="Arial" w:hAnsi="Arial" w:cs="Arial"/>
                      <w:color w:val="000000"/>
                      <w:sz w:val="18"/>
                      <w:szCs w:val="18"/>
                    </w:rPr>
                    <w:t>■</w:t>
                  </w:r>
                </w:p>
              </w:tc>
              <w:tc>
                <w:tcPr>
                  <w:tcW w:w="871" w:type="pct"/>
                  <w:gridSpan w:val="2"/>
                  <w:shd w:val="clear" w:color="auto" w:fill="FFFFFF" w:themeFill="background1"/>
                  <w:vAlign w:val="center"/>
                </w:tcPr>
                <w:p w:rsidR="0009443A" w:rsidRPr="009D1C5F" w:rsidRDefault="0009443A">
                  <w:pPr>
                    <w:jc w:val="center"/>
                    <w:rPr>
                      <w:rFonts w:ascii="Arial" w:hAnsi="Arial" w:cs="Arial"/>
                      <w:color w:val="000000"/>
                      <w:sz w:val="18"/>
                      <w:szCs w:val="18"/>
                    </w:rPr>
                  </w:pPr>
                  <w:r w:rsidRPr="009D1C5F">
                    <w:rPr>
                      <w:rFonts w:ascii="MS Gothic" w:eastAsia="MS Gothic" w:hAnsi="MS Gothic" w:cs="MS Gothic" w:hint="eastAsia"/>
                      <w:color w:val="000000"/>
                      <w:sz w:val="18"/>
                      <w:szCs w:val="18"/>
                    </w:rPr>
                    <w:t>▽</w:t>
                  </w:r>
                </w:p>
              </w:tc>
            </w:tr>
            <w:tr w:rsidR="00E0600E" w:rsidRPr="00F41936" w:rsidTr="00197701">
              <w:trPr>
                <w:gridAfter w:val="1"/>
                <w:wAfter w:w="180" w:type="pct"/>
              </w:trPr>
              <w:tc>
                <w:tcPr>
                  <w:tcW w:w="1323" w:type="pct"/>
                  <w:gridSpan w:val="3"/>
                </w:tcPr>
                <w:p w:rsidR="0009443A" w:rsidRPr="002D5668" w:rsidRDefault="0009443A" w:rsidP="001B5448">
                  <w:pPr>
                    <w:pStyle w:val="TableBodyText"/>
                    <w:jc w:val="left"/>
                    <w:rPr>
                      <w:b/>
                    </w:rPr>
                  </w:pPr>
                  <w:r w:rsidRPr="002D5668">
                    <w:rPr>
                      <w:b/>
                    </w:rPr>
                    <w:t>All students</w:t>
                  </w:r>
                </w:p>
              </w:tc>
              <w:tc>
                <w:tcPr>
                  <w:tcW w:w="942" w:type="pct"/>
                  <w:gridSpan w:val="3"/>
                </w:tcPr>
                <w:p w:rsidR="0009443A" w:rsidRPr="00F41936" w:rsidRDefault="0009443A" w:rsidP="001B5448">
                  <w:pPr>
                    <w:pStyle w:val="TableBodyText"/>
                  </w:pPr>
                </w:p>
              </w:tc>
              <w:tc>
                <w:tcPr>
                  <w:tcW w:w="1150" w:type="pct"/>
                  <w:gridSpan w:val="5"/>
                  <w:shd w:val="clear" w:color="auto" w:fill="FFFFFF" w:themeFill="background1"/>
                </w:tcPr>
                <w:p w:rsidR="0009443A" w:rsidRPr="00F41936" w:rsidRDefault="0009443A" w:rsidP="00071EE4">
                  <w:pPr>
                    <w:pStyle w:val="TableBodyText"/>
                  </w:pPr>
                </w:p>
              </w:tc>
              <w:tc>
                <w:tcPr>
                  <w:tcW w:w="586" w:type="pct"/>
                  <w:gridSpan w:val="2"/>
                  <w:shd w:val="clear" w:color="auto" w:fill="FFFFFF" w:themeFill="background1"/>
                </w:tcPr>
                <w:p w:rsidR="0009443A" w:rsidRPr="009D1C5F" w:rsidRDefault="0009443A" w:rsidP="001D0F72">
                  <w:pPr>
                    <w:pStyle w:val="TableBodyText"/>
                    <w:jc w:val="center"/>
                    <w:rPr>
                      <w:szCs w:val="18"/>
                    </w:rPr>
                  </w:pPr>
                </w:p>
              </w:tc>
              <w:tc>
                <w:tcPr>
                  <w:tcW w:w="819" w:type="pct"/>
                  <w:shd w:val="clear" w:color="auto" w:fill="FFFFFF" w:themeFill="background1"/>
                </w:tcPr>
                <w:p w:rsidR="0009443A" w:rsidRPr="009D1C5F" w:rsidRDefault="0009443A" w:rsidP="001D0F72">
                  <w:pPr>
                    <w:pStyle w:val="TableBodyText"/>
                    <w:jc w:val="center"/>
                    <w:rPr>
                      <w:szCs w:val="18"/>
                    </w:rPr>
                  </w:pPr>
                </w:p>
              </w:tc>
            </w:tr>
            <w:tr w:rsidR="00E0600E" w:rsidRPr="00F41936" w:rsidTr="00197701">
              <w:trPr>
                <w:gridAfter w:val="1"/>
                <w:wAfter w:w="180" w:type="pct"/>
              </w:trPr>
              <w:tc>
                <w:tcPr>
                  <w:tcW w:w="917" w:type="pct"/>
                  <w:vAlign w:val="center"/>
                </w:tcPr>
                <w:p w:rsidR="0009443A" w:rsidRPr="00F41936" w:rsidRDefault="0009443A" w:rsidP="0023294D">
                  <w:pPr>
                    <w:pStyle w:val="TableUnitsRow"/>
                    <w:jc w:val="left"/>
                  </w:pPr>
                  <w:r w:rsidRPr="00F41936">
                    <w:t>Mean scale score</w:t>
                  </w:r>
                </w:p>
              </w:tc>
              <w:tc>
                <w:tcPr>
                  <w:tcW w:w="281" w:type="pct"/>
                </w:tcPr>
                <w:p w:rsidR="0009443A" w:rsidRDefault="0009443A" w:rsidP="006A2830">
                  <w:pPr>
                    <w:pStyle w:val="TableUnitsRow"/>
                  </w:pPr>
                  <w:r>
                    <w:t>no.</w:t>
                  </w:r>
                </w:p>
              </w:tc>
              <w:tc>
                <w:tcPr>
                  <w:tcW w:w="688" w:type="pct"/>
                  <w:gridSpan w:val="3"/>
                  <w:vAlign w:val="center"/>
                </w:tcPr>
                <w:p w:rsidR="0009443A" w:rsidRDefault="0009443A" w:rsidP="006A2830">
                  <w:pPr>
                    <w:pStyle w:val="TableUnitsRow"/>
                  </w:pPr>
                  <w:r>
                    <w:t>484.4 ± 1.1</w:t>
                  </w:r>
                </w:p>
              </w:tc>
              <w:tc>
                <w:tcPr>
                  <w:tcW w:w="689" w:type="pct"/>
                  <w:gridSpan w:val="3"/>
                  <w:vAlign w:val="center"/>
                </w:tcPr>
                <w:p w:rsidR="0009443A" w:rsidRDefault="0009443A" w:rsidP="006A2830">
                  <w:pPr>
                    <w:pStyle w:val="TableUnitsRow"/>
                  </w:pPr>
                  <w:r>
                    <w:t>502.3 ± 0.9</w:t>
                  </w:r>
                </w:p>
              </w:tc>
              <w:tc>
                <w:tcPr>
                  <w:tcW w:w="688" w:type="pct"/>
                  <w:vAlign w:val="center"/>
                </w:tcPr>
                <w:p w:rsidR="0009443A" w:rsidRDefault="0009443A" w:rsidP="006A2830">
                  <w:pPr>
                    <w:pStyle w:val="TableUnitsRow"/>
                  </w:pPr>
                  <w:r>
                    <w:t>500.6 ± 1.0</w:t>
                  </w:r>
                </w:p>
              </w:tc>
              <w:tc>
                <w:tcPr>
                  <w:tcW w:w="687" w:type="pct"/>
                  <w:gridSpan w:val="3"/>
                  <w:shd w:val="clear" w:color="auto" w:fill="FFFFFF" w:themeFill="background1"/>
                  <w:vAlign w:val="center"/>
                </w:tcPr>
                <w:p w:rsidR="0009443A" w:rsidRPr="009D1C5F" w:rsidRDefault="0009443A">
                  <w:pPr>
                    <w:jc w:val="center"/>
                    <w:rPr>
                      <w:rFonts w:ascii="MS Gothic" w:eastAsia="MS Gothic" w:hAnsi="MS Gothic" w:cs="Arial"/>
                      <w:color w:val="000000"/>
                      <w:sz w:val="18"/>
                      <w:szCs w:val="18"/>
                    </w:rPr>
                  </w:pPr>
                  <w:r w:rsidRPr="009D1C5F">
                    <w:rPr>
                      <w:rFonts w:ascii="MS Gothic" w:eastAsia="MS Gothic" w:hAnsi="MS Gothic" w:cs="Cambria Math"/>
                      <w:color w:val="000000"/>
                      <w:sz w:val="18"/>
                      <w:szCs w:val="18"/>
                    </w:rPr>
                    <w:t>△</w:t>
                  </w:r>
                </w:p>
              </w:tc>
              <w:tc>
                <w:tcPr>
                  <w:tcW w:w="871" w:type="pct"/>
                  <w:gridSpan w:val="2"/>
                  <w:shd w:val="clear" w:color="auto" w:fill="FFFFFF" w:themeFill="background1"/>
                  <w:vAlign w:val="center"/>
                </w:tcPr>
                <w:p w:rsidR="0009443A" w:rsidRPr="009D1C5F" w:rsidRDefault="0009443A">
                  <w:pPr>
                    <w:jc w:val="center"/>
                    <w:rPr>
                      <w:rFonts w:ascii="Arial" w:hAnsi="Arial" w:cs="Arial"/>
                      <w:color w:val="000000"/>
                      <w:sz w:val="18"/>
                      <w:szCs w:val="18"/>
                    </w:rPr>
                  </w:pPr>
                  <w:r w:rsidRPr="009D1C5F">
                    <w:rPr>
                      <w:rFonts w:ascii="Arial" w:hAnsi="Arial" w:cs="Arial"/>
                      <w:color w:val="000000"/>
                      <w:sz w:val="18"/>
                      <w:szCs w:val="18"/>
                    </w:rPr>
                    <w:t>■</w:t>
                  </w:r>
                </w:p>
              </w:tc>
            </w:tr>
            <w:tr w:rsidR="00E0600E" w:rsidRPr="00F41936" w:rsidTr="00197701">
              <w:trPr>
                <w:gridAfter w:val="1"/>
                <w:wAfter w:w="180" w:type="pct"/>
              </w:trPr>
              <w:tc>
                <w:tcPr>
                  <w:tcW w:w="917" w:type="pct"/>
                  <w:tcBorders>
                    <w:bottom w:val="single" w:sz="6" w:space="0" w:color="auto"/>
                  </w:tcBorders>
                  <w:shd w:val="clear" w:color="auto" w:fill="auto"/>
                  <w:vAlign w:val="center"/>
                </w:tcPr>
                <w:p w:rsidR="0009443A" w:rsidRPr="00F41936" w:rsidRDefault="0009443A" w:rsidP="0023294D">
                  <w:pPr>
                    <w:pStyle w:val="TableUnitsRow"/>
                    <w:jc w:val="left"/>
                  </w:pPr>
                  <w:r w:rsidRPr="00F41936">
                    <w:t>At or above NMS</w:t>
                  </w:r>
                </w:p>
              </w:tc>
              <w:tc>
                <w:tcPr>
                  <w:tcW w:w="281" w:type="pct"/>
                  <w:tcBorders>
                    <w:bottom w:val="single" w:sz="6" w:space="0" w:color="auto"/>
                  </w:tcBorders>
                </w:tcPr>
                <w:p w:rsidR="0009443A" w:rsidRDefault="0009443A" w:rsidP="006A2830">
                  <w:pPr>
                    <w:pStyle w:val="TableUnitsRow"/>
                  </w:pPr>
                  <w:r>
                    <w:t>%</w:t>
                  </w:r>
                </w:p>
              </w:tc>
              <w:tc>
                <w:tcPr>
                  <w:tcW w:w="688" w:type="pct"/>
                  <w:gridSpan w:val="3"/>
                  <w:tcBorders>
                    <w:bottom w:val="single" w:sz="6" w:space="0" w:color="auto"/>
                  </w:tcBorders>
                  <w:shd w:val="clear" w:color="auto" w:fill="auto"/>
                  <w:vAlign w:val="center"/>
                </w:tcPr>
                <w:p w:rsidR="0009443A" w:rsidRDefault="0009443A" w:rsidP="006A2830">
                  <w:pPr>
                    <w:pStyle w:val="TableUnitsRow"/>
                  </w:pPr>
                  <w:r>
                    <w:t>91.0 ± 0.3</w:t>
                  </w:r>
                </w:p>
              </w:tc>
              <w:tc>
                <w:tcPr>
                  <w:tcW w:w="689" w:type="pct"/>
                  <w:gridSpan w:val="3"/>
                  <w:tcBorders>
                    <w:bottom w:val="single" w:sz="6" w:space="0" w:color="auto"/>
                  </w:tcBorders>
                  <w:vAlign w:val="center"/>
                </w:tcPr>
                <w:p w:rsidR="0009443A" w:rsidRDefault="0009443A" w:rsidP="006A2830">
                  <w:pPr>
                    <w:pStyle w:val="TableUnitsRow"/>
                  </w:pPr>
                  <w:r>
                    <w:t>96.1 ± 0.2</w:t>
                  </w:r>
                </w:p>
              </w:tc>
              <w:tc>
                <w:tcPr>
                  <w:tcW w:w="688" w:type="pct"/>
                  <w:tcBorders>
                    <w:bottom w:val="single" w:sz="6" w:space="0" w:color="auto"/>
                  </w:tcBorders>
                  <w:vAlign w:val="center"/>
                </w:tcPr>
                <w:p w:rsidR="0009443A" w:rsidRDefault="0009443A" w:rsidP="006A2830">
                  <w:pPr>
                    <w:pStyle w:val="TableUnitsRow"/>
                  </w:pPr>
                  <w:r>
                    <w:t>92.9 ± 0.2</w:t>
                  </w:r>
                </w:p>
              </w:tc>
              <w:tc>
                <w:tcPr>
                  <w:tcW w:w="687" w:type="pct"/>
                  <w:gridSpan w:val="3"/>
                  <w:tcBorders>
                    <w:bottom w:val="single" w:sz="6" w:space="0" w:color="auto"/>
                  </w:tcBorders>
                  <w:shd w:val="clear" w:color="auto" w:fill="FFFFFF" w:themeFill="background1"/>
                  <w:vAlign w:val="center"/>
                </w:tcPr>
                <w:p w:rsidR="0009443A" w:rsidRPr="009D1C5F" w:rsidRDefault="0009443A">
                  <w:pPr>
                    <w:jc w:val="center"/>
                    <w:rPr>
                      <w:rFonts w:ascii="Arial" w:hAnsi="Arial" w:cs="Arial"/>
                      <w:color w:val="000000"/>
                      <w:sz w:val="18"/>
                      <w:szCs w:val="18"/>
                    </w:rPr>
                  </w:pPr>
                  <w:r w:rsidRPr="009D1C5F">
                    <w:rPr>
                      <w:rFonts w:ascii="Arial" w:hAnsi="Arial" w:cs="Arial"/>
                      <w:color w:val="000000"/>
                      <w:sz w:val="18"/>
                      <w:szCs w:val="18"/>
                    </w:rPr>
                    <w:t>■</w:t>
                  </w:r>
                </w:p>
              </w:tc>
              <w:tc>
                <w:tcPr>
                  <w:tcW w:w="871" w:type="pct"/>
                  <w:gridSpan w:val="2"/>
                  <w:tcBorders>
                    <w:bottom w:val="single" w:sz="6" w:space="0" w:color="auto"/>
                  </w:tcBorders>
                  <w:shd w:val="clear" w:color="auto" w:fill="FFFFFF" w:themeFill="background1"/>
                  <w:vAlign w:val="center"/>
                </w:tcPr>
                <w:p w:rsidR="0009443A" w:rsidRPr="009D1C5F" w:rsidRDefault="0009443A">
                  <w:pPr>
                    <w:jc w:val="center"/>
                    <w:rPr>
                      <w:rFonts w:ascii="Arial" w:hAnsi="Arial" w:cs="Arial"/>
                      <w:color w:val="000000"/>
                      <w:sz w:val="18"/>
                      <w:szCs w:val="18"/>
                    </w:rPr>
                  </w:pPr>
                  <w:r w:rsidRPr="009D1C5F">
                    <w:rPr>
                      <w:rFonts w:ascii="MS Gothic" w:eastAsia="MS Gothic" w:hAnsi="MS Gothic" w:cs="MS Gothic" w:hint="eastAsia"/>
                      <w:color w:val="000000"/>
                      <w:sz w:val="18"/>
                      <w:szCs w:val="18"/>
                    </w:rPr>
                    <w:t>▽</w:t>
                  </w:r>
                </w:p>
              </w:tc>
            </w:tr>
          </w:tbl>
          <w:p w:rsidR="00D74DE6" w:rsidRDefault="00D74DE6" w:rsidP="001D0F72">
            <w:pPr>
              <w:pStyle w:val="Box"/>
            </w:pPr>
          </w:p>
        </w:tc>
      </w:tr>
      <w:tr w:rsidR="00D74DE6" w:rsidTr="00197701">
        <w:trPr>
          <w:cantSplit/>
        </w:trPr>
        <w:tc>
          <w:tcPr>
            <w:tcW w:w="8909" w:type="dxa"/>
            <w:gridSpan w:val="2"/>
            <w:tcBorders>
              <w:top w:val="nil"/>
              <w:left w:val="nil"/>
              <w:bottom w:val="nil"/>
              <w:right w:val="nil"/>
            </w:tcBorders>
            <w:shd w:val="clear" w:color="auto" w:fill="FFFFFF" w:themeFill="background1"/>
          </w:tcPr>
          <w:p w:rsidR="00E81C76" w:rsidRDefault="00D74DE6" w:rsidP="00197701">
            <w:pPr>
              <w:pStyle w:val="Note"/>
              <w:shd w:val="clear" w:color="auto" w:fill="FFFFFF" w:themeFill="background1"/>
            </w:pPr>
            <w:r w:rsidRPr="006E542F">
              <w:t xml:space="preserve">NMS = National Minimum Standard. </w:t>
            </w:r>
          </w:p>
          <w:p w:rsidR="009D1C5F" w:rsidRDefault="009D1C5F" w:rsidP="00197701">
            <w:pPr>
              <w:pStyle w:val="Note"/>
              <w:shd w:val="clear" w:color="auto" w:fill="FFFFFF" w:themeFill="background1"/>
            </w:pPr>
            <w:r w:rsidRPr="009D1C5F">
              <w:t xml:space="preserve">For </w:t>
            </w:r>
            <w:r w:rsidR="005C1D95">
              <w:t>c</w:t>
            </w:r>
            <w:r w:rsidRPr="009D1C5F">
              <w:t>omparison of mean</w:t>
            </w:r>
            <w:r w:rsidR="005C1D95">
              <w:t xml:space="preserve"> scale score</w:t>
            </w:r>
            <w:r w:rsidRPr="009D1C5F">
              <w:t xml:space="preserve">s: </w:t>
            </w:r>
            <w:r w:rsidRPr="009D1C5F">
              <w:rPr>
                <w:rFonts w:ascii="MS Gothic" w:eastAsia="MS Gothic" w:hAnsi="MS Gothic" w:cs="Cambria Math"/>
              </w:rPr>
              <w:t>△</w:t>
            </w:r>
            <w:r w:rsidRPr="009D1C5F">
              <w:t xml:space="preserve"> Average achievement is above and is statistically significantly different from the base year (or previous year). </w:t>
            </w:r>
            <w:r w:rsidRPr="009D1C5F">
              <w:rPr>
                <w:rFonts w:cs="Arial"/>
              </w:rPr>
              <w:t>■</w:t>
            </w:r>
            <w:r w:rsidR="004F0487">
              <w:rPr>
                <w:rFonts w:cs="Arial"/>
              </w:rPr>
              <w:t xml:space="preserve"> </w:t>
            </w:r>
            <w:r w:rsidRPr="009D1C5F">
              <w:t>Average achievement is close to or not statistically different from the base year (or previous year)</w:t>
            </w:r>
            <w:r w:rsidR="00E81C76">
              <w:t>.</w:t>
            </w:r>
            <w:r w:rsidRPr="009D1C5F">
              <w:t xml:space="preserve"> </w:t>
            </w:r>
            <w:r w:rsidRPr="009D1C5F">
              <w:rPr>
                <w:rFonts w:ascii="MS Gothic" w:eastAsia="MS Gothic" w:hAnsi="MS Gothic" w:cs="MS Gothic" w:hint="eastAsia"/>
              </w:rPr>
              <w:t>▽</w:t>
            </w:r>
            <w:r w:rsidR="004F0487">
              <w:rPr>
                <w:rFonts w:ascii="MS Gothic" w:eastAsia="MS Gothic" w:hAnsi="MS Gothic" w:cs="MS Gothic"/>
              </w:rPr>
              <w:t xml:space="preserve"> </w:t>
            </w:r>
            <w:r w:rsidRPr="009D1C5F">
              <w:t>Average achievement is below and is statistically significantly different from the base year (or previous year).</w:t>
            </w:r>
          </w:p>
          <w:p w:rsidR="009D1C5F" w:rsidRDefault="009D1C5F" w:rsidP="00197701">
            <w:pPr>
              <w:pStyle w:val="Note"/>
              <w:shd w:val="clear" w:color="auto" w:fill="FFFFFF" w:themeFill="background1"/>
            </w:pPr>
            <w:r w:rsidRPr="009D1C5F">
              <w:t xml:space="preserve">For </w:t>
            </w:r>
            <w:r w:rsidR="005C1D95">
              <w:t>c</w:t>
            </w:r>
            <w:r w:rsidRPr="009D1C5F">
              <w:t xml:space="preserve">omparison of percentage of students at or above </w:t>
            </w:r>
            <w:r w:rsidR="005C1D95">
              <w:t xml:space="preserve">national minimum standard: </w:t>
            </w:r>
            <w:r w:rsidRPr="009D1C5F">
              <w:rPr>
                <w:rFonts w:ascii="Cambria Math" w:hAnsi="Cambria Math" w:cs="Cambria Math"/>
              </w:rPr>
              <w:t>△</w:t>
            </w:r>
            <w:r w:rsidRPr="009D1C5F">
              <w:t xml:space="preserve"> Percentage of students at or above </w:t>
            </w:r>
            <w:r w:rsidR="005C1D95">
              <w:t>national minimum standard</w:t>
            </w:r>
            <w:r w:rsidRPr="009D1C5F">
              <w:t xml:space="preserve"> is higher than and is statistically significantly different from the base year (or previous year)</w:t>
            </w:r>
            <w:r w:rsidR="005C1D95">
              <w:t xml:space="preserve">. </w:t>
            </w:r>
            <w:r w:rsidRPr="009D1C5F">
              <w:rPr>
                <w:rFonts w:cs="Arial"/>
              </w:rPr>
              <w:t>■</w:t>
            </w:r>
            <w:r w:rsidR="005C1D95">
              <w:rPr>
                <w:rFonts w:cs="Arial"/>
              </w:rPr>
              <w:t xml:space="preserve"> </w:t>
            </w:r>
            <w:r w:rsidRPr="009D1C5F">
              <w:t xml:space="preserve">Percentage of students at or above </w:t>
            </w:r>
            <w:r w:rsidR="005C1D95">
              <w:t>national minimum standard</w:t>
            </w:r>
            <w:r w:rsidRPr="009D1C5F">
              <w:t xml:space="preserve"> is close to or not statistically different from t</w:t>
            </w:r>
            <w:r w:rsidR="0024765E">
              <w:t xml:space="preserve">he base year (or previous year). </w:t>
            </w:r>
            <w:r w:rsidRPr="009D1C5F">
              <w:rPr>
                <w:rFonts w:ascii="MS Gothic" w:eastAsia="MS Gothic" w:hAnsi="MS Gothic" w:cs="MS Gothic" w:hint="eastAsia"/>
              </w:rPr>
              <w:t>▽</w:t>
            </w:r>
            <w:r w:rsidR="005C1D95">
              <w:rPr>
                <w:rFonts w:ascii="MS Gothic" w:eastAsia="MS Gothic" w:hAnsi="MS Gothic" w:cs="MS Gothic"/>
              </w:rPr>
              <w:t xml:space="preserve"> </w:t>
            </w:r>
            <w:r w:rsidRPr="009D1C5F">
              <w:t xml:space="preserve">Percentage of students at or above </w:t>
            </w:r>
            <w:r w:rsidR="005C1D95">
              <w:t>national minimum standard</w:t>
            </w:r>
            <w:r w:rsidRPr="009D1C5F">
              <w:t xml:space="preserve"> is lower than and is statistically significantly different from the base year (or previous year)</w:t>
            </w:r>
            <w:r w:rsidR="005C1D95">
              <w:t xml:space="preserve">. </w:t>
            </w:r>
          </w:p>
          <w:p w:rsidR="00D74DE6" w:rsidRDefault="00D74DE6" w:rsidP="002D5668">
            <w:pPr>
              <w:pStyle w:val="Note"/>
              <w:rPr>
                <w:i/>
              </w:rPr>
            </w:pPr>
            <w:r w:rsidRPr="006E542F">
              <w:rPr>
                <w:rStyle w:val="NoteLabel"/>
              </w:rPr>
              <w:t>a</w:t>
            </w:r>
            <w:r w:rsidRPr="006E542F">
              <w:t xml:space="preserve"> The mean scale scores and proportions at or above national minimum standard reported in this table include 95 per cent confidence intervals (for example, a mean scale score of 400.0 ± 2.7). The confidence intervals in this table are for the specific year applicable and do not provide an indication of statistically significant differences between years. See section 2.5 of the statistical context chapter </w:t>
            </w:r>
            <w:r w:rsidR="00AF6FB4">
              <w:t xml:space="preserve">(chapter 2) </w:t>
            </w:r>
            <w:r w:rsidRPr="006E542F">
              <w:t xml:space="preserve">for more information on confidence intervals. </w:t>
            </w:r>
            <w:r w:rsidRPr="00820CF9">
              <w:rPr>
                <w:rStyle w:val="NoteLabel"/>
              </w:rPr>
              <w:t>b</w:t>
            </w:r>
            <w:r w:rsidRPr="006E542F">
              <w:t> For further information and caveats see table 4A.52</w:t>
            </w:r>
            <w:r>
              <w:t>.</w:t>
            </w:r>
          </w:p>
        </w:tc>
      </w:tr>
      <w:tr w:rsidR="00D74DE6" w:rsidTr="006A2830">
        <w:trPr>
          <w:cantSplit/>
        </w:trPr>
        <w:tc>
          <w:tcPr>
            <w:tcW w:w="8909" w:type="dxa"/>
            <w:gridSpan w:val="2"/>
            <w:tcBorders>
              <w:top w:val="nil"/>
              <w:left w:val="nil"/>
              <w:bottom w:val="nil"/>
              <w:right w:val="nil"/>
            </w:tcBorders>
            <w:shd w:val="clear" w:color="auto" w:fill="auto"/>
          </w:tcPr>
          <w:p w:rsidR="00D74DE6" w:rsidRDefault="00D74DE6" w:rsidP="00CE6853">
            <w:pPr>
              <w:pStyle w:val="Source"/>
            </w:pPr>
            <w:r>
              <w:rPr>
                <w:i/>
              </w:rPr>
              <w:t>Source</w:t>
            </w:r>
            <w:r w:rsidRPr="00167F06">
              <w:t xml:space="preserve">: </w:t>
            </w:r>
            <w:r w:rsidR="002D5668" w:rsidRPr="002D5668">
              <w:t>ACARA (201</w:t>
            </w:r>
            <w:r w:rsidR="00CE6853">
              <w:t>4</w:t>
            </w:r>
            <w:r w:rsidR="002D5668" w:rsidRPr="002D5668">
              <w:t xml:space="preserve"> and unpublished) </w:t>
            </w:r>
            <w:r w:rsidR="002D5668" w:rsidRPr="002D5668">
              <w:rPr>
                <w:i/>
              </w:rPr>
              <w:t>NAPLAN Achievement in Reading, Writing, Language Conventions and Numeracy: National Report for 201</w:t>
            </w:r>
            <w:r w:rsidR="00CE6853">
              <w:rPr>
                <w:i/>
              </w:rPr>
              <w:t>4</w:t>
            </w:r>
            <w:r w:rsidR="002D5668" w:rsidRPr="002D5668">
              <w:t>, ACARA, Sydney; table 4A.52.</w:t>
            </w:r>
          </w:p>
        </w:tc>
      </w:tr>
      <w:tr w:rsidR="00D74DE6" w:rsidTr="006A2830">
        <w:trPr>
          <w:cantSplit/>
        </w:trPr>
        <w:tc>
          <w:tcPr>
            <w:tcW w:w="8909" w:type="dxa"/>
            <w:gridSpan w:val="2"/>
            <w:tcBorders>
              <w:top w:val="nil"/>
              <w:left w:val="nil"/>
              <w:bottom w:val="single" w:sz="6" w:space="0" w:color="78A22F"/>
              <w:right w:val="nil"/>
            </w:tcBorders>
            <w:shd w:val="clear" w:color="auto" w:fill="auto"/>
          </w:tcPr>
          <w:p w:rsidR="00D74DE6" w:rsidRDefault="00D74DE6" w:rsidP="001D0F72">
            <w:pPr>
              <w:pStyle w:val="Box"/>
              <w:spacing w:before="0" w:line="120" w:lineRule="exact"/>
            </w:pPr>
          </w:p>
        </w:tc>
      </w:tr>
      <w:tr w:rsidR="00D74DE6" w:rsidRPr="000863A5" w:rsidTr="006A2830">
        <w:tc>
          <w:tcPr>
            <w:tcW w:w="8909" w:type="dxa"/>
            <w:gridSpan w:val="2"/>
            <w:tcBorders>
              <w:top w:val="single" w:sz="6" w:space="0" w:color="78A22F"/>
              <w:left w:val="nil"/>
              <w:bottom w:val="nil"/>
              <w:right w:val="nil"/>
            </w:tcBorders>
          </w:tcPr>
          <w:p w:rsidR="00D74DE6" w:rsidRPr="00626D32" w:rsidRDefault="00D74DE6" w:rsidP="001D0F72">
            <w:pPr>
              <w:pStyle w:val="BoxSpaceBelow"/>
            </w:pPr>
          </w:p>
        </w:tc>
      </w:tr>
    </w:tbl>
    <w:p w:rsidR="000C510D" w:rsidRDefault="000C510D" w:rsidP="00997EBC">
      <w:pPr>
        <w:pStyle w:val="Heading6"/>
      </w:pPr>
      <w:r>
        <w:t>Cohort gain</w:t>
      </w:r>
      <w:r w:rsidR="00997EBC" w:rsidRPr="00997EBC">
        <w:t xml:space="preserve"> </w:t>
      </w:r>
    </w:p>
    <w:p w:rsidR="0083643B" w:rsidRDefault="0083643B" w:rsidP="0089766B">
      <w:pPr>
        <w:pStyle w:val="BodyText"/>
      </w:pPr>
      <w:r w:rsidRPr="002700D1">
        <w:t>Analysis of NAPLAN mean scale score data for the years 20</w:t>
      </w:r>
      <w:r w:rsidR="005F7536" w:rsidRPr="002700D1">
        <w:t>08 to 2010</w:t>
      </w:r>
      <w:r w:rsidR="006E542F">
        <w:t>,</w:t>
      </w:r>
      <w:r w:rsidRPr="002700D1">
        <w:t xml:space="preserve"> 201</w:t>
      </w:r>
      <w:r w:rsidR="005F7536" w:rsidRPr="002700D1">
        <w:t>0 to 2012</w:t>
      </w:r>
      <w:r w:rsidRPr="002700D1">
        <w:t xml:space="preserve"> </w:t>
      </w:r>
      <w:r w:rsidR="006E542F">
        <w:t>and 2012 to</w:t>
      </w:r>
      <w:r w:rsidR="00D74DE6">
        <w:t xml:space="preserve"> </w:t>
      </w:r>
      <w:r w:rsidR="006E542F">
        <w:t xml:space="preserve">2014 </w:t>
      </w:r>
      <w:r w:rsidRPr="002700D1">
        <w:t>enables comparisons of outcomes for the same cohort of students over time (box 4.</w:t>
      </w:r>
      <w:r w:rsidR="00FF2AB3">
        <w:t>10</w:t>
      </w:r>
      <w:r w:rsidRPr="002700D1">
        <w:t>). This chapter reports on gains in reading and numeracy from year 3 in 20</w:t>
      </w:r>
      <w:r w:rsidR="002700D1" w:rsidRPr="002700D1">
        <w:t>08</w:t>
      </w:r>
      <w:r w:rsidRPr="002700D1">
        <w:t xml:space="preserve"> to year 5 in 201</w:t>
      </w:r>
      <w:r w:rsidR="002700D1" w:rsidRPr="002700D1">
        <w:t>0</w:t>
      </w:r>
      <w:r w:rsidR="006E542F">
        <w:t>, year 7 in 2012,</w:t>
      </w:r>
      <w:r w:rsidR="002700D1" w:rsidRPr="002700D1">
        <w:t xml:space="preserve"> and year </w:t>
      </w:r>
      <w:r w:rsidR="006E542F">
        <w:t>9</w:t>
      </w:r>
      <w:r w:rsidR="002700D1" w:rsidRPr="002700D1">
        <w:t xml:space="preserve"> in 201</w:t>
      </w:r>
      <w:r w:rsidR="006E542F">
        <w:t>4</w:t>
      </w:r>
      <w:r w:rsidRPr="002700D1">
        <w:t xml:space="preserve">. Student gain for other cohorts </w:t>
      </w:r>
      <w:r w:rsidR="00D74DE6">
        <w:t xml:space="preserve">and </w:t>
      </w:r>
      <w:r w:rsidR="006E542F">
        <w:t xml:space="preserve">from 2009 </w:t>
      </w:r>
      <w:r w:rsidR="00D74DE6">
        <w:t xml:space="preserve">to 2011 </w:t>
      </w:r>
      <w:r w:rsidR="006E542F">
        <w:t>and 2013</w:t>
      </w:r>
      <w:r w:rsidRPr="002700D1">
        <w:t xml:space="preserve"> are included in attachment tables. </w:t>
      </w:r>
    </w:p>
    <w:p w:rsidR="00C25635" w:rsidRDefault="00C2563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25635" w:rsidTr="00C25635">
        <w:tc>
          <w:tcPr>
            <w:tcW w:w="8771" w:type="dxa"/>
            <w:tcBorders>
              <w:top w:val="single" w:sz="6" w:space="0" w:color="78A22F"/>
              <w:left w:val="nil"/>
              <w:bottom w:val="nil"/>
              <w:right w:val="nil"/>
            </w:tcBorders>
            <w:shd w:val="clear" w:color="auto" w:fill="F2F2F2"/>
          </w:tcPr>
          <w:p w:rsidR="00C25635" w:rsidRDefault="00C25635">
            <w:pPr>
              <w:pStyle w:val="BoxTitle"/>
            </w:pPr>
            <w:r>
              <w:rPr>
                <w:b w:val="0"/>
              </w:rPr>
              <w:t xml:space="preserve">Box </w:t>
            </w:r>
            <w:r w:rsidR="00FF2AB3">
              <w:rPr>
                <w:b w:val="0"/>
              </w:rPr>
              <w:t>4.</w:t>
            </w:r>
            <w:r w:rsidR="005953B6">
              <w:rPr>
                <w:b w:val="0"/>
                <w:noProof/>
              </w:rPr>
              <w:t>10</w:t>
            </w:r>
            <w:r>
              <w:tab/>
            </w:r>
            <w:r w:rsidRPr="00C25635">
              <w:t>Achievement and gain</w:t>
            </w:r>
          </w:p>
        </w:tc>
      </w:tr>
      <w:tr w:rsidR="00C25635" w:rsidTr="00C25635">
        <w:trPr>
          <w:cantSplit/>
        </w:trPr>
        <w:tc>
          <w:tcPr>
            <w:tcW w:w="8771" w:type="dxa"/>
            <w:tcBorders>
              <w:top w:val="nil"/>
              <w:left w:val="nil"/>
              <w:bottom w:val="nil"/>
              <w:right w:val="nil"/>
            </w:tcBorders>
            <w:shd w:val="clear" w:color="auto" w:fill="F2F2F2"/>
          </w:tcPr>
          <w:p w:rsidR="00C25635" w:rsidRPr="00C25635" w:rsidRDefault="00C25635" w:rsidP="00C25635">
            <w:pPr>
              <w:pStyle w:val="Box"/>
            </w:pPr>
            <w:r w:rsidRPr="00C25635">
              <w:t>For national reporting purposes, gain is the difference in mean scale scores in a domain for the same cohort of students between two testing years, for example between 201</w:t>
            </w:r>
            <w:r>
              <w:t>2</w:t>
            </w:r>
            <w:r w:rsidRPr="00C25635">
              <w:t xml:space="preserve"> and 201</w:t>
            </w:r>
            <w:r>
              <w:t>4</w:t>
            </w:r>
            <w:r w:rsidRPr="00C25635">
              <w:t>. The cohorts between the two years are not matched — that is, there will be differences between the exact composition of the student body in any given State or Territory.</w:t>
            </w:r>
          </w:p>
          <w:p w:rsidR="00C25635" w:rsidRDefault="00C25635" w:rsidP="005834AA">
            <w:pPr>
              <w:pStyle w:val="Box"/>
            </w:pPr>
            <w:r w:rsidRPr="00C25635">
              <w:t>A feature of gain in NAPLAN performance is that the size of the gain tends to be associated with the level of prior performance: the lower the prior performance, the more likely the possibility of greater gain. Further, for literacy and numeracy, student gain is greater in the early years. Few of the differences across states and territories in the gains made between 2008 and 2010</w:t>
            </w:r>
            <w:r>
              <w:t>,</w:t>
            </w:r>
            <w:r w:rsidRPr="00C25635">
              <w:t xml:space="preserve"> between 2010 and 2012 </w:t>
            </w:r>
            <w:r>
              <w:t xml:space="preserve">and </w:t>
            </w:r>
            <w:r w:rsidR="007B5845">
              <w:t xml:space="preserve">between </w:t>
            </w:r>
            <w:r>
              <w:t xml:space="preserve">2012 and 2014 </w:t>
            </w:r>
            <w:r w:rsidRPr="00C25635">
              <w:t>are statistically significant. This report includes confidence intervals, which provide an indication of the level of uncertainty of the gain over the two year period.</w:t>
            </w:r>
          </w:p>
        </w:tc>
      </w:tr>
      <w:tr w:rsidR="00C25635" w:rsidTr="005834AA">
        <w:trPr>
          <w:cantSplit/>
        </w:trPr>
        <w:tc>
          <w:tcPr>
            <w:tcW w:w="8771" w:type="dxa"/>
            <w:tcBorders>
              <w:top w:val="nil"/>
              <w:left w:val="nil"/>
              <w:bottom w:val="nil"/>
              <w:right w:val="nil"/>
            </w:tcBorders>
            <w:shd w:val="clear" w:color="auto" w:fill="F2F2F2" w:themeFill="background1" w:themeFillShade="F2"/>
          </w:tcPr>
          <w:p w:rsidR="00C25635" w:rsidRDefault="00C25635" w:rsidP="005834AA">
            <w:pPr>
              <w:pStyle w:val="BoxSource"/>
            </w:pPr>
            <w:r w:rsidRPr="00C25635">
              <w:rPr>
                <w:i/>
              </w:rPr>
              <w:t>Source:</w:t>
            </w:r>
            <w:r w:rsidR="005834AA">
              <w:rPr>
                <w:i/>
              </w:rPr>
              <w:t xml:space="preserve"> </w:t>
            </w:r>
            <w:r w:rsidR="005834AA" w:rsidRPr="005834AA">
              <w:t>ACARA (2014a)</w:t>
            </w:r>
            <w:r w:rsidRPr="00C25635">
              <w:rPr>
                <w:i/>
              </w:rPr>
              <w:t xml:space="preserve"> </w:t>
            </w:r>
          </w:p>
        </w:tc>
      </w:tr>
      <w:tr w:rsidR="00C25635" w:rsidTr="00C25635">
        <w:trPr>
          <w:cantSplit/>
        </w:trPr>
        <w:tc>
          <w:tcPr>
            <w:tcW w:w="8771" w:type="dxa"/>
            <w:tcBorders>
              <w:top w:val="nil"/>
              <w:left w:val="nil"/>
              <w:bottom w:val="single" w:sz="6" w:space="0" w:color="78A22F"/>
              <w:right w:val="nil"/>
            </w:tcBorders>
            <w:shd w:val="clear" w:color="auto" w:fill="F2F2F2"/>
          </w:tcPr>
          <w:p w:rsidR="00C25635" w:rsidRDefault="00C25635">
            <w:pPr>
              <w:pStyle w:val="Box"/>
              <w:spacing w:before="0" w:line="120" w:lineRule="exact"/>
            </w:pPr>
          </w:p>
        </w:tc>
      </w:tr>
      <w:tr w:rsidR="00C25635" w:rsidRPr="000863A5" w:rsidTr="00C25635">
        <w:tc>
          <w:tcPr>
            <w:tcW w:w="8771" w:type="dxa"/>
            <w:tcBorders>
              <w:top w:val="single" w:sz="6" w:space="0" w:color="78A22F"/>
              <w:left w:val="nil"/>
              <w:bottom w:val="nil"/>
              <w:right w:val="nil"/>
            </w:tcBorders>
          </w:tcPr>
          <w:p w:rsidR="00C25635" w:rsidRPr="00626D32" w:rsidRDefault="00C25635" w:rsidP="00C25635">
            <w:pPr>
              <w:pStyle w:val="BoxSpaceBelow"/>
            </w:pPr>
          </w:p>
        </w:tc>
      </w:tr>
    </w:tbl>
    <w:p w:rsidR="00530424" w:rsidRPr="00D07F9F" w:rsidRDefault="00666ECE" w:rsidP="002316F7">
      <w:pPr>
        <w:pStyle w:val="BodyText"/>
      </w:pPr>
      <w:r w:rsidRPr="00D07F9F">
        <w:t>From year 3 in 20</w:t>
      </w:r>
      <w:r w:rsidR="002700D1" w:rsidRPr="00D07F9F">
        <w:t>08</w:t>
      </w:r>
      <w:r w:rsidRPr="00D07F9F">
        <w:t xml:space="preserve"> to year 5 in 201</w:t>
      </w:r>
      <w:r w:rsidR="002700D1" w:rsidRPr="00D07F9F">
        <w:t>0</w:t>
      </w:r>
      <w:r w:rsidRPr="00D07F9F">
        <w:t xml:space="preserve">, the gain in reading mean scale score </w:t>
      </w:r>
      <w:r w:rsidR="007072F5">
        <w:t>(</w:t>
      </w:r>
      <w:r w:rsidR="007072F5" w:rsidRPr="007072F5">
        <w:t xml:space="preserve">on the common national scale for </w:t>
      </w:r>
      <w:r w:rsidR="007B5845">
        <w:t>y</w:t>
      </w:r>
      <w:r w:rsidR="007072F5" w:rsidRPr="007072F5">
        <w:t>ears 3, 5, 7 and 9, ranging from 0 to 1000</w:t>
      </w:r>
      <w:r w:rsidR="007072F5">
        <w:t xml:space="preserve">) </w:t>
      </w:r>
      <w:r w:rsidRPr="00D07F9F">
        <w:t xml:space="preserve">was between </w:t>
      </w:r>
      <w:r w:rsidR="00530424" w:rsidRPr="00D07F9F">
        <w:t>79.0</w:t>
      </w:r>
      <w:r w:rsidRPr="00D07F9F">
        <w:t xml:space="preserve"> and </w:t>
      </w:r>
      <w:r w:rsidR="00D07F9F" w:rsidRPr="00D07F9F">
        <w:t>94.8</w:t>
      </w:r>
      <w:r w:rsidRPr="00D07F9F">
        <w:t xml:space="preserve"> points nationally. </w:t>
      </w:r>
      <w:r w:rsidR="00530424" w:rsidRPr="00D07F9F">
        <w:t>F</w:t>
      </w:r>
      <w:r w:rsidR="002700D1" w:rsidRPr="00D07F9F">
        <w:t xml:space="preserve">or the same cohort, from year 5 in 2010 to year 7 in 2012, the </w:t>
      </w:r>
      <w:r w:rsidR="009D7A8B">
        <w:t xml:space="preserve">mean scale score </w:t>
      </w:r>
      <w:r w:rsidR="002700D1" w:rsidRPr="00D07F9F">
        <w:t xml:space="preserve">gain </w:t>
      </w:r>
      <w:r w:rsidR="00530424" w:rsidRPr="00D07F9F">
        <w:t xml:space="preserve">was between </w:t>
      </w:r>
      <w:r w:rsidR="00D07F9F" w:rsidRPr="00D07F9F">
        <w:t>47.0</w:t>
      </w:r>
      <w:r w:rsidR="00530424" w:rsidRPr="00D07F9F">
        <w:t xml:space="preserve"> and </w:t>
      </w:r>
      <w:r w:rsidR="00D07F9F" w:rsidRPr="00D07F9F">
        <w:t>61.2</w:t>
      </w:r>
      <w:r w:rsidR="00530424" w:rsidRPr="00D07F9F">
        <w:t xml:space="preserve"> points nationally</w:t>
      </w:r>
      <w:r w:rsidR="00C25635">
        <w:t xml:space="preserve">, and from </w:t>
      </w:r>
      <w:r w:rsidR="00C25635" w:rsidRPr="00D07F9F">
        <w:t xml:space="preserve">year </w:t>
      </w:r>
      <w:r w:rsidR="00C25635">
        <w:t>7</w:t>
      </w:r>
      <w:r w:rsidR="00C25635" w:rsidRPr="00D07F9F">
        <w:t xml:space="preserve"> in 201</w:t>
      </w:r>
      <w:r w:rsidR="00C25635">
        <w:t>2</w:t>
      </w:r>
      <w:r w:rsidR="00C25635" w:rsidRPr="00D07F9F">
        <w:t xml:space="preserve"> to year </w:t>
      </w:r>
      <w:r w:rsidR="00C25635">
        <w:t>9</w:t>
      </w:r>
      <w:r w:rsidR="00C25635" w:rsidRPr="00D07F9F">
        <w:t xml:space="preserve"> in 201</w:t>
      </w:r>
      <w:r w:rsidR="00C25635">
        <w:t>4</w:t>
      </w:r>
      <w:r w:rsidR="00C25635" w:rsidRPr="00D07F9F">
        <w:t xml:space="preserve">, the </w:t>
      </w:r>
      <w:r w:rsidR="00C25635">
        <w:t xml:space="preserve">mean scale score </w:t>
      </w:r>
      <w:r w:rsidR="00C25635" w:rsidRPr="00D07F9F">
        <w:t xml:space="preserve">gain was between </w:t>
      </w:r>
      <w:r w:rsidR="00FD1087" w:rsidRPr="002316F7">
        <w:rPr>
          <w:shd w:val="clear" w:color="auto" w:fill="FFFFFF" w:themeFill="background1"/>
        </w:rPr>
        <w:t>33.4</w:t>
      </w:r>
      <w:r w:rsidR="00C25635" w:rsidRPr="002316F7">
        <w:rPr>
          <w:shd w:val="clear" w:color="auto" w:fill="FFFFFF" w:themeFill="background1"/>
        </w:rPr>
        <w:t xml:space="preserve"> and </w:t>
      </w:r>
      <w:r w:rsidR="00FD1087" w:rsidRPr="002316F7">
        <w:rPr>
          <w:shd w:val="clear" w:color="auto" w:fill="FFFFFF" w:themeFill="background1"/>
        </w:rPr>
        <w:t>4</w:t>
      </w:r>
      <w:r w:rsidR="00EB2CA3">
        <w:rPr>
          <w:shd w:val="clear" w:color="auto" w:fill="FFFFFF" w:themeFill="background1"/>
        </w:rPr>
        <w:t>4</w:t>
      </w:r>
      <w:r w:rsidR="00FD1087" w:rsidRPr="002316F7">
        <w:rPr>
          <w:shd w:val="clear" w:color="auto" w:fill="FFFFFF" w:themeFill="background1"/>
        </w:rPr>
        <w:t>.4</w:t>
      </w:r>
      <w:r w:rsidR="00C25635" w:rsidRPr="00D07F9F">
        <w:t xml:space="preserve"> points nationally</w:t>
      </w:r>
      <w:r w:rsidR="001521BB" w:rsidRPr="001521BB">
        <w:t xml:space="preserve"> </w:t>
      </w:r>
      <w:r w:rsidR="001521BB" w:rsidRPr="007C7E11">
        <w:t>(table 4.</w:t>
      </w:r>
      <w:r w:rsidR="001521BB">
        <w:t>12</w:t>
      </w:r>
      <w:r w:rsidR="001521BB" w:rsidRPr="007C7E11">
        <w:t>)</w:t>
      </w:r>
      <w:r w:rsidR="001521BB">
        <w:t>.</w:t>
      </w:r>
      <w:r w:rsidR="00530424" w:rsidRPr="00D07F9F">
        <w:t xml:space="preserve"> </w:t>
      </w:r>
    </w:p>
    <w:p w:rsidR="00530424" w:rsidRPr="00D07F9F" w:rsidRDefault="00666ECE" w:rsidP="002316F7">
      <w:pPr>
        <w:pStyle w:val="BodyText"/>
      </w:pPr>
      <w:r w:rsidRPr="00D07F9F">
        <w:t xml:space="preserve">For </w:t>
      </w:r>
      <w:r w:rsidR="000A7A95">
        <w:t xml:space="preserve">Aboriginal and Torres </w:t>
      </w:r>
      <w:r w:rsidR="00B13ED5">
        <w:t>S</w:t>
      </w:r>
      <w:r w:rsidR="000A7A95">
        <w:t xml:space="preserve">trait </w:t>
      </w:r>
      <w:r w:rsidR="00B13ED5">
        <w:t>I</w:t>
      </w:r>
      <w:r w:rsidR="000A7A95">
        <w:t>slander</w:t>
      </w:r>
      <w:r w:rsidRPr="00D07F9F">
        <w:t xml:space="preserve"> students, </w:t>
      </w:r>
      <w:r w:rsidR="00C25635">
        <w:t xml:space="preserve">from </w:t>
      </w:r>
      <w:r w:rsidR="00530424" w:rsidRPr="00D07F9F">
        <w:t xml:space="preserve">year 3 in 2008 to year 5 in 2010 </w:t>
      </w:r>
      <w:r w:rsidRPr="00D07F9F">
        <w:t xml:space="preserve">the </w:t>
      </w:r>
      <w:r w:rsidR="007072F5">
        <w:t xml:space="preserve">mean scale score </w:t>
      </w:r>
      <w:r w:rsidRPr="00D07F9F">
        <w:t xml:space="preserve">gain </w:t>
      </w:r>
      <w:r w:rsidR="00C25635">
        <w:t xml:space="preserve">nationally </w:t>
      </w:r>
      <w:r w:rsidRPr="00D07F9F">
        <w:t xml:space="preserve">was between </w:t>
      </w:r>
      <w:r w:rsidR="00D07F9F" w:rsidRPr="00D07F9F">
        <w:t>85.9</w:t>
      </w:r>
      <w:r w:rsidRPr="00D07F9F">
        <w:t xml:space="preserve"> and </w:t>
      </w:r>
      <w:r w:rsidR="00D07F9F" w:rsidRPr="00D07F9F">
        <w:t>105.9</w:t>
      </w:r>
      <w:r w:rsidRPr="00D07F9F">
        <w:t xml:space="preserve"> points</w:t>
      </w:r>
      <w:r w:rsidR="00C25635">
        <w:t>,</w:t>
      </w:r>
      <w:r w:rsidR="00530424" w:rsidRPr="00D07F9F">
        <w:t xml:space="preserve"> from y</w:t>
      </w:r>
      <w:r w:rsidR="00C25635">
        <w:t>ear 5 in 2010 to year 7 in 2012</w:t>
      </w:r>
      <w:r w:rsidR="00530424" w:rsidRPr="00D07F9F">
        <w:t xml:space="preserve"> the </w:t>
      </w:r>
      <w:r w:rsidR="007072F5">
        <w:t xml:space="preserve">mean scale score </w:t>
      </w:r>
      <w:r w:rsidR="00530424" w:rsidRPr="00D07F9F">
        <w:t xml:space="preserve">gain was between </w:t>
      </w:r>
      <w:r w:rsidR="00D07F9F" w:rsidRPr="00D07F9F">
        <w:t xml:space="preserve">56.6 </w:t>
      </w:r>
      <w:r w:rsidR="00530424" w:rsidRPr="00D07F9F">
        <w:t xml:space="preserve">and </w:t>
      </w:r>
      <w:r w:rsidR="00D07F9F" w:rsidRPr="00D07F9F">
        <w:t>73.8</w:t>
      </w:r>
      <w:r w:rsidR="00530424" w:rsidRPr="00D07F9F">
        <w:t xml:space="preserve"> points nationally</w:t>
      </w:r>
      <w:r w:rsidR="00C25635">
        <w:t xml:space="preserve"> and </w:t>
      </w:r>
      <w:r w:rsidR="00C25635" w:rsidRPr="00D07F9F">
        <w:t xml:space="preserve">from year </w:t>
      </w:r>
      <w:r w:rsidR="00C25635">
        <w:t>7</w:t>
      </w:r>
      <w:r w:rsidR="00C25635" w:rsidRPr="00D07F9F">
        <w:t xml:space="preserve"> in 201</w:t>
      </w:r>
      <w:r w:rsidR="00C25635">
        <w:t>2</w:t>
      </w:r>
      <w:r w:rsidR="00C25635" w:rsidRPr="00D07F9F">
        <w:t xml:space="preserve"> to year </w:t>
      </w:r>
      <w:r w:rsidR="00C25635">
        <w:t>9</w:t>
      </w:r>
      <w:r w:rsidR="00C25635" w:rsidRPr="00D07F9F">
        <w:t xml:space="preserve"> in 201</w:t>
      </w:r>
      <w:r w:rsidR="00C25635">
        <w:t>4</w:t>
      </w:r>
      <w:r w:rsidR="00C25635" w:rsidRPr="00D07F9F">
        <w:t xml:space="preserve">, the </w:t>
      </w:r>
      <w:r w:rsidR="00C25635">
        <w:t xml:space="preserve">mean scale score </w:t>
      </w:r>
      <w:r w:rsidR="00C25635" w:rsidRPr="00D07F9F">
        <w:t xml:space="preserve">gain was between </w:t>
      </w:r>
      <w:r w:rsidR="00FD1087" w:rsidRPr="002316F7">
        <w:rPr>
          <w:shd w:val="clear" w:color="auto" w:fill="FFFFFF" w:themeFill="background1"/>
        </w:rPr>
        <w:t>35.7 and 49.5</w:t>
      </w:r>
      <w:r w:rsidR="00FD1087" w:rsidRPr="00D07F9F">
        <w:t xml:space="preserve"> </w:t>
      </w:r>
      <w:r w:rsidR="00C25635" w:rsidRPr="00D07F9F">
        <w:t>points</w:t>
      </w:r>
      <w:r w:rsidR="00530424" w:rsidRPr="00D07F9F">
        <w:t xml:space="preserve">. For </w:t>
      </w:r>
      <w:r w:rsidR="00D07F9F" w:rsidRPr="00D07F9F">
        <w:t>non</w:t>
      </w:r>
      <w:r w:rsidR="007072F5">
        <w:noBreakHyphen/>
      </w:r>
      <w:r w:rsidR="00530424" w:rsidRPr="00D07F9F">
        <w:t xml:space="preserve">Indigenous students, </w:t>
      </w:r>
      <w:r w:rsidR="000A7A95">
        <w:t xml:space="preserve">from </w:t>
      </w:r>
      <w:r w:rsidR="00530424" w:rsidRPr="00D07F9F">
        <w:t xml:space="preserve">year 3 in 2008 to year 5 in 2010 the </w:t>
      </w:r>
      <w:r w:rsidR="007072F5">
        <w:t xml:space="preserve">mean scale score </w:t>
      </w:r>
      <w:r w:rsidR="00530424" w:rsidRPr="00D07F9F">
        <w:t xml:space="preserve">gain </w:t>
      </w:r>
      <w:r w:rsidR="000A7A95">
        <w:t xml:space="preserve">nationally </w:t>
      </w:r>
      <w:r w:rsidR="00530424" w:rsidRPr="00D07F9F">
        <w:t xml:space="preserve">was between </w:t>
      </w:r>
      <w:r w:rsidR="00D07F9F" w:rsidRPr="00D07F9F">
        <w:t>78.5</w:t>
      </w:r>
      <w:r w:rsidR="00530424" w:rsidRPr="00D07F9F">
        <w:t xml:space="preserve"> and </w:t>
      </w:r>
      <w:r w:rsidR="00D07F9F" w:rsidRPr="00D07F9F">
        <w:t>94.3</w:t>
      </w:r>
      <w:r w:rsidR="00530424" w:rsidRPr="00D07F9F">
        <w:t xml:space="preserve"> points</w:t>
      </w:r>
      <w:r w:rsidR="000A7A95">
        <w:t xml:space="preserve">, from </w:t>
      </w:r>
      <w:r w:rsidR="00530424" w:rsidRPr="00D07F9F">
        <w:t xml:space="preserve">year 5 in 2010 to year 7 in 2012, the </w:t>
      </w:r>
      <w:r w:rsidR="007072F5">
        <w:t xml:space="preserve">mean scale score </w:t>
      </w:r>
      <w:r w:rsidR="00530424" w:rsidRPr="00D07F9F">
        <w:t xml:space="preserve">was between </w:t>
      </w:r>
      <w:r w:rsidR="00D07F9F" w:rsidRPr="00D07F9F">
        <w:t>46.5</w:t>
      </w:r>
      <w:r w:rsidR="00530424" w:rsidRPr="00D07F9F">
        <w:t xml:space="preserve"> and </w:t>
      </w:r>
      <w:r w:rsidR="00D07F9F" w:rsidRPr="00D07F9F">
        <w:t>60.7</w:t>
      </w:r>
      <w:r w:rsidR="00530424" w:rsidRPr="00D07F9F">
        <w:t xml:space="preserve"> points nationally</w:t>
      </w:r>
      <w:r w:rsidR="000A7A95">
        <w:t xml:space="preserve"> and from </w:t>
      </w:r>
      <w:r w:rsidR="000A7A95" w:rsidRPr="00D07F9F">
        <w:t xml:space="preserve">year </w:t>
      </w:r>
      <w:r w:rsidR="000A7A95">
        <w:t>7</w:t>
      </w:r>
      <w:r w:rsidR="000A7A95" w:rsidRPr="00D07F9F">
        <w:t xml:space="preserve"> in </w:t>
      </w:r>
      <w:r w:rsidR="000A7A95" w:rsidRPr="002316F7">
        <w:rPr>
          <w:shd w:val="clear" w:color="auto" w:fill="FFFFFF" w:themeFill="background1"/>
        </w:rPr>
        <w:t>201</w:t>
      </w:r>
      <w:r w:rsidR="00221E5A" w:rsidRPr="002316F7">
        <w:rPr>
          <w:shd w:val="clear" w:color="auto" w:fill="FFFFFF" w:themeFill="background1"/>
        </w:rPr>
        <w:t>2</w:t>
      </w:r>
      <w:r w:rsidR="000A7A95" w:rsidRPr="00D07F9F">
        <w:t xml:space="preserve"> to year </w:t>
      </w:r>
      <w:r w:rsidR="000A7A95">
        <w:t>9</w:t>
      </w:r>
      <w:r w:rsidR="000A7A95" w:rsidRPr="00D07F9F">
        <w:t xml:space="preserve"> in 201</w:t>
      </w:r>
      <w:r w:rsidR="000A7A95">
        <w:t>4</w:t>
      </w:r>
      <w:r w:rsidR="000A7A95" w:rsidRPr="00D07F9F">
        <w:t xml:space="preserve">, the </w:t>
      </w:r>
      <w:r w:rsidR="000A7A95">
        <w:t xml:space="preserve">mean scale score gain </w:t>
      </w:r>
      <w:r w:rsidR="000A7A95" w:rsidRPr="00D07F9F">
        <w:t xml:space="preserve">was between </w:t>
      </w:r>
      <w:r w:rsidR="00FD1087" w:rsidRPr="002316F7">
        <w:rPr>
          <w:shd w:val="clear" w:color="auto" w:fill="FFFFFF" w:themeFill="background1"/>
        </w:rPr>
        <w:t>33.4 and 4</w:t>
      </w:r>
      <w:r w:rsidR="00EB2CA3">
        <w:rPr>
          <w:shd w:val="clear" w:color="auto" w:fill="FFFFFF" w:themeFill="background1"/>
        </w:rPr>
        <w:t>4</w:t>
      </w:r>
      <w:r w:rsidR="00FD1087" w:rsidRPr="002316F7">
        <w:rPr>
          <w:shd w:val="clear" w:color="auto" w:fill="FFFFFF" w:themeFill="background1"/>
        </w:rPr>
        <w:t>.4</w:t>
      </w:r>
      <w:r w:rsidR="00FD1087" w:rsidRPr="00D07F9F">
        <w:t xml:space="preserve"> </w:t>
      </w:r>
      <w:r w:rsidR="000A7A95" w:rsidRPr="00D07F9F">
        <w:t>points</w:t>
      </w:r>
      <w:r w:rsidR="001521BB">
        <w:t xml:space="preserve"> </w:t>
      </w:r>
      <w:r w:rsidR="001521BB" w:rsidRPr="007C7E11">
        <w:t>(table 4.</w:t>
      </w:r>
      <w:r w:rsidR="001521BB">
        <w:t>12</w:t>
      </w:r>
      <w:r w:rsidR="001521BB" w:rsidRPr="007C7E11">
        <w:t>)</w:t>
      </w:r>
      <w:r w:rsidR="00530424" w:rsidRPr="00D07F9F">
        <w:t xml:space="preserve">.  </w:t>
      </w:r>
    </w:p>
    <w:p w:rsidR="00666ECE" w:rsidRPr="00530424" w:rsidRDefault="00666ECE" w:rsidP="002316F7">
      <w:pPr>
        <w:pStyle w:val="BodyText"/>
        <w:rPr>
          <w:highlight w:val="yellow"/>
        </w:rPr>
      </w:pPr>
      <w:r w:rsidRPr="007C7E11">
        <w:t xml:space="preserve">These </w:t>
      </w:r>
      <w:r w:rsidR="007072F5">
        <w:t>mean scale score gain</w:t>
      </w:r>
      <w:r w:rsidRPr="007C7E11">
        <w:t>s varied across jurisdictions (table 4.</w:t>
      </w:r>
      <w:r w:rsidR="00A37418">
        <w:t>12</w:t>
      </w:r>
      <w:r w:rsidRPr="007C7E11">
        <w:t xml:space="preserve">). </w:t>
      </w:r>
      <w:r w:rsidRPr="00530424">
        <w:t xml:space="preserve">Data for </w:t>
      </w:r>
      <w:r w:rsidR="00530424">
        <w:t>other cohorts from 2008–2010</w:t>
      </w:r>
      <w:r w:rsidR="000A7A95">
        <w:t xml:space="preserve">, </w:t>
      </w:r>
      <w:r w:rsidR="00530424">
        <w:t>2010</w:t>
      </w:r>
      <w:r w:rsidR="004F0487">
        <w:t>–</w:t>
      </w:r>
      <w:r w:rsidR="00530424">
        <w:t xml:space="preserve">2012 </w:t>
      </w:r>
      <w:r w:rsidR="000A7A95">
        <w:t>and 2012</w:t>
      </w:r>
      <w:r w:rsidR="004F0487">
        <w:t>–20</w:t>
      </w:r>
      <w:r w:rsidR="000A7A95">
        <w:t xml:space="preserve">14 </w:t>
      </w:r>
      <w:r w:rsidRPr="00530424">
        <w:t>are in table 4A.</w:t>
      </w:r>
      <w:r w:rsidR="00E34421">
        <w:t>53</w:t>
      </w:r>
      <w:r w:rsidRPr="00530424">
        <w:t xml:space="preserve">. </w:t>
      </w:r>
      <w:r w:rsidR="000A7A95">
        <w:t>Data for years 2009</w:t>
      </w:r>
      <w:r w:rsidR="00AF6FB4">
        <w:noBreakHyphen/>
      </w:r>
      <w:r w:rsidR="000A7A95">
        <w:t>2011 and 2011</w:t>
      </w:r>
      <w:r w:rsidR="007B5845">
        <w:t>–</w:t>
      </w:r>
      <w:r w:rsidR="000A7A95">
        <w:t>2013 are in table 4</w:t>
      </w:r>
      <w:r w:rsidR="00B13ED5">
        <w:t>A</w:t>
      </w:r>
      <w:r w:rsidR="000A7A95">
        <w:t>.</w:t>
      </w:r>
      <w:r w:rsidR="001521BB">
        <w:t>71</w:t>
      </w:r>
      <w:r w:rsidR="000A7A95">
        <w:t>.</w:t>
      </w:r>
    </w:p>
    <w:p w:rsidR="000A7A95" w:rsidRDefault="000A7A95" w:rsidP="001D0F7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909"/>
      </w:tblGrid>
      <w:tr w:rsidR="000A7A95" w:rsidTr="00146776">
        <w:tc>
          <w:tcPr>
            <w:tcW w:w="8909" w:type="dxa"/>
            <w:tcBorders>
              <w:top w:val="single" w:sz="6" w:space="0" w:color="78A22F"/>
              <w:left w:val="nil"/>
              <w:bottom w:val="nil"/>
              <w:right w:val="nil"/>
            </w:tcBorders>
            <w:shd w:val="clear" w:color="auto" w:fill="auto"/>
          </w:tcPr>
          <w:p w:rsidR="000A7A95" w:rsidRPr="00784A05" w:rsidRDefault="000A7A95" w:rsidP="000A7A95">
            <w:pPr>
              <w:pStyle w:val="TableTitle"/>
            </w:pPr>
            <w:r>
              <w:rPr>
                <w:b w:val="0"/>
              </w:rPr>
              <w:t xml:space="preserve">Table </w:t>
            </w:r>
            <w:r w:rsidR="00B70781">
              <w:rPr>
                <w:b w:val="0"/>
              </w:rPr>
              <w:t>4.</w:t>
            </w:r>
            <w:r w:rsidR="005953B6">
              <w:rPr>
                <w:b w:val="0"/>
                <w:noProof/>
              </w:rPr>
              <w:t>12</w:t>
            </w:r>
            <w:r>
              <w:tab/>
            </w:r>
            <w:r w:rsidRPr="000A7A95">
              <w:t>Gain in mean scale score for reading: year 3 (2008) to year 5 (2010) to year 7 (2012)</w:t>
            </w:r>
            <w:r>
              <w:t xml:space="preserve"> to year 9 (2014)</w:t>
            </w:r>
            <w:r w:rsidRPr="000A7A95">
              <w:rPr>
                <w:rStyle w:val="NoteLabel"/>
                <w:b/>
              </w:rPr>
              <w:t>a, b</w:t>
            </w:r>
          </w:p>
        </w:tc>
      </w:tr>
      <w:tr w:rsidR="000A7A95" w:rsidTr="002316F7">
        <w:trPr>
          <w:cantSplit/>
        </w:trPr>
        <w:tc>
          <w:tcPr>
            <w:tcW w:w="8909" w:type="dxa"/>
            <w:tcBorders>
              <w:top w:val="nil"/>
              <w:left w:val="nil"/>
              <w:bottom w:val="nil"/>
              <w:right w:val="nil"/>
            </w:tcBorders>
            <w:shd w:val="clear" w:color="auto" w:fill="FFFFFF" w:themeFill="background1"/>
          </w:tcPr>
          <w:tbl>
            <w:tblPr>
              <w:tblW w:w="8790" w:type="dxa"/>
              <w:tblCellMar>
                <w:left w:w="0" w:type="dxa"/>
                <w:right w:w="0" w:type="dxa"/>
              </w:tblCellMar>
              <w:tblLook w:val="0000" w:firstRow="0" w:lastRow="0" w:firstColumn="0" w:lastColumn="0" w:noHBand="0" w:noVBand="0"/>
            </w:tblPr>
            <w:tblGrid>
              <w:gridCol w:w="1560"/>
              <w:gridCol w:w="803"/>
              <w:gridCol w:w="803"/>
              <w:gridCol w:w="804"/>
              <w:gridCol w:w="803"/>
              <w:gridCol w:w="803"/>
              <w:gridCol w:w="804"/>
              <w:gridCol w:w="803"/>
              <w:gridCol w:w="803"/>
              <w:gridCol w:w="804"/>
            </w:tblGrid>
            <w:tr w:rsidR="000A7A95" w:rsidRPr="004708E3" w:rsidTr="001D0F72">
              <w:tc>
                <w:tcPr>
                  <w:tcW w:w="1560" w:type="dxa"/>
                  <w:tcBorders>
                    <w:top w:val="single" w:sz="6" w:space="0" w:color="auto"/>
                    <w:bottom w:val="single" w:sz="6" w:space="0" w:color="auto"/>
                  </w:tcBorders>
                  <w:shd w:val="clear" w:color="auto" w:fill="auto"/>
                </w:tcPr>
                <w:p w:rsidR="000A7A95" w:rsidRPr="004708E3" w:rsidRDefault="000A7A95" w:rsidP="001D0F72">
                  <w:pPr>
                    <w:keepNext/>
                    <w:keepLines/>
                    <w:spacing w:before="80" w:after="80" w:line="220" w:lineRule="atLeast"/>
                    <w:ind w:left="6" w:right="113"/>
                    <w:rPr>
                      <w:rFonts w:ascii="Arial" w:hAnsi="Arial"/>
                      <w:i/>
                      <w:sz w:val="20"/>
                      <w:szCs w:val="20"/>
                    </w:rPr>
                  </w:pPr>
                </w:p>
              </w:tc>
              <w:tc>
                <w:tcPr>
                  <w:tcW w:w="803" w:type="dxa"/>
                  <w:tcBorders>
                    <w:top w:val="single" w:sz="6" w:space="0" w:color="auto"/>
                    <w:bottom w:val="single" w:sz="6" w:space="0" w:color="auto"/>
                  </w:tcBorders>
                  <w:shd w:val="clear" w:color="auto" w:fill="auto"/>
                </w:tcPr>
                <w:p w:rsidR="000A7A95" w:rsidRPr="004708E3" w:rsidRDefault="000A7A95" w:rsidP="001D0F72">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NSW</w:t>
                  </w:r>
                </w:p>
              </w:tc>
              <w:tc>
                <w:tcPr>
                  <w:tcW w:w="803" w:type="dxa"/>
                  <w:tcBorders>
                    <w:top w:val="single" w:sz="6" w:space="0" w:color="auto"/>
                    <w:bottom w:val="single" w:sz="6" w:space="0" w:color="auto"/>
                  </w:tcBorders>
                  <w:shd w:val="clear" w:color="auto" w:fill="auto"/>
                </w:tcPr>
                <w:p w:rsidR="000A7A95" w:rsidRPr="004708E3" w:rsidRDefault="000A7A95" w:rsidP="001D0F72">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Vic</w:t>
                  </w:r>
                </w:p>
              </w:tc>
              <w:tc>
                <w:tcPr>
                  <w:tcW w:w="804" w:type="dxa"/>
                  <w:tcBorders>
                    <w:top w:val="single" w:sz="6" w:space="0" w:color="auto"/>
                    <w:bottom w:val="single" w:sz="6" w:space="0" w:color="auto"/>
                  </w:tcBorders>
                  <w:shd w:val="clear" w:color="auto" w:fill="auto"/>
                </w:tcPr>
                <w:p w:rsidR="000A7A95" w:rsidRPr="004708E3" w:rsidRDefault="000A7A95" w:rsidP="001D0F72">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Qld</w:t>
                  </w:r>
                </w:p>
              </w:tc>
              <w:tc>
                <w:tcPr>
                  <w:tcW w:w="803" w:type="dxa"/>
                  <w:tcBorders>
                    <w:top w:val="single" w:sz="6" w:space="0" w:color="auto"/>
                    <w:bottom w:val="single" w:sz="6" w:space="0" w:color="auto"/>
                  </w:tcBorders>
                  <w:shd w:val="clear" w:color="auto" w:fill="auto"/>
                </w:tcPr>
                <w:p w:rsidR="000A7A95" w:rsidRPr="004708E3" w:rsidRDefault="000A7A95" w:rsidP="001D0F72">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WA</w:t>
                  </w:r>
                </w:p>
              </w:tc>
              <w:tc>
                <w:tcPr>
                  <w:tcW w:w="803" w:type="dxa"/>
                  <w:tcBorders>
                    <w:top w:val="single" w:sz="6" w:space="0" w:color="auto"/>
                    <w:bottom w:val="single" w:sz="6" w:space="0" w:color="auto"/>
                  </w:tcBorders>
                  <w:shd w:val="clear" w:color="auto" w:fill="auto"/>
                </w:tcPr>
                <w:p w:rsidR="000A7A95" w:rsidRPr="004708E3" w:rsidRDefault="000A7A95" w:rsidP="001D0F72">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SA</w:t>
                  </w:r>
                </w:p>
              </w:tc>
              <w:tc>
                <w:tcPr>
                  <w:tcW w:w="804" w:type="dxa"/>
                  <w:tcBorders>
                    <w:top w:val="single" w:sz="6" w:space="0" w:color="auto"/>
                    <w:bottom w:val="single" w:sz="6" w:space="0" w:color="auto"/>
                  </w:tcBorders>
                  <w:shd w:val="clear" w:color="auto" w:fill="auto"/>
                </w:tcPr>
                <w:p w:rsidR="000A7A95" w:rsidRPr="004708E3" w:rsidRDefault="000A7A95" w:rsidP="001D0F72">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Tas</w:t>
                  </w:r>
                </w:p>
              </w:tc>
              <w:tc>
                <w:tcPr>
                  <w:tcW w:w="803" w:type="dxa"/>
                  <w:tcBorders>
                    <w:top w:val="single" w:sz="6" w:space="0" w:color="auto"/>
                    <w:bottom w:val="single" w:sz="6" w:space="0" w:color="auto"/>
                  </w:tcBorders>
                  <w:shd w:val="clear" w:color="auto" w:fill="auto"/>
                </w:tcPr>
                <w:p w:rsidR="000A7A95" w:rsidRPr="004708E3" w:rsidRDefault="000A7A95" w:rsidP="001D0F72">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ACT</w:t>
                  </w:r>
                </w:p>
              </w:tc>
              <w:tc>
                <w:tcPr>
                  <w:tcW w:w="803" w:type="dxa"/>
                  <w:tcBorders>
                    <w:top w:val="single" w:sz="6" w:space="0" w:color="auto"/>
                    <w:bottom w:val="single" w:sz="6" w:space="0" w:color="auto"/>
                  </w:tcBorders>
                  <w:shd w:val="clear" w:color="auto" w:fill="auto"/>
                </w:tcPr>
                <w:p w:rsidR="000A7A95" w:rsidRPr="004708E3" w:rsidRDefault="000A7A95" w:rsidP="001D0F72">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NT</w:t>
                  </w:r>
                </w:p>
              </w:tc>
              <w:tc>
                <w:tcPr>
                  <w:tcW w:w="804" w:type="dxa"/>
                  <w:tcBorders>
                    <w:top w:val="single" w:sz="6" w:space="0" w:color="auto"/>
                    <w:bottom w:val="single" w:sz="6" w:space="0" w:color="auto"/>
                  </w:tcBorders>
                  <w:shd w:val="clear" w:color="auto" w:fill="auto"/>
                </w:tcPr>
                <w:p w:rsidR="000A7A95" w:rsidRPr="004708E3" w:rsidRDefault="000A7A95" w:rsidP="001D0F72">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Aust</w:t>
                  </w:r>
                </w:p>
              </w:tc>
            </w:tr>
            <w:tr w:rsidR="000A7A95" w:rsidRPr="004708E3" w:rsidTr="001D0F72">
              <w:tc>
                <w:tcPr>
                  <w:tcW w:w="8790" w:type="dxa"/>
                  <w:gridSpan w:val="10"/>
                </w:tcPr>
                <w:p w:rsidR="000A7A95" w:rsidRPr="00B13ED5" w:rsidRDefault="00B13ED5" w:rsidP="002D5668">
                  <w:pPr>
                    <w:pStyle w:val="TableUnitsRow"/>
                    <w:jc w:val="left"/>
                    <w:rPr>
                      <w:rFonts w:cs="Arial"/>
                      <w:b/>
                    </w:rPr>
                  </w:pPr>
                  <w:r w:rsidRPr="00B13ED5">
                    <w:rPr>
                      <w:b/>
                    </w:rPr>
                    <w:t xml:space="preserve">Aboriginal and Torres Strait </w:t>
                  </w:r>
                  <w:r w:rsidR="002D5668">
                    <w:rPr>
                      <w:b/>
                    </w:rPr>
                    <w:t>I</w:t>
                  </w:r>
                  <w:r w:rsidRPr="00B13ED5">
                    <w:rPr>
                      <w:b/>
                    </w:rPr>
                    <w:t>slander</w:t>
                  </w:r>
                  <w:r w:rsidR="000A7A95" w:rsidRPr="00B13ED5">
                    <w:rPr>
                      <w:b/>
                    </w:rPr>
                    <w:t xml:space="preserve"> students</w:t>
                  </w:r>
                </w:p>
              </w:tc>
            </w:tr>
            <w:tr w:rsidR="000A7A95" w:rsidRPr="00530424" w:rsidTr="001D0F72">
              <w:tc>
                <w:tcPr>
                  <w:tcW w:w="1560" w:type="dxa"/>
                </w:tcPr>
                <w:p w:rsidR="000A7A95" w:rsidRPr="00530424" w:rsidRDefault="000A7A95" w:rsidP="00B71E09">
                  <w:pPr>
                    <w:pStyle w:val="TableBodyText"/>
                    <w:jc w:val="left"/>
                  </w:pPr>
                  <w:r w:rsidRPr="00530424">
                    <w:t>2008 Year 3</w:t>
                  </w:r>
                </w:p>
              </w:tc>
              <w:tc>
                <w:tcPr>
                  <w:tcW w:w="803" w:type="dxa"/>
                  <w:vAlign w:val="center"/>
                </w:tcPr>
                <w:p w:rsidR="000A7A95" w:rsidRPr="00530424" w:rsidRDefault="000A7A95" w:rsidP="004A30A9">
                  <w:pPr>
                    <w:pStyle w:val="TableBodyText"/>
                  </w:pPr>
                  <w:r w:rsidRPr="00530424">
                    <w:t xml:space="preserve">347.5 </w:t>
                  </w:r>
                  <w:r>
                    <w:br/>
                  </w:r>
                  <w:r w:rsidRPr="00530424">
                    <w:t>± 3.6</w:t>
                  </w:r>
                </w:p>
              </w:tc>
              <w:tc>
                <w:tcPr>
                  <w:tcW w:w="803" w:type="dxa"/>
                  <w:vAlign w:val="center"/>
                </w:tcPr>
                <w:p w:rsidR="000A7A95" w:rsidRPr="00530424" w:rsidRDefault="000A7A95" w:rsidP="004A30A9">
                  <w:pPr>
                    <w:pStyle w:val="TableBodyText"/>
                  </w:pPr>
                  <w:r w:rsidRPr="00530424">
                    <w:t xml:space="preserve">368.9 </w:t>
                  </w:r>
                  <w:r>
                    <w:br/>
                  </w:r>
                  <w:r w:rsidRPr="00530424">
                    <w:t>± 6.3</w:t>
                  </w:r>
                </w:p>
              </w:tc>
              <w:tc>
                <w:tcPr>
                  <w:tcW w:w="804" w:type="dxa"/>
                  <w:vAlign w:val="center"/>
                </w:tcPr>
                <w:p w:rsidR="000A7A95" w:rsidRPr="00530424" w:rsidRDefault="000A7A95" w:rsidP="004A30A9">
                  <w:pPr>
                    <w:pStyle w:val="TableBodyText"/>
                  </w:pPr>
                  <w:r w:rsidRPr="00530424">
                    <w:t xml:space="preserve">309.5 </w:t>
                  </w:r>
                  <w:r>
                    <w:br/>
                  </w:r>
                  <w:r w:rsidRPr="00530424">
                    <w:t>± 7.6</w:t>
                  </w:r>
                </w:p>
              </w:tc>
              <w:tc>
                <w:tcPr>
                  <w:tcW w:w="803" w:type="dxa"/>
                  <w:vAlign w:val="center"/>
                </w:tcPr>
                <w:p w:rsidR="000A7A95" w:rsidRPr="00530424" w:rsidRDefault="000A7A95" w:rsidP="004A30A9">
                  <w:pPr>
                    <w:pStyle w:val="TableBodyText"/>
                  </w:pPr>
                  <w:r w:rsidRPr="00530424">
                    <w:t xml:space="preserve">292.7 </w:t>
                  </w:r>
                  <w:r>
                    <w:br/>
                  </w:r>
                  <w:r w:rsidRPr="00530424">
                    <w:t>± 7.1</w:t>
                  </w:r>
                </w:p>
              </w:tc>
              <w:tc>
                <w:tcPr>
                  <w:tcW w:w="803" w:type="dxa"/>
                  <w:vAlign w:val="center"/>
                </w:tcPr>
                <w:p w:rsidR="000A7A95" w:rsidRPr="00530424" w:rsidRDefault="000A7A95" w:rsidP="004A30A9">
                  <w:pPr>
                    <w:pStyle w:val="TableBodyText"/>
                  </w:pPr>
                  <w:r w:rsidRPr="00530424">
                    <w:t xml:space="preserve">329.7 </w:t>
                  </w:r>
                  <w:r>
                    <w:br/>
                  </w:r>
                  <w:r w:rsidRPr="00530424">
                    <w:t>± 8.7</w:t>
                  </w:r>
                </w:p>
              </w:tc>
              <w:tc>
                <w:tcPr>
                  <w:tcW w:w="804" w:type="dxa"/>
                  <w:vAlign w:val="center"/>
                </w:tcPr>
                <w:p w:rsidR="000A7A95" w:rsidRPr="00530424" w:rsidRDefault="000A7A95" w:rsidP="004A30A9">
                  <w:pPr>
                    <w:pStyle w:val="TableBodyText"/>
                  </w:pPr>
                  <w:r w:rsidRPr="00530424">
                    <w:t xml:space="preserve">376.6 </w:t>
                  </w:r>
                  <w:r>
                    <w:br/>
                  </w:r>
                  <w:r w:rsidRPr="00530424">
                    <w:t>± 9.4</w:t>
                  </w:r>
                </w:p>
              </w:tc>
              <w:tc>
                <w:tcPr>
                  <w:tcW w:w="803" w:type="dxa"/>
                  <w:vAlign w:val="center"/>
                </w:tcPr>
                <w:p w:rsidR="000A7A95" w:rsidRPr="00530424" w:rsidRDefault="000A7A95" w:rsidP="004A30A9">
                  <w:pPr>
                    <w:pStyle w:val="TableBodyText"/>
                  </w:pPr>
                  <w:r w:rsidRPr="00530424">
                    <w:t xml:space="preserve">359.5 </w:t>
                  </w:r>
                  <w:r>
                    <w:br/>
                  </w:r>
                  <w:r w:rsidRPr="00530424">
                    <w:t>± 17.6</w:t>
                  </w:r>
                </w:p>
              </w:tc>
              <w:tc>
                <w:tcPr>
                  <w:tcW w:w="803" w:type="dxa"/>
                  <w:vAlign w:val="center"/>
                </w:tcPr>
                <w:p w:rsidR="000A7A95" w:rsidRPr="00530424" w:rsidRDefault="000A7A95" w:rsidP="004A30A9">
                  <w:pPr>
                    <w:pStyle w:val="TableBodyText"/>
                  </w:pPr>
                  <w:r w:rsidRPr="00530424">
                    <w:t xml:space="preserve">208.1 </w:t>
                  </w:r>
                  <w:r>
                    <w:br/>
                  </w:r>
                  <w:r w:rsidRPr="00530424">
                    <w:t>± 19.5</w:t>
                  </w:r>
                </w:p>
              </w:tc>
              <w:tc>
                <w:tcPr>
                  <w:tcW w:w="804" w:type="dxa"/>
                  <w:vAlign w:val="center"/>
                </w:tcPr>
                <w:p w:rsidR="000A7A95" w:rsidRPr="00530424" w:rsidRDefault="000A7A95" w:rsidP="004A30A9">
                  <w:pPr>
                    <w:pStyle w:val="TableBodyText"/>
                  </w:pPr>
                  <w:r w:rsidRPr="00530424">
                    <w:t xml:space="preserve">313.7 </w:t>
                  </w:r>
                  <w:r>
                    <w:br/>
                  </w:r>
                  <w:r w:rsidRPr="00530424">
                    <w:t>± 4.9</w:t>
                  </w:r>
                </w:p>
              </w:tc>
            </w:tr>
            <w:tr w:rsidR="000A7A95" w:rsidRPr="00530424" w:rsidTr="001D0F72">
              <w:tc>
                <w:tcPr>
                  <w:tcW w:w="1560" w:type="dxa"/>
                </w:tcPr>
                <w:p w:rsidR="000A7A95" w:rsidRPr="00530424" w:rsidRDefault="000A7A95" w:rsidP="00B71E09">
                  <w:pPr>
                    <w:pStyle w:val="TableBodyText"/>
                    <w:jc w:val="left"/>
                  </w:pPr>
                  <w:r w:rsidRPr="00530424">
                    <w:t>2010 Year 5</w:t>
                  </w:r>
                </w:p>
              </w:tc>
              <w:tc>
                <w:tcPr>
                  <w:tcW w:w="803" w:type="dxa"/>
                  <w:vAlign w:val="center"/>
                </w:tcPr>
                <w:p w:rsidR="000A7A95" w:rsidRPr="00530424" w:rsidRDefault="000A7A95" w:rsidP="004A30A9">
                  <w:pPr>
                    <w:pStyle w:val="TableBodyText"/>
                  </w:pPr>
                  <w:r w:rsidRPr="00530424">
                    <w:t xml:space="preserve">433.3 </w:t>
                  </w:r>
                  <w:r>
                    <w:br/>
                  </w:r>
                  <w:r w:rsidRPr="00530424">
                    <w:t>± 3.4</w:t>
                  </w:r>
                </w:p>
              </w:tc>
              <w:tc>
                <w:tcPr>
                  <w:tcW w:w="803" w:type="dxa"/>
                  <w:vAlign w:val="center"/>
                </w:tcPr>
                <w:p w:rsidR="000A7A95" w:rsidRPr="00530424" w:rsidRDefault="000A7A95" w:rsidP="004A30A9">
                  <w:pPr>
                    <w:pStyle w:val="TableBodyText"/>
                  </w:pPr>
                  <w:r w:rsidRPr="00530424">
                    <w:t xml:space="preserve">454.4 </w:t>
                  </w:r>
                  <w:r>
                    <w:br/>
                  </w:r>
                  <w:r w:rsidRPr="00530424">
                    <w:t>± 6.5</w:t>
                  </w:r>
                </w:p>
              </w:tc>
              <w:tc>
                <w:tcPr>
                  <w:tcW w:w="804" w:type="dxa"/>
                  <w:vAlign w:val="center"/>
                </w:tcPr>
                <w:p w:rsidR="000A7A95" w:rsidRPr="00530424" w:rsidRDefault="000A7A95" w:rsidP="004A30A9">
                  <w:pPr>
                    <w:pStyle w:val="TableBodyText"/>
                  </w:pPr>
                  <w:r w:rsidRPr="00530424">
                    <w:t xml:space="preserve">411.3 </w:t>
                  </w:r>
                  <w:r>
                    <w:br/>
                  </w:r>
                  <w:r w:rsidRPr="00530424">
                    <w:t>± 4.7</w:t>
                  </w:r>
                </w:p>
              </w:tc>
              <w:tc>
                <w:tcPr>
                  <w:tcW w:w="803" w:type="dxa"/>
                  <w:vAlign w:val="center"/>
                </w:tcPr>
                <w:p w:rsidR="000A7A95" w:rsidRPr="00530424" w:rsidRDefault="000A7A95" w:rsidP="004A30A9">
                  <w:pPr>
                    <w:pStyle w:val="TableBodyText"/>
                  </w:pPr>
                  <w:r w:rsidRPr="00530424">
                    <w:t xml:space="preserve">387.3 </w:t>
                  </w:r>
                  <w:r>
                    <w:br/>
                  </w:r>
                  <w:r w:rsidRPr="00530424">
                    <w:t>± 6.1</w:t>
                  </w:r>
                </w:p>
              </w:tc>
              <w:tc>
                <w:tcPr>
                  <w:tcW w:w="803" w:type="dxa"/>
                  <w:vAlign w:val="center"/>
                </w:tcPr>
                <w:p w:rsidR="000A7A95" w:rsidRPr="00530424" w:rsidRDefault="000A7A95" w:rsidP="004A30A9">
                  <w:pPr>
                    <w:pStyle w:val="TableBodyText"/>
                  </w:pPr>
                  <w:r w:rsidRPr="00530424">
                    <w:t xml:space="preserve">408.8 </w:t>
                  </w:r>
                  <w:r>
                    <w:br/>
                  </w:r>
                  <w:r w:rsidRPr="00530424">
                    <w:t>± 7.5</w:t>
                  </w:r>
                </w:p>
              </w:tc>
              <w:tc>
                <w:tcPr>
                  <w:tcW w:w="804" w:type="dxa"/>
                  <w:vAlign w:val="center"/>
                </w:tcPr>
                <w:p w:rsidR="000A7A95" w:rsidRPr="00530424" w:rsidRDefault="000A7A95" w:rsidP="004A30A9">
                  <w:pPr>
                    <w:pStyle w:val="TableBodyText"/>
                  </w:pPr>
                  <w:r w:rsidRPr="00530424">
                    <w:t xml:space="preserve">451.9 </w:t>
                  </w:r>
                  <w:r>
                    <w:br/>
                  </w:r>
                  <w:r w:rsidRPr="00530424">
                    <w:t>± 8.8</w:t>
                  </w:r>
                </w:p>
              </w:tc>
              <w:tc>
                <w:tcPr>
                  <w:tcW w:w="803" w:type="dxa"/>
                  <w:vAlign w:val="center"/>
                </w:tcPr>
                <w:p w:rsidR="000A7A95" w:rsidRPr="00530424" w:rsidRDefault="000A7A95" w:rsidP="004A30A9">
                  <w:pPr>
                    <w:pStyle w:val="TableBodyText"/>
                  </w:pPr>
                  <w:r w:rsidRPr="00530424">
                    <w:t xml:space="preserve">430.6 </w:t>
                  </w:r>
                  <w:r>
                    <w:br/>
                  </w:r>
                  <w:r w:rsidRPr="00530424">
                    <w:t>± 14.7</w:t>
                  </w:r>
                </w:p>
              </w:tc>
              <w:tc>
                <w:tcPr>
                  <w:tcW w:w="803" w:type="dxa"/>
                  <w:vAlign w:val="center"/>
                </w:tcPr>
                <w:p w:rsidR="000A7A95" w:rsidRPr="00530424" w:rsidRDefault="000A7A95" w:rsidP="004A30A9">
                  <w:pPr>
                    <w:pStyle w:val="TableBodyText"/>
                  </w:pPr>
                  <w:r w:rsidRPr="00530424">
                    <w:t xml:space="preserve">326.7 </w:t>
                  </w:r>
                  <w:r>
                    <w:br/>
                  </w:r>
                  <w:r w:rsidRPr="00530424">
                    <w:t>± 18.8</w:t>
                  </w:r>
                </w:p>
              </w:tc>
              <w:tc>
                <w:tcPr>
                  <w:tcW w:w="804" w:type="dxa"/>
                  <w:vAlign w:val="center"/>
                </w:tcPr>
                <w:p w:rsidR="000A7A95" w:rsidRPr="00530424" w:rsidRDefault="000A7A95" w:rsidP="004A30A9">
                  <w:pPr>
                    <w:pStyle w:val="TableBodyText"/>
                  </w:pPr>
                  <w:r w:rsidRPr="00530424">
                    <w:t xml:space="preserve">409.6 </w:t>
                  </w:r>
                  <w:r>
                    <w:br/>
                  </w:r>
                  <w:r w:rsidRPr="00530424">
                    <w:t>± 3.8</w:t>
                  </w:r>
                </w:p>
              </w:tc>
            </w:tr>
            <w:tr w:rsidR="000A7A95" w:rsidRPr="00530424" w:rsidTr="001D0F72">
              <w:tc>
                <w:tcPr>
                  <w:tcW w:w="1560" w:type="dxa"/>
                </w:tcPr>
                <w:p w:rsidR="000A7A95" w:rsidRPr="00530424" w:rsidRDefault="000A7A95" w:rsidP="00B71E09">
                  <w:pPr>
                    <w:pStyle w:val="TableBodyText"/>
                    <w:jc w:val="left"/>
                  </w:pPr>
                  <w:r w:rsidRPr="00530424">
                    <w:t>2012 Year 7</w:t>
                  </w:r>
                </w:p>
              </w:tc>
              <w:tc>
                <w:tcPr>
                  <w:tcW w:w="803" w:type="dxa"/>
                  <w:vAlign w:val="center"/>
                </w:tcPr>
                <w:p w:rsidR="000A7A95" w:rsidRPr="00530424" w:rsidRDefault="000A7A95" w:rsidP="004A30A9">
                  <w:pPr>
                    <w:pStyle w:val="TableBodyText"/>
                  </w:pPr>
                  <w:r w:rsidRPr="00530424">
                    <w:t xml:space="preserve">489.9 </w:t>
                  </w:r>
                  <w:r>
                    <w:br/>
                  </w:r>
                  <w:r w:rsidRPr="00530424">
                    <w:t>± 3.2</w:t>
                  </w:r>
                </w:p>
              </w:tc>
              <w:tc>
                <w:tcPr>
                  <w:tcW w:w="803" w:type="dxa"/>
                  <w:vAlign w:val="center"/>
                </w:tcPr>
                <w:p w:rsidR="000A7A95" w:rsidRPr="00530424" w:rsidRDefault="000A7A95" w:rsidP="004A30A9">
                  <w:pPr>
                    <w:pStyle w:val="TableBodyText"/>
                  </w:pPr>
                  <w:r w:rsidRPr="00530424">
                    <w:t xml:space="preserve">504.3 </w:t>
                  </w:r>
                  <w:r>
                    <w:br/>
                  </w:r>
                  <w:r w:rsidRPr="00530424">
                    <w:t>± 5.5</w:t>
                  </w:r>
                </w:p>
              </w:tc>
              <w:tc>
                <w:tcPr>
                  <w:tcW w:w="804" w:type="dxa"/>
                  <w:vAlign w:val="center"/>
                </w:tcPr>
                <w:p w:rsidR="000A7A95" w:rsidRPr="00530424" w:rsidRDefault="000A7A95" w:rsidP="004A30A9">
                  <w:pPr>
                    <w:pStyle w:val="TableBodyText"/>
                  </w:pPr>
                  <w:r w:rsidRPr="00530424">
                    <w:t xml:space="preserve">478.0 </w:t>
                  </w:r>
                  <w:r>
                    <w:br/>
                  </w:r>
                  <w:r w:rsidRPr="00530424">
                    <w:t>± 4.0</w:t>
                  </w:r>
                </w:p>
              </w:tc>
              <w:tc>
                <w:tcPr>
                  <w:tcW w:w="803" w:type="dxa"/>
                  <w:vAlign w:val="center"/>
                </w:tcPr>
                <w:p w:rsidR="000A7A95" w:rsidRPr="00530424" w:rsidRDefault="000A7A95" w:rsidP="004A30A9">
                  <w:pPr>
                    <w:pStyle w:val="TableBodyText"/>
                  </w:pPr>
                  <w:r w:rsidRPr="00530424">
                    <w:t xml:space="preserve">462.0 </w:t>
                  </w:r>
                  <w:r>
                    <w:br/>
                  </w:r>
                  <w:r w:rsidRPr="00530424">
                    <w:t>± 5.2</w:t>
                  </w:r>
                </w:p>
              </w:tc>
              <w:tc>
                <w:tcPr>
                  <w:tcW w:w="803" w:type="dxa"/>
                  <w:vAlign w:val="center"/>
                </w:tcPr>
                <w:p w:rsidR="000A7A95" w:rsidRPr="00530424" w:rsidRDefault="000A7A95" w:rsidP="004A30A9">
                  <w:pPr>
                    <w:pStyle w:val="TableBodyText"/>
                  </w:pPr>
                  <w:r w:rsidRPr="00530424">
                    <w:t xml:space="preserve">478.4 </w:t>
                  </w:r>
                  <w:r>
                    <w:br/>
                  </w:r>
                  <w:r w:rsidRPr="00530424">
                    <w:t>± 7.6</w:t>
                  </w:r>
                </w:p>
              </w:tc>
              <w:tc>
                <w:tcPr>
                  <w:tcW w:w="804" w:type="dxa"/>
                  <w:vAlign w:val="center"/>
                </w:tcPr>
                <w:p w:rsidR="000A7A95" w:rsidRPr="00530424" w:rsidRDefault="000A7A95" w:rsidP="004A30A9">
                  <w:pPr>
                    <w:pStyle w:val="TableBodyText"/>
                  </w:pPr>
                  <w:r w:rsidRPr="00530424">
                    <w:t xml:space="preserve">505.0 </w:t>
                  </w:r>
                  <w:r>
                    <w:br/>
                  </w:r>
                  <w:r w:rsidRPr="00530424">
                    <w:t>± 7.9</w:t>
                  </w:r>
                </w:p>
              </w:tc>
              <w:tc>
                <w:tcPr>
                  <w:tcW w:w="803" w:type="dxa"/>
                  <w:vAlign w:val="center"/>
                </w:tcPr>
                <w:p w:rsidR="000A7A95" w:rsidRPr="00530424" w:rsidRDefault="000A7A95" w:rsidP="004A30A9">
                  <w:pPr>
                    <w:pStyle w:val="TableBodyText"/>
                  </w:pPr>
                  <w:r w:rsidRPr="00530424">
                    <w:t xml:space="preserve">507.4 </w:t>
                  </w:r>
                  <w:r>
                    <w:br/>
                  </w:r>
                  <w:r w:rsidRPr="00530424">
                    <w:t>± 14.2</w:t>
                  </w:r>
                </w:p>
              </w:tc>
              <w:tc>
                <w:tcPr>
                  <w:tcW w:w="803" w:type="dxa"/>
                  <w:vAlign w:val="center"/>
                </w:tcPr>
                <w:p w:rsidR="000A7A95" w:rsidRPr="00530424" w:rsidRDefault="000A7A95" w:rsidP="004A30A9">
                  <w:pPr>
                    <w:pStyle w:val="TableBodyText"/>
                  </w:pPr>
                  <w:r w:rsidRPr="00530424">
                    <w:t xml:space="preserve">397.3 </w:t>
                  </w:r>
                  <w:r>
                    <w:br/>
                  </w:r>
                  <w:r w:rsidRPr="00530424">
                    <w:t>± 22.7</w:t>
                  </w:r>
                </w:p>
              </w:tc>
              <w:tc>
                <w:tcPr>
                  <w:tcW w:w="804" w:type="dxa"/>
                  <w:vAlign w:val="center"/>
                </w:tcPr>
                <w:p w:rsidR="000A7A95" w:rsidRPr="00530424" w:rsidRDefault="000A7A95" w:rsidP="004A30A9">
                  <w:pPr>
                    <w:pStyle w:val="TableBodyText"/>
                  </w:pPr>
                  <w:r w:rsidRPr="00530424">
                    <w:t xml:space="preserve">474.8 </w:t>
                  </w:r>
                  <w:r>
                    <w:br/>
                  </w:r>
                  <w:r w:rsidRPr="00530424">
                    <w:t>± 3.4</w:t>
                  </w:r>
                </w:p>
              </w:tc>
            </w:tr>
            <w:tr w:rsidR="004A30A9" w:rsidRPr="00530424" w:rsidTr="002316F7">
              <w:tc>
                <w:tcPr>
                  <w:tcW w:w="1560" w:type="dxa"/>
                  <w:shd w:val="clear" w:color="auto" w:fill="FFFFFF" w:themeFill="background1"/>
                </w:tcPr>
                <w:p w:rsidR="004A30A9" w:rsidRPr="00530424" w:rsidRDefault="004A30A9" w:rsidP="00B71E09">
                  <w:pPr>
                    <w:pStyle w:val="TableBodyText"/>
                    <w:jc w:val="left"/>
                  </w:pPr>
                  <w:r w:rsidRPr="00530424">
                    <w:t>201</w:t>
                  </w:r>
                  <w:r>
                    <w:t>4</w:t>
                  </w:r>
                  <w:r w:rsidRPr="00530424">
                    <w:t xml:space="preserve"> Year </w:t>
                  </w:r>
                  <w:r>
                    <w:t>9</w:t>
                  </w:r>
                </w:p>
              </w:tc>
              <w:tc>
                <w:tcPr>
                  <w:tcW w:w="803" w:type="dxa"/>
                  <w:shd w:val="clear" w:color="auto" w:fill="FFFFFF" w:themeFill="background1"/>
                  <w:vAlign w:val="center"/>
                </w:tcPr>
                <w:p w:rsidR="004A30A9" w:rsidRPr="004A30A9" w:rsidRDefault="004A30A9" w:rsidP="004A30A9">
                  <w:pPr>
                    <w:pStyle w:val="TableBodyText"/>
                    <w:rPr>
                      <w:rFonts w:cs="Arial"/>
                      <w:szCs w:val="18"/>
                    </w:rPr>
                  </w:pPr>
                  <w:r w:rsidRPr="004A30A9">
                    <w:rPr>
                      <w:rFonts w:cs="Arial"/>
                      <w:szCs w:val="18"/>
                    </w:rPr>
                    <w:t xml:space="preserve">529.2 </w:t>
                  </w:r>
                  <w:r>
                    <w:rPr>
                      <w:rFonts w:cs="Arial"/>
                      <w:szCs w:val="18"/>
                    </w:rPr>
                    <w:br/>
                  </w:r>
                  <w:r w:rsidRPr="004A30A9">
                    <w:rPr>
                      <w:rFonts w:cs="Arial"/>
                      <w:szCs w:val="18"/>
                    </w:rPr>
                    <w:t>± 3.1</w:t>
                  </w:r>
                </w:p>
              </w:tc>
              <w:tc>
                <w:tcPr>
                  <w:tcW w:w="803" w:type="dxa"/>
                  <w:shd w:val="clear" w:color="auto" w:fill="FFFFFF" w:themeFill="background1"/>
                  <w:vAlign w:val="center"/>
                </w:tcPr>
                <w:p w:rsidR="004A30A9" w:rsidRPr="004A30A9" w:rsidRDefault="004A30A9" w:rsidP="004A30A9">
                  <w:pPr>
                    <w:pStyle w:val="TableBodyText"/>
                    <w:rPr>
                      <w:rFonts w:cs="Arial"/>
                      <w:szCs w:val="18"/>
                    </w:rPr>
                  </w:pPr>
                  <w:r w:rsidRPr="004A30A9">
                    <w:rPr>
                      <w:rFonts w:cs="Arial"/>
                      <w:szCs w:val="18"/>
                    </w:rPr>
                    <w:t xml:space="preserve">540.3 </w:t>
                  </w:r>
                  <w:r>
                    <w:rPr>
                      <w:rFonts w:cs="Arial"/>
                      <w:szCs w:val="18"/>
                    </w:rPr>
                    <w:br/>
                  </w:r>
                  <w:r w:rsidRPr="004A30A9">
                    <w:rPr>
                      <w:rFonts w:cs="Arial"/>
                      <w:szCs w:val="18"/>
                    </w:rPr>
                    <w:t>± 4.9</w:t>
                  </w:r>
                </w:p>
              </w:tc>
              <w:tc>
                <w:tcPr>
                  <w:tcW w:w="804" w:type="dxa"/>
                  <w:shd w:val="clear" w:color="auto" w:fill="FFFFFF" w:themeFill="background1"/>
                  <w:vAlign w:val="center"/>
                </w:tcPr>
                <w:p w:rsidR="004A30A9" w:rsidRPr="004A30A9" w:rsidRDefault="004A30A9" w:rsidP="004A30A9">
                  <w:pPr>
                    <w:pStyle w:val="TableBodyText"/>
                    <w:rPr>
                      <w:rFonts w:cs="Arial"/>
                      <w:szCs w:val="18"/>
                    </w:rPr>
                  </w:pPr>
                  <w:r w:rsidRPr="004A30A9">
                    <w:rPr>
                      <w:rFonts w:cs="Arial"/>
                      <w:szCs w:val="18"/>
                    </w:rPr>
                    <w:t>521.3</w:t>
                  </w:r>
                  <w:r>
                    <w:rPr>
                      <w:rFonts w:cs="Arial"/>
                      <w:szCs w:val="18"/>
                    </w:rPr>
                    <w:br/>
                  </w:r>
                  <w:r w:rsidRPr="004A30A9">
                    <w:rPr>
                      <w:rFonts w:cs="Arial"/>
                      <w:szCs w:val="18"/>
                    </w:rPr>
                    <w:t xml:space="preserve"> ± 4.3</w:t>
                  </w:r>
                </w:p>
              </w:tc>
              <w:tc>
                <w:tcPr>
                  <w:tcW w:w="803" w:type="dxa"/>
                  <w:shd w:val="clear" w:color="auto" w:fill="FFFFFF" w:themeFill="background1"/>
                  <w:vAlign w:val="center"/>
                </w:tcPr>
                <w:p w:rsidR="004A30A9" w:rsidRPr="004A30A9" w:rsidRDefault="004A30A9" w:rsidP="004A30A9">
                  <w:pPr>
                    <w:pStyle w:val="TableBodyText"/>
                    <w:rPr>
                      <w:rFonts w:cs="Arial"/>
                      <w:szCs w:val="18"/>
                    </w:rPr>
                  </w:pPr>
                  <w:r w:rsidRPr="004A30A9">
                    <w:rPr>
                      <w:rFonts w:cs="Arial"/>
                      <w:szCs w:val="18"/>
                    </w:rPr>
                    <w:t>508.4</w:t>
                  </w:r>
                  <w:r>
                    <w:rPr>
                      <w:rFonts w:cs="Arial"/>
                      <w:szCs w:val="18"/>
                    </w:rPr>
                    <w:br/>
                  </w:r>
                  <w:r w:rsidRPr="004A30A9">
                    <w:rPr>
                      <w:rFonts w:cs="Arial"/>
                      <w:szCs w:val="18"/>
                    </w:rPr>
                    <w:t xml:space="preserve"> ± 7.6</w:t>
                  </w:r>
                </w:p>
              </w:tc>
              <w:tc>
                <w:tcPr>
                  <w:tcW w:w="803" w:type="dxa"/>
                  <w:shd w:val="clear" w:color="auto" w:fill="FFFFFF" w:themeFill="background1"/>
                  <w:vAlign w:val="center"/>
                </w:tcPr>
                <w:p w:rsidR="004A30A9" w:rsidRPr="004A30A9" w:rsidRDefault="004A30A9" w:rsidP="004A30A9">
                  <w:pPr>
                    <w:pStyle w:val="TableBodyText"/>
                    <w:rPr>
                      <w:rFonts w:cs="Arial"/>
                      <w:szCs w:val="18"/>
                    </w:rPr>
                  </w:pPr>
                  <w:r w:rsidRPr="004A30A9">
                    <w:rPr>
                      <w:rFonts w:cs="Arial"/>
                      <w:szCs w:val="18"/>
                    </w:rPr>
                    <w:t xml:space="preserve">516.7 </w:t>
                  </w:r>
                  <w:r>
                    <w:rPr>
                      <w:rFonts w:cs="Arial"/>
                      <w:szCs w:val="18"/>
                    </w:rPr>
                    <w:br/>
                  </w:r>
                  <w:r w:rsidRPr="004A30A9">
                    <w:rPr>
                      <w:rFonts w:cs="Arial"/>
                      <w:szCs w:val="18"/>
                    </w:rPr>
                    <w:t>± 6.7</w:t>
                  </w:r>
                </w:p>
              </w:tc>
              <w:tc>
                <w:tcPr>
                  <w:tcW w:w="804" w:type="dxa"/>
                  <w:shd w:val="clear" w:color="auto" w:fill="FFFFFF" w:themeFill="background1"/>
                  <w:vAlign w:val="center"/>
                </w:tcPr>
                <w:p w:rsidR="004A30A9" w:rsidRPr="004A30A9" w:rsidRDefault="004A30A9" w:rsidP="004A30A9">
                  <w:pPr>
                    <w:pStyle w:val="TableBodyText"/>
                    <w:rPr>
                      <w:rFonts w:cs="Arial"/>
                      <w:szCs w:val="18"/>
                    </w:rPr>
                  </w:pPr>
                  <w:r w:rsidRPr="004A30A9">
                    <w:rPr>
                      <w:rFonts w:cs="Arial"/>
                      <w:szCs w:val="18"/>
                    </w:rPr>
                    <w:t>539.7</w:t>
                  </w:r>
                  <w:r>
                    <w:rPr>
                      <w:rFonts w:cs="Arial"/>
                      <w:szCs w:val="18"/>
                    </w:rPr>
                    <w:br/>
                  </w:r>
                  <w:r w:rsidRPr="004A30A9">
                    <w:rPr>
                      <w:rFonts w:cs="Arial"/>
                      <w:szCs w:val="18"/>
                    </w:rPr>
                    <w:t xml:space="preserve"> ± 7.5</w:t>
                  </w:r>
                </w:p>
              </w:tc>
              <w:tc>
                <w:tcPr>
                  <w:tcW w:w="803" w:type="dxa"/>
                  <w:shd w:val="clear" w:color="auto" w:fill="FFFFFF" w:themeFill="background1"/>
                  <w:vAlign w:val="center"/>
                </w:tcPr>
                <w:p w:rsidR="004A30A9" w:rsidRPr="004A30A9" w:rsidRDefault="004A30A9" w:rsidP="004A30A9">
                  <w:pPr>
                    <w:pStyle w:val="TableBodyText"/>
                    <w:rPr>
                      <w:rFonts w:cs="Arial"/>
                      <w:szCs w:val="18"/>
                    </w:rPr>
                  </w:pPr>
                  <w:r w:rsidRPr="004A30A9">
                    <w:rPr>
                      <w:rFonts w:cs="Arial"/>
                      <w:szCs w:val="18"/>
                    </w:rPr>
                    <w:t>540.3</w:t>
                  </w:r>
                  <w:r>
                    <w:rPr>
                      <w:rFonts w:cs="Arial"/>
                      <w:szCs w:val="18"/>
                    </w:rPr>
                    <w:br/>
                  </w:r>
                  <w:r w:rsidRPr="004A30A9">
                    <w:rPr>
                      <w:rFonts w:cs="Arial"/>
                      <w:szCs w:val="18"/>
                    </w:rPr>
                    <w:t xml:space="preserve"> ± 14.4</w:t>
                  </w:r>
                </w:p>
              </w:tc>
              <w:tc>
                <w:tcPr>
                  <w:tcW w:w="803" w:type="dxa"/>
                  <w:shd w:val="clear" w:color="auto" w:fill="FFFFFF" w:themeFill="background1"/>
                  <w:vAlign w:val="center"/>
                </w:tcPr>
                <w:p w:rsidR="004A30A9" w:rsidRPr="004A30A9" w:rsidRDefault="004A30A9" w:rsidP="004A30A9">
                  <w:pPr>
                    <w:pStyle w:val="TableBodyText"/>
                    <w:rPr>
                      <w:rFonts w:cs="Arial"/>
                      <w:szCs w:val="18"/>
                    </w:rPr>
                  </w:pPr>
                  <w:r w:rsidRPr="004A30A9">
                    <w:rPr>
                      <w:rFonts w:cs="Arial"/>
                      <w:szCs w:val="18"/>
                    </w:rPr>
                    <w:t xml:space="preserve">437.8 </w:t>
                  </w:r>
                  <w:r>
                    <w:rPr>
                      <w:rFonts w:cs="Arial"/>
                      <w:szCs w:val="18"/>
                    </w:rPr>
                    <w:br/>
                  </w:r>
                  <w:r w:rsidRPr="004A30A9">
                    <w:rPr>
                      <w:rFonts w:cs="Arial"/>
                      <w:szCs w:val="18"/>
                    </w:rPr>
                    <w:t>± 22.9</w:t>
                  </w:r>
                </w:p>
              </w:tc>
              <w:tc>
                <w:tcPr>
                  <w:tcW w:w="804" w:type="dxa"/>
                  <w:shd w:val="clear" w:color="auto" w:fill="FFFFFF" w:themeFill="background1"/>
                  <w:vAlign w:val="center"/>
                </w:tcPr>
                <w:p w:rsidR="004A30A9" w:rsidRPr="004A30A9" w:rsidRDefault="004A30A9" w:rsidP="004A30A9">
                  <w:pPr>
                    <w:pStyle w:val="TableBodyText"/>
                    <w:rPr>
                      <w:rFonts w:cs="Arial"/>
                      <w:szCs w:val="18"/>
                    </w:rPr>
                  </w:pPr>
                  <w:r w:rsidRPr="004A30A9">
                    <w:rPr>
                      <w:rFonts w:cs="Arial"/>
                      <w:szCs w:val="18"/>
                    </w:rPr>
                    <w:t>517.4</w:t>
                  </w:r>
                  <w:r>
                    <w:rPr>
                      <w:rFonts w:cs="Arial"/>
                      <w:szCs w:val="18"/>
                    </w:rPr>
                    <w:br/>
                  </w:r>
                  <w:r w:rsidRPr="004A30A9">
                    <w:rPr>
                      <w:rFonts w:cs="Arial"/>
                      <w:szCs w:val="18"/>
                    </w:rPr>
                    <w:t xml:space="preserve"> ± 3.2</w:t>
                  </w:r>
                </w:p>
              </w:tc>
            </w:tr>
            <w:tr w:rsidR="000A7A95" w:rsidRPr="00530424" w:rsidTr="001D0F72">
              <w:tc>
                <w:tcPr>
                  <w:tcW w:w="1560" w:type="dxa"/>
                </w:tcPr>
                <w:p w:rsidR="000A7A95" w:rsidRPr="002A6CB1" w:rsidRDefault="000A7A95" w:rsidP="00B71E09">
                  <w:pPr>
                    <w:pStyle w:val="TableBodyText"/>
                    <w:jc w:val="left"/>
                    <w:rPr>
                      <w:b/>
                    </w:rPr>
                  </w:pPr>
                  <w:r w:rsidRPr="002A6CB1">
                    <w:rPr>
                      <w:b/>
                    </w:rPr>
                    <w:t>Gain 2008-2010</w:t>
                  </w:r>
                </w:p>
              </w:tc>
              <w:tc>
                <w:tcPr>
                  <w:tcW w:w="803" w:type="dxa"/>
                  <w:vAlign w:val="center"/>
                </w:tcPr>
                <w:p w:rsidR="000A7A95" w:rsidRPr="002A6CB1" w:rsidRDefault="000A7A95" w:rsidP="004A30A9">
                  <w:pPr>
                    <w:pStyle w:val="TableBodyText"/>
                    <w:rPr>
                      <w:b/>
                    </w:rPr>
                  </w:pPr>
                  <w:r w:rsidRPr="002A6CB1">
                    <w:rPr>
                      <w:b/>
                    </w:rPr>
                    <w:t xml:space="preserve">85.8 </w:t>
                  </w:r>
                  <w:r w:rsidRPr="002A6CB1">
                    <w:rPr>
                      <w:b/>
                    </w:rPr>
                    <w:br/>
                    <w:t>± 9.2</w:t>
                  </w:r>
                </w:p>
              </w:tc>
              <w:tc>
                <w:tcPr>
                  <w:tcW w:w="803" w:type="dxa"/>
                  <w:vAlign w:val="center"/>
                </w:tcPr>
                <w:p w:rsidR="000A7A95" w:rsidRPr="002A6CB1" w:rsidRDefault="000A7A95" w:rsidP="004A30A9">
                  <w:pPr>
                    <w:pStyle w:val="TableBodyText"/>
                    <w:rPr>
                      <w:b/>
                    </w:rPr>
                  </w:pPr>
                  <w:r w:rsidRPr="002A6CB1">
                    <w:rPr>
                      <w:b/>
                    </w:rPr>
                    <w:t xml:space="preserve">85.5 </w:t>
                  </w:r>
                  <w:r w:rsidRPr="002A6CB1">
                    <w:rPr>
                      <w:b/>
                    </w:rPr>
                    <w:br/>
                    <w:t>± 11.9</w:t>
                  </w:r>
                </w:p>
              </w:tc>
              <w:tc>
                <w:tcPr>
                  <w:tcW w:w="804" w:type="dxa"/>
                  <w:vAlign w:val="center"/>
                </w:tcPr>
                <w:p w:rsidR="000A7A95" w:rsidRPr="002A6CB1" w:rsidRDefault="000A7A95" w:rsidP="004A30A9">
                  <w:pPr>
                    <w:pStyle w:val="TableBodyText"/>
                    <w:rPr>
                      <w:b/>
                    </w:rPr>
                  </w:pPr>
                  <w:r w:rsidRPr="002A6CB1">
                    <w:rPr>
                      <w:b/>
                    </w:rPr>
                    <w:t xml:space="preserve">101.8 </w:t>
                  </w:r>
                  <w:r w:rsidRPr="002A6CB1">
                    <w:rPr>
                      <w:b/>
                    </w:rPr>
                    <w:br/>
                    <w:t>± 11.8</w:t>
                  </w:r>
                </w:p>
              </w:tc>
              <w:tc>
                <w:tcPr>
                  <w:tcW w:w="803" w:type="dxa"/>
                  <w:vAlign w:val="center"/>
                </w:tcPr>
                <w:p w:rsidR="000A7A95" w:rsidRPr="002A6CB1" w:rsidRDefault="000A7A95" w:rsidP="004A30A9">
                  <w:pPr>
                    <w:pStyle w:val="TableBodyText"/>
                    <w:rPr>
                      <w:b/>
                    </w:rPr>
                  </w:pPr>
                  <w:r w:rsidRPr="002A6CB1">
                    <w:rPr>
                      <w:b/>
                    </w:rPr>
                    <w:t xml:space="preserve">94.6 </w:t>
                  </w:r>
                  <w:r w:rsidRPr="002A6CB1">
                    <w:rPr>
                      <w:b/>
                    </w:rPr>
                    <w:br/>
                    <w:t>± 12.2</w:t>
                  </w:r>
                </w:p>
              </w:tc>
              <w:tc>
                <w:tcPr>
                  <w:tcW w:w="803" w:type="dxa"/>
                  <w:vAlign w:val="center"/>
                </w:tcPr>
                <w:p w:rsidR="000A7A95" w:rsidRPr="002A6CB1" w:rsidRDefault="000A7A95" w:rsidP="004A30A9">
                  <w:pPr>
                    <w:pStyle w:val="TableBodyText"/>
                    <w:rPr>
                      <w:b/>
                    </w:rPr>
                  </w:pPr>
                  <w:r w:rsidRPr="002A6CB1">
                    <w:rPr>
                      <w:b/>
                    </w:rPr>
                    <w:t xml:space="preserve">79.1 </w:t>
                  </w:r>
                  <w:r w:rsidRPr="002A6CB1">
                    <w:rPr>
                      <w:b/>
                    </w:rPr>
                    <w:br/>
                    <w:t>± 13.9</w:t>
                  </w:r>
                </w:p>
              </w:tc>
              <w:tc>
                <w:tcPr>
                  <w:tcW w:w="804" w:type="dxa"/>
                  <w:vAlign w:val="center"/>
                </w:tcPr>
                <w:p w:rsidR="000A7A95" w:rsidRPr="002A6CB1" w:rsidRDefault="000A7A95" w:rsidP="004A30A9">
                  <w:pPr>
                    <w:pStyle w:val="TableBodyText"/>
                    <w:rPr>
                      <w:b/>
                    </w:rPr>
                  </w:pPr>
                  <w:r w:rsidRPr="002A6CB1">
                    <w:rPr>
                      <w:b/>
                    </w:rPr>
                    <w:t xml:space="preserve">75.3 </w:t>
                  </w:r>
                  <w:r w:rsidRPr="002A6CB1">
                    <w:rPr>
                      <w:b/>
                    </w:rPr>
                    <w:br/>
                    <w:t>± 15.0</w:t>
                  </w:r>
                </w:p>
              </w:tc>
              <w:tc>
                <w:tcPr>
                  <w:tcW w:w="803" w:type="dxa"/>
                  <w:vAlign w:val="center"/>
                </w:tcPr>
                <w:p w:rsidR="000A7A95" w:rsidRPr="002A6CB1" w:rsidRDefault="000A7A95" w:rsidP="004A30A9">
                  <w:pPr>
                    <w:pStyle w:val="TableBodyText"/>
                    <w:rPr>
                      <w:b/>
                    </w:rPr>
                  </w:pPr>
                  <w:r w:rsidRPr="002A6CB1">
                    <w:rPr>
                      <w:b/>
                    </w:rPr>
                    <w:t xml:space="preserve">71.1 </w:t>
                  </w:r>
                  <w:r w:rsidRPr="002A6CB1">
                    <w:rPr>
                      <w:b/>
                    </w:rPr>
                    <w:br/>
                    <w:t>± 24.1</w:t>
                  </w:r>
                </w:p>
              </w:tc>
              <w:tc>
                <w:tcPr>
                  <w:tcW w:w="803" w:type="dxa"/>
                  <w:vAlign w:val="center"/>
                </w:tcPr>
                <w:p w:rsidR="000A7A95" w:rsidRPr="002A6CB1" w:rsidRDefault="000A7A95" w:rsidP="004A30A9">
                  <w:pPr>
                    <w:pStyle w:val="TableBodyText"/>
                    <w:rPr>
                      <w:b/>
                    </w:rPr>
                  </w:pPr>
                  <w:r w:rsidRPr="002A6CB1">
                    <w:rPr>
                      <w:b/>
                    </w:rPr>
                    <w:t xml:space="preserve">118.6 </w:t>
                  </w:r>
                  <w:r w:rsidRPr="002A6CB1">
                    <w:rPr>
                      <w:b/>
                    </w:rPr>
                    <w:br/>
                    <w:t>± 28.2</w:t>
                  </w:r>
                </w:p>
              </w:tc>
              <w:tc>
                <w:tcPr>
                  <w:tcW w:w="804" w:type="dxa"/>
                  <w:vAlign w:val="center"/>
                </w:tcPr>
                <w:p w:rsidR="000A7A95" w:rsidRPr="002A6CB1" w:rsidRDefault="000A7A95" w:rsidP="004A30A9">
                  <w:pPr>
                    <w:pStyle w:val="TableBodyText"/>
                    <w:rPr>
                      <w:b/>
                    </w:rPr>
                  </w:pPr>
                  <w:r w:rsidRPr="002A6CB1">
                    <w:rPr>
                      <w:b/>
                    </w:rPr>
                    <w:t xml:space="preserve">95.9 </w:t>
                  </w:r>
                  <w:r w:rsidRPr="002A6CB1">
                    <w:rPr>
                      <w:b/>
                    </w:rPr>
                    <w:br/>
                    <w:t>± 10.0</w:t>
                  </w:r>
                </w:p>
              </w:tc>
            </w:tr>
            <w:tr w:rsidR="000A7A95" w:rsidRPr="00530424" w:rsidTr="001D0F72">
              <w:tc>
                <w:tcPr>
                  <w:tcW w:w="1560" w:type="dxa"/>
                </w:tcPr>
                <w:p w:rsidR="000A7A95" w:rsidRPr="002A6CB1" w:rsidRDefault="000A7A95" w:rsidP="00B71E09">
                  <w:pPr>
                    <w:pStyle w:val="TableBodyText"/>
                    <w:jc w:val="left"/>
                    <w:rPr>
                      <w:b/>
                    </w:rPr>
                  </w:pPr>
                  <w:r w:rsidRPr="002A6CB1">
                    <w:rPr>
                      <w:b/>
                    </w:rPr>
                    <w:t>Gain 2010-2012</w:t>
                  </w:r>
                </w:p>
              </w:tc>
              <w:tc>
                <w:tcPr>
                  <w:tcW w:w="803" w:type="dxa"/>
                  <w:vAlign w:val="center"/>
                </w:tcPr>
                <w:p w:rsidR="000A7A95" w:rsidRPr="002A6CB1" w:rsidRDefault="000A7A95" w:rsidP="004A30A9">
                  <w:pPr>
                    <w:pStyle w:val="TableBodyText"/>
                    <w:rPr>
                      <w:b/>
                    </w:rPr>
                  </w:pPr>
                  <w:r w:rsidRPr="002A6CB1">
                    <w:rPr>
                      <w:b/>
                    </w:rPr>
                    <w:t xml:space="preserve">56.6 </w:t>
                  </w:r>
                  <w:r w:rsidRPr="002A6CB1">
                    <w:rPr>
                      <w:b/>
                    </w:rPr>
                    <w:br/>
                    <w:t>± 8.4</w:t>
                  </w:r>
                </w:p>
              </w:tc>
              <w:tc>
                <w:tcPr>
                  <w:tcW w:w="803" w:type="dxa"/>
                  <w:vAlign w:val="center"/>
                </w:tcPr>
                <w:p w:rsidR="000A7A95" w:rsidRPr="002A6CB1" w:rsidRDefault="000A7A95" w:rsidP="004A30A9">
                  <w:pPr>
                    <w:pStyle w:val="TableBodyText"/>
                    <w:rPr>
                      <w:b/>
                    </w:rPr>
                  </w:pPr>
                  <w:r w:rsidRPr="002A6CB1">
                    <w:rPr>
                      <w:b/>
                    </w:rPr>
                    <w:t xml:space="preserve">49.9 </w:t>
                  </w:r>
                  <w:r w:rsidRPr="002A6CB1">
                    <w:rPr>
                      <w:b/>
                    </w:rPr>
                    <w:br/>
                    <w:t>± 11.0</w:t>
                  </w:r>
                </w:p>
              </w:tc>
              <w:tc>
                <w:tcPr>
                  <w:tcW w:w="804" w:type="dxa"/>
                  <w:vAlign w:val="center"/>
                </w:tcPr>
                <w:p w:rsidR="000A7A95" w:rsidRPr="002A6CB1" w:rsidRDefault="000A7A95" w:rsidP="004A30A9">
                  <w:pPr>
                    <w:pStyle w:val="TableBodyText"/>
                    <w:rPr>
                      <w:b/>
                    </w:rPr>
                  </w:pPr>
                  <w:r w:rsidRPr="002A6CB1">
                    <w:rPr>
                      <w:b/>
                    </w:rPr>
                    <w:t xml:space="preserve">66.7 </w:t>
                  </w:r>
                  <w:r w:rsidRPr="002A6CB1">
                    <w:rPr>
                      <w:b/>
                    </w:rPr>
                    <w:br/>
                    <w:t>± 9.3</w:t>
                  </w:r>
                </w:p>
              </w:tc>
              <w:tc>
                <w:tcPr>
                  <w:tcW w:w="803" w:type="dxa"/>
                  <w:vAlign w:val="center"/>
                </w:tcPr>
                <w:p w:rsidR="000A7A95" w:rsidRPr="002A6CB1" w:rsidRDefault="000A7A95" w:rsidP="004A30A9">
                  <w:pPr>
                    <w:pStyle w:val="TableBodyText"/>
                    <w:rPr>
                      <w:b/>
                    </w:rPr>
                  </w:pPr>
                  <w:r w:rsidRPr="002A6CB1">
                    <w:rPr>
                      <w:b/>
                    </w:rPr>
                    <w:t xml:space="preserve">74.7 </w:t>
                  </w:r>
                  <w:r w:rsidRPr="002A6CB1">
                    <w:rPr>
                      <w:b/>
                    </w:rPr>
                    <w:br/>
                    <w:t>± 10.6</w:t>
                  </w:r>
                </w:p>
              </w:tc>
              <w:tc>
                <w:tcPr>
                  <w:tcW w:w="803" w:type="dxa"/>
                  <w:vAlign w:val="center"/>
                </w:tcPr>
                <w:p w:rsidR="000A7A95" w:rsidRPr="002A6CB1" w:rsidRDefault="000A7A95" w:rsidP="004A30A9">
                  <w:pPr>
                    <w:pStyle w:val="TableBodyText"/>
                    <w:rPr>
                      <w:b/>
                    </w:rPr>
                  </w:pPr>
                  <w:r w:rsidRPr="002A6CB1">
                    <w:rPr>
                      <w:b/>
                    </w:rPr>
                    <w:t xml:space="preserve">69.6 </w:t>
                  </w:r>
                  <w:r w:rsidRPr="002A6CB1">
                    <w:rPr>
                      <w:b/>
                    </w:rPr>
                    <w:br/>
                    <w:t>± 12.8</w:t>
                  </w:r>
                </w:p>
              </w:tc>
              <w:tc>
                <w:tcPr>
                  <w:tcW w:w="804" w:type="dxa"/>
                  <w:vAlign w:val="center"/>
                </w:tcPr>
                <w:p w:rsidR="000A7A95" w:rsidRPr="002A6CB1" w:rsidRDefault="000A7A95" w:rsidP="004A30A9">
                  <w:pPr>
                    <w:pStyle w:val="TableBodyText"/>
                    <w:rPr>
                      <w:b/>
                    </w:rPr>
                  </w:pPr>
                  <w:r w:rsidRPr="002A6CB1">
                    <w:rPr>
                      <w:b/>
                    </w:rPr>
                    <w:t xml:space="preserve">53.1 </w:t>
                  </w:r>
                  <w:r w:rsidRPr="002A6CB1">
                    <w:rPr>
                      <w:b/>
                    </w:rPr>
                    <w:br/>
                    <w:t>± 13.7</w:t>
                  </w:r>
                </w:p>
              </w:tc>
              <w:tc>
                <w:tcPr>
                  <w:tcW w:w="803" w:type="dxa"/>
                  <w:vAlign w:val="center"/>
                </w:tcPr>
                <w:p w:rsidR="000A7A95" w:rsidRPr="002A6CB1" w:rsidRDefault="000A7A95" w:rsidP="004A30A9">
                  <w:pPr>
                    <w:pStyle w:val="TableBodyText"/>
                    <w:rPr>
                      <w:b/>
                    </w:rPr>
                  </w:pPr>
                  <w:r w:rsidRPr="002A6CB1">
                    <w:rPr>
                      <w:b/>
                    </w:rPr>
                    <w:t xml:space="preserve">76.8 </w:t>
                  </w:r>
                  <w:r w:rsidRPr="002A6CB1">
                    <w:rPr>
                      <w:b/>
                    </w:rPr>
                    <w:br/>
                    <w:t>± 21.6</w:t>
                  </w:r>
                </w:p>
              </w:tc>
              <w:tc>
                <w:tcPr>
                  <w:tcW w:w="803" w:type="dxa"/>
                  <w:vAlign w:val="center"/>
                </w:tcPr>
                <w:p w:rsidR="000A7A95" w:rsidRPr="002A6CB1" w:rsidRDefault="000A7A95" w:rsidP="004A30A9">
                  <w:pPr>
                    <w:pStyle w:val="TableBodyText"/>
                    <w:rPr>
                      <w:b/>
                    </w:rPr>
                  </w:pPr>
                  <w:r w:rsidRPr="002A6CB1">
                    <w:rPr>
                      <w:b/>
                    </w:rPr>
                    <w:t xml:space="preserve">70.6 </w:t>
                  </w:r>
                  <w:r w:rsidRPr="002A6CB1">
                    <w:rPr>
                      <w:b/>
                    </w:rPr>
                    <w:br/>
                    <w:t>± 30.3</w:t>
                  </w:r>
                </w:p>
              </w:tc>
              <w:tc>
                <w:tcPr>
                  <w:tcW w:w="804" w:type="dxa"/>
                  <w:vAlign w:val="center"/>
                </w:tcPr>
                <w:p w:rsidR="000A7A95" w:rsidRPr="002A6CB1" w:rsidRDefault="000A7A95" w:rsidP="004A30A9">
                  <w:pPr>
                    <w:pStyle w:val="TableBodyText"/>
                    <w:rPr>
                      <w:b/>
                    </w:rPr>
                  </w:pPr>
                  <w:r w:rsidRPr="002A6CB1">
                    <w:rPr>
                      <w:b/>
                    </w:rPr>
                    <w:t xml:space="preserve">65.2 </w:t>
                  </w:r>
                  <w:r w:rsidRPr="002A6CB1">
                    <w:rPr>
                      <w:b/>
                    </w:rPr>
                    <w:br/>
                    <w:t>± 8.6</w:t>
                  </w:r>
                </w:p>
              </w:tc>
            </w:tr>
            <w:tr w:rsidR="004A30A9" w:rsidRPr="00530424" w:rsidTr="002316F7">
              <w:tc>
                <w:tcPr>
                  <w:tcW w:w="1560" w:type="dxa"/>
                  <w:shd w:val="clear" w:color="auto" w:fill="FFFFFF" w:themeFill="background1"/>
                </w:tcPr>
                <w:p w:rsidR="004A30A9" w:rsidRPr="002A6CB1" w:rsidRDefault="004A30A9" w:rsidP="00B71E09">
                  <w:pPr>
                    <w:pStyle w:val="TableBodyText"/>
                    <w:jc w:val="left"/>
                    <w:rPr>
                      <w:b/>
                      <w:szCs w:val="18"/>
                    </w:rPr>
                  </w:pPr>
                  <w:r w:rsidRPr="002A6CB1">
                    <w:rPr>
                      <w:b/>
                      <w:szCs w:val="18"/>
                    </w:rPr>
                    <w:t>Gain 2012-2014</w:t>
                  </w:r>
                </w:p>
              </w:tc>
              <w:tc>
                <w:tcPr>
                  <w:tcW w:w="803" w:type="dxa"/>
                  <w:shd w:val="clear" w:color="auto" w:fill="FFFFFF" w:themeFill="background1"/>
                  <w:vAlign w:val="center"/>
                </w:tcPr>
                <w:p w:rsidR="004A30A9" w:rsidRPr="002A6CB1" w:rsidRDefault="004A30A9" w:rsidP="004A30A9">
                  <w:pPr>
                    <w:pStyle w:val="TableBodyText"/>
                    <w:rPr>
                      <w:rFonts w:cs="Arial"/>
                      <w:b/>
                      <w:bCs/>
                      <w:szCs w:val="18"/>
                    </w:rPr>
                  </w:pPr>
                  <w:r w:rsidRPr="002A6CB1">
                    <w:rPr>
                      <w:rFonts w:cs="Arial"/>
                      <w:b/>
                      <w:bCs/>
                      <w:szCs w:val="18"/>
                    </w:rPr>
                    <w:t xml:space="preserve">39.3 </w:t>
                  </w:r>
                  <w:r w:rsidRPr="002A6CB1">
                    <w:rPr>
                      <w:rFonts w:cs="Arial"/>
                      <w:b/>
                      <w:bCs/>
                      <w:szCs w:val="18"/>
                    </w:rPr>
                    <w:br/>
                    <w:t>± 6.8</w:t>
                  </w:r>
                </w:p>
              </w:tc>
              <w:tc>
                <w:tcPr>
                  <w:tcW w:w="803" w:type="dxa"/>
                  <w:shd w:val="clear" w:color="auto" w:fill="FFFFFF" w:themeFill="background1"/>
                  <w:vAlign w:val="center"/>
                </w:tcPr>
                <w:p w:rsidR="004A30A9" w:rsidRPr="002A6CB1" w:rsidRDefault="004A30A9" w:rsidP="004A30A9">
                  <w:pPr>
                    <w:pStyle w:val="TableBodyText"/>
                    <w:rPr>
                      <w:rFonts w:cs="Arial"/>
                      <w:b/>
                      <w:bCs/>
                      <w:szCs w:val="18"/>
                    </w:rPr>
                  </w:pPr>
                  <w:r w:rsidRPr="002A6CB1">
                    <w:rPr>
                      <w:rFonts w:cs="Arial"/>
                      <w:b/>
                      <w:bCs/>
                      <w:szCs w:val="18"/>
                    </w:rPr>
                    <w:t>36.0</w:t>
                  </w:r>
                  <w:r w:rsidRPr="002A6CB1">
                    <w:rPr>
                      <w:rFonts w:cs="Arial"/>
                      <w:b/>
                      <w:bCs/>
                      <w:szCs w:val="18"/>
                    </w:rPr>
                    <w:br/>
                    <w:t xml:space="preserve"> ± 9.0</w:t>
                  </w:r>
                </w:p>
              </w:tc>
              <w:tc>
                <w:tcPr>
                  <w:tcW w:w="804" w:type="dxa"/>
                  <w:shd w:val="clear" w:color="auto" w:fill="FFFFFF" w:themeFill="background1"/>
                  <w:vAlign w:val="center"/>
                </w:tcPr>
                <w:p w:rsidR="004A30A9" w:rsidRPr="002A6CB1" w:rsidRDefault="004A30A9" w:rsidP="004A30A9">
                  <w:pPr>
                    <w:pStyle w:val="TableBodyText"/>
                    <w:rPr>
                      <w:rFonts w:cs="Arial"/>
                      <w:b/>
                      <w:bCs/>
                      <w:szCs w:val="18"/>
                    </w:rPr>
                  </w:pPr>
                  <w:r w:rsidRPr="002A6CB1">
                    <w:rPr>
                      <w:rFonts w:cs="Arial"/>
                      <w:b/>
                      <w:bCs/>
                      <w:szCs w:val="18"/>
                    </w:rPr>
                    <w:t xml:space="preserve">43.3 </w:t>
                  </w:r>
                  <w:r w:rsidRPr="002A6CB1">
                    <w:rPr>
                      <w:rFonts w:cs="Arial"/>
                      <w:b/>
                      <w:bCs/>
                      <w:szCs w:val="18"/>
                    </w:rPr>
                    <w:br/>
                    <w:t>± 7.8</w:t>
                  </w:r>
                </w:p>
              </w:tc>
              <w:tc>
                <w:tcPr>
                  <w:tcW w:w="803" w:type="dxa"/>
                  <w:shd w:val="clear" w:color="auto" w:fill="FFFFFF" w:themeFill="background1"/>
                  <w:vAlign w:val="center"/>
                </w:tcPr>
                <w:p w:rsidR="004A30A9" w:rsidRPr="002A6CB1" w:rsidRDefault="004A30A9" w:rsidP="004A30A9">
                  <w:pPr>
                    <w:pStyle w:val="TableBodyText"/>
                    <w:rPr>
                      <w:rFonts w:cs="Arial"/>
                      <w:b/>
                      <w:bCs/>
                      <w:szCs w:val="18"/>
                    </w:rPr>
                  </w:pPr>
                  <w:r w:rsidRPr="002A6CB1">
                    <w:rPr>
                      <w:rFonts w:cs="Arial"/>
                      <w:b/>
                      <w:bCs/>
                      <w:szCs w:val="18"/>
                    </w:rPr>
                    <w:t xml:space="preserve">46.4 </w:t>
                  </w:r>
                  <w:r w:rsidRPr="002A6CB1">
                    <w:rPr>
                      <w:rFonts w:cs="Arial"/>
                      <w:b/>
                      <w:bCs/>
                      <w:szCs w:val="18"/>
                    </w:rPr>
                    <w:br/>
                    <w:t>± 10.5</w:t>
                  </w:r>
                </w:p>
              </w:tc>
              <w:tc>
                <w:tcPr>
                  <w:tcW w:w="803" w:type="dxa"/>
                  <w:shd w:val="clear" w:color="auto" w:fill="FFFFFF" w:themeFill="background1"/>
                  <w:vAlign w:val="center"/>
                </w:tcPr>
                <w:p w:rsidR="004A30A9" w:rsidRPr="002A6CB1" w:rsidRDefault="004A30A9" w:rsidP="004A30A9">
                  <w:pPr>
                    <w:pStyle w:val="TableBodyText"/>
                    <w:rPr>
                      <w:rFonts w:cs="Arial"/>
                      <w:b/>
                      <w:bCs/>
                      <w:szCs w:val="18"/>
                    </w:rPr>
                  </w:pPr>
                  <w:r w:rsidRPr="002A6CB1">
                    <w:rPr>
                      <w:rFonts w:cs="Arial"/>
                      <w:b/>
                      <w:bCs/>
                      <w:szCs w:val="18"/>
                    </w:rPr>
                    <w:t xml:space="preserve">38.3 </w:t>
                  </w:r>
                  <w:r w:rsidRPr="002A6CB1">
                    <w:rPr>
                      <w:rFonts w:cs="Arial"/>
                      <w:b/>
                      <w:bCs/>
                      <w:szCs w:val="18"/>
                    </w:rPr>
                    <w:br/>
                    <w:t>± 11.3</w:t>
                  </w:r>
                </w:p>
              </w:tc>
              <w:tc>
                <w:tcPr>
                  <w:tcW w:w="804" w:type="dxa"/>
                  <w:shd w:val="clear" w:color="auto" w:fill="FFFFFF" w:themeFill="background1"/>
                  <w:vAlign w:val="center"/>
                </w:tcPr>
                <w:p w:rsidR="004A30A9" w:rsidRPr="002A6CB1" w:rsidRDefault="004A30A9" w:rsidP="004A30A9">
                  <w:pPr>
                    <w:pStyle w:val="TableBodyText"/>
                    <w:rPr>
                      <w:rFonts w:cs="Arial"/>
                      <w:b/>
                      <w:bCs/>
                      <w:szCs w:val="18"/>
                    </w:rPr>
                  </w:pPr>
                  <w:r w:rsidRPr="002A6CB1">
                    <w:rPr>
                      <w:rFonts w:cs="Arial"/>
                      <w:b/>
                      <w:bCs/>
                      <w:szCs w:val="18"/>
                    </w:rPr>
                    <w:t>34.7</w:t>
                  </w:r>
                  <w:r w:rsidRPr="002A6CB1">
                    <w:rPr>
                      <w:rFonts w:cs="Arial"/>
                      <w:b/>
                      <w:bCs/>
                      <w:szCs w:val="18"/>
                    </w:rPr>
                    <w:br/>
                    <w:t xml:space="preserve"> ± 12.0</w:t>
                  </w:r>
                </w:p>
              </w:tc>
              <w:tc>
                <w:tcPr>
                  <w:tcW w:w="803" w:type="dxa"/>
                  <w:shd w:val="clear" w:color="auto" w:fill="FFFFFF" w:themeFill="background1"/>
                  <w:vAlign w:val="center"/>
                </w:tcPr>
                <w:p w:rsidR="004A30A9" w:rsidRPr="002A6CB1" w:rsidRDefault="004A30A9" w:rsidP="004A30A9">
                  <w:pPr>
                    <w:pStyle w:val="TableBodyText"/>
                    <w:rPr>
                      <w:rFonts w:cs="Arial"/>
                      <w:b/>
                      <w:bCs/>
                      <w:szCs w:val="18"/>
                    </w:rPr>
                  </w:pPr>
                  <w:r w:rsidRPr="002A6CB1">
                    <w:rPr>
                      <w:rFonts w:cs="Arial"/>
                      <w:b/>
                      <w:bCs/>
                      <w:szCs w:val="18"/>
                    </w:rPr>
                    <w:t xml:space="preserve">32.9 </w:t>
                  </w:r>
                  <w:r w:rsidRPr="002A6CB1">
                    <w:rPr>
                      <w:rFonts w:cs="Arial"/>
                      <w:b/>
                      <w:bCs/>
                      <w:szCs w:val="18"/>
                    </w:rPr>
                    <w:br/>
                    <w:t>± 20.9</w:t>
                  </w:r>
                </w:p>
              </w:tc>
              <w:tc>
                <w:tcPr>
                  <w:tcW w:w="803" w:type="dxa"/>
                  <w:shd w:val="clear" w:color="auto" w:fill="FFFFFF" w:themeFill="background1"/>
                  <w:vAlign w:val="center"/>
                </w:tcPr>
                <w:p w:rsidR="004A30A9" w:rsidRPr="002A6CB1" w:rsidRDefault="004A30A9" w:rsidP="004A30A9">
                  <w:pPr>
                    <w:pStyle w:val="TableBodyText"/>
                    <w:rPr>
                      <w:rFonts w:cs="Arial"/>
                      <w:b/>
                      <w:bCs/>
                      <w:szCs w:val="18"/>
                    </w:rPr>
                  </w:pPr>
                  <w:r w:rsidRPr="002A6CB1">
                    <w:rPr>
                      <w:rFonts w:cs="Arial"/>
                      <w:b/>
                      <w:bCs/>
                      <w:szCs w:val="18"/>
                    </w:rPr>
                    <w:t xml:space="preserve">40.5 </w:t>
                  </w:r>
                  <w:r w:rsidRPr="002A6CB1">
                    <w:rPr>
                      <w:rFonts w:cs="Arial"/>
                      <w:b/>
                      <w:bCs/>
                      <w:szCs w:val="18"/>
                    </w:rPr>
                    <w:br/>
                    <w:t>± 32.6</w:t>
                  </w:r>
                </w:p>
              </w:tc>
              <w:tc>
                <w:tcPr>
                  <w:tcW w:w="804" w:type="dxa"/>
                  <w:shd w:val="clear" w:color="auto" w:fill="FFFFFF" w:themeFill="background1"/>
                  <w:vAlign w:val="center"/>
                </w:tcPr>
                <w:p w:rsidR="004A30A9" w:rsidRPr="002A6CB1" w:rsidRDefault="004A30A9" w:rsidP="004A30A9">
                  <w:pPr>
                    <w:pStyle w:val="TableBodyText"/>
                    <w:rPr>
                      <w:rFonts w:cs="Arial"/>
                      <w:b/>
                      <w:bCs/>
                      <w:szCs w:val="18"/>
                    </w:rPr>
                  </w:pPr>
                  <w:r w:rsidRPr="002A6CB1">
                    <w:rPr>
                      <w:rFonts w:cs="Arial"/>
                      <w:b/>
                      <w:bCs/>
                      <w:szCs w:val="18"/>
                    </w:rPr>
                    <w:t xml:space="preserve">42.6 </w:t>
                  </w:r>
                  <w:r w:rsidRPr="002A6CB1">
                    <w:rPr>
                      <w:rFonts w:cs="Arial"/>
                      <w:b/>
                      <w:bCs/>
                      <w:szCs w:val="18"/>
                    </w:rPr>
                    <w:br/>
                    <w:t>± 6.9</w:t>
                  </w:r>
                </w:p>
              </w:tc>
            </w:tr>
            <w:tr w:rsidR="000A7A95" w:rsidRPr="00530424" w:rsidTr="001D0F72">
              <w:tc>
                <w:tcPr>
                  <w:tcW w:w="8790" w:type="dxa"/>
                  <w:gridSpan w:val="10"/>
                </w:tcPr>
                <w:p w:rsidR="000A7A95" w:rsidRPr="00B13ED5" w:rsidRDefault="000A7A95" w:rsidP="00B13ED5">
                  <w:pPr>
                    <w:pStyle w:val="TableUnitsRow"/>
                    <w:jc w:val="left"/>
                    <w:rPr>
                      <w:b/>
                    </w:rPr>
                  </w:pPr>
                  <w:r w:rsidRPr="00B13ED5">
                    <w:rPr>
                      <w:b/>
                    </w:rPr>
                    <w:t>Non-Indigenous students</w:t>
                  </w:r>
                </w:p>
              </w:tc>
            </w:tr>
            <w:tr w:rsidR="000A7A95" w:rsidRPr="00530424" w:rsidTr="001D0F72">
              <w:tc>
                <w:tcPr>
                  <w:tcW w:w="1560" w:type="dxa"/>
                </w:tcPr>
                <w:p w:rsidR="000A7A95" w:rsidRPr="00530424" w:rsidRDefault="000A7A95" w:rsidP="00B71E09">
                  <w:pPr>
                    <w:pStyle w:val="TableBodyText"/>
                    <w:jc w:val="left"/>
                  </w:pPr>
                  <w:r w:rsidRPr="00530424">
                    <w:t>2008 Year 3</w:t>
                  </w:r>
                </w:p>
              </w:tc>
              <w:tc>
                <w:tcPr>
                  <w:tcW w:w="803" w:type="dxa"/>
                  <w:vAlign w:val="center"/>
                </w:tcPr>
                <w:p w:rsidR="000A7A95" w:rsidRPr="004A30A9" w:rsidRDefault="000A7A95" w:rsidP="004A30A9">
                  <w:pPr>
                    <w:pStyle w:val="TableBodyText"/>
                    <w:rPr>
                      <w:szCs w:val="18"/>
                    </w:rPr>
                  </w:pPr>
                  <w:r w:rsidRPr="004A30A9">
                    <w:rPr>
                      <w:szCs w:val="18"/>
                    </w:rPr>
                    <w:t xml:space="preserve">414.9 </w:t>
                  </w:r>
                  <w:r w:rsidRPr="004A30A9">
                    <w:rPr>
                      <w:szCs w:val="18"/>
                    </w:rPr>
                    <w:br/>
                    <w:t>± 1.7</w:t>
                  </w:r>
                </w:p>
              </w:tc>
              <w:tc>
                <w:tcPr>
                  <w:tcW w:w="803" w:type="dxa"/>
                  <w:vAlign w:val="center"/>
                </w:tcPr>
                <w:p w:rsidR="000A7A95" w:rsidRPr="004A30A9" w:rsidRDefault="000A7A95" w:rsidP="004A30A9">
                  <w:pPr>
                    <w:pStyle w:val="TableBodyText"/>
                    <w:rPr>
                      <w:szCs w:val="18"/>
                    </w:rPr>
                  </w:pPr>
                  <w:r w:rsidRPr="004A30A9">
                    <w:rPr>
                      <w:szCs w:val="18"/>
                    </w:rPr>
                    <w:t xml:space="preserve">420.6 </w:t>
                  </w:r>
                  <w:r w:rsidRPr="004A30A9">
                    <w:rPr>
                      <w:szCs w:val="18"/>
                    </w:rPr>
                    <w:br/>
                    <w:t>± 1.6</w:t>
                  </w:r>
                </w:p>
              </w:tc>
              <w:tc>
                <w:tcPr>
                  <w:tcW w:w="804" w:type="dxa"/>
                  <w:vAlign w:val="center"/>
                </w:tcPr>
                <w:p w:rsidR="000A7A95" w:rsidRPr="004A30A9" w:rsidRDefault="000A7A95" w:rsidP="004A30A9">
                  <w:pPr>
                    <w:pStyle w:val="TableBodyText"/>
                    <w:rPr>
                      <w:szCs w:val="18"/>
                    </w:rPr>
                  </w:pPr>
                  <w:r w:rsidRPr="004A30A9">
                    <w:rPr>
                      <w:szCs w:val="18"/>
                    </w:rPr>
                    <w:t xml:space="preserve">375.9 </w:t>
                  </w:r>
                  <w:r w:rsidRPr="004A30A9">
                    <w:rPr>
                      <w:szCs w:val="18"/>
                    </w:rPr>
                    <w:br/>
                    <w:t>± 2.4</w:t>
                  </w:r>
                </w:p>
              </w:tc>
              <w:tc>
                <w:tcPr>
                  <w:tcW w:w="803" w:type="dxa"/>
                  <w:vAlign w:val="center"/>
                </w:tcPr>
                <w:p w:rsidR="000A7A95" w:rsidRPr="004A30A9" w:rsidRDefault="000A7A95" w:rsidP="004A30A9">
                  <w:pPr>
                    <w:pStyle w:val="TableBodyText"/>
                    <w:rPr>
                      <w:szCs w:val="18"/>
                    </w:rPr>
                  </w:pPr>
                  <w:r w:rsidRPr="004A30A9">
                    <w:rPr>
                      <w:szCs w:val="18"/>
                    </w:rPr>
                    <w:t xml:space="preserve">394.5 </w:t>
                  </w:r>
                  <w:r w:rsidRPr="004A30A9">
                    <w:rPr>
                      <w:szCs w:val="18"/>
                    </w:rPr>
                    <w:br/>
                    <w:t>± 2.7</w:t>
                  </w:r>
                </w:p>
              </w:tc>
              <w:tc>
                <w:tcPr>
                  <w:tcW w:w="803" w:type="dxa"/>
                  <w:vAlign w:val="center"/>
                </w:tcPr>
                <w:p w:rsidR="000A7A95" w:rsidRPr="004A30A9" w:rsidRDefault="000A7A95" w:rsidP="004A30A9">
                  <w:pPr>
                    <w:pStyle w:val="TableBodyText"/>
                    <w:rPr>
                      <w:szCs w:val="18"/>
                    </w:rPr>
                  </w:pPr>
                  <w:r w:rsidRPr="004A30A9">
                    <w:rPr>
                      <w:szCs w:val="18"/>
                    </w:rPr>
                    <w:t xml:space="preserve">403.9 </w:t>
                  </w:r>
                  <w:r w:rsidRPr="004A30A9">
                    <w:rPr>
                      <w:szCs w:val="18"/>
                    </w:rPr>
                    <w:br/>
                    <w:t>± 3.1</w:t>
                  </w:r>
                </w:p>
              </w:tc>
              <w:tc>
                <w:tcPr>
                  <w:tcW w:w="804" w:type="dxa"/>
                  <w:vAlign w:val="center"/>
                </w:tcPr>
                <w:p w:rsidR="000A7A95" w:rsidRPr="004A30A9" w:rsidRDefault="000A7A95" w:rsidP="004A30A9">
                  <w:pPr>
                    <w:pStyle w:val="TableBodyText"/>
                    <w:rPr>
                      <w:szCs w:val="18"/>
                    </w:rPr>
                  </w:pPr>
                  <w:r w:rsidRPr="004A30A9">
                    <w:rPr>
                      <w:szCs w:val="18"/>
                    </w:rPr>
                    <w:t xml:space="preserve">403.4 </w:t>
                  </w:r>
                  <w:r w:rsidRPr="004A30A9">
                    <w:rPr>
                      <w:szCs w:val="18"/>
                    </w:rPr>
                    <w:br/>
                    <w:t>± 5.2</w:t>
                  </w:r>
                </w:p>
              </w:tc>
              <w:tc>
                <w:tcPr>
                  <w:tcW w:w="803" w:type="dxa"/>
                  <w:vAlign w:val="center"/>
                </w:tcPr>
                <w:p w:rsidR="000A7A95" w:rsidRPr="004A30A9" w:rsidRDefault="000A7A95" w:rsidP="004A30A9">
                  <w:pPr>
                    <w:pStyle w:val="TableBodyText"/>
                    <w:rPr>
                      <w:szCs w:val="18"/>
                    </w:rPr>
                  </w:pPr>
                  <w:r w:rsidRPr="004A30A9">
                    <w:rPr>
                      <w:szCs w:val="18"/>
                    </w:rPr>
                    <w:t xml:space="preserve">422.8 </w:t>
                  </w:r>
                  <w:r w:rsidRPr="004A30A9">
                    <w:rPr>
                      <w:szCs w:val="18"/>
                    </w:rPr>
                    <w:br/>
                    <w:t>± 5.7</w:t>
                  </w:r>
                </w:p>
              </w:tc>
              <w:tc>
                <w:tcPr>
                  <w:tcW w:w="803" w:type="dxa"/>
                  <w:vAlign w:val="center"/>
                </w:tcPr>
                <w:p w:rsidR="000A7A95" w:rsidRPr="004A30A9" w:rsidRDefault="000A7A95" w:rsidP="004A30A9">
                  <w:pPr>
                    <w:pStyle w:val="TableBodyText"/>
                    <w:rPr>
                      <w:szCs w:val="18"/>
                    </w:rPr>
                  </w:pPr>
                  <w:r w:rsidRPr="004A30A9">
                    <w:rPr>
                      <w:szCs w:val="18"/>
                    </w:rPr>
                    <w:t xml:space="preserve">382.5 </w:t>
                  </w:r>
                  <w:r w:rsidRPr="004A30A9">
                    <w:rPr>
                      <w:szCs w:val="18"/>
                    </w:rPr>
                    <w:br/>
                    <w:t>± 8.1</w:t>
                  </w:r>
                </w:p>
              </w:tc>
              <w:tc>
                <w:tcPr>
                  <w:tcW w:w="804" w:type="dxa"/>
                  <w:vAlign w:val="center"/>
                </w:tcPr>
                <w:p w:rsidR="000A7A95" w:rsidRPr="004A30A9" w:rsidRDefault="000A7A95" w:rsidP="004A30A9">
                  <w:pPr>
                    <w:pStyle w:val="TableBodyText"/>
                    <w:rPr>
                      <w:szCs w:val="18"/>
                    </w:rPr>
                  </w:pPr>
                  <w:r w:rsidRPr="004A30A9">
                    <w:rPr>
                      <w:szCs w:val="18"/>
                    </w:rPr>
                    <w:t xml:space="preserve">405.0 </w:t>
                  </w:r>
                  <w:r w:rsidRPr="004A30A9">
                    <w:rPr>
                      <w:szCs w:val="18"/>
                    </w:rPr>
                    <w:br/>
                    <w:t>± 1.1</w:t>
                  </w:r>
                </w:p>
              </w:tc>
            </w:tr>
            <w:tr w:rsidR="000A7A95" w:rsidRPr="00530424" w:rsidTr="001D0F72">
              <w:tc>
                <w:tcPr>
                  <w:tcW w:w="1560" w:type="dxa"/>
                </w:tcPr>
                <w:p w:rsidR="000A7A95" w:rsidRPr="00530424" w:rsidRDefault="000A7A95" w:rsidP="00B71E09">
                  <w:pPr>
                    <w:pStyle w:val="TableBodyText"/>
                    <w:jc w:val="left"/>
                  </w:pPr>
                  <w:r w:rsidRPr="00530424">
                    <w:t>2010 Year 5</w:t>
                  </w:r>
                </w:p>
              </w:tc>
              <w:tc>
                <w:tcPr>
                  <w:tcW w:w="803" w:type="dxa"/>
                  <w:vAlign w:val="center"/>
                </w:tcPr>
                <w:p w:rsidR="000A7A95" w:rsidRPr="004A30A9" w:rsidRDefault="000A7A95" w:rsidP="004A30A9">
                  <w:pPr>
                    <w:pStyle w:val="TableBodyText"/>
                    <w:rPr>
                      <w:szCs w:val="18"/>
                    </w:rPr>
                  </w:pPr>
                  <w:r w:rsidRPr="004A30A9">
                    <w:rPr>
                      <w:szCs w:val="18"/>
                    </w:rPr>
                    <w:t xml:space="preserve">498.7 </w:t>
                  </w:r>
                  <w:r w:rsidRPr="004A30A9">
                    <w:rPr>
                      <w:szCs w:val="18"/>
                    </w:rPr>
                    <w:br/>
                    <w:t>± 1.9</w:t>
                  </w:r>
                </w:p>
              </w:tc>
              <w:tc>
                <w:tcPr>
                  <w:tcW w:w="803" w:type="dxa"/>
                  <w:vAlign w:val="center"/>
                </w:tcPr>
                <w:p w:rsidR="000A7A95" w:rsidRPr="004A30A9" w:rsidRDefault="000A7A95" w:rsidP="004A30A9">
                  <w:pPr>
                    <w:pStyle w:val="TableBodyText"/>
                    <w:rPr>
                      <w:szCs w:val="18"/>
                    </w:rPr>
                  </w:pPr>
                  <w:r w:rsidRPr="004A30A9">
                    <w:rPr>
                      <w:szCs w:val="18"/>
                    </w:rPr>
                    <w:t xml:space="preserve">502.7 </w:t>
                  </w:r>
                  <w:r w:rsidRPr="004A30A9">
                    <w:rPr>
                      <w:szCs w:val="18"/>
                    </w:rPr>
                    <w:br/>
                    <w:t>± 1.7</w:t>
                  </w:r>
                </w:p>
              </w:tc>
              <w:tc>
                <w:tcPr>
                  <w:tcW w:w="804" w:type="dxa"/>
                  <w:vAlign w:val="center"/>
                </w:tcPr>
                <w:p w:rsidR="000A7A95" w:rsidRPr="004A30A9" w:rsidRDefault="000A7A95" w:rsidP="004A30A9">
                  <w:pPr>
                    <w:pStyle w:val="TableBodyText"/>
                    <w:rPr>
                      <w:szCs w:val="18"/>
                    </w:rPr>
                  </w:pPr>
                  <w:r w:rsidRPr="004A30A9">
                    <w:rPr>
                      <w:szCs w:val="18"/>
                    </w:rPr>
                    <w:t xml:space="preserve">473.4 </w:t>
                  </w:r>
                  <w:r w:rsidRPr="004A30A9">
                    <w:rPr>
                      <w:szCs w:val="18"/>
                    </w:rPr>
                    <w:br/>
                    <w:t>± 1.9</w:t>
                  </w:r>
                </w:p>
              </w:tc>
              <w:tc>
                <w:tcPr>
                  <w:tcW w:w="803" w:type="dxa"/>
                  <w:vAlign w:val="center"/>
                </w:tcPr>
                <w:p w:rsidR="000A7A95" w:rsidRPr="004A30A9" w:rsidRDefault="000A7A95" w:rsidP="004A30A9">
                  <w:pPr>
                    <w:pStyle w:val="TableBodyText"/>
                    <w:rPr>
                      <w:szCs w:val="18"/>
                    </w:rPr>
                  </w:pPr>
                  <w:r w:rsidRPr="004A30A9">
                    <w:rPr>
                      <w:szCs w:val="18"/>
                    </w:rPr>
                    <w:t xml:space="preserve">484.5 </w:t>
                  </w:r>
                  <w:r w:rsidRPr="004A30A9">
                    <w:rPr>
                      <w:szCs w:val="18"/>
                    </w:rPr>
                    <w:br/>
                    <w:t>± 2.6</w:t>
                  </w:r>
                </w:p>
              </w:tc>
              <w:tc>
                <w:tcPr>
                  <w:tcW w:w="803" w:type="dxa"/>
                  <w:vAlign w:val="center"/>
                </w:tcPr>
                <w:p w:rsidR="000A7A95" w:rsidRPr="004A30A9" w:rsidRDefault="000A7A95" w:rsidP="004A30A9">
                  <w:pPr>
                    <w:pStyle w:val="TableBodyText"/>
                    <w:rPr>
                      <w:szCs w:val="18"/>
                    </w:rPr>
                  </w:pPr>
                  <w:r w:rsidRPr="004A30A9">
                    <w:rPr>
                      <w:szCs w:val="18"/>
                    </w:rPr>
                    <w:t xml:space="preserve">479.1 </w:t>
                  </w:r>
                  <w:r w:rsidRPr="004A30A9">
                    <w:rPr>
                      <w:szCs w:val="18"/>
                    </w:rPr>
                    <w:br/>
                    <w:t>± 2.9</w:t>
                  </w:r>
                </w:p>
              </w:tc>
              <w:tc>
                <w:tcPr>
                  <w:tcW w:w="804" w:type="dxa"/>
                  <w:vAlign w:val="center"/>
                </w:tcPr>
                <w:p w:rsidR="000A7A95" w:rsidRPr="004A30A9" w:rsidRDefault="000A7A95" w:rsidP="004A30A9">
                  <w:pPr>
                    <w:pStyle w:val="TableBodyText"/>
                    <w:rPr>
                      <w:szCs w:val="18"/>
                    </w:rPr>
                  </w:pPr>
                  <w:r w:rsidRPr="004A30A9">
                    <w:rPr>
                      <w:szCs w:val="18"/>
                    </w:rPr>
                    <w:t xml:space="preserve">488.0 </w:t>
                  </w:r>
                  <w:r w:rsidRPr="004A30A9">
                    <w:rPr>
                      <w:szCs w:val="18"/>
                    </w:rPr>
                    <w:br/>
                    <w:t>± 5.3</w:t>
                  </w:r>
                </w:p>
              </w:tc>
              <w:tc>
                <w:tcPr>
                  <w:tcW w:w="803" w:type="dxa"/>
                  <w:vAlign w:val="center"/>
                </w:tcPr>
                <w:p w:rsidR="000A7A95" w:rsidRPr="004A30A9" w:rsidRDefault="000A7A95" w:rsidP="004A30A9">
                  <w:pPr>
                    <w:pStyle w:val="TableBodyText"/>
                    <w:rPr>
                      <w:szCs w:val="18"/>
                    </w:rPr>
                  </w:pPr>
                  <w:r w:rsidRPr="004A30A9">
                    <w:rPr>
                      <w:szCs w:val="18"/>
                    </w:rPr>
                    <w:t xml:space="preserve">510.4 </w:t>
                  </w:r>
                  <w:r w:rsidRPr="004A30A9">
                    <w:rPr>
                      <w:szCs w:val="18"/>
                    </w:rPr>
                    <w:br/>
                    <w:t>± 5.4</w:t>
                  </w:r>
                </w:p>
              </w:tc>
              <w:tc>
                <w:tcPr>
                  <w:tcW w:w="803" w:type="dxa"/>
                  <w:vAlign w:val="center"/>
                </w:tcPr>
                <w:p w:rsidR="000A7A95" w:rsidRPr="004A30A9" w:rsidRDefault="000A7A95" w:rsidP="004A30A9">
                  <w:pPr>
                    <w:pStyle w:val="TableBodyText"/>
                    <w:rPr>
                      <w:szCs w:val="18"/>
                    </w:rPr>
                  </w:pPr>
                  <w:r w:rsidRPr="004A30A9">
                    <w:rPr>
                      <w:szCs w:val="18"/>
                    </w:rPr>
                    <w:t xml:space="preserve">475.4 </w:t>
                  </w:r>
                  <w:r w:rsidRPr="004A30A9">
                    <w:rPr>
                      <w:szCs w:val="18"/>
                    </w:rPr>
                    <w:br/>
                    <w:t>± 6.1</w:t>
                  </w:r>
                </w:p>
              </w:tc>
              <w:tc>
                <w:tcPr>
                  <w:tcW w:w="804" w:type="dxa"/>
                  <w:vAlign w:val="center"/>
                </w:tcPr>
                <w:p w:rsidR="000A7A95" w:rsidRPr="004A30A9" w:rsidRDefault="000A7A95" w:rsidP="004A30A9">
                  <w:pPr>
                    <w:pStyle w:val="TableBodyText"/>
                    <w:rPr>
                      <w:szCs w:val="18"/>
                    </w:rPr>
                  </w:pPr>
                  <w:r w:rsidRPr="004A30A9">
                    <w:rPr>
                      <w:szCs w:val="18"/>
                    </w:rPr>
                    <w:t xml:space="preserve">491.4 </w:t>
                  </w:r>
                  <w:r w:rsidRPr="004A30A9">
                    <w:rPr>
                      <w:szCs w:val="18"/>
                    </w:rPr>
                    <w:br/>
                    <w:t>± 1.0</w:t>
                  </w:r>
                </w:p>
              </w:tc>
            </w:tr>
            <w:tr w:rsidR="000A7A95" w:rsidRPr="00530424" w:rsidTr="001D0F72">
              <w:tc>
                <w:tcPr>
                  <w:tcW w:w="1560" w:type="dxa"/>
                </w:tcPr>
                <w:p w:rsidR="000A7A95" w:rsidRPr="00530424" w:rsidRDefault="000A7A95" w:rsidP="00B71E09">
                  <w:pPr>
                    <w:pStyle w:val="TableBodyText"/>
                    <w:jc w:val="left"/>
                  </w:pPr>
                  <w:r w:rsidRPr="00530424">
                    <w:t>2012 Year 7</w:t>
                  </w:r>
                </w:p>
              </w:tc>
              <w:tc>
                <w:tcPr>
                  <w:tcW w:w="803" w:type="dxa"/>
                  <w:vAlign w:val="center"/>
                </w:tcPr>
                <w:p w:rsidR="000A7A95" w:rsidRPr="004A30A9" w:rsidRDefault="000A7A95" w:rsidP="004A30A9">
                  <w:pPr>
                    <w:pStyle w:val="TableBodyText"/>
                    <w:rPr>
                      <w:szCs w:val="18"/>
                    </w:rPr>
                  </w:pPr>
                  <w:r w:rsidRPr="004A30A9">
                    <w:rPr>
                      <w:szCs w:val="18"/>
                    </w:rPr>
                    <w:t xml:space="preserve">548.7 </w:t>
                  </w:r>
                  <w:r w:rsidRPr="004A30A9">
                    <w:rPr>
                      <w:szCs w:val="18"/>
                    </w:rPr>
                    <w:br/>
                    <w:t>± 2.9</w:t>
                  </w:r>
                </w:p>
              </w:tc>
              <w:tc>
                <w:tcPr>
                  <w:tcW w:w="803" w:type="dxa"/>
                  <w:vAlign w:val="center"/>
                </w:tcPr>
                <w:p w:rsidR="000A7A95" w:rsidRPr="004A30A9" w:rsidRDefault="000A7A95" w:rsidP="004A30A9">
                  <w:pPr>
                    <w:pStyle w:val="TableBodyText"/>
                    <w:rPr>
                      <w:szCs w:val="18"/>
                    </w:rPr>
                  </w:pPr>
                  <w:r w:rsidRPr="004A30A9">
                    <w:rPr>
                      <w:szCs w:val="18"/>
                    </w:rPr>
                    <w:t xml:space="preserve">549.1 </w:t>
                  </w:r>
                  <w:r w:rsidRPr="004A30A9">
                    <w:rPr>
                      <w:szCs w:val="18"/>
                    </w:rPr>
                    <w:br/>
                    <w:t>± 2.6</w:t>
                  </w:r>
                </w:p>
              </w:tc>
              <w:tc>
                <w:tcPr>
                  <w:tcW w:w="804" w:type="dxa"/>
                  <w:vAlign w:val="center"/>
                </w:tcPr>
                <w:p w:rsidR="000A7A95" w:rsidRPr="004A30A9" w:rsidRDefault="000A7A95" w:rsidP="004A30A9">
                  <w:pPr>
                    <w:pStyle w:val="TableBodyText"/>
                    <w:rPr>
                      <w:szCs w:val="18"/>
                    </w:rPr>
                  </w:pPr>
                  <w:r w:rsidRPr="004A30A9">
                    <w:rPr>
                      <w:szCs w:val="18"/>
                    </w:rPr>
                    <w:t xml:space="preserve">536.8 </w:t>
                  </w:r>
                  <w:r w:rsidRPr="004A30A9">
                    <w:rPr>
                      <w:szCs w:val="18"/>
                    </w:rPr>
                    <w:br/>
                    <w:t>± 1.9</w:t>
                  </w:r>
                </w:p>
              </w:tc>
              <w:tc>
                <w:tcPr>
                  <w:tcW w:w="803" w:type="dxa"/>
                  <w:vAlign w:val="center"/>
                </w:tcPr>
                <w:p w:rsidR="000A7A95" w:rsidRPr="004A30A9" w:rsidRDefault="000A7A95" w:rsidP="004A30A9">
                  <w:pPr>
                    <w:pStyle w:val="TableBodyText"/>
                    <w:rPr>
                      <w:szCs w:val="18"/>
                    </w:rPr>
                  </w:pPr>
                  <w:r w:rsidRPr="004A30A9">
                    <w:rPr>
                      <w:szCs w:val="18"/>
                    </w:rPr>
                    <w:t xml:space="preserve">543.3 </w:t>
                  </w:r>
                  <w:r w:rsidRPr="004A30A9">
                    <w:rPr>
                      <w:szCs w:val="18"/>
                    </w:rPr>
                    <w:br/>
                    <w:t>± 2.9</w:t>
                  </w:r>
                </w:p>
              </w:tc>
              <w:tc>
                <w:tcPr>
                  <w:tcW w:w="803" w:type="dxa"/>
                  <w:vAlign w:val="center"/>
                </w:tcPr>
                <w:p w:rsidR="000A7A95" w:rsidRPr="004A30A9" w:rsidRDefault="000A7A95" w:rsidP="004A30A9">
                  <w:pPr>
                    <w:pStyle w:val="TableBodyText"/>
                    <w:rPr>
                      <w:szCs w:val="18"/>
                    </w:rPr>
                  </w:pPr>
                  <w:r w:rsidRPr="004A30A9">
                    <w:rPr>
                      <w:szCs w:val="18"/>
                    </w:rPr>
                    <w:t xml:space="preserve">539.5 </w:t>
                  </w:r>
                  <w:r w:rsidRPr="004A30A9">
                    <w:rPr>
                      <w:szCs w:val="18"/>
                    </w:rPr>
                    <w:br/>
                    <w:t>± 2.8</w:t>
                  </w:r>
                </w:p>
              </w:tc>
              <w:tc>
                <w:tcPr>
                  <w:tcW w:w="804" w:type="dxa"/>
                  <w:vAlign w:val="center"/>
                </w:tcPr>
                <w:p w:rsidR="000A7A95" w:rsidRPr="004A30A9" w:rsidRDefault="000A7A95" w:rsidP="004A30A9">
                  <w:pPr>
                    <w:pStyle w:val="TableBodyText"/>
                    <w:rPr>
                      <w:szCs w:val="18"/>
                    </w:rPr>
                  </w:pPr>
                  <w:r w:rsidRPr="004A30A9">
                    <w:rPr>
                      <w:szCs w:val="18"/>
                    </w:rPr>
                    <w:t xml:space="preserve">542.8 </w:t>
                  </w:r>
                  <w:r w:rsidRPr="004A30A9">
                    <w:rPr>
                      <w:szCs w:val="18"/>
                    </w:rPr>
                    <w:br/>
                    <w:t>± 6.8</w:t>
                  </w:r>
                </w:p>
              </w:tc>
              <w:tc>
                <w:tcPr>
                  <w:tcW w:w="803" w:type="dxa"/>
                  <w:vAlign w:val="center"/>
                </w:tcPr>
                <w:p w:rsidR="000A7A95" w:rsidRPr="004A30A9" w:rsidRDefault="000A7A95" w:rsidP="004A30A9">
                  <w:pPr>
                    <w:pStyle w:val="TableBodyText"/>
                    <w:rPr>
                      <w:szCs w:val="18"/>
                    </w:rPr>
                  </w:pPr>
                  <w:r w:rsidRPr="004A30A9">
                    <w:rPr>
                      <w:szCs w:val="18"/>
                    </w:rPr>
                    <w:t xml:space="preserve">559.8 </w:t>
                  </w:r>
                  <w:r w:rsidRPr="004A30A9">
                    <w:rPr>
                      <w:szCs w:val="18"/>
                    </w:rPr>
                    <w:br/>
                    <w:t>± 8.3</w:t>
                  </w:r>
                </w:p>
              </w:tc>
              <w:tc>
                <w:tcPr>
                  <w:tcW w:w="803" w:type="dxa"/>
                  <w:vAlign w:val="center"/>
                </w:tcPr>
                <w:p w:rsidR="000A7A95" w:rsidRPr="004A30A9" w:rsidRDefault="000A7A95" w:rsidP="004A30A9">
                  <w:pPr>
                    <w:pStyle w:val="TableBodyText"/>
                    <w:rPr>
                      <w:szCs w:val="18"/>
                    </w:rPr>
                  </w:pPr>
                  <w:r w:rsidRPr="004A30A9">
                    <w:rPr>
                      <w:szCs w:val="18"/>
                    </w:rPr>
                    <w:t xml:space="preserve">530.8 </w:t>
                  </w:r>
                  <w:r w:rsidRPr="004A30A9">
                    <w:rPr>
                      <w:szCs w:val="18"/>
                    </w:rPr>
                    <w:br/>
                    <w:t>± 13.2</w:t>
                  </w:r>
                </w:p>
              </w:tc>
              <w:tc>
                <w:tcPr>
                  <w:tcW w:w="804" w:type="dxa"/>
                  <w:vAlign w:val="center"/>
                </w:tcPr>
                <w:p w:rsidR="000A7A95" w:rsidRPr="004A30A9" w:rsidRDefault="000A7A95" w:rsidP="004A30A9">
                  <w:pPr>
                    <w:pStyle w:val="TableBodyText"/>
                    <w:rPr>
                      <w:szCs w:val="18"/>
                    </w:rPr>
                  </w:pPr>
                  <w:r w:rsidRPr="004A30A9">
                    <w:rPr>
                      <w:szCs w:val="18"/>
                    </w:rPr>
                    <w:t xml:space="preserve">545.0 </w:t>
                  </w:r>
                  <w:r w:rsidRPr="004A30A9">
                    <w:rPr>
                      <w:szCs w:val="18"/>
                    </w:rPr>
                    <w:br/>
                    <w:t>± 1.3</w:t>
                  </w:r>
                </w:p>
              </w:tc>
            </w:tr>
            <w:tr w:rsidR="004A30A9" w:rsidRPr="00530424" w:rsidTr="002316F7">
              <w:tc>
                <w:tcPr>
                  <w:tcW w:w="1560" w:type="dxa"/>
                  <w:shd w:val="clear" w:color="auto" w:fill="FFFFFF" w:themeFill="background1"/>
                </w:tcPr>
                <w:p w:rsidR="004A30A9" w:rsidRDefault="004A30A9" w:rsidP="00B71E09">
                  <w:pPr>
                    <w:pStyle w:val="TableBodyText"/>
                    <w:jc w:val="left"/>
                    <w:rPr>
                      <w:rFonts w:cs="Arial"/>
                    </w:rPr>
                  </w:pPr>
                  <w:r w:rsidRPr="00530424">
                    <w:t>201</w:t>
                  </w:r>
                  <w:r>
                    <w:t>4</w:t>
                  </w:r>
                  <w:r w:rsidRPr="00530424">
                    <w:t xml:space="preserve"> Year </w:t>
                  </w:r>
                  <w:r>
                    <w:t>9</w:t>
                  </w:r>
                </w:p>
              </w:tc>
              <w:tc>
                <w:tcPr>
                  <w:tcW w:w="803" w:type="dxa"/>
                  <w:shd w:val="clear" w:color="auto" w:fill="FFFFFF" w:themeFill="background1"/>
                  <w:vAlign w:val="center"/>
                </w:tcPr>
                <w:p w:rsidR="004A30A9" w:rsidRPr="004A30A9" w:rsidRDefault="004A30A9" w:rsidP="004A30A9">
                  <w:pPr>
                    <w:pStyle w:val="TableBodyText"/>
                    <w:rPr>
                      <w:rFonts w:cs="Arial"/>
                      <w:szCs w:val="18"/>
                    </w:rPr>
                  </w:pPr>
                  <w:r w:rsidRPr="004A30A9">
                    <w:rPr>
                      <w:rFonts w:cs="Arial"/>
                      <w:szCs w:val="18"/>
                    </w:rPr>
                    <w:t xml:space="preserve">587.5 </w:t>
                  </w:r>
                  <w:r>
                    <w:rPr>
                      <w:rFonts w:cs="Arial"/>
                      <w:szCs w:val="18"/>
                    </w:rPr>
                    <w:br/>
                  </w:r>
                  <w:r w:rsidRPr="004A30A9">
                    <w:rPr>
                      <w:rFonts w:cs="Arial"/>
                      <w:szCs w:val="18"/>
                    </w:rPr>
                    <w:t>± 3.0</w:t>
                  </w:r>
                </w:p>
              </w:tc>
              <w:tc>
                <w:tcPr>
                  <w:tcW w:w="803" w:type="dxa"/>
                  <w:shd w:val="clear" w:color="auto" w:fill="FFFFFF" w:themeFill="background1"/>
                  <w:vAlign w:val="center"/>
                </w:tcPr>
                <w:p w:rsidR="004A30A9" w:rsidRPr="004A30A9" w:rsidRDefault="004A30A9" w:rsidP="004A30A9">
                  <w:pPr>
                    <w:pStyle w:val="TableBodyText"/>
                    <w:rPr>
                      <w:rFonts w:cs="Arial"/>
                      <w:szCs w:val="18"/>
                    </w:rPr>
                  </w:pPr>
                  <w:r w:rsidRPr="004A30A9">
                    <w:rPr>
                      <w:rFonts w:cs="Arial"/>
                      <w:szCs w:val="18"/>
                    </w:rPr>
                    <w:t>586.3</w:t>
                  </w:r>
                  <w:r>
                    <w:rPr>
                      <w:rFonts w:cs="Arial"/>
                      <w:szCs w:val="18"/>
                    </w:rPr>
                    <w:br/>
                  </w:r>
                  <w:r w:rsidRPr="004A30A9">
                    <w:rPr>
                      <w:rFonts w:cs="Arial"/>
                      <w:szCs w:val="18"/>
                    </w:rPr>
                    <w:t xml:space="preserve"> ± 2.9</w:t>
                  </w:r>
                </w:p>
              </w:tc>
              <w:tc>
                <w:tcPr>
                  <w:tcW w:w="804" w:type="dxa"/>
                  <w:shd w:val="clear" w:color="auto" w:fill="FFFFFF" w:themeFill="background1"/>
                  <w:vAlign w:val="center"/>
                </w:tcPr>
                <w:p w:rsidR="004A30A9" w:rsidRPr="004A30A9" w:rsidRDefault="004A30A9" w:rsidP="004A30A9">
                  <w:pPr>
                    <w:pStyle w:val="TableBodyText"/>
                    <w:rPr>
                      <w:rFonts w:cs="Arial"/>
                      <w:szCs w:val="18"/>
                    </w:rPr>
                  </w:pPr>
                  <w:r w:rsidRPr="004A30A9">
                    <w:rPr>
                      <w:rFonts w:cs="Arial"/>
                      <w:szCs w:val="18"/>
                    </w:rPr>
                    <w:t xml:space="preserve">575.4 </w:t>
                  </w:r>
                  <w:r>
                    <w:rPr>
                      <w:rFonts w:cs="Arial"/>
                      <w:szCs w:val="18"/>
                    </w:rPr>
                    <w:br/>
                  </w:r>
                  <w:r w:rsidRPr="004A30A9">
                    <w:rPr>
                      <w:rFonts w:cs="Arial"/>
                      <w:szCs w:val="18"/>
                    </w:rPr>
                    <w:t>± 3.0</w:t>
                  </w:r>
                </w:p>
              </w:tc>
              <w:tc>
                <w:tcPr>
                  <w:tcW w:w="803" w:type="dxa"/>
                  <w:shd w:val="clear" w:color="auto" w:fill="FFFFFF" w:themeFill="background1"/>
                  <w:vAlign w:val="center"/>
                </w:tcPr>
                <w:p w:rsidR="004A30A9" w:rsidRPr="004A30A9" w:rsidRDefault="004A30A9" w:rsidP="004A30A9">
                  <w:pPr>
                    <w:pStyle w:val="TableBodyText"/>
                    <w:rPr>
                      <w:rFonts w:cs="Arial"/>
                      <w:szCs w:val="18"/>
                    </w:rPr>
                  </w:pPr>
                  <w:r w:rsidRPr="004A30A9">
                    <w:rPr>
                      <w:rFonts w:cs="Arial"/>
                      <w:szCs w:val="18"/>
                    </w:rPr>
                    <w:t xml:space="preserve">590.0 </w:t>
                  </w:r>
                  <w:r>
                    <w:rPr>
                      <w:rFonts w:cs="Arial"/>
                      <w:szCs w:val="18"/>
                    </w:rPr>
                    <w:br/>
                  </w:r>
                  <w:r w:rsidRPr="004A30A9">
                    <w:rPr>
                      <w:rFonts w:cs="Arial"/>
                      <w:szCs w:val="18"/>
                    </w:rPr>
                    <w:t>± 4.5</w:t>
                  </w:r>
                </w:p>
              </w:tc>
              <w:tc>
                <w:tcPr>
                  <w:tcW w:w="803" w:type="dxa"/>
                  <w:shd w:val="clear" w:color="auto" w:fill="FFFFFF" w:themeFill="background1"/>
                  <w:vAlign w:val="center"/>
                </w:tcPr>
                <w:p w:rsidR="004A30A9" w:rsidRPr="004A30A9" w:rsidRDefault="004A30A9" w:rsidP="004A30A9">
                  <w:pPr>
                    <w:pStyle w:val="TableBodyText"/>
                    <w:rPr>
                      <w:rFonts w:cs="Arial"/>
                      <w:szCs w:val="18"/>
                    </w:rPr>
                  </w:pPr>
                  <w:r w:rsidRPr="004A30A9">
                    <w:rPr>
                      <w:rFonts w:cs="Arial"/>
                      <w:szCs w:val="18"/>
                    </w:rPr>
                    <w:t>575.5</w:t>
                  </w:r>
                  <w:r>
                    <w:rPr>
                      <w:rFonts w:cs="Arial"/>
                      <w:szCs w:val="18"/>
                    </w:rPr>
                    <w:br/>
                  </w:r>
                  <w:r w:rsidRPr="004A30A9">
                    <w:rPr>
                      <w:rFonts w:cs="Arial"/>
                      <w:szCs w:val="18"/>
                    </w:rPr>
                    <w:t xml:space="preserve"> ± 4.7</w:t>
                  </w:r>
                </w:p>
              </w:tc>
              <w:tc>
                <w:tcPr>
                  <w:tcW w:w="804" w:type="dxa"/>
                  <w:shd w:val="clear" w:color="auto" w:fill="FFFFFF" w:themeFill="background1"/>
                  <w:vAlign w:val="center"/>
                </w:tcPr>
                <w:p w:rsidR="004A30A9" w:rsidRPr="004A30A9" w:rsidRDefault="004A30A9" w:rsidP="004A30A9">
                  <w:pPr>
                    <w:pStyle w:val="TableBodyText"/>
                    <w:rPr>
                      <w:rFonts w:cs="Arial"/>
                      <w:szCs w:val="18"/>
                    </w:rPr>
                  </w:pPr>
                  <w:r w:rsidRPr="004A30A9">
                    <w:rPr>
                      <w:rFonts w:cs="Arial"/>
                      <w:szCs w:val="18"/>
                    </w:rPr>
                    <w:t xml:space="preserve">575.8 </w:t>
                  </w:r>
                  <w:r>
                    <w:rPr>
                      <w:rFonts w:cs="Arial"/>
                      <w:szCs w:val="18"/>
                    </w:rPr>
                    <w:br/>
                  </w:r>
                  <w:r w:rsidRPr="004A30A9">
                    <w:rPr>
                      <w:rFonts w:cs="Arial"/>
                      <w:szCs w:val="18"/>
                    </w:rPr>
                    <w:t>± 7.1</w:t>
                  </w:r>
                </w:p>
              </w:tc>
              <w:tc>
                <w:tcPr>
                  <w:tcW w:w="803" w:type="dxa"/>
                  <w:shd w:val="clear" w:color="auto" w:fill="FFFFFF" w:themeFill="background1"/>
                  <w:vAlign w:val="center"/>
                </w:tcPr>
                <w:p w:rsidR="004A30A9" w:rsidRPr="004A30A9" w:rsidRDefault="004A30A9" w:rsidP="004A30A9">
                  <w:pPr>
                    <w:pStyle w:val="TableBodyText"/>
                    <w:rPr>
                      <w:rFonts w:cs="Arial"/>
                      <w:szCs w:val="18"/>
                    </w:rPr>
                  </w:pPr>
                  <w:r w:rsidRPr="004A30A9">
                    <w:rPr>
                      <w:rFonts w:cs="Arial"/>
                      <w:szCs w:val="18"/>
                    </w:rPr>
                    <w:t xml:space="preserve">599.1 </w:t>
                  </w:r>
                  <w:r>
                    <w:rPr>
                      <w:rFonts w:cs="Arial"/>
                      <w:szCs w:val="18"/>
                    </w:rPr>
                    <w:br/>
                  </w:r>
                  <w:r w:rsidRPr="004A30A9">
                    <w:rPr>
                      <w:rFonts w:cs="Arial"/>
                      <w:szCs w:val="18"/>
                    </w:rPr>
                    <w:t>± 8.5</w:t>
                  </w:r>
                </w:p>
              </w:tc>
              <w:tc>
                <w:tcPr>
                  <w:tcW w:w="803" w:type="dxa"/>
                  <w:shd w:val="clear" w:color="auto" w:fill="FFFFFF" w:themeFill="background1"/>
                  <w:vAlign w:val="center"/>
                </w:tcPr>
                <w:p w:rsidR="004A30A9" w:rsidRPr="004A30A9" w:rsidRDefault="004A30A9" w:rsidP="004A30A9">
                  <w:pPr>
                    <w:pStyle w:val="TableBodyText"/>
                    <w:rPr>
                      <w:rFonts w:cs="Arial"/>
                      <w:szCs w:val="18"/>
                    </w:rPr>
                  </w:pPr>
                  <w:r w:rsidRPr="004A30A9">
                    <w:rPr>
                      <w:rFonts w:cs="Arial"/>
                      <w:szCs w:val="18"/>
                    </w:rPr>
                    <w:t xml:space="preserve">572.4 </w:t>
                  </w:r>
                  <w:r>
                    <w:rPr>
                      <w:rFonts w:cs="Arial"/>
                      <w:szCs w:val="18"/>
                    </w:rPr>
                    <w:br/>
                  </w:r>
                  <w:r w:rsidRPr="004A30A9">
                    <w:rPr>
                      <w:rFonts w:cs="Arial"/>
                      <w:szCs w:val="18"/>
                    </w:rPr>
                    <w:t>± 12.0</w:t>
                  </w:r>
                </w:p>
              </w:tc>
              <w:tc>
                <w:tcPr>
                  <w:tcW w:w="804" w:type="dxa"/>
                  <w:shd w:val="clear" w:color="auto" w:fill="FFFFFF" w:themeFill="background1"/>
                  <w:vAlign w:val="center"/>
                </w:tcPr>
                <w:p w:rsidR="004A30A9" w:rsidRPr="004A30A9" w:rsidRDefault="004A30A9" w:rsidP="004A30A9">
                  <w:pPr>
                    <w:pStyle w:val="TableBodyText"/>
                    <w:rPr>
                      <w:rFonts w:cs="Arial"/>
                      <w:szCs w:val="18"/>
                    </w:rPr>
                  </w:pPr>
                  <w:r w:rsidRPr="004A30A9">
                    <w:rPr>
                      <w:rFonts w:cs="Arial"/>
                      <w:szCs w:val="18"/>
                    </w:rPr>
                    <w:t>583.9</w:t>
                  </w:r>
                  <w:r>
                    <w:rPr>
                      <w:rFonts w:cs="Arial"/>
                      <w:szCs w:val="18"/>
                    </w:rPr>
                    <w:br/>
                  </w:r>
                  <w:r w:rsidRPr="004A30A9">
                    <w:rPr>
                      <w:rFonts w:cs="Arial"/>
                      <w:szCs w:val="18"/>
                    </w:rPr>
                    <w:t xml:space="preserve"> ± 1.5</w:t>
                  </w:r>
                </w:p>
              </w:tc>
            </w:tr>
            <w:tr w:rsidR="000A7A95" w:rsidRPr="00530424" w:rsidTr="001D0F72">
              <w:tc>
                <w:tcPr>
                  <w:tcW w:w="1560" w:type="dxa"/>
                </w:tcPr>
                <w:p w:rsidR="000A7A95" w:rsidRPr="002A6CB1" w:rsidRDefault="000A7A95" w:rsidP="00B71E09">
                  <w:pPr>
                    <w:pStyle w:val="TableBodyText"/>
                    <w:jc w:val="left"/>
                    <w:rPr>
                      <w:b/>
                    </w:rPr>
                  </w:pPr>
                  <w:r w:rsidRPr="002A6CB1">
                    <w:rPr>
                      <w:b/>
                    </w:rPr>
                    <w:t>Gain 2008-2010</w:t>
                  </w:r>
                </w:p>
              </w:tc>
              <w:tc>
                <w:tcPr>
                  <w:tcW w:w="803" w:type="dxa"/>
                  <w:vAlign w:val="center"/>
                </w:tcPr>
                <w:p w:rsidR="000A7A95" w:rsidRPr="002A6CB1" w:rsidRDefault="000A7A95" w:rsidP="004A30A9">
                  <w:pPr>
                    <w:pStyle w:val="TableBodyText"/>
                    <w:rPr>
                      <w:b/>
                      <w:szCs w:val="18"/>
                    </w:rPr>
                  </w:pPr>
                  <w:r w:rsidRPr="002A6CB1">
                    <w:rPr>
                      <w:b/>
                      <w:szCs w:val="18"/>
                    </w:rPr>
                    <w:t xml:space="preserve">83.8 </w:t>
                  </w:r>
                  <w:r w:rsidRPr="002A6CB1">
                    <w:rPr>
                      <w:b/>
                      <w:szCs w:val="18"/>
                    </w:rPr>
                    <w:br/>
                    <w:t>± 8.2</w:t>
                  </w:r>
                </w:p>
              </w:tc>
              <w:tc>
                <w:tcPr>
                  <w:tcW w:w="803" w:type="dxa"/>
                  <w:vAlign w:val="center"/>
                </w:tcPr>
                <w:p w:rsidR="000A7A95" w:rsidRPr="002A6CB1" w:rsidRDefault="000A7A95" w:rsidP="004A30A9">
                  <w:pPr>
                    <w:pStyle w:val="TableBodyText"/>
                    <w:rPr>
                      <w:b/>
                      <w:szCs w:val="18"/>
                    </w:rPr>
                  </w:pPr>
                  <w:r w:rsidRPr="002A6CB1">
                    <w:rPr>
                      <w:b/>
                      <w:szCs w:val="18"/>
                    </w:rPr>
                    <w:t xml:space="preserve">82.1 </w:t>
                  </w:r>
                  <w:r w:rsidRPr="002A6CB1">
                    <w:rPr>
                      <w:b/>
                      <w:szCs w:val="18"/>
                    </w:rPr>
                    <w:br/>
                    <w:t>± 8.1</w:t>
                  </w:r>
                </w:p>
              </w:tc>
              <w:tc>
                <w:tcPr>
                  <w:tcW w:w="804" w:type="dxa"/>
                  <w:vAlign w:val="center"/>
                </w:tcPr>
                <w:p w:rsidR="000A7A95" w:rsidRPr="002A6CB1" w:rsidRDefault="000A7A95" w:rsidP="004A30A9">
                  <w:pPr>
                    <w:pStyle w:val="TableBodyText"/>
                    <w:rPr>
                      <w:b/>
                      <w:szCs w:val="18"/>
                    </w:rPr>
                  </w:pPr>
                  <w:r w:rsidRPr="002A6CB1">
                    <w:rPr>
                      <w:b/>
                      <w:szCs w:val="18"/>
                    </w:rPr>
                    <w:t xml:space="preserve">97.5 </w:t>
                  </w:r>
                  <w:r w:rsidRPr="002A6CB1">
                    <w:rPr>
                      <w:b/>
                      <w:szCs w:val="18"/>
                    </w:rPr>
                    <w:br/>
                    <w:t>± 8.4</w:t>
                  </w:r>
                </w:p>
              </w:tc>
              <w:tc>
                <w:tcPr>
                  <w:tcW w:w="803" w:type="dxa"/>
                  <w:vAlign w:val="center"/>
                </w:tcPr>
                <w:p w:rsidR="000A7A95" w:rsidRPr="002A6CB1" w:rsidRDefault="000A7A95" w:rsidP="004A30A9">
                  <w:pPr>
                    <w:pStyle w:val="TableBodyText"/>
                    <w:rPr>
                      <w:b/>
                      <w:szCs w:val="18"/>
                    </w:rPr>
                  </w:pPr>
                  <w:r w:rsidRPr="002A6CB1">
                    <w:rPr>
                      <w:b/>
                      <w:szCs w:val="18"/>
                    </w:rPr>
                    <w:t xml:space="preserve">90.0 </w:t>
                  </w:r>
                  <w:r w:rsidRPr="002A6CB1">
                    <w:rPr>
                      <w:b/>
                      <w:szCs w:val="18"/>
                    </w:rPr>
                    <w:br/>
                    <w:t>± 8.6</w:t>
                  </w:r>
                </w:p>
              </w:tc>
              <w:tc>
                <w:tcPr>
                  <w:tcW w:w="803" w:type="dxa"/>
                  <w:vAlign w:val="center"/>
                </w:tcPr>
                <w:p w:rsidR="000A7A95" w:rsidRPr="002A6CB1" w:rsidRDefault="000A7A95" w:rsidP="004A30A9">
                  <w:pPr>
                    <w:pStyle w:val="TableBodyText"/>
                    <w:rPr>
                      <w:b/>
                      <w:szCs w:val="18"/>
                    </w:rPr>
                  </w:pPr>
                  <w:r w:rsidRPr="002A6CB1">
                    <w:rPr>
                      <w:b/>
                      <w:szCs w:val="18"/>
                    </w:rPr>
                    <w:t xml:space="preserve">75.2 </w:t>
                  </w:r>
                  <w:r w:rsidRPr="002A6CB1">
                    <w:rPr>
                      <w:b/>
                      <w:szCs w:val="18"/>
                    </w:rPr>
                    <w:br/>
                    <w:t>± 8.9</w:t>
                  </w:r>
                </w:p>
              </w:tc>
              <w:tc>
                <w:tcPr>
                  <w:tcW w:w="804" w:type="dxa"/>
                  <w:vAlign w:val="center"/>
                </w:tcPr>
                <w:p w:rsidR="000A7A95" w:rsidRPr="002A6CB1" w:rsidRDefault="000A7A95" w:rsidP="004A30A9">
                  <w:pPr>
                    <w:pStyle w:val="TableBodyText"/>
                    <w:rPr>
                      <w:b/>
                      <w:szCs w:val="18"/>
                    </w:rPr>
                  </w:pPr>
                  <w:r w:rsidRPr="002A6CB1">
                    <w:rPr>
                      <w:b/>
                      <w:szCs w:val="18"/>
                    </w:rPr>
                    <w:t xml:space="preserve">84.6 </w:t>
                  </w:r>
                  <w:r w:rsidRPr="002A6CB1">
                    <w:rPr>
                      <w:b/>
                      <w:szCs w:val="18"/>
                    </w:rPr>
                    <w:br/>
                    <w:t>± 10.7</w:t>
                  </w:r>
                </w:p>
              </w:tc>
              <w:tc>
                <w:tcPr>
                  <w:tcW w:w="803" w:type="dxa"/>
                  <w:vAlign w:val="center"/>
                </w:tcPr>
                <w:p w:rsidR="000A7A95" w:rsidRPr="002A6CB1" w:rsidRDefault="000A7A95" w:rsidP="004A30A9">
                  <w:pPr>
                    <w:pStyle w:val="TableBodyText"/>
                    <w:rPr>
                      <w:b/>
                      <w:szCs w:val="18"/>
                    </w:rPr>
                  </w:pPr>
                  <w:r w:rsidRPr="002A6CB1">
                    <w:rPr>
                      <w:b/>
                      <w:szCs w:val="18"/>
                    </w:rPr>
                    <w:t xml:space="preserve">87.6 </w:t>
                  </w:r>
                  <w:r w:rsidRPr="002A6CB1">
                    <w:rPr>
                      <w:b/>
                      <w:szCs w:val="18"/>
                    </w:rPr>
                    <w:br/>
                    <w:t>± 11.0</w:t>
                  </w:r>
                </w:p>
              </w:tc>
              <w:tc>
                <w:tcPr>
                  <w:tcW w:w="803" w:type="dxa"/>
                  <w:vAlign w:val="center"/>
                </w:tcPr>
                <w:p w:rsidR="000A7A95" w:rsidRPr="002A6CB1" w:rsidRDefault="000A7A95" w:rsidP="004A30A9">
                  <w:pPr>
                    <w:pStyle w:val="TableBodyText"/>
                    <w:rPr>
                      <w:b/>
                      <w:szCs w:val="18"/>
                    </w:rPr>
                  </w:pPr>
                  <w:r w:rsidRPr="002A6CB1">
                    <w:rPr>
                      <w:b/>
                      <w:szCs w:val="18"/>
                    </w:rPr>
                    <w:t xml:space="preserve">92.9 </w:t>
                  </w:r>
                  <w:r w:rsidRPr="002A6CB1">
                    <w:rPr>
                      <w:b/>
                      <w:szCs w:val="18"/>
                    </w:rPr>
                    <w:br/>
                    <w:t>± 12.8</w:t>
                  </w:r>
                </w:p>
              </w:tc>
              <w:tc>
                <w:tcPr>
                  <w:tcW w:w="804" w:type="dxa"/>
                  <w:vAlign w:val="center"/>
                </w:tcPr>
                <w:p w:rsidR="000A7A95" w:rsidRPr="002A6CB1" w:rsidRDefault="000A7A95" w:rsidP="004A30A9">
                  <w:pPr>
                    <w:pStyle w:val="TableBodyText"/>
                    <w:rPr>
                      <w:b/>
                      <w:szCs w:val="18"/>
                    </w:rPr>
                  </w:pPr>
                  <w:r w:rsidRPr="002A6CB1">
                    <w:rPr>
                      <w:b/>
                      <w:szCs w:val="18"/>
                    </w:rPr>
                    <w:t xml:space="preserve">86.4 </w:t>
                  </w:r>
                  <w:r w:rsidRPr="002A6CB1">
                    <w:rPr>
                      <w:b/>
                      <w:szCs w:val="18"/>
                    </w:rPr>
                    <w:br/>
                    <w:t>± 7.9</w:t>
                  </w:r>
                </w:p>
              </w:tc>
            </w:tr>
            <w:tr w:rsidR="000A7A95" w:rsidRPr="00530424" w:rsidTr="001D0F72">
              <w:tc>
                <w:tcPr>
                  <w:tcW w:w="1560" w:type="dxa"/>
                </w:tcPr>
                <w:p w:rsidR="000A7A95" w:rsidRPr="002A6CB1" w:rsidRDefault="000A7A95" w:rsidP="00B71E09">
                  <w:pPr>
                    <w:pStyle w:val="TableBodyText"/>
                    <w:jc w:val="left"/>
                    <w:rPr>
                      <w:b/>
                    </w:rPr>
                  </w:pPr>
                  <w:r w:rsidRPr="002A6CB1">
                    <w:rPr>
                      <w:b/>
                    </w:rPr>
                    <w:t>Gain 2010-2012</w:t>
                  </w:r>
                </w:p>
              </w:tc>
              <w:tc>
                <w:tcPr>
                  <w:tcW w:w="803" w:type="dxa"/>
                  <w:vAlign w:val="center"/>
                </w:tcPr>
                <w:p w:rsidR="000A7A95" w:rsidRPr="002A6CB1" w:rsidRDefault="000A7A95" w:rsidP="004A30A9">
                  <w:pPr>
                    <w:pStyle w:val="TableBodyText"/>
                    <w:rPr>
                      <w:b/>
                      <w:szCs w:val="18"/>
                    </w:rPr>
                  </w:pPr>
                  <w:r w:rsidRPr="002A6CB1">
                    <w:rPr>
                      <w:b/>
                      <w:szCs w:val="18"/>
                    </w:rPr>
                    <w:t xml:space="preserve">50.0 </w:t>
                  </w:r>
                  <w:r w:rsidRPr="002A6CB1">
                    <w:rPr>
                      <w:b/>
                      <w:szCs w:val="18"/>
                    </w:rPr>
                    <w:br/>
                    <w:t>± 7.8</w:t>
                  </w:r>
                </w:p>
              </w:tc>
              <w:tc>
                <w:tcPr>
                  <w:tcW w:w="803" w:type="dxa"/>
                  <w:vAlign w:val="center"/>
                </w:tcPr>
                <w:p w:rsidR="000A7A95" w:rsidRPr="002A6CB1" w:rsidRDefault="000A7A95" w:rsidP="004A30A9">
                  <w:pPr>
                    <w:pStyle w:val="TableBodyText"/>
                    <w:rPr>
                      <w:b/>
                      <w:szCs w:val="18"/>
                    </w:rPr>
                  </w:pPr>
                  <w:r w:rsidRPr="002A6CB1">
                    <w:rPr>
                      <w:b/>
                      <w:szCs w:val="18"/>
                    </w:rPr>
                    <w:t xml:space="preserve">46.4 </w:t>
                  </w:r>
                  <w:r w:rsidRPr="002A6CB1">
                    <w:rPr>
                      <w:b/>
                      <w:szCs w:val="18"/>
                    </w:rPr>
                    <w:br/>
                    <w:t>± 7.6</w:t>
                  </w:r>
                </w:p>
              </w:tc>
              <w:tc>
                <w:tcPr>
                  <w:tcW w:w="804" w:type="dxa"/>
                  <w:vAlign w:val="center"/>
                </w:tcPr>
                <w:p w:rsidR="000A7A95" w:rsidRPr="002A6CB1" w:rsidRDefault="000A7A95" w:rsidP="004A30A9">
                  <w:pPr>
                    <w:pStyle w:val="TableBodyText"/>
                    <w:rPr>
                      <w:b/>
                      <w:szCs w:val="18"/>
                    </w:rPr>
                  </w:pPr>
                  <w:r w:rsidRPr="002A6CB1">
                    <w:rPr>
                      <w:b/>
                      <w:szCs w:val="18"/>
                    </w:rPr>
                    <w:t xml:space="preserve">63.4 </w:t>
                  </w:r>
                  <w:r w:rsidRPr="002A6CB1">
                    <w:rPr>
                      <w:b/>
                      <w:szCs w:val="18"/>
                    </w:rPr>
                    <w:br/>
                    <w:t>± 7.4</w:t>
                  </w:r>
                </w:p>
              </w:tc>
              <w:tc>
                <w:tcPr>
                  <w:tcW w:w="803" w:type="dxa"/>
                  <w:vAlign w:val="center"/>
                </w:tcPr>
                <w:p w:rsidR="000A7A95" w:rsidRPr="002A6CB1" w:rsidRDefault="000A7A95" w:rsidP="004A30A9">
                  <w:pPr>
                    <w:pStyle w:val="TableBodyText"/>
                    <w:rPr>
                      <w:b/>
                      <w:szCs w:val="18"/>
                    </w:rPr>
                  </w:pPr>
                  <w:r w:rsidRPr="002A6CB1">
                    <w:rPr>
                      <w:b/>
                      <w:szCs w:val="18"/>
                    </w:rPr>
                    <w:t xml:space="preserve">58.8 </w:t>
                  </w:r>
                  <w:r w:rsidRPr="002A6CB1">
                    <w:rPr>
                      <w:b/>
                      <w:szCs w:val="18"/>
                    </w:rPr>
                    <w:br/>
                    <w:t>± 7.9</w:t>
                  </w:r>
                </w:p>
              </w:tc>
              <w:tc>
                <w:tcPr>
                  <w:tcW w:w="803" w:type="dxa"/>
                  <w:vAlign w:val="center"/>
                </w:tcPr>
                <w:p w:rsidR="000A7A95" w:rsidRPr="002A6CB1" w:rsidRDefault="000A7A95" w:rsidP="004A30A9">
                  <w:pPr>
                    <w:pStyle w:val="TableBodyText"/>
                    <w:rPr>
                      <w:b/>
                      <w:szCs w:val="18"/>
                    </w:rPr>
                  </w:pPr>
                  <w:r w:rsidRPr="002A6CB1">
                    <w:rPr>
                      <w:b/>
                      <w:szCs w:val="18"/>
                    </w:rPr>
                    <w:t xml:space="preserve">60.4 </w:t>
                  </w:r>
                  <w:r w:rsidRPr="002A6CB1">
                    <w:rPr>
                      <w:b/>
                      <w:szCs w:val="18"/>
                    </w:rPr>
                    <w:br/>
                    <w:t>± 8.0</w:t>
                  </w:r>
                </w:p>
              </w:tc>
              <w:tc>
                <w:tcPr>
                  <w:tcW w:w="804" w:type="dxa"/>
                  <w:vAlign w:val="center"/>
                </w:tcPr>
                <w:p w:rsidR="000A7A95" w:rsidRPr="002A6CB1" w:rsidRDefault="000A7A95" w:rsidP="004A30A9">
                  <w:pPr>
                    <w:pStyle w:val="TableBodyText"/>
                    <w:rPr>
                      <w:b/>
                      <w:szCs w:val="18"/>
                    </w:rPr>
                  </w:pPr>
                  <w:r w:rsidRPr="002A6CB1">
                    <w:rPr>
                      <w:b/>
                      <w:szCs w:val="18"/>
                    </w:rPr>
                    <w:t xml:space="preserve">54.8 </w:t>
                  </w:r>
                  <w:r w:rsidRPr="002A6CB1">
                    <w:rPr>
                      <w:b/>
                      <w:szCs w:val="18"/>
                    </w:rPr>
                    <w:br/>
                    <w:t>± 11.1</w:t>
                  </w:r>
                </w:p>
              </w:tc>
              <w:tc>
                <w:tcPr>
                  <w:tcW w:w="803" w:type="dxa"/>
                  <w:vAlign w:val="center"/>
                </w:tcPr>
                <w:p w:rsidR="000A7A95" w:rsidRPr="002A6CB1" w:rsidRDefault="000A7A95" w:rsidP="004A30A9">
                  <w:pPr>
                    <w:pStyle w:val="TableBodyText"/>
                    <w:rPr>
                      <w:b/>
                      <w:szCs w:val="18"/>
                    </w:rPr>
                  </w:pPr>
                  <w:r w:rsidRPr="002A6CB1">
                    <w:rPr>
                      <w:b/>
                      <w:szCs w:val="18"/>
                    </w:rPr>
                    <w:t xml:space="preserve">49.4 </w:t>
                  </w:r>
                  <w:r w:rsidRPr="002A6CB1">
                    <w:rPr>
                      <w:b/>
                      <w:szCs w:val="18"/>
                    </w:rPr>
                    <w:br/>
                    <w:t>± 12.1</w:t>
                  </w:r>
                </w:p>
              </w:tc>
              <w:tc>
                <w:tcPr>
                  <w:tcW w:w="803" w:type="dxa"/>
                  <w:vAlign w:val="center"/>
                </w:tcPr>
                <w:p w:rsidR="000A7A95" w:rsidRPr="002A6CB1" w:rsidRDefault="000A7A95" w:rsidP="004A30A9">
                  <w:pPr>
                    <w:pStyle w:val="TableBodyText"/>
                    <w:rPr>
                      <w:b/>
                      <w:szCs w:val="18"/>
                    </w:rPr>
                  </w:pPr>
                  <w:r w:rsidRPr="002A6CB1">
                    <w:rPr>
                      <w:b/>
                      <w:szCs w:val="18"/>
                    </w:rPr>
                    <w:t xml:space="preserve">55.4 </w:t>
                  </w:r>
                  <w:r w:rsidRPr="002A6CB1">
                    <w:rPr>
                      <w:b/>
                      <w:szCs w:val="18"/>
                    </w:rPr>
                    <w:br/>
                    <w:t>± 16.1</w:t>
                  </w:r>
                </w:p>
              </w:tc>
              <w:tc>
                <w:tcPr>
                  <w:tcW w:w="804" w:type="dxa"/>
                  <w:vAlign w:val="center"/>
                </w:tcPr>
                <w:p w:rsidR="000A7A95" w:rsidRPr="002A6CB1" w:rsidRDefault="000A7A95" w:rsidP="004A30A9">
                  <w:pPr>
                    <w:pStyle w:val="TableBodyText"/>
                    <w:rPr>
                      <w:b/>
                      <w:szCs w:val="18"/>
                    </w:rPr>
                  </w:pPr>
                  <w:r w:rsidRPr="002A6CB1">
                    <w:rPr>
                      <w:b/>
                      <w:szCs w:val="18"/>
                    </w:rPr>
                    <w:t xml:space="preserve">53.6 </w:t>
                  </w:r>
                  <w:r w:rsidRPr="002A6CB1">
                    <w:rPr>
                      <w:b/>
                      <w:szCs w:val="18"/>
                    </w:rPr>
                    <w:br/>
                    <w:t>± 7.1</w:t>
                  </w:r>
                </w:p>
              </w:tc>
            </w:tr>
            <w:tr w:rsidR="004A30A9" w:rsidRPr="00530424" w:rsidTr="002316F7">
              <w:tc>
                <w:tcPr>
                  <w:tcW w:w="1560" w:type="dxa"/>
                  <w:shd w:val="clear" w:color="auto" w:fill="FFFFFF" w:themeFill="background1"/>
                </w:tcPr>
                <w:p w:rsidR="004A30A9" w:rsidRPr="002A6CB1" w:rsidRDefault="004A30A9" w:rsidP="00B71E09">
                  <w:pPr>
                    <w:pStyle w:val="TableBodyText"/>
                    <w:jc w:val="left"/>
                    <w:rPr>
                      <w:b/>
                    </w:rPr>
                  </w:pPr>
                  <w:r w:rsidRPr="002A6CB1">
                    <w:rPr>
                      <w:b/>
                    </w:rPr>
                    <w:t>Gain 2012-2014</w:t>
                  </w:r>
                </w:p>
              </w:tc>
              <w:tc>
                <w:tcPr>
                  <w:tcW w:w="803" w:type="dxa"/>
                  <w:shd w:val="clear" w:color="auto" w:fill="FFFFFF" w:themeFill="background1"/>
                  <w:vAlign w:val="center"/>
                </w:tcPr>
                <w:p w:rsidR="004A30A9" w:rsidRPr="002A6CB1" w:rsidRDefault="004A30A9" w:rsidP="004A30A9">
                  <w:pPr>
                    <w:pStyle w:val="TableBodyText"/>
                    <w:rPr>
                      <w:rFonts w:cs="Arial"/>
                      <w:b/>
                      <w:bCs/>
                      <w:szCs w:val="18"/>
                    </w:rPr>
                  </w:pPr>
                  <w:r w:rsidRPr="002A6CB1">
                    <w:rPr>
                      <w:rFonts w:cs="Arial"/>
                      <w:b/>
                      <w:bCs/>
                      <w:szCs w:val="18"/>
                    </w:rPr>
                    <w:t>38.8</w:t>
                  </w:r>
                  <w:r w:rsidRPr="002A6CB1">
                    <w:rPr>
                      <w:rFonts w:cs="Arial"/>
                      <w:b/>
                      <w:bCs/>
                      <w:szCs w:val="18"/>
                    </w:rPr>
                    <w:br/>
                    <w:t xml:space="preserve"> ± 6.6</w:t>
                  </w:r>
                </w:p>
              </w:tc>
              <w:tc>
                <w:tcPr>
                  <w:tcW w:w="803" w:type="dxa"/>
                  <w:shd w:val="clear" w:color="auto" w:fill="FFFFFF" w:themeFill="background1"/>
                  <w:vAlign w:val="center"/>
                </w:tcPr>
                <w:p w:rsidR="004A30A9" w:rsidRPr="002A6CB1" w:rsidRDefault="004A30A9" w:rsidP="004A30A9">
                  <w:pPr>
                    <w:pStyle w:val="TableBodyText"/>
                    <w:rPr>
                      <w:rFonts w:cs="Arial"/>
                      <w:b/>
                      <w:bCs/>
                      <w:szCs w:val="18"/>
                    </w:rPr>
                  </w:pPr>
                  <w:r w:rsidRPr="002A6CB1">
                    <w:rPr>
                      <w:rFonts w:cs="Arial"/>
                      <w:b/>
                      <w:bCs/>
                      <w:szCs w:val="18"/>
                    </w:rPr>
                    <w:t>37.2</w:t>
                  </w:r>
                  <w:r w:rsidRPr="002A6CB1">
                    <w:rPr>
                      <w:rFonts w:cs="Arial"/>
                      <w:b/>
                      <w:bCs/>
                      <w:szCs w:val="18"/>
                    </w:rPr>
                    <w:br/>
                    <w:t xml:space="preserve"> ± 6.4</w:t>
                  </w:r>
                </w:p>
              </w:tc>
              <w:tc>
                <w:tcPr>
                  <w:tcW w:w="804" w:type="dxa"/>
                  <w:shd w:val="clear" w:color="auto" w:fill="FFFFFF" w:themeFill="background1"/>
                  <w:vAlign w:val="center"/>
                </w:tcPr>
                <w:p w:rsidR="004A30A9" w:rsidRPr="002A6CB1" w:rsidRDefault="004A30A9" w:rsidP="004A30A9">
                  <w:pPr>
                    <w:pStyle w:val="TableBodyText"/>
                    <w:rPr>
                      <w:rFonts w:cs="Arial"/>
                      <w:b/>
                      <w:bCs/>
                      <w:szCs w:val="18"/>
                    </w:rPr>
                  </w:pPr>
                  <w:r w:rsidRPr="002A6CB1">
                    <w:rPr>
                      <w:rFonts w:cs="Arial"/>
                      <w:b/>
                      <w:bCs/>
                      <w:szCs w:val="18"/>
                    </w:rPr>
                    <w:t>38.6</w:t>
                  </w:r>
                  <w:r w:rsidRPr="002A6CB1">
                    <w:rPr>
                      <w:rFonts w:cs="Arial"/>
                      <w:b/>
                      <w:bCs/>
                      <w:szCs w:val="18"/>
                    </w:rPr>
                    <w:br/>
                    <w:t xml:space="preserve"> ± 6.2</w:t>
                  </w:r>
                </w:p>
              </w:tc>
              <w:tc>
                <w:tcPr>
                  <w:tcW w:w="803" w:type="dxa"/>
                  <w:shd w:val="clear" w:color="auto" w:fill="FFFFFF" w:themeFill="background1"/>
                  <w:vAlign w:val="center"/>
                </w:tcPr>
                <w:p w:rsidR="004A30A9" w:rsidRPr="002A6CB1" w:rsidRDefault="004A30A9" w:rsidP="004A30A9">
                  <w:pPr>
                    <w:pStyle w:val="TableBodyText"/>
                    <w:rPr>
                      <w:rFonts w:cs="Arial"/>
                      <w:b/>
                      <w:bCs/>
                      <w:szCs w:val="18"/>
                    </w:rPr>
                  </w:pPr>
                  <w:r w:rsidRPr="002A6CB1">
                    <w:rPr>
                      <w:rFonts w:cs="Arial"/>
                      <w:b/>
                      <w:bCs/>
                      <w:szCs w:val="18"/>
                    </w:rPr>
                    <w:t>46.7</w:t>
                  </w:r>
                  <w:r w:rsidRPr="002A6CB1">
                    <w:rPr>
                      <w:rFonts w:cs="Arial"/>
                      <w:b/>
                      <w:bCs/>
                      <w:szCs w:val="18"/>
                    </w:rPr>
                    <w:br/>
                    <w:t xml:space="preserve"> ± 7.4</w:t>
                  </w:r>
                </w:p>
              </w:tc>
              <w:tc>
                <w:tcPr>
                  <w:tcW w:w="803" w:type="dxa"/>
                  <w:shd w:val="clear" w:color="auto" w:fill="FFFFFF" w:themeFill="background1"/>
                  <w:vAlign w:val="center"/>
                </w:tcPr>
                <w:p w:rsidR="004A30A9" w:rsidRPr="002A6CB1" w:rsidRDefault="004A30A9" w:rsidP="004A30A9">
                  <w:pPr>
                    <w:pStyle w:val="TableBodyText"/>
                    <w:rPr>
                      <w:rFonts w:cs="Arial"/>
                      <w:b/>
                      <w:bCs/>
                      <w:szCs w:val="18"/>
                    </w:rPr>
                  </w:pPr>
                  <w:r w:rsidRPr="002A6CB1">
                    <w:rPr>
                      <w:rFonts w:cs="Arial"/>
                      <w:b/>
                      <w:bCs/>
                      <w:szCs w:val="18"/>
                    </w:rPr>
                    <w:t xml:space="preserve">36.0 </w:t>
                  </w:r>
                  <w:r w:rsidRPr="002A6CB1">
                    <w:rPr>
                      <w:rFonts w:cs="Arial"/>
                      <w:b/>
                      <w:bCs/>
                      <w:szCs w:val="18"/>
                    </w:rPr>
                    <w:br/>
                    <w:t>± 7.5</w:t>
                  </w:r>
                </w:p>
              </w:tc>
              <w:tc>
                <w:tcPr>
                  <w:tcW w:w="804" w:type="dxa"/>
                  <w:shd w:val="clear" w:color="auto" w:fill="FFFFFF" w:themeFill="background1"/>
                  <w:vAlign w:val="center"/>
                </w:tcPr>
                <w:p w:rsidR="004A30A9" w:rsidRPr="002A6CB1" w:rsidRDefault="004A30A9" w:rsidP="004A30A9">
                  <w:pPr>
                    <w:pStyle w:val="TableBodyText"/>
                    <w:rPr>
                      <w:rFonts w:cs="Arial"/>
                      <w:b/>
                      <w:bCs/>
                      <w:szCs w:val="18"/>
                    </w:rPr>
                  </w:pPr>
                  <w:r w:rsidRPr="002A6CB1">
                    <w:rPr>
                      <w:rFonts w:cs="Arial"/>
                      <w:b/>
                      <w:bCs/>
                      <w:szCs w:val="18"/>
                    </w:rPr>
                    <w:t>33.0</w:t>
                  </w:r>
                  <w:r w:rsidRPr="002A6CB1">
                    <w:rPr>
                      <w:rFonts w:cs="Arial"/>
                      <w:b/>
                      <w:bCs/>
                      <w:szCs w:val="18"/>
                    </w:rPr>
                    <w:br/>
                    <w:t xml:space="preserve"> ± 11.1</w:t>
                  </w:r>
                </w:p>
              </w:tc>
              <w:tc>
                <w:tcPr>
                  <w:tcW w:w="803" w:type="dxa"/>
                  <w:shd w:val="clear" w:color="auto" w:fill="FFFFFF" w:themeFill="background1"/>
                  <w:vAlign w:val="center"/>
                </w:tcPr>
                <w:p w:rsidR="004A30A9" w:rsidRPr="002A6CB1" w:rsidRDefault="004A30A9" w:rsidP="004A30A9">
                  <w:pPr>
                    <w:pStyle w:val="TableBodyText"/>
                    <w:rPr>
                      <w:rFonts w:cs="Arial"/>
                      <w:b/>
                      <w:bCs/>
                      <w:szCs w:val="18"/>
                    </w:rPr>
                  </w:pPr>
                  <w:r w:rsidRPr="002A6CB1">
                    <w:rPr>
                      <w:rFonts w:cs="Arial"/>
                      <w:b/>
                      <w:bCs/>
                      <w:szCs w:val="18"/>
                    </w:rPr>
                    <w:t>39.3</w:t>
                  </w:r>
                  <w:r w:rsidRPr="002A6CB1">
                    <w:rPr>
                      <w:rFonts w:cs="Arial"/>
                      <w:b/>
                      <w:bCs/>
                      <w:szCs w:val="18"/>
                    </w:rPr>
                    <w:br/>
                    <w:t xml:space="preserve"> ± 12.9</w:t>
                  </w:r>
                </w:p>
              </w:tc>
              <w:tc>
                <w:tcPr>
                  <w:tcW w:w="803" w:type="dxa"/>
                  <w:shd w:val="clear" w:color="auto" w:fill="FFFFFF" w:themeFill="background1"/>
                  <w:vAlign w:val="center"/>
                </w:tcPr>
                <w:p w:rsidR="004A30A9" w:rsidRPr="002A6CB1" w:rsidRDefault="004A30A9" w:rsidP="004A30A9">
                  <w:pPr>
                    <w:pStyle w:val="TableBodyText"/>
                    <w:rPr>
                      <w:rFonts w:cs="Arial"/>
                      <w:b/>
                      <w:bCs/>
                      <w:szCs w:val="18"/>
                    </w:rPr>
                  </w:pPr>
                  <w:r w:rsidRPr="002A6CB1">
                    <w:rPr>
                      <w:rFonts w:cs="Arial"/>
                      <w:b/>
                      <w:bCs/>
                      <w:szCs w:val="18"/>
                    </w:rPr>
                    <w:t>41.6</w:t>
                  </w:r>
                  <w:r w:rsidRPr="002A6CB1">
                    <w:rPr>
                      <w:rFonts w:cs="Arial"/>
                      <w:b/>
                      <w:bCs/>
                      <w:szCs w:val="18"/>
                    </w:rPr>
                    <w:br/>
                    <w:t xml:space="preserve"> ± 18.6</w:t>
                  </w:r>
                </w:p>
              </w:tc>
              <w:tc>
                <w:tcPr>
                  <w:tcW w:w="804" w:type="dxa"/>
                  <w:shd w:val="clear" w:color="auto" w:fill="FFFFFF" w:themeFill="background1"/>
                  <w:vAlign w:val="center"/>
                </w:tcPr>
                <w:p w:rsidR="004A30A9" w:rsidRPr="002A6CB1" w:rsidRDefault="004A30A9" w:rsidP="004A30A9">
                  <w:pPr>
                    <w:pStyle w:val="TableBodyText"/>
                    <w:rPr>
                      <w:rFonts w:cs="Arial"/>
                      <w:b/>
                      <w:bCs/>
                      <w:szCs w:val="18"/>
                    </w:rPr>
                  </w:pPr>
                  <w:r w:rsidRPr="002A6CB1">
                    <w:rPr>
                      <w:rFonts w:cs="Arial"/>
                      <w:b/>
                      <w:bCs/>
                      <w:szCs w:val="18"/>
                    </w:rPr>
                    <w:t xml:space="preserve">38.9 </w:t>
                  </w:r>
                  <w:r w:rsidRPr="002A6CB1">
                    <w:rPr>
                      <w:rFonts w:cs="Arial"/>
                      <w:b/>
                      <w:bCs/>
                      <w:szCs w:val="18"/>
                    </w:rPr>
                    <w:br/>
                    <w:t>± 5.5</w:t>
                  </w:r>
                </w:p>
              </w:tc>
            </w:tr>
            <w:tr w:rsidR="000A7A95" w:rsidRPr="00530424" w:rsidTr="001D0F72">
              <w:tc>
                <w:tcPr>
                  <w:tcW w:w="8790" w:type="dxa"/>
                  <w:gridSpan w:val="10"/>
                </w:tcPr>
                <w:p w:rsidR="000A7A95" w:rsidRPr="004A30A9" w:rsidRDefault="000A7A95" w:rsidP="00B13ED5">
                  <w:pPr>
                    <w:pStyle w:val="TableUnitsRow"/>
                    <w:jc w:val="left"/>
                    <w:rPr>
                      <w:b/>
                      <w:szCs w:val="18"/>
                    </w:rPr>
                  </w:pPr>
                  <w:r w:rsidRPr="004A30A9">
                    <w:rPr>
                      <w:b/>
                      <w:szCs w:val="18"/>
                    </w:rPr>
                    <w:t>All students</w:t>
                  </w:r>
                </w:p>
              </w:tc>
            </w:tr>
            <w:tr w:rsidR="000A7A95" w:rsidRPr="00530424" w:rsidTr="001D0F72">
              <w:tc>
                <w:tcPr>
                  <w:tcW w:w="1560" w:type="dxa"/>
                </w:tcPr>
                <w:p w:rsidR="000A7A95" w:rsidRPr="00530424" w:rsidRDefault="000A7A95" w:rsidP="00B71E09">
                  <w:pPr>
                    <w:pStyle w:val="TableBodyText"/>
                    <w:jc w:val="left"/>
                  </w:pPr>
                  <w:r w:rsidRPr="00530424">
                    <w:t>2008 Year 3</w:t>
                  </w:r>
                </w:p>
              </w:tc>
              <w:tc>
                <w:tcPr>
                  <w:tcW w:w="803" w:type="dxa"/>
                  <w:vAlign w:val="center"/>
                </w:tcPr>
                <w:p w:rsidR="000A7A95" w:rsidRPr="004A30A9" w:rsidRDefault="000A7A95" w:rsidP="001D0F72">
                  <w:pPr>
                    <w:pStyle w:val="TableBodyText"/>
                    <w:rPr>
                      <w:szCs w:val="18"/>
                    </w:rPr>
                  </w:pPr>
                  <w:r w:rsidRPr="004A30A9">
                    <w:rPr>
                      <w:szCs w:val="18"/>
                    </w:rPr>
                    <w:t xml:space="preserve">412.3 </w:t>
                  </w:r>
                  <w:r w:rsidRPr="004A30A9">
                    <w:rPr>
                      <w:szCs w:val="18"/>
                    </w:rPr>
                    <w:br/>
                    <w:t>± 1.8</w:t>
                  </w:r>
                </w:p>
              </w:tc>
              <w:tc>
                <w:tcPr>
                  <w:tcW w:w="803" w:type="dxa"/>
                  <w:vAlign w:val="center"/>
                </w:tcPr>
                <w:p w:rsidR="000A7A95" w:rsidRPr="004A30A9" w:rsidRDefault="000A7A95" w:rsidP="001D0F72">
                  <w:pPr>
                    <w:pStyle w:val="TableBodyText"/>
                    <w:rPr>
                      <w:szCs w:val="18"/>
                    </w:rPr>
                  </w:pPr>
                  <w:r w:rsidRPr="004A30A9">
                    <w:rPr>
                      <w:szCs w:val="18"/>
                    </w:rPr>
                    <w:t xml:space="preserve">419.9 </w:t>
                  </w:r>
                  <w:r w:rsidRPr="004A30A9">
                    <w:rPr>
                      <w:szCs w:val="18"/>
                    </w:rPr>
                    <w:br/>
                    <w:t>± 1.6</w:t>
                  </w:r>
                </w:p>
              </w:tc>
              <w:tc>
                <w:tcPr>
                  <w:tcW w:w="804" w:type="dxa"/>
                  <w:vAlign w:val="center"/>
                </w:tcPr>
                <w:p w:rsidR="000A7A95" w:rsidRPr="004A30A9" w:rsidRDefault="000A7A95" w:rsidP="001D0F72">
                  <w:pPr>
                    <w:pStyle w:val="TableBodyText"/>
                    <w:rPr>
                      <w:szCs w:val="18"/>
                    </w:rPr>
                  </w:pPr>
                  <w:r w:rsidRPr="004A30A9">
                    <w:rPr>
                      <w:szCs w:val="18"/>
                    </w:rPr>
                    <w:t xml:space="preserve">371.1 </w:t>
                  </w:r>
                  <w:r w:rsidRPr="004A30A9">
                    <w:rPr>
                      <w:szCs w:val="18"/>
                    </w:rPr>
                    <w:br/>
                    <w:t>± 2.6</w:t>
                  </w:r>
                </w:p>
              </w:tc>
              <w:tc>
                <w:tcPr>
                  <w:tcW w:w="803" w:type="dxa"/>
                  <w:vAlign w:val="center"/>
                </w:tcPr>
                <w:p w:rsidR="000A7A95" w:rsidRPr="004A30A9" w:rsidRDefault="000A7A95" w:rsidP="001D0F72">
                  <w:pPr>
                    <w:pStyle w:val="TableBodyText"/>
                    <w:rPr>
                      <w:szCs w:val="18"/>
                    </w:rPr>
                  </w:pPr>
                  <w:r w:rsidRPr="004A30A9">
                    <w:rPr>
                      <w:szCs w:val="18"/>
                    </w:rPr>
                    <w:t xml:space="preserve">386.7 </w:t>
                  </w:r>
                  <w:r w:rsidRPr="004A30A9">
                    <w:rPr>
                      <w:szCs w:val="18"/>
                    </w:rPr>
                    <w:br/>
                    <w:t>± 3.1</w:t>
                  </w:r>
                </w:p>
              </w:tc>
              <w:tc>
                <w:tcPr>
                  <w:tcW w:w="803" w:type="dxa"/>
                  <w:vAlign w:val="center"/>
                </w:tcPr>
                <w:p w:rsidR="000A7A95" w:rsidRPr="004A30A9" w:rsidRDefault="000A7A95" w:rsidP="001D0F72">
                  <w:pPr>
                    <w:pStyle w:val="TableBodyText"/>
                    <w:rPr>
                      <w:szCs w:val="18"/>
                    </w:rPr>
                  </w:pPr>
                  <w:r w:rsidRPr="004A30A9">
                    <w:rPr>
                      <w:szCs w:val="18"/>
                    </w:rPr>
                    <w:t xml:space="preserve">400.5 </w:t>
                  </w:r>
                  <w:r w:rsidRPr="004A30A9">
                    <w:rPr>
                      <w:szCs w:val="18"/>
                    </w:rPr>
                    <w:br/>
                    <w:t>± 3.3</w:t>
                  </w:r>
                </w:p>
              </w:tc>
              <w:tc>
                <w:tcPr>
                  <w:tcW w:w="804" w:type="dxa"/>
                  <w:vAlign w:val="center"/>
                </w:tcPr>
                <w:p w:rsidR="000A7A95" w:rsidRPr="004A30A9" w:rsidRDefault="000A7A95" w:rsidP="001D0F72">
                  <w:pPr>
                    <w:pStyle w:val="TableBodyText"/>
                    <w:rPr>
                      <w:szCs w:val="18"/>
                    </w:rPr>
                  </w:pPr>
                  <w:r w:rsidRPr="004A30A9">
                    <w:rPr>
                      <w:szCs w:val="18"/>
                    </w:rPr>
                    <w:t xml:space="preserve">401.2 </w:t>
                  </w:r>
                  <w:r w:rsidRPr="004A30A9">
                    <w:rPr>
                      <w:szCs w:val="18"/>
                    </w:rPr>
                    <w:br/>
                    <w:t>± 4.9</w:t>
                  </w:r>
                </w:p>
              </w:tc>
              <w:tc>
                <w:tcPr>
                  <w:tcW w:w="803" w:type="dxa"/>
                  <w:vAlign w:val="center"/>
                </w:tcPr>
                <w:p w:rsidR="000A7A95" w:rsidRPr="004A30A9" w:rsidRDefault="000A7A95" w:rsidP="001D0F72">
                  <w:pPr>
                    <w:pStyle w:val="TableBodyText"/>
                    <w:rPr>
                      <w:szCs w:val="18"/>
                    </w:rPr>
                  </w:pPr>
                  <w:r w:rsidRPr="004A30A9">
                    <w:rPr>
                      <w:szCs w:val="18"/>
                    </w:rPr>
                    <w:t xml:space="preserve">421.0 </w:t>
                  </w:r>
                  <w:r w:rsidRPr="004A30A9">
                    <w:rPr>
                      <w:szCs w:val="18"/>
                    </w:rPr>
                    <w:br/>
                    <w:t>± 5.9</w:t>
                  </w:r>
                </w:p>
              </w:tc>
              <w:tc>
                <w:tcPr>
                  <w:tcW w:w="803" w:type="dxa"/>
                  <w:vAlign w:val="center"/>
                </w:tcPr>
                <w:p w:rsidR="000A7A95" w:rsidRPr="004A30A9" w:rsidRDefault="000A7A95" w:rsidP="001D0F72">
                  <w:pPr>
                    <w:pStyle w:val="TableBodyText"/>
                    <w:rPr>
                      <w:szCs w:val="18"/>
                    </w:rPr>
                  </w:pPr>
                  <w:r w:rsidRPr="004A30A9">
                    <w:rPr>
                      <w:szCs w:val="18"/>
                    </w:rPr>
                    <w:t xml:space="preserve">306.6 </w:t>
                  </w:r>
                  <w:r w:rsidRPr="004A30A9">
                    <w:rPr>
                      <w:szCs w:val="18"/>
                    </w:rPr>
                    <w:br/>
                    <w:t>± 19.9</w:t>
                  </w:r>
                </w:p>
              </w:tc>
              <w:tc>
                <w:tcPr>
                  <w:tcW w:w="804" w:type="dxa"/>
                  <w:vAlign w:val="center"/>
                </w:tcPr>
                <w:p w:rsidR="000A7A95" w:rsidRPr="004A30A9" w:rsidRDefault="000A7A95" w:rsidP="001D0F72">
                  <w:pPr>
                    <w:pStyle w:val="TableBodyText"/>
                    <w:rPr>
                      <w:szCs w:val="18"/>
                    </w:rPr>
                  </w:pPr>
                  <w:r w:rsidRPr="004A30A9">
                    <w:rPr>
                      <w:szCs w:val="18"/>
                    </w:rPr>
                    <w:t xml:space="preserve">400.5 </w:t>
                  </w:r>
                  <w:r w:rsidRPr="004A30A9">
                    <w:rPr>
                      <w:szCs w:val="18"/>
                    </w:rPr>
                    <w:br/>
                    <w:t>± 1.2</w:t>
                  </w:r>
                </w:p>
              </w:tc>
            </w:tr>
            <w:tr w:rsidR="000A7A95" w:rsidRPr="00530424" w:rsidTr="001D0F72">
              <w:tc>
                <w:tcPr>
                  <w:tcW w:w="1560" w:type="dxa"/>
                  <w:shd w:val="clear" w:color="auto" w:fill="auto"/>
                </w:tcPr>
                <w:p w:rsidR="000A7A95" w:rsidRPr="00530424" w:rsidRDefault="000A7A95" w:rsidP="00B71E09">
                  <w:pPr>
                    <w:pStyle w:val="TableBodyText"/>
                    <w:jc w:val="left"/>
                  </w:pPr>
                  <w:r w:rsidRPr="00530424">
                    <w:t>2010 Year 5</w:t>
                  </w:r>
                </w:p>
              </w:tc>
              <w:tc>
                <w:tcPr>
                  <w:tcW w:w="803" w:type="dxa"/>
                  <w:shd w:val="clear" w:color="auto" w:fill="auto"/>
                  <w:vAlign w:val="center"/>
                </w:tcPr>
                <w:p w:rsidR="000A7A95" w:rsidRPr="004A30A9" w:rsidRDefault="000A7A95" w:rsidP="001D0F72">
                  <w:pPr>
                    <w:pStyle w:val="TableBodyText"/>
                    <w:rPr>
                      <w:szCs w:val="18"/>
                    </w:rPr>
                  </w:pPr>
                  <w:r w:rsidRPr="004A30A9">
                    <w:rPr>
                      <w:szCs w:val="18"/>
                    </w:rPr>
                    <w:t xml:space="preserve">496.2 </w:t>
                  </w:r>
                  <w:r w:rsidRPr="004A30A9">
                    <w:rPr>
                      <w:szCs w:val="18"/>
                    </w:rPr>
                    <w:br/>
                    <w:t>± 1.9</w:t>
                  </w:r>
                </w:p>
              </w:tc>
              <w:tc>
                <w:tcPr>
                  <w:tcW w:w="803" w:type="dxa"/>
                  <w:shd w:val="clear" w:color="auto" w:fill="auto"/>
                  <w:vAlign w:val="center"/>
                </w:tcPr>
                <w:p w:rsidR="000A7A95" w:rsidRPr="004A30A9" w:rsidRDefault="000A7A95" w:rsidP="001D0F72">
                  <w:pPr>
                    <w:pStyle w:val="TableBodyText"/>
                    <w:rPr>
                      <w:szCs w:val="18"/>
                    </w:rPr>
                  </w:pPr>
                  <w:r w:rsidRPr="004A30A9">
                    <w:rPr>
                      <w:szCs w:val="18"/>
                    </w:rPr>
                    <w:t xml:space="preserve">502.2 </w:t>
                  </w:r>
                  <w:r w:rsidRPr="004A30A9">
                    <w:rPr>
                      <w:szCs w:val="18"/>
                    </w:rPr>
                    <w:br/>
                    <w:t>± 1.7</w:t>
                  </w:r>
                </w:p>
              </w:tc>
              <w:tc>
                <w:tcPr>
                  <w:tcW w:w="804" w:type="dxa"/>
                  <w:shd w:val="clear" w:color="auto" w:fill="auto"/>
                  <w:vAlign w:val="center"/>
                </w:tcPr>
                <w:p w:rsidR="000A7A95" w:rsidRPr="004A30A9" w:rsidRDefault="000A7A95" w:rsidP="001D0F72">
                  <w:pPr>
                    <w:pStyle w:val="TableBodyText"/>
                    <w:rPr>
                      <w:szCs w:val="18"/>
                    </w:rPr>
                  </w:pPr>
                  <w:r w:rsidRPr="004A30A9">
                    <w:rPr>
                      <w:szCs w:val="18"/>
                    </w:rPr>
                    <w:t xml:space="preserve">468.7 </w:t>
                  </w:r>
                  <w:r w:rsidRPr="004A30A9">
                    <w:rPr>
                      <w:szCs w:val="18"/>
                    </w:rPr>
                    <w:br/>
                    <w:t>± 2.1</w:t>
                  </w:r>
                </w:p>
              </w:tc>
              <w:tc>
                <w:tcPr>
                  <w:tcW w:w="803" w:type="dxa"/>
                  <w:shd w:val="clear" w:color="auto" w:fill="auto"/>
                  <w:vAlign w:val="center"/>
                </w:tcPr>
                <w:p w:rsidR="000A7A95" w:rsidRPr="004A30A9" w:rsidRDefault="000A7A95" w:rsidP="001D0F72">
                  <w:pPr>
                    <w:pStyle w:val="TableBodyText"/>
                    <w:rPr>
                      <w:szCs w:val="18"/>
                    </w:rPr>
                  </w:pPr>
                  <w:r w:rsidRPr="004A30A9">
                    <w:rPr>
                      <w:szCs w:val="18"/>
                    </w:rPr>
                    <w:t xml:space="preserve">477.5 </w:t>
                  </w:r>
                  <w:r w:rsidRPr="004A30A9">
                    <w:rPr>
                      <w:szCs w:val="18"/>
                    </w:rPr>
                    <w:br/>
                    <w:t>± 2.8</w:t>
                  </w:r>
                </w:p>
              </w:tc>
              <w:tc>
                <w:tcPr>
                  <w:tcW w:w="803" w:type="dxa"/>
                  <w:shd w:val="clear" w:color="auto" w:fill="auto"/>
                  <w:vAlign w:val="center"/>
                </w:tcPr>
                <w:p w:rsidR="000A7A95" w:rsidRPr="004A30A9" w:rsidRDefault="000A7A95" w:rsidP="001D0F72">
                  <w:pPr>
                    <w:pStyle w:val="TableBodyText"/>
                    <w:rPr>
                      <w:szCs w:val="18"/>
                    </w:rPr>
                  </w:pPr>
                  <w:r w:rsidRPr="004A30A9">
                    <w:rPr>
                      <w:szCs w:val="18"/>
                    </w:rPr>
                    <w:t xml:space="preserve">476.5 </w:t>
                  </w:r>
                  <w:r w:rsidRPr="004A30A9">
                    <w:rPr>
                      <w:szCs w:val="18"/>
                    </w:rPr>
                    <w:br/>
                    <w:t>± 3.0</w:t>
                  </w:r>
                </w:p>
              </w:tc>
              <w:tc>
                <w:tcPr>
                  <w:tcW w:w="804" w:type="dxa"/>
                  <w:shd w:val="clear" w:color="auto" w:fill="auto"/>
                  <w:vAlign w:val="center"/>
                </w:tcPr>
                <w:p w:rsidR="000A7A95" w:rsidRPr="004A30A9" w:rsidRDefault="000A7A95" w:rsidP="001D0F72">
                  <w:pPr>
                    <w:pStyle w:val="TableBodyText"/>
                    <w:rPr>
                      <w:szCs w:val="18"/>
                    </w:rPr>
                  </w:pPr>
                  <w:r w:rsidRPr="004A30A9">
                    <w:rPr>
                      <w:szCs w:val="18"/>
                    </w:rPr>
                    <w:t xml:space="preserve">484.6 </w:t>
                  </w:r>
                  <w:r w:rsidRPr="004A30A9">
                    <w:rPr>
                      <w:szCs w:val="18"/>
                    </w:rPr>
                    <w:br/>
                    <w:t>± 5.5</w:t>
                  </w:r>
                </w:p>
              </w:tc>
              <w:tc>
                <w:tcPr>
                  <w:tcW w:w="803" w:type="dxa"/>
                  <w:shd w:val="clear" w:color="auto" w:fill="auto"/>
                  <w:vAlign w:val="center"/>
                </w:tcPr>
                <w:p w:rsidR="000A7A95" w:rsidRPr="004A30A9" w:rsidRDefault="000A7A95" w:rsidP="001D0F72">
                  <w:pPr>
                    <w:pStyle w:val="TableBodyText"/>
                    <w:rPr>
                      <w:szCs w:val="18"/>
                    </w:rPr>
                  </w:pPr>
                  <w:r w:rsidRPr="004A30A9">
                    <w:rPr>
                      <w:szCs w:val="18"/>
                    </w:rPr>
                    <w:t xml:space="preserve">508.6 </w:t>
                  </w:r>
                  <w:r w:rsidRPr="004A30A9">
                    <w:rPr>
                      <w:szCs w:val="18"/>
                    </w:rPr>
                    <w:br/>
                    <w:t>± 5.5</w:t>
                  </w:r>
                </w:p>
              </w:tc>
              <w:tc>
                <w:tcPr>
                  <w:tcW w:w="803" w:type="dxa"/>
                  <w:shd w:val="clear" w:color="auto" w:fill="auto"/>
                  <w:vAlign w:val="center"/>
                </w:tcPr>
                <w:p w:rsidR="000A7A95" w:rsidRPr="004A30A9" w:rsidRDefault="000A7A95" w:rsidP="001D0F72">
                  <w:pPr>
                    <w:pStyle w:val="TableBodyText"/>
                    <w:rPr>
                      <w:szCs w:val="18"/>
                    </w:rPr>
                  </w:pPr>
                  <w:r w:rsidRPr="004A30A9">
                    <w:rPr>
                      <w:szCs w:val="18"/>
                    </w:rPr>
                    <w:t xml:space="preserve">412.1 </w:t>
                  </w:r>
                  <w:r w:rsidRPr="004A30A9">
                    <w:rPr>
                      <w:szCs w:val="18"/>
                    </w:rPr>
                    <w:br/>
                    <w:t>± 18.1</w:t>
                  </w:r>
                </w:p>
              </w:tc>
              <w:tc>
                <w:tcPr>
                  <w:tcW w:w="804" w:type="dxa"/>
                  <w:shd w:val="clear" w:color="auto" w:fill="auto"/>
                  <w:vAlign w:val="center"/>
                </w:tcPr>
                <w:p w:rsidR="000A7A95" w:rsidRPr="004A30A9" w:rsidRDefault="000A7A95" w:rsidP="001D0F72">
                  <w:pPr>
                    <w:pStyle w:val="TableBodyText"/>
                    <w:rPr>
                      <w:szCs w:val="18"/>
                    </w:rPr>
                  </w:pPr>
                  <w:r w:rsidRPr="004A30A9">
                    <w:rPr>
                      <w:szCs w:val="18"/>
                    </w:rPr>
                    <w:t xml:space="preserve">487.4 </w:t>
                  </w:r>
                  <w:r w:rsidRPr="004A30A9">
                    <w:rPr>
                      <w:szCs w:val="18"/>
                    </w:rPr>
                    <w:br/>
                    <w:t>± 1.1</w:t>
                  </w:r>
                </w:p>
              </w:tc>
            </w:tr>
            <w:tr w:rsidR="000A7A95" w:rsidRPr="00530424" w:rsidTr="001D0F72">
              <w:tc>
                <w:tcPr>
                  <w:tcW w:w="1560" w:type="dxa"/>
                  <w:shd w:val="clear" w:color="auto" w:fill="auto"/>
                </w:tcPr>
                <w:p w:rsidR="000A7A95" w:rsidRPr="00530424" w:rsidRDefault="000A7A95" w:rsidP="00B71E09">
                  <w:pPr>
                    <w:pStyle w:val="TableBodyText"/>
                    <w:jc w:val="left"/>
                  </w:pPr>
                  <w:r w:rsidRPr="00530424">
                    <w:t>2012 Year 7</w:t>
                  </w:r>
                </w:p>
              </w:tc>
              <w:tc>
                <w:tcPr>
                  <w:tcW w:w="803" w:type="dxa"/>
                  <w:shd w:val="clear" w:color="auto" w:fill="auto"/>
                  <w:vAlign w:val="center"/>
                </w:tcPr>
                <w:p w:rsidR="000A7A95" w:rsidRPr="004A30A9" w:rsidRDefault="000A7A95" w:rsidP="001D0F72">
                  <w:pPr>
                    <w:pStyle w:val="TableBodyText"/>
                    <w:rPr>
                      <w:szCs w:val="18"/>
                    </w:rPr>
                  </w:pPr>
                  <w:r w:rsidRPr="004A30A9">
                    <w:rPr>
                      <w:szCs w:val="18"/>
                    </w:rPr>
                    <w:t xml:space="preserve">546.1 </w:t>
                  </w:r>
                  <w:r w:rsidRPr="004A30A9">
                    <w:rPr>
                      <w:szCs w:val="18"/>
                    </w:rPr>
                    <w:br/>
                    <w:t>± 2.9</w:t>
                  </w:r>
                </w:p>
              </w:tc>
              <w:tc>
                <w:tcPr>
                  <w:tcW w:w="803" w:type="dxa"/>
                  <w:shd w:val="clear" w:color="auto" w:fill="auto"/>
                  <w:vAlign w:val="center"/>
                </w:tcPr>
                <w:p w:rsidR="000A7A95" w:rsidRPr="004A30A9" w:rsidRDefault="000A7A95" w:rsidP="001D0F72">
                  <w:pPr>
                    <w:pStyle w:val="TableBodyText"/>
                    <w:rPr>
                      <w:szCs w:val="18"/>
                    </w:rPr>
                  </w:pPr>
                  <w:r w:rsidRPr="004A30A9">
                    <w:rPr>
                      <w:szCs w:val="18"/>
                    </w:rPr>
                    <w:t xml:space="preserve">548.3 </w:t>
                  </w:r>
                  <w:r w:rsidRPr="004A30A9">
                    <w:rPr>
                      <w:szCs w:val="18"/>
                    </w:rPr>
                    <w:br/>
                    <w:t>± 2.6</w:t>
                  </w:r>
                </w:p>
              </w:tc>
              <w:tc>
                <w:tcPr>
                  <w:tcW w:w="804" w:type="dxa"/>
                  <w:shd w:val="clear" w:color="auto" w:fill="auto"/>
                  <w:vAlign w:val="center"/>
                </w:tcPr>
                <w:p w:rsidR="000A7A95" w:rsidRPr="004A30A9" w:rsidRDefault="000A7A95" w:rsidP="001D0F72">
                  <w:pPr>
                    <w:pStyle w:val="TableBodyText"/>
                    <w:rPr>
                      <w:szCs w:val="18"/>
                    </w:rPr>
                  </w:pPr>
                  <w:r w:rsidRPr="004A30A9">
                    <w:rPr>
                      <w:szCs w:val="18"/>
                    </w:rPr>
                    <w:t xml:space="preserve">532.7 </w:t>
                  </w:r>
                  <w:r w:rsidRPr="004A30A9">
                    <w:rPr>
                      <w:szCs w:val="18"/>
                    </w:rPr>
                    <w:br/>
                    <w:t>± 2.0</w:t>
                  </w:r>
                </w:p>
              </w:tc>
              <w:tc>
                <w:tcPr>
                  <w:tcW w:w="803" w:type="dxa"/>
                  <w:shd w:val="clear" w:color="auto" w:fill="auto"/>
                  <w:vAlign w:val="center"/>
                </w:tcPr>
                <w:p w:rsidR="000A7A95" w:rsidRPr="004A30A9" w:rsidRDefault="000A7A95" w:rsidP="001D0F72">
                  <w:pPr>
                    <w:pStyle w:val="TableBodyText"/>
                    <w:rPr>
                      <w:szCs w:val="18"/>
                    </w:rPr>
                  </w:pPr>
                  <w:r w:rsidRPr="004A30A9">
                    <w:rPr>
                      <w:szCs w:val="18"/>
                    </w:rPr>
                    <w:t xml:space="preserve">537.8 </w:t>
                  </w:r>
                  <w:r w:rsidRPr="004A30A9">
                    <w:rPr>
                      <w:szCs w:val="18"/>
                    </w:rPr>
                    <w:br/>
                    <w:t>± 3.0</w:t>
                  </w:r>
                </w:p>
              </w:tc>
              <w:tc>
                <w:tcPr>
                  <w:tcW w:w="803" w:type="dxa"/>
                  <w:shd w:val="clear" w:color="auto" w:fill="auto"/>
                  <w:vAlign w:val="center"/>
                </w:tcPr>
                <w:p w:rsidR="000A7A95" w:rsidRPr="004A30A9" w:rsidRDefault="000A7A95" w:rsidP="001D0F72">
                  <w:pPr>
                    <w:pStyle w:val="TableBodyText"/>
                    <w:rPr>
                      <w:szCs w:val="18"/>
                    </w:rPr>
                  </w:pPr>
                  <w:r w:rsidRPr="004A30A9">
                    <w:rPr>
                      <w:szCs w:val="18"/>
                    </w:rPr>
                    <w:t xml:space="preserve">537.0 </w:t>
                  </w:r>
                  <w:r w:rsidRPr="004A30A9">
                    <w:rPr>
                      <w:szCs w:val="18"/>
                    </w:rPr>
                    <w:br/>
                    <w:t>± 2.9</w:t>
                  </w:r>
                </w:p>
              </w:tc>
              <w:tc>
                <w:tcPr>
                  <w:tcW w:w="804" w:type="dxa"/>
                  <w:shd w:val="clear" w:color="auto" w:fill="auto"/>
                  <w:vAlign w:val="center"/>
                </w:tcPr>
                <w:p w:rsidR="000A7A95" w:rsidRPr="004A30A9" w:rsidRDefault="000A7A95" w:rsidP="001D0F72">
                  <w:pPr>
                    <w:pStyle w:val="TableBodyText"/>
                    <w:rPr>
                      <w:szCs w:val="18"/>
                    </w:rPr>
                  </w:pPr>
                  <w:r w:rsidRPr="004A30A9">
                    <w:rPr>
                      <w:szCs w:val="18"/>
                    </w:rPr>
                    <w:t xml:space="preserve">540.6 </w:t>
                  </w:r>
                  <w:r w:rsidRPr="004A30A9">
                    <w:rPr>
                      <w:szCs w:val="18"/>
                    </w:rPr>
                    <w:br/>
                    <w:t>± 7.4</w:t>
                  </w:r>
                </w:p>
              </w:tc>
              <w:tc>
                <w:tcPr>
                  <w:tcW w:w="803" w:type="dxa"/>
                  <w:shd w:val="clear" w:color="auto" w:fill="auto"/>
                  <w:vAlign w:val="center"/>
                </w:tcPr>
                <w:p w:rsidR="000A7A95" w:rsidRPr="004A30A9" w:rsidRDefault="000A7A95" w:rsidP="001D0F72">
                  <w:pPr>
                    <w:pStyle w:val="TableBodyText"/>
                    <w:rPr>
                      <w:szCs w:val="18"/>
                    </w:rPr>
                  </w:pPr>
                  <w:r w:rsidRPr="004A30A9">
                    <w:rPr>
                      <w:szCs w:val="18"/>
                    </w:rPr>
                    <w:t xml:space="preserve">558.6 </w:t>
                  </w:r>
                  <w:r w:rsidRPr="004A30A9">
                    <w:rPr>
                      <w:szCs w:val="18"/>
                    </w:rPr>
                    <w:br/>
                    <w:t>± 8.3</w:t>
                  </w:r>
                </w:p>
              </w:tc>
              <w:tc>
                <w:tcPr>
                  <w:tcW w:w="803" w:type="dxa"/>
                  <w:shd w:val="clear" w:color="auto" w:fill="auto"/>
                  <w:vAlign w:val="center"/>
                </w:tcPr>
                <w:p w:rsidR="000A7A95" w:rsidRPr="004A30A9" w:rsidRDefault="000A7A95" w:rsidP="001D0F72">
                  <w:pPr>
                    <w:pStyle w:val="TableBodyText"/>
                    <w:rPr>
                      <w:szCs w:val="18"/>
                    </w:rPr>
                  </w:pPr>
                  <w:r w:rsidRPr="004A30A9">
                    <w:rPr>
                      <w:szCs w:val="18"/>
                    </w:rPr>
                    <w:t xml:space="preserve">474.3 </w:t>
                  </w:r>
                  <w:r w:rsidRPr="004A30A9">
                    <w:rPr>
                      <w:szCs w:val="18"/>
                    </w:rPr>
                    <w:br/>
                    <w:t>± 22.2</w:t>
                  </w:r>
                </w:p>
              </w:tc>
              <w:tc>
                <w:tcPr>
                  <w:tcW w:w="804" w:type="dxa"/>
                  <w:shd w:val="clear" w:color="auto" w:fill="auto"/>
                  <w:vAlign w:val="center"/>
                </w:tcPr>
                <w:p w:rsidR="000A7A95" w:rsidRPr="004A30A9" w:rsidRDefault="000A7A95" w:rsidP="001D0F72">
                  <w:pPr>
                    <w:pStyle w:val="TableBodyText"/>
                    <w:rPr>
                      <w:szCs w:val="18"/>
                    </w:rPr>
                  </w:pPr>
                  <w:r w:rsidRPr="004A30A9">
                    <w:rPr>
                      <w:szCs w:val="18"/>
                    </w:rPr>
                    <w:t xml:space="preserve">541.5 </w:t>
                  </w:r>
                  <w:r w:rsidRPr="004A30A9">
                    <w:rPr>
                      <w:szCs w:val="18"/>
                    </w:rPr>
                    <w:br/>
                    <w:t>± 1.3</w:t>
                  </w:r>
                </w:p>
              </w:tc>
            </w:tr>
            <w:tr w:rsidR="004A30A9" w:rsidRPr="00530424" w:rsidTr="002316F7">
              <w:tc>
                <w:tcPr>
                  <w:tcW w:w="1560" w:type="dxa"/>
                  <w:shd w:val="clear" w:color="auto" w:fill="FFFFFF" w:themeFill="background1"/>
                </w:tcPr>
                <w:p w:rsidR="004A30A9" w:rsidRPr="00530424" w:rsidRDefault="004A30A9" w:rsidP="00B71E09">
                  <w:pPr>
                    <w:pStyle w:val="TableBodyText"/>
                    <w:jc w:val="left"/>
                  </w:pPr>
                  <w:r w:rsidRPr="00530424">
                    <w:t>201</w:t>
                  </w:r>
                  <w:r>
                    <w:t>4</w:t>
                  </w:r>
                  <w:r w:rsidRPr="00530424">
                    <w:t xml:space="preserve"> Year </w:t>
                  </w:r>
                  <w:r>
                    <w:t>9</w:t>
                  </w:r>
                </w:p>
              </w:tc>
              <w:tc>
                <w:tcPr>
                  <w:tcW w:w="803" w:type="dxa"/>
                  <w:shd w:val="clear" w:color="auto" w:fill="FFFFFF" w:themeFill="background1"/>
                  <w:vAlign w:val="center"/>
                </w:tcPr>
                <w:p w:rsidR="004A30A9" w:rsidRPr="004A30A9" w:rsidRDefault="004A30A9" w:rsidP="00C32E47">
                  <w:pPr>
                    <w:pStyle w:val="TableBodyText"/>
                  </w:pPr>
                  <w:r w:rsidRPr="004A30A9">
                    <w:t xml:space="preserve">584.3 </w:t>
                  </w:r>
                  <w:r w:rsidR="00C32E47">
                    <w:br/>
                  </w:r>
                  <w:r w:rsidRPr="004A30A9">
                    <w:t>± 2.9</w:t>
                  </w:r>
                </w:p>
              </w:tc>
              <w:tc>
                <w:tcPr>
                  <w:tcW w:w="803" w:type="dxa"/>
                  <w:shd w:val="clear" w:color="auto" w:fill="FFFFFF" w:themeFill="background1"/>
                  <w:vAlign w:val="center"/>
                </w:tcPr>
                <w:p w:rsidR="004A30A9" w:rsidRPr="004A30A9" w:rsidRDefault="004A30A9" w:rsidP="00C32E47">
                  <w:pPr>
                    <w:pStyle w:val="TableBodyText"/>
                  </w:pPr>
                  <w:r w:rsidRPr="004A30A9">
                    <w:t xml:space="preserve">585.5 </w:t>
                  </w:r>
                  <w:r w:rsidR="00C32E47">
                    <w:br/>
                  </w:r>
                  <w:r w:rsidRPr="004A30A9">
                    <w:t>± 2.9</w:t>
                  </w:r>
                </w:p>
              </w:tc>
              <w:tc>
                <w:tcPr>
                  <w:tcW w:w="804" w:type="dxa"/>
                  <w:shd w:val="clear" w:color="auto" w:fill="FFFFFF" w:themeFill="background1"/>
                  <w:vAlign w:val="center"/>
                </w:tcPr>
                <w:p w:rsidR="004A30A9" w:rsidRPr="004A30A9" w:rsidRDefault="004A30A9" w:rsidP="00C32E47">
                  <w:pPr>
                    <w:pStyle w:val="TableBodyText"/>
                  </w:pPr>
                  <w:r w:rsidRPr="004A30A9">
                    <w:t>571.6</w:t>
                  </w:r>
                  <w:r w:rsidR="00C32E47">
                    <w:br/>
                  </w:r>
                  <w:r w:rsidRPr="004A30A9">
                    <w:t xml:space="preserve"> ± 3.1</w:t>
                  </w:r>
                </w:p>
              </w:tc>
              <w:tc>
                <w:tcPr>
                  <w:tcW w:w="803" w:type="dxa"/>
                  <w:shd w:val="clear" w:color="auto" w:fill="FFFFFF" w:themeFill="background1"/>
                  <w:vAlign w:val="center"/>
                </w:tcPr>
                <w:p w:rsidR="004A30A9" w:rsidRPr="004A30A9" w:rsidRDefault="004A30A9" w:rsidP="00C32E47">
                  <w:pPr>
                    <w:pStyle w:val="TableBodyText"/>
                  </w:pPr>
                  <w:r w:rsidRPr="004A30A9">
                    <w:t xml:space="preserve">584.4 </w:t>
                  </w:r>
                  <w:r w:rsidR="00C32E47">
                    <w:br/>
                  </w:r>
                  <w:r w:rsidRPr="004A30A9">
                    <w:t>± 4.8</w:t>
                  </w:r>
                </w:p>
              </w:tc>
              <w:tc>
                <w:tcPr>
                  <w:tcW w:w="803" w:type="dxa"/>
                  <w:shd w:val="clear" w:color="auto" w:fill="FFFFFF" w:themeFill="background1"/>
                  <w:vAlign w:val="center"/>
                </w:tcPr>
                <w:p w:rsidR="004A30A9" w:rsidRPr="004A30A9" w:rsidRDefault="004A30A9" w:rsidP="00C32E47">
                  <w:pPr>
                    <w:pStyle w:val="TableBodyText"/>
                  </w:pPr>
                  <w:r w:rsidRPr="004A30A9">
                    <w:t>573.0</w:t>
                  </w:r>
                  <w:r w:rsidR="00C32E47">
                    <w:br/>
                  </w:r>
                  <w:r w:rsidRPr="004A30A9">
                    <w:t xml:space="preserve"> ± 5.0</w:t>
                  </w:r>
                </w:p>
              </w:tc>
              <w:tc>
                <w:tcPr>
                  <w:tcW w:w="804" w:type="dxa"/>
                  <w:shd w:val="clear" w:color="auto" w:fill="FFFFFF" w:themeFill="background1"/>
                  <w:vAlign w:val="center"/>
                </w:tcPr>
                <w:p w:rsidR="004A30A9" w:rsidRPr="004A30A9" w:rsidRDefault="004A30A9" w:rsidP="00C32E47">
                  <w:pPr>
                    <w:pStyle w:val="TableBodyText"/>
                  </w:pPr>
                  <w:r w:rsidRPr="004A30A9">
                    <w:t xml:space="preserve">573.4 </w:t>
                  </w:r>
                  <w:r w:rsidR="00C32E47">
                    <w:br/>
                  </w:r>
                  <w:r w:rsidRPr="004A30A9">
                    <w:t>± 7.4</w:t>
                  </w:r>
                </w:p>
              </w:tc>
              <w:tc>
                <w:tcPr>
                  <w:tcW w:w="803" w:type="dxa"/>
                  <w:shd w:val="clear" w:color="auto" w:fill="FFFFFF" w:themeFill="background1"/>
                  <w:vAlign w:val="center"/>
                </w:tcPr>
                <w:p w:rsidR="004A30A9" w:rsidRPr="004A30A9" w:rsidRDefault="004A30A9" w:rsidP="00C32E47">
                  <w:pPr>
                    <w:pStyle w:val="TableBodyText"/>
                  </w:pPr>
                  <w:r w:rsidRPr="004A30A9">
                    <w:t xml:space="preserve">597.3 </w:t>
                  </w:r>
                  <w:r w:rsidR="00C32E47">
                    <w:br/>
                  </w:r>
                  <w:r w:rsidRPr="004A30A9">
                    <w:t>± 8.6</w:t>
                  </w:r>
                </w:p>
              </w:tc>
              <w:tc>
                <w:tcPr>
                  <w:tcW w:w="803" w:type="dxa"/>
                  <w:shd w:val="clear" w:color="auto" w:fill="FFFFFF" w:themeFill="background1"/>
                  <w:vAlign w:val="center"/>
                </w:tcPr>
                <w:p w:rsidR="004A30A9" w:rsidRPr="004A30A9" w:rsidRDefault="004A30A9" w:rsidP="00C32E47">
                  <w:pPr>
                    <w:pStyle w:val="TableBodyText"/>
                  </w:pPr>
                  <w:r w:rsidRPr="004A30A9">
                    <w:t xml:space="preserve">521.7 </w:t>
                  </w:r>
                  <w:r w:rsidR="00C32E47">
                    <w:br/>
                  </w:r>
                  <w:r w:rsidRPr="004A30A9">
                    <w:t>± 22.2</w:t>
                  </w:r>
                </w:p>
              </w:tc>
              <w:tc>
                <w:tcPr>
                  <w:tcW w:w="804" w:type="dxa"/>
                  <w:shd w:val="clear" w:color="auto" w:fill="FFFFFF" w:themeFill="background1"/>
                  <w:vAlign w:val="center"/>
                </w:tcPr>
                <w:p w:rsidR="004A30A9" w:rsidRPr="004A30A9" w:rsidRDefault="004A30A9" w:rsidP="00C32E47">
                  <w:pPr>
                    <w:pStyle w:val="TableBodyText"/>
                  </w:pPr>
                  <w:r w:rsidRPr="004A30A9">
                    <w:t>580.4</w:t>
                  </w:r>
                  <w:r w:rsidR="00C32E47">
                    <w:br/>
                  </w:r>
                  <w:r w:rsidRPr="004A30A9">
                    <w:t>± 1.5</w:t>
                  </w:r>
                </w:p>
              </w:tc>
            </w:tr>
            <w:tr w:rsidR="000A7A95" w:rsidRPr="00530424" w:rsidTr="001D0F72">
              <w:tc>
                <w:tcPr>
                  <w:tcW w:w="1560" w:type="dxa"/>
                  <w:shd w:val="clear" w:color="auto" w:fill="auto"/>
                </w:tcPr>
                <w:p w:rsidR="000A7A95" w:rsidRPr="002A6CB1" w:rsidRDefault="000A7A95" w:rsidP="00B71E09">
                  <w:pPr>
                    <w:pStyle w:val="TableBodyText"/>
                    <w:jc w:val="left"/>
                    <w:rPr>
                      <w:b/>
                    </w:rPr>
                  </w:pPr>
                  <w:r w:rsidRPr="002A6CB1">
                    <w:rPr>
                      <w:b/>
                    </w:rPr>
                    <w:t>Gain 2008-2010</w:t>
                  </w:r>
                </w:p>
              </w:tc>
              <w:tc>
                <w:tcPr>
                  <w:tcW w:w="803" w:type="dxa"/>
                  <w:shd w:val="clear" w:color="auto" w:fill="auto"/>
                  <w:vAlign w:val="center"/>
                </w:tcPr>
                <w:p w:rsidR="000A7A95" w:rsidRPr="002A6CB1" w:rsidRDefault="000A7A95" w:rsidP="001D0F72">
                  <w:pPr>
                    <w:pStyle w:val="TableBodyText"/>
                    <w:rPr>
                      <w:b/>
                      <w:szCs w:val="18"/>
                    </w:rPr>
                  </w:pPr>
                  <w:r w:rsidRPr="002A6CB1">
                    <w:rPr>
                      <w:b/>
                      <w:szCs w:val="18"/>
                    </w:rPr>
                    <w:t xml:space="preserve">83.9 </w:t>
                  </w:r>
                  <w:r w:rsidRPr="002A6CB1">
                    <w:rPr>
                      <w:b/>
                      <w:szCs w:val="18"/>
                    </w:rPr>
                    <w:br/>
                    <w:t>± 8.2</w:t>
                  </w:r>
                </w:p>
              </w:tc>
              <w:tc>
                <w:tcPr>
                  <w:tcW w:w="803" w:type="dxa"/>
                  <w:shd w:val="clear" w:color="auto" w:fill="auto"/>
                  <w:vAlign w:val="center"/>
                </w:tcPr>
                <w:p w:rsidR="000A7A95" w:rsidRPr="002A6CB1" w:rsidRDefault="000A7A95" w:rsidP="001D0F72">
                  <w:pPr>
                    <w:pStyle w:val="TableBodyText"/>
                    <w:rPr>
                      <w:b/>
                      <w:szCs w:val="18"/>
                    </w:rPr>
                  </w:pPr>
                  <w:r w:rsidRPr="002A6CB1">
                    <w:rPr>
                      <w:b/>
                      <w:szCs w:val="18"/>
                    </w:rPr>
                    <w:t xml:space="preserve">82.3 </w:t>
                  </w:r>
                  <w:r w:rsidRPr="002A6CB1">
                    <w:rPr>
                      <w:b/>
                      <w:szCs w:val="18"/>
                    </w:rPr>
                    <w:br/>
                    <w:t>± 8.1</w:t>
                  </w:r>
                </w:p>
              </w:tc>
              <w:tc>
                <w:tcPr>
                  <w:tcW w:w="804" w:type="dxa"/>
                  <w:shd w:val="clear" w:color="auto" w:fill="auto"/>
                  <w:vAlign w:val="center"/>
                </w:tcPr>
                <w:p w:rsidR="000A7A95" w:rsidRPr="002A6CB1" w:rsidRDefault="000A7A95" w:rsidP="001D0F72">
                  <w:pPr>
                    <w:pStyle w:val="TableBodyText"/>
                    <w:rPr>
                      <w:b/>
                      <w:szCs w:val="18"/>
                    </w:rPr>
                  </w:pPr>
                  <w:r w:rsidRPr="002A6CB1">
                    <w:rPr>
                      <w:b/>
                      <w:szCs w:val="18"/>
                    </w:rPr>
                    <w:t xml:space="preserve">97.6 </w:t>
                  </w:r>
                  <w:r w:rsidRPr="002A6CB1">
                    <w:rPr>
                      <w:b/>
                      <w:szCs w:val="18"/>
                    </w:rPr>
                    <w:br/>
                    <w:t>± 8.4</w:t>
                  </w:r>
                </w:p>
              </w:tc>
              <w:tc>
                <w:tcPr>
                  <w:tcW w:w="803" w:type="dxa"/>
                  <w:shd w:val="clear" w:color="auto" w:fill="auto"/>
                  <w:vAlign w:val="center"/>
                </w:tcPr>
                <w:p w:rsidR="000A7A95" w:rsidRPr="002A6CB1" w:rsidRDefault="000A7A95" w:rsidP="001D0F72">
                  <w:pPr>
                    <w:pStyle w:val="TableBodyText"/>
                    <w:rPr>
                      <w:b/>
                      <w:szCs w:val="18"/>
                    </w:rPr>
                  </w:pPr>
                  <w:r w:rsidRPr="002A6CB1">
                    <w:rPr>
                      <w:b/>
                      <w:szCs w:val="18"/>
                    </w:rPr>
                    <w:t xml:space="preserve">90.8 </w:t>
                  </w:r>
                  <w:r w:rsidRPr="002A6CB1">
                    <w:rPr>
                      <w:b/>
                      <w:szCs w:val="18"/>
                    </w:rPr>
                    <w:br/>
                    <w:t>± 8.8</w:t>
                  </w:r>
                </w:p>
              </w:tc>
              <w:tc>
                <w:tcPr>
                  <w:tcW w:w="803" w:type="dxa"/>
                  <w:shd w:val="clear" w:color="auto" w:fill="auto"/>
                  <w:vAlign w:val="center"/>
                </w:tcPr>
                <w:p w:rsidR="000A7A95" w:rsidRPr="002A6CB1" w:rsidRDefault="000A7A95" w:rsidP="001D0F72">
                  <w:pPr>
                    <w:pStyle w:val="TableBodyText"/>
                    <w:rPr>
                      <w:b/>
                      <w:szCs w:val="18"/>
                    </w:rPr>
                  </w:pPr>
                  <w:r w:rsidRPr="002A6CB1">
                    <w:rPr>
                      <w:b/>
                      <w:szCs w:val="18"/>
                    </w:rPr>
                    <w:t xml:space="preserve">76.0 </w:t>
                  </w:r>
                  <w:r w:rsidRPr="002A6CB1">
                    <w:rPr>
                      <w:b/>
                      <w:szCs w:val="18"/>
                    </w:rPr>
                    <w:br/>
                    <w:t>± 9.0</w:t>
                  </w:r>
                </w:p>
              </w:tc>
              <w:tc>
                <w:tcPr>
                  <w:tcW w:w="804" w:type="dxa"/>
                  <w:shd w:val="clear" w:color="auto" w:fill="auto"/>
                  <w:vAlign w:val="center"/>
                </w:tcPr>
                <w:p w:rsidR="000A7A95" w:rsidRPr="002A6CB1" w:rsidRDefault="000A7A95" w:rsidP="001D0F72">
                  <w:pPr>
                    <w:pStyle w:val="TableBodyText"/>
                    <w:rPr>
                      <w:b/>
                      <w:szCs w:val="18"/>
                    </w:rPr>
                  </w:pPr>
                  <w:r w:rsidRPr="002A6CB1">
                    <w:rPr>
                      <w:b/>
                      <w:szCs w:val="18"/>
                    </w:rPr>
                    <w:t xml:space="preserve">83.4 </w:t>
                  </w:r>
                  <w:r w:rsidRPr="002A6CB1">
                    <w:rPr>
                      <w:b/>
                      <w:szCs w:val="18"/>
                    </w:rPr>
                    <w:br/>
                    <w:t>± 10.7</w:t>
                  </w:r>
                </w:p>
              </w:tc>
              <w:tc>
                <w:tcPr>
                  <w:tcW w:w="803" w:type="dxa"/>
                  <w:shd w:val="clear" w:color="auto" w:fill="auto"/>
                  <w:vAlign w:val="center"/>
                </w:tcPr>
                <w:p w:rsidR="000A7A95" w:rsidRPr="002A6CB1" w:rsidRDefault="000A7A95" w:rsidP="001D0F72">
                  <w:pPr>
                    <w:pStyle w:val="TableBodyText"/>
                    <w:rPr>
                      <w:b/>
                      <w:szCs w:val="18"/>
                    </w:rPr>
                  </w:pPr>
                  <w:r w:rsidRPr="002A6CB1">
                    <w:rPr>
                      <w:b/>
                      <w:szCs w:val="18"/>
                    </w:rPr>
                    <w:t xml:space="preserve">87.6 </w:t>
                  </w:r>
                  <w:r w:rsidRPr="002A6CB1">
                    <w:rPr>
                      <w:b/>
                      <w:szCs w:val="18"/>
                    </w:rPr>
                    <w:br/>
                    <w:t>± 11.1</w:t>
                  </w:r>
                </w:p>
              </w:tc>
              <w:tc>
                <w:tcPr>
                  <w:tcW w:w="803" w:type="dxa"/>
                  <w:shd w:val="clear" w:color="auto" w:fill="auto"/>
                  <w:vAlign w:val="center"/>
                </w:tcPr>
                <w:p w:rsidR="000A7A95" w:rsidRPr="002A6CB1" w:rsidRDefault="000A7A95" w:rsidP="001D0F72">
                  <w:pPr>
                    <w:pStyle w:val="TableBodyText"/>
                    <w:rPr>
                      <w:b/>
                      <w:szCs w:val="18"/>
                    </w:rPr>
                  </w:pPr>
                  <w:r w:rsidRPr="002A6CB1">
                    <w:rPr>
                      <w:b/>
                      <w:szCs w:val="18"/>
                    </w:rPr>
                    <w:t xml:space="preserve">105.5 </w:t>
                  </w:r>
                  <w:r w:rsidRPr="002A6CB1">
                    <w:rPr>
                      <w:b/>
                      <w:szCs w:val="18"/>
                    </w:rPr>
                    <w:br/>
                    <w:t>± 27.7</w:t>
                  </w:r>
                </w:p>
              </w:tc>
              <w:tc>
                <w:tcPr>
                  <w:tcW w:w="804" w:type="dxa"/>
                  <w:shd w:val="clear" w:color="auto" w:fill="auto"/>
                  <w:vAlign w:val="center"/>
                </w:tcPr>
                <w:p w:rsidR="000A7A95" w:rsidRPr="002A6CB1" w:rsidRDefault="000A7A95" w:rsidP="001D0F72">
                  <w:pPr>
                    <w:pStyle w:val="TableBodyText"/>
                    <w:rPr>
                      <w:b/>
                      <w:szCs w:val="18"/>
                    </w:rPr>
                  </w:pPr>
                  <w:r w:rsidRPr="002A6CB1">
                    <w:rPr>
                      <w:b/>
                      <w:szCs w:val="18"/>
                    </w:rPr>
                    <w:t xml:space="preserve">86.9 </w:t>
                  </w:r>
                  <w:r w:rsidRPr="002A6CB1">
                    <w:rPr>
                      <w:b/>
                      <w:szCs w:val="18"/>
                    </w:rPr>
                    <w:br/>
                    <w:t>± 7.9</w:t>
                  </w:r>
                </w:p>
              </w:tc>
            </w:tr>
            <w:tr w:rsidR="000A7A95" w:rsidRPr="00530424" w:rsidTr="000A7A95">
              <w:tc>
                <w:tcPr>
                  <w:tcW w:w="1560" w:type="dxa"/>
                  <w:shd w:val="clear" w:color="auto" w:fill="auto"/>
                </w:tcPr>
                <w:p w:rsidR="000A7A95" w:rsidRPr="002A6CB1" w:rsidRDefault="000A7A95" w:rsidP="00B71E09">
                  <w:pPr>
                    <w:pStyle w:val="TableBodyText"/>
                    <w:jc w:val="left"/>
                    <w:rPr>
                      <w:b/>
                    </w:rPr>
                  </w:pPr>
                  <w:r w:rsidRPr="002A6CB1">
                    <w:rPr>
                      <w:b/>
                    </w:rPr>
                    <w:t>Gain 2010-2012</w:t>
                  </w:r>
                </w:p>
              </w:tc>
              <w:tc>
                <w:tcPr>
                  <w:tcW w:w="803" w:type="dxa"/>
                  <w:shd w:val="clear" w:color="auto" w:fill="auto"/>
                  <w:vAlign w:val="center"/>
                </w:tcPr>
                <w:p w:rsidR="000A7A95" w:rsidRPr="002A6CB1" w:rsidRDefault="000A7A95" w:rsidP="001D0F72">
                  <w:pPr>
                    <w:pStyle w:val="TableBodyText"/>
                    <w:spacing w:after="0"/>
                    <w:rPr>
                      <w:b/>
                      <w:szCs w:val="18"/>
                    </w:rPr>
                  </w:pPr>
                  <w:r w:rsidRPr="002A6CB1">
                    <w:rPr>
                      <w:b/>
                      <w:szCs w:val="18"/>
                    </w:rPr>
                    <w:t xml:space="preserve">49.9 </w:t>
                  </w:r>
                  <w:r w:rsidRPr="002A6CB1">
                    <w:rPr>
                      <w:b/>
                      <w:szCs w:val="18"/>
                    </w:rPr>
                    <w:br/>
                    <w:t>± 7.8</w:t>
                  </w:r>
                </w:p>
              </w:tc>
              <w:tc>
                <w:tcPr>
                  <w:tcW w:w="803" w:type="dxa"/>
                  <w:shd w:val="clear" w:color="auto" w:fill="auto"/>
                  <w:vAlign w:val="center"/>
                </w:tcPr>
                <w:p w:rsidR="000A7A95" w:rsidRPr="002A6CB1" w:rsidRDefault="000A7A95" w:rsidP="001D0F72">
                  <w:pPr>
                    <w:pStyle w:val="TableBodyText"/>
                    <w:spacing w:after="0"/>
                    <w:rPr>
                      <w:b/>
                      <w:szCs w:val="18"/>
                    </w:rPr>
                  </w:pPr>
                  <w:r w:rsidRPr="002A6CB1">
                    <w:rPr>
                      <w:b/>
                      <w:szCs w:val="18"/>
                    </w:rPr>
                    <w:t xml:space="preserve">46.1 </w:t>
                  </w:r>
                  <w:r w:rsidRPr="002A6CB1">
                    <w:rPr>
                      <w:b/>
                      <w:szCs w:val="18"/>
                    </w:rPr>
                    <w:br/>
                    <w:t>± 7.6</w:t>
                  </w:r>
                </w:p>
              </w:tc>
              <w:tc>
                <w:tcPr>
                  <w:tcW w:w="804" w:type="dxa"/>
                  <w:shd w:val="clear" w:color="auto" w:fill="auto"/>
                  <w:vAlign w:val="center"/>
                </w:tcPr>
                <w:p w:rsidR="000A7A95" w:rsidRPr="002A6CB1" w:rsidRDefault="000A7A95" w:rsidP="001D0F72">
                  <w:pPr>
                    <w:pStyle w:val="TableBodyText"/>
                    <w:spacing w:after="0"/>
                    <w:rPr>
                      <w:b/>
                      <w:szCs w:val="18"/>
                    </w:rPr>
                  </w:pPr>
                  <w:r w:rsidRPr="002A6CB1">
                    <w:rPr>
                      <w:b/>
                      <w:szCs w:val="18"/>
                    </w:rPr>
                    <w:t xml:space="preserve">64.0 </w:t>
                  </w:r>
                  <w:r w:rsidRPr="002A6CB1">
                    <w:rPr>
                      <w:b/>
                      <w:szCs w:val="18"/>
                    </w:rPr>
                    <w:br/>
                    <w:t>± 7.5</w:t>
                  </w:r>
                </w:p>
              </w:tc>
              <w:tc>
                <w:tcPr>
                  <w:tcW w:w="803" w:type="dxa"/>
                  <w:shd w:val="clear" w:color="auto" w:fill="auto"/>
                  <w:vAlign w:val="center"/>
                </w:tcPr>
                <w:p w:rsidR="000A7A95" w:rsidRPr="002A6CB1" w:rsidRDefault="000A7A95" w:rsidP="001D0F72">
                  <w:pPr>
                    <w:pStyle w:val="TableBodyText"/>
                    <w:spacing w:after="0"/>
                    <w:rPr>
                      <w:b/>
                      <w:szCs w:val="18"/>
                    </w:rPr>
                  </w:pPr>
                  <w:r w:rsidRPr="002A6CB1">
                    <w:rPr>
                      <w:b/>
                      <w:szCs w:val="18"/>
                    </w:rPr>
                    <w:t xml:space="preserve">60.3 </w:t>
                  </w:r>
                  <w:r w:rsidRPr="002A6CB1">
                    <w:rPr>
                      <w:b/>
                      <w:szCs w:val="18"/>
                    </w:rPr>
                    <w:br/>
                    <w:t>± 8.1</w:t>
                  </w:r>
                </w:p>
              </w:tc>
              <w:tc>
                <w:tcPr>
                  <w:tcW w:w="803" w:type="dxa"/>
                  <w:shd w:val="clear" w:color="auto" w:fill="auto"/>
                  <w:vAlign w:val="center"/>
                </w:tcPr>
                <w:p w:rsidR="000A7A95" w:rsidRPr="002A6CB1" w:rsidRDefault="000A7A95" w:rsidP="001D0F72">
                  <w:pPr>
                    <w:pStyle w:val="TableBodyText"/>
                    <w:spacing w:after="0"/>
                    <w:rPr>
                      <w:b/>
                      <w:szCs w:val="18"/>
                    </w:rPr>
                  </w:pPr>
                  <w:r w:rsidRPr="002A6CB1">
                    <w:rPr>
                      <w:b/>
                      <w:szCs w:val="18"/>
                    </w:rPr>
                    <w:t xml:space="preserve">60.5 </w:t>
                  </w:r>
                  <w:r w:rsidRPr="002A6CB1">
                    <w:rPr>
                      <w:b/>
                      <w:szCs w:val="18"/>
                    </w:rPr>
                    <w:br/>
                    <w:t>± 8.1</w:t>
                  </w:r>
                </w:p>
              </w:tc>
              <w:tc>
                <w:tcPr>
                  <w:tcW w:w="804" w:type="dxa"/>
                  <w:shd w:val="clear" w:color="auto" w:fill="auto"/>
                  <w:vAlign w:val="center"/>
                </w:tcPr>
                <w:p w:rsidR="000A7A95" w:rsidRPr="002A6CB1" w:rsidRDefault="000A7A95" w:rsidP="001D0F72">
                  <w:pPr>
                    <w:pStyle w:val="TableBodyText"/>
                    <w:spacing w:after="0"/>
                    <w:rPr>
                      <w:b/>
                      <w:szCs w:val="18"/>
                    </w:rPr>
                  </w:pPr>
                  <w:r w:rsidRPr="002A6CB1">
                    <w:rPr>
                      <w:b/>
                      <w:szCs w:val="18"/>
                    </w:rPr>
                    <w:t xml:space="preserve">56.0 </w:t>
                  </w:r>
                  <w:r w:rsidRPr="002A6CB1">
                    <w:rPr>
                      <w:b/>
                      <w:szCs w:val="18"/>
                    </w:rPr>
                    <w:br/>
                    <w:t>± 11.6</w:t>
                  </w:r>
                </w:p>
              </w:tc>
              <w:tc>
                <w:tcPr>
                  <w:tcW w:w="803" w:type="dxa"/>
                  <w:shd w:val="clear" w:color="auto" w:fill="auto"/>
                  <w:vAlign w:val="center"/>
                </w:tcPr>
                <w:p w:rsidR="000A7A95" w:rsidRPr="002A6CB1" w:rsidRDefault="000A7A95" w:rsidP="001D0F72">
                  <w:pPr>
                    <w:pStyle w:val="TableBodyText"/>
                    <w:spacing w:after="0"/>
                    <w:rPr>
                      <w:b/>
                      <w:szCs w:val="18"/>
                    </w:rPr>
                  </w:pPr>
                  <w:r w:rsidRPr="002A6CB1">
                    <w:rPr>
                      <w:b/>
                      <w:szCs w:val="18"/>
                    </w:rPr>
                    <w:t xml:space="preserve">50.0 </w:t>
                  </w:r>
                  <w:r w:rsidRPr="002A6CB1">
                    <w:rPr>
                      <w:b/>
                      <w:szCs w:val="18"/>
                    </w:rPr>
                    <w:br/>
                    <w:t>± 12.1</w:t>
                  </w:r>
                </w:p>
              </w:tc>
              <w:tc>
                <w:tcPr>
                  <w:tcW w:w="803" w:type="dxa"/>
                  <w:shd w:val="clear" w:color="auto" w:fill="auto"/>
                  <w:vAlign w:val="center"/>
                </w:tcPr>
                <w:p w:rsidR="000A7A95" w:rsidRPr="002A6CB1" w:rsidRDefault="000A7A95" w:rsidP="001D0F72">
                  <w:pPr>
                    <w:pStyle w:val="TableBodyText"/>
                    <w:spacing w:after="0"/>
                    <w:rPr>
                      <w:b/>
                      <w:szCs w:val="18"/>
                    </w:rPr>
                  </w:pPr>
                  <w:r w:rsidRPr="002A6CB1">
                    <w:rPr>
                      <w:b/>
                      <w:szCs w:val="18"/>
                    </w:rPr>
                    <w:t xml:space="preserve">62.2 </w:t>
                  </w:r>
                  <w:r w:rsidRPr="002A6CB1">
                    <w:rPr>
                      <w:b/>
                      <w:szCs w:val="18"/>
                    </w:rPr>
                    <w:br/>
                    <w:t>± 29.5</w:t>
                  </w:r>
                </w:p>
              </w:tc>
              <w:tc>
                <w:tcPr>
                  <w:tcW w:w="804" w:type="dxa"/>
                  <w:shd w:val="clear" w:color="auto" w:fill="auto"/>
                  <w:vAlign w:val="center"/>
                </w:tcPr>
                <w:p w:rsidR="000A7A95" w:rsidRPr="002A6CB1" w:rsidRDefault="000A7A95" w:rsidP="001D0F72">
                  <w:pPr>
                    <w:pStyle w:val="TableBodyText"/>
                    <w:spacing w:after="0"/>
                    <w:rPr>
                      <w:b/>
                      <w:szCs w:val="18"/>
                    </w:rPr>
                  </w:pPr>
                  <w:r w:rsidRPr="002A6CB1">
                    <w:rPr>
                      <w:b/>
                      <w:szCs w:val="18"/>
                    </w:rPr>
                    <w:t xml:space="preserve">54.1 </w:t>
                  </w:r>
                  <w:r w:rsidRPr="002A6CB1">
                    <w:rPr>
                      <w:b/>
                      <w:szCs w:val="18"/>
                    </w:rPr>
                    <w:br/>
                    <w:t>± 7.1</w:t>
                  </w:r>
                </w:p>
              </w:tc>
            </w:tr>
            <w:tr w:rsidR="004A30A9" w:rsidRPr="00530424" w:rsidTr="002316F7">
              <w:tc>
                <w:tcPr>
                  <w:tcW w:w="1560" w:type="dxa"/>
                  <w:tcBorders>
                    <w:bottom w:val="single" w:sz="6" w:space="0" w:color="auto"/>
                  </w:tcBorders>
                  <w:shd w:val="clear" w:color="auto" w:fill="FFFFFF" w:themeFill="background1"/>
                </w:tcPr>
                <w:p w:rsidR="004A30A9" w:rsidRPr="002A6CB1" w:rsidRDefault="004A30A9" w:rsidP="00B71E09">
                  <w:pPr>
                    <w:pStyle w:val="TableBodyText"/>
                    <w:jc w:val="left"/>
                    <w:rPr>
                      <w:b/>
                    </w:rPr>
                  </w:pPr>
                  <w:r w:rsidRPr="002A6CB1">
                    <w:rPr>
                      <w:b/>
                    </w:rPr>
                    <w:t>Gain 2012-2014</w:t>
                  </w:r>
                </w:p>
              </w:tc>
              <w:tc>
                <w:tcPr>
                  <w:tcW w:w="803" w:type="dxa"/>
                  <w:tcBorders>
                    <w:bottom w:val="single" w:sz="6" w:space="0" w:color="auto"/>
                  </w:tcBorders>
                  <w:shd w:val="clear" w:color="auto" w:fill="FFFFFF" w:themeFill="background1"/>
                  <w:vAlign w:val="center"/>
                </w:tcPr>
                <w:p w:rsidR="004A30A9" w:rsidRPr="002A6CB1" w:rsidRDefault="004A30A9" w:rsidP="004A30A9">
                  <w:pPr>
                    <w:pStyle w:val="TableBodyText"/>
                    <w:rPr>
                      <w:b/>
                    </w:rPr>
                  </w:pPr>
                  <w:r w:rsidRPr="002A6CB1">
                    <w:rPr>
                      <w:b/>
                    </w:rPr>
                    <w:t xml:space="preserve">38.2 </w:t>
                  </w:r>
                  <w:r w:rsidRPr="002A6CB1">
                    <w:rPr>
                      <w:b/>
                    </w:rPr>
                    <w:br/>
                    <w:t>± 6.6</w:t>
                  </w:r>
                </w:p>
              </w:tc>
              <w:tc>
                <w:tcPr>
                  <w:tcW w:w="803" w:type="dxa"/>
                  <w:tcBorders>
                    <w:bottom w:val="single" w:sz="6" w:space="0" w:color="auto"/>
                  </w:tcBorders>
                  <w:shd w:val="clear" w:color="auto" w:fill="FFFFFF" w:themeFill="background1"/>
                  <w:vAlign w:val="center"/>
                </w:tcPr>
                <w:p w:rsidR="004A30A9" w:rsidRPr="002A6CB1" w:rsidRDefault="004A30A9" w:rsidP="004A30A9">
                  <w:pPr>
                    <w:pStyle w:val="TableBodyText"/>
                    <w:rPr>
                      <w:b/>
                    </w:rPr>
                  </w:pPr>
                  <w:r w:rsidRPr="002A6CB1">
                    <w:rPr>
                      <w:b/>
                    </w:rPr>
                    <w:t xml:space="preserve">37.2 ± </w:t>
                  </w:r>
                  <w:r w:rsidRPr="002A6CB1">
                    <w:rPr>
                      <w:b/>
                    </w:rPr>
                    <w:br/>
                    <w:t>6.4</w:t>
                  </w:r>
                </w:p>
              </w:tc>
              <w:tc>
                <w:tcPr>
                  <w:tcW w:w="804" w:type="dxa"/>
                  <w:tcBorders>
                    <w:bottom w:val="single" w:sz="6" w:space="0" w:color="auto"/>
                  </w:tcBorders>
                  <w:shd w:val="clear" w:color="auto" w:fill="FFFFFF" w:themeFill="background1"/>
                  <w:vAlign w:val="center"/>
                </w:tcPr>
                <w:p w:rsidR="004A30A9" w:rsidRPr="002A6CB1" w:rsidRDefault="004A30A9" w:rsidP="004A30A9">
                  <w:pPr>
                    <w:pStyle w:val="TableBodyText"/>
                    <w:rPr>
                      <w:b/>
                    </w:rPr>
                  </w:pPr>
                  <w:r w:rsidRPr="002A6CB1">
                    <w:rPr>
                      <w:b/>
                    </w:rPr>
                    <w:t>38.9</w:t>
                  </w:r>
                  <w:r w:rsidRPr="002A6CB1">
                    <w:rPr>
                      <w:b/>
                    </w:rPr>
                    <w:br/>
                    <w:t xml:space="preserve"> ± 6.3</w:t>
                  </w:r>
                </w:p>
              </w:tc>
              <w:tc>
                <w:tcPr>
                  <w:tcW w:w="803" w:type="dxa"/>
                  <w:tcBorders>
                    <w:bottom w:val="single" w:sz="6" w:space="0" w:color="auto"/>
                  </w:tcBorders>
                  <w:shd w:val="clear" w:color="auto" w:fill="FFFFFF" w:themeFill="background1"/>
                  <w:vAlign w:val="center"/>
                </w:tcPr>
                <w:p w:rsidR="004A30A9" w:rsidRPr="002A6CB1" w:rsidRDefault="004A30A9" w:rsidP="004A30A9">
                  <w:pPr>
                    <w:pStyle w:val="TableBodyText"/>
                    <w:rPr>
                      <w:b/>
                    </w:rPr>
                  </w:pPr>
                  <w:r w:rsidRPr="002A6CB1">
                    <w:rPr>
                      <w:b/>
                    </w:rPr>
                    <w:t>46.6</w:t>
                  </w:r>
                  <w:r w:rsidRPr="002A6CB1">
                    <w:rPr>
                      <w:b/>
                    </w:rPr>
                    <w:br/>
                    <w:t xml:space="preserve"> ± 7.6</w:t>
                  </w:r>
                </w:p>
              </w:tc>
              <w:tc>
                <w:tcPr>
                  <w:tcW w:w="803" w:type="dxa"/>
                  <w:tcBorders>
                    <w:bottom w:val="single" w:sz="6" w:space="0" w:color="auto"/>
                  </w:tcBorders>
                  <w:shd w:val="clear" w:color="auto" w:fill="FFFFFF" w:themeFill="background1"/>
                  <w:vAlign w:val="center"/>
                </w:tcPr>
                <w:p w:rsidR="004A30A9" w:rsidRPr="002A6CB1" w:rsidRDefault="004A30A9" w:rsidP="004A30A9">
                  <w:pPr>
                    <w:pStyle w:val="TableBodyText"/>
                    <w:rPr>
                      <w:b/>
                    </w:rPr>
                  </w:pPr>
                  <w:r w:rsidRPr="002A6CB1">
                    <w:rPr>
                      <w:b/>
                    </w:rPr>
                    <w:t>36.0</w:t>
                  </w:r>
                  <w:r w:rsidRPr="002A6CB1">
                    <w:rPr>
                      <w:b/>
                    </w:rPr>
                    <w:br/>
                    <w:t xml:space="preserve"> ± 7.7</w:t>
                  </w:r>
                </w:p>
              </w:tc>
              <w:tc>
                <w:tcPr>
                  <w:tcW w:w="804" w:type="dxa"/>
                  <w:tcBorders>
                    <w:bottom w:val="single" w:sz="6" w:space="0" w:color="auto"/>
                  </w:tcBorders>
                  <w:shd w:val="clear" w:color="auto" w:fill="FFFFFF" w:themeFill="background1"/>
                  <w:vAlign w:val="center"/>
                </w:tcPr>
                <w:p w:rsidR="004A30A9" w:rsidRPr="002A6CB1" w:rsidRDefault="004A30A9" w:rsidP="004A30A9">
                  <w:pPr>
                    <w:pStyle w:val="TableBodyText"/>
                    <w:rPr>
                      <w:b/>
                    </w:rPr>
                  </w:pPr>
                  <w:r w:rsidRPr="002A6CB1">
                    <w:rPr>
                      <w:b/>
                    </w:rPr>
                    <w:t>32.8</w:t>
                  </w:r>
                  <w:r w:rsidRPr="002A6CB1">
                    <w:rPr>
                      <w:b/>
                    </w:rPr>
                    <w:br/>
                    <w:t xml:space="preserve"> ± 11.7</w:t>
                  </w:r>
                </w:p>
              </w:tc>
              <w:tc>
                <w:tcPr>
                  <w:tcW w:w="803" w:type="dxa"/>
                  <w:tcBorders>
                    <w:bottom w:val="single" w:sz="6" w:space="0" w:color="auto"/>
                  </w:tcBorders>
                  <w:shd w:val="clear" w:color="auto" w:fill="FFFFFF" w:themeFill="background1"/>
                  <w:vAlign w:val="center"/>
                </w:tcPr>
                <w:p w:rsidR="004A30A9" w:rsidRPr="002A6CB1" w:rsidRDefault="004A30A9" w:rsidP="004A30A9">
                  <w:pPr>
                    <w:pStyle w:val="TableBodyText"/>
                    <w:rPr>
                      <w:b/>
                    </w:rPr>
                  </w:pPr>
                  <w:r w:rsidRPr="002A6CB1">
                    <w:rPr>
                      <w:b/>
                    </w:rPr>
                    <w:t>38.7</w:t>
                  </w:r>
                  <w:r w:rsidRPr="002A6CB1">
                    <w:rPr>
                      <w:b/>
                    </w:rPr>
                    <w:br/>
                    <w:t xml:space="preserve"> ± 13.0</w:t>
                  </w:r>
                </w:p>
              </w:tc>
              <w:tc>
                <w:tcPr>
                  <w:tcW w:w="803" w:type="dxa"/>
                  <w:tcBorders>
                    <w:bottom w:val="single" w:sz="6" w:space="0" w:color="auto"/>
                  </w:tcBorders>
                  <w:shd w:val="clear" w:color="auto" w:fill="FFFFFF" w:themeFill="background1"/>
                  <w:vAlign w:val="center"/>
                </w:tcPr>
                <w:p w:rsidR="004A30A9" w:rsidRPr="002A6CB1" w:rsidRDefault="004A30A9" w:rsidP="004A30A9">
                  <w:pPr>
                    <w:pStyle w:val="TableBodyText"/>
                    <w:rPr>
                      <w:b/>
                    </w:rPr>
                  </w:pPr>
                  <w:r w:rsidRPr="002A6CB1">
                    <w:rPr>
                      <w:b/>
                    </w:rPr>
                    <w:t>47.4</w:t>
                  </w:r>
                  <w:r w:rsidRPr="002A6CB1">
                    <w:rPr>
                      <w:b/>
                    </w:rPr>
                    <w:br/>
                    <w:t xml:space="preserve"> ± 31.8</w:t>
                  </w:r>
                </w:p>
              </w:tc>
              <w:tc>
                <w:tcPr>
                  <w:tcW w:w="804" w:type="dxa"/>
                  <w:tcBorders>
                    <w:bottom w:val="single" w:sz="6" w:space="0" w:color="auto"/>
                  </w:tcBorders>
                  <w:shd w:val="clear" w:color="auto" w:fill="FFFFFF" w:themeFill="background1"/>
                  <w:vAlign w:val="center"/>
                </w:tcPr>
                <w:p w:rsidR="004A30A9" w:rsidRPr="002A6CB1" w:rsidRDefault="004A30A9" w:rsidP="004A30A9">
                  <w:pPr>
                    <w:pStyle w:val="TableBodyText"/>
                    <w:rPr>
                      <w:b/>
                    </w:rPr>
                  </w:pPr>
                  <w:r w:rsidRPr="002A6CB1">
                    <w:rPr>
                      <w:b/>
                    </w:rPr>
                    <w:t>38.9</w:t>
                  </w:r>
                  <w:r w:rsidRPr="002A6CB1">
                    <w:rPr>
                      <w:b/>
                    </w:rPr>
                    <w:br/>
                    <w:t xml:space="preserve"> ± 5.5</w:t>
                  </w:r>
                </w:p>
              </w:tc>
            </w:tr>
          </w:tbl>
          <w:p w:rsidR="000A7A95" w:rsidRDefault="000A7A95" w:rsidP="001D0F72">
            <w:pPr>
              <w:pStyle w:val="Box"/>
            </w:pPr>
          </w:p>
        </w:tc>
      </w:tr>
      <w:tr w:rsidR="000A7A95" w:rsidTr="00146776">
        <w:trPr>
          <w:cantSplit/>
        </w:trPr>
        <w:tc>
          <w:tcPr>
            <w:tcW w:w="8909" w:type="dxa"/>
            <w:tcBorders>
              <w:top w:val="nil"/>
              <w:left w:val="nil"/>
              <w:bottom w:val="nil"/>
              <w:right w:val="nil"/>
            </w:tcBorders>
            <w:shd w:val="clear" w:color="auto" w:fill="auto"/>
          </w:tcPr>
          <w:p w:rsidR="000A7A95" w:rsidRPr="000A7A95" w:rsidRDefault="000A7A95" w:rsidP="000A7A95">
            <w:pPr>
              <w:pStyle w:val="Note"/>
            </w:pPr>
            <w:r w:rsidRPr="008E77FE">
              <w:rPr>
                <w:rStyle w:val="NoteLabel"/>
              </w:rPr>
              <w:t>a</w:t>
            </w:r>
            <w:r>
              <w:t xml:space="preserve"> </w:t>
            </w:r>
            <w:r w:rsidRPr="000A7A95">
              <w:t>The mean scale scores for 2008, 2010</w:t>
            </w:r>
            <w:r>
              <w:t>, 2012</w:t>
            </w:r>
            <w:r w:rsidRPr="000A7A95">
              <w:t xml:space="preserve"> and 201</w:t>
            </w:r>
            <w:r>
              <w:t>4</w:t>
            </w:r>
            <w:r w:rsidRPr="000A7A95">
              <w:t xml:space="preserve"> reported in this table include 95 per cent confidence intervals (for example, a mean scale score of 400.0 ± 2.7, or a gain from 2010 to 2012 of </w:t>
            </w:r>
            <w:r w:rsidR="00B13ED5">
              <w:br/>
            </w:r>
            <w:r w:rsidRPr="000A7A95">
              <w:t xml:space="preserve">80.1 ± 2.7). Confidence intervals for the gain provide an indication of the level of uncertainty of the gain over the two year period. </w:t>
            </w:r>
            <w:r w:rsidRPr="00820CF9">
              <w:rPr>
                <w:rStyle w:val="NoteLabel"/>
              </w:rPr>
              <w:t>b</w:t>
            </w:r>
            <w:r w:rsidRPr="000A7A95">
              <w:t xml:space="preserve"> The confidence interval provided is for the specific jurisdictional gain and should not be used for comparisons between jurisdictions or between subgroups</w:t>
            </w:r>
            <w:r>
              <w:t>.</w:t>
            </w:r>
          </w:p>
        </w:tc>
      </w:tr>
      <w:tr w:rsidR="000A7A95" w:rsidTr="00146776">
        <w:trPr>
          <w:cantSplit/>
        </w:trPr>
        <w:tc>
          <w:tcPr>
            <w:tcW w:w="8909" w:type="dxa"/>
            <w:tcBorders>
              <w:top w:val="nil"/>
              <w:left w:val="nil"/>
              <w:bottom w:val="nil"/>
              <w:right w:val="nil"/>
            </w:tcBorders>
            <w:shd w:val="clear" w:color="auto" w:fill="auto"/>
          </w:tcPr>
          <w:p w:rsidR="000A7A95" w:rsidRDefault="000A7A95" w:rsidP="00CE6853">
            <w:pPr>
              <w:pStyle w:val="Source"/>
            </w:pPr>
            <w:r>
              <w:rPr>
                <w:i/>
              </w:rPr>
              <w:t>Source</w:t>
            </w:r>
            <w:r w:rsidRPr="00167F06">
              <w:t xml:space="preserve">: </w:t>
            </w:r>
            <w:r w:rsidRPr="000A7A95">
              <w:t>ACARA (201</w:t>
            </w:r>
            <w:r w:rsidR="00CE6853">
              <w:t>4</w:t>
            </w:r>
            <w:r w:rsidRPr="000A7A95">
              <w:t xml:space="preserve"> and unpublished) </w:t>
            </w:r>
            <w:r w:rsidRPr="000A7A95">
              <w:rPr>
                <w:i/>
              </w:rPr>
              <w:t>201</w:t>
            </w:r>
            <w:r>
              <w:rPr>
                <w:i/>
              </w:rPr>
              <w:t>4</w:t>
            </w:r>
            <w:r w:rsidRPr="000A7A95">
              <w:rPr>
                <w:i/>
              </w:rPr>
              <w:t xml:space="preserve"> National Assessment Program — Literacy and Numeracy: Achievement in Numeracy, Writing, Language Conventions and Numeracy</w:t>
            </w:r>
            <w:r w:rsidRPr="000A7A95">
              <w:t>; table 4A.53</w:t>
            </w:r>
            <w:r>
              <w:t>.</w:t>
            </w:r>
          </w:p>
        </w:tc>
      </w:tr>
    </w:tbl>
    <w:p w:rsidR="00666ECE" w:rsidRPr="00666ECE" w:rsidRDefault="00666ECE" w:rsidP="007B0AE2">
      <w:pPr>
        <w:pStyle w:val="Heading5"/>
      </w:pPr>
      <w:r w:rsidRPr="00666ECE">
        <w:lastRenderedPageBreak/>
        <w:t>NAPLAN Numeracy</w:t>
      </w:r>
    </w:p>
    <w:p w:rsidR="00666ECE" w:rsidRDefault="00D62FAA" w:rsidP="0089766B">
      <w:pPr>
        <w:pStyle w:val="BodyText"/>
      </w:pPr>
      <w:r>
        <w:t>This section of the learning outcomes</w:t>
      </w:r>
      <w:r w:rsidR="00666ECE" w:rsidRPr="00666ECE">
        <w:t xml:space="preserve"> indicator provides key outcomes for NAPLAN testing (years 3, 5, 7 and 9) in the numeracy domain. </w:t>
      </w:r>
      <w:r w:rsidR="007267E2">
        <w:t>O</w:t>
      </w:r>
      <w:r w:rsidR="00666ECE" w:rsidRPr="00666ECE">
        <w:t xml:space="preserve">utcomes </w:t>
      </w:r>
      <w:r w:rsidR="007267E2">
        <w:t xml:space="preserve">by Indigenous status </w:t>
      </w:r>
      <w:r w:rsidR="00666ECE" w:rsidRPr="00666ECE">
        <w:t>are highlighted, but outcomes for a range of other equity groups, including male, female, LBOTE, geolocation and socio-economic status (parental education and parental occupation) are included in tables 4A</w:t>
      </w:r>
      <w:r w:rsidR="00A71EBC">
        <w:t>.</w:t>
      </w:r>
      <w:r w:rsidR="00E372EE">
        <w:t>108–125</w:t>
      </w:r>
      <w:r w:rsidR="00666ECE" w:rsidRPr="00666ECE">
        <w:t>.</w:t>
      </w:r>
    </w:p>
    <w:p w:rsidR="005450F5" w:rsidRPr="00666ECE" w:rsidRDefault="005450F5" w:rsidP="005450F5">
      <w:pPr>
        <w:pStyle w:val="BodyText"/>
      </w:pPr>
      <w:r>
        <w:t>This chapter reports on 2014 NAPLAN outcomes. NAPLAN numeracy outcomes for 2013 (not included in earlier reports) are in attachment tables 4A.</w:t>
      </w:r>
      <w:r w:rsidR="00E372EE">
        <w:t>12</w:t>
      </w:r>
      <w:r w:rsidR="001521BB">
        <w:t>6</w:t>
      </w:r>
      <w:r w:rsidR="00E372EE">
        <w:t>–143</w:t>
      </w:r>
      <w:r>
        <w:t>.</w:t>
      </w:r>
    </w:p>
    <w:p w:rsidR="00666ECE" w:rsidRPr="00666ECE" w:rsidRDefault="00666ECE" w:rsidP="007B0AE2">
      <w:pPr>
        <w:pStyle w:val="Heading6"/>
      </w:pPr>
      <w:r w:rsidRPr="00666ECE">
        <w:t xml:space="preserve">All students and </w:t>
      </w:r>
      <w:r w:rsidR="00E372EE">
        <w:t>Aboriginal and Torres Strait islander</w:t>
      </w:r>
      <w:r w:rsidRPr="00666ECE">
        <w:t xml:space="preserve"> students</w:t>
      </w:r>
    </w:p>
    <w:p w:rsidR="00666ECE" w:rsidRPr="00E116EB" w:rsidRDefault="00666ECE" w:rsidP="002316F7">
      <w:pPr>
        <w:spacing w:before="240" w:line="320" w:lineRule="atLeast"/>
        <w:jc w:val="both"/>
        <w:rPr>
          <w:szCs w:val="20"/>
        </w:rPr>
      </w:pPr>
      <w:r w:rsidRPr="00666ECE">
        <w:rPr>
          <w:szCs w:val="20"/>
        </w:rPr>
        <w:t xml:space="preserve">The proportion of year 3 </w:t>
      </w:r>
      <w:r w:rsidRPr="00E116EB">
        <w:rPr>
          <w:szCs w:val="20"/>
        </w:rPr>
        <w:t>students who achieved at or above the numeracy national minimum standard in 201</w:t>
      </w:r>
      <w:r w:rsidR="008C752D">
        <w:rPr>
          <w:szCs w:val="20"/>
        </w:rPr>
        <w:t>4</w:t>
      </w:r>
      <w:r w:rsidRPr="00E116EB">
        <w:rPr>
          <w:szCs w:val="20"/>
        </w:rPr>
        <w:t xml:space="preserve"> was </w:t>
      </w:r>
      <w:r w:rsidR="00393A2C" w:rsidRPr="002316F7">
        <w:rPr>
          <w:szCs w:val="20"/>
          <w:shd w:val="clear" w:color="auto" w:fill="FFFFFF" w:themeFill="background1"/>
        </w:rPr>
        <w:t>94.4–94.8</w:t>
      </w:r>
      <w:r w:rsidRPr="00E116EB">
        <w:rPr>
          <w:szCs w:val="20"/>
        </w:rPr>
        <w:t xml:space="preserve"> per cent nationally. The proportion </w:t>
      </w:r>
      <w:r w:rsidR="00764C20">
        <w:rPr>
          <w:szCs w:val="20"/>
        </w:rPr>
        <w:t xml:space="preserve">for </w:t>
      </w:r>
      <w:r w:rsidR="00B6284D">
        <w:rPr>
          <w:szCs w:val="20"/>
        </w:rPr>
        <w:t>Aboriginal and Torres strait Islander</w:t>
      </w:r>
      <w:r w:rsidRPr="00E116EB">
        <w:rPr>
          <w:szCs w:val="20"/>
        </w:rPr>
        <w:t xml:space="preserve"> students (</w:t>
      </w:r>
      <w:r w:rsidR="00393A2C" w:rsidRPr="002316F7">
        <w:rPr>
          <w:szCs w:val="20"/>
          <w:shd w:val="clear" w:color="auto" w:fill="FFFFFF" w:themeFill="background1"/>
        </w:rPr>
        <w:t>76.8–79.6</w:t>
      </w:r>
      <w:r w:rsidR="008C752D" w:rsidRPr="002316F7">
        <w:rPr>
          <w:szCs w:val="20"/>
          <w:shd w:val="clear" w:color="auto" w:fill="FFFFFF" w:themeFill="background1"/>
        </w:rPr>
        <w:t xml:space="preserve"> </w:t>
      </w:r>
      <w:r w:rsidRPr="002316F7">
        <w:rPr>
          <w:szCs w:val="20"/>
          <w:shd w:val="clear" w:color="auto" w:fill="FFFFFF" w:themeFill="background1"/>
        </w:rPr>
        <w:t>per</w:t>
      </w:r>
      <w:r w:rsidRPr="00E116EB">
        <w:rPr>
          <w:szCs w:val="20"/>
        </w:rPr>
        <w:t xml:space="preserve"> cent) was significantly lower than for non</w:t>
      </w:r>
      <w:r w:rsidRPr="00E116EB">
        <w:rPr>
          <w:szCs w:val="20"/>
        </w:rPr>
        <w:noBreakHyphen/>
        <w:t xml:space="preserve">Indigenous students </w:t>
      </w:r>
      <w:r w:rsidRPr="002316F7">
        <w:rPr>
          <w:szCs w:val="20"/>
          <w:shd w:val="clear" w:color="auto" w:fill="FFFFFF" w:themeFill="background1"/>
        </w:rPr>
        <w:t>(</w:t>
      </w:r>
      <w:r w:rsidR="00393A2C" w:rsidRPr="002316F7">
        <w:rPr>
          <w:szCs w:val="20"/>
          <w:shd w:val="clear" w:color="auto" w:fill="FFFFFF" w:themeFill="background1"/>
        </w:rPr>
        <w:t>95.5–95.9</w:t>
      </w:r>
      <w:r w:rsidR="008C752D" w:rsidRPr="00E116EB">
        <w:rPr>
          <w:szCs w:val="20"/>
        </w:rPr>
        <w:t xml:space="preserve"> </w:t>
      </w:r>
      <w:r w:rsidRPr="00E116EB">
        <w:rPr>
          <w:szCs w:val="20"/>
        </w:rPr>
        <w:t>per cent) (figure 4.</w:t>
      </w:r>
      <w:r w:rsidR="00A37418">
        <w:rPr>
          <w:szCs w:val="20"/>
        </w:rPr>
        <w:t>2</w:t>
      </w:r>
      <w:r w:rsidR="00FF2AB3">
        <w:rPr>
          <w:szCs w:val="20"/>
        </w:rPr>
        <w:t>9</w:t>
      </w:r>
      <w:r w:rsidRPr="00E116EB">
        <w:rPr>
          <w:szCs w:val="20"/>
        </w:rPr>
        <w:t>). These proportions varied across jurisdictions.</w:t>
      </w:r>
    </w:p>
    <w:p w:rsidR="00A7175E" w:rsidRDefault="00A7175E" w:rsidP="00B945F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7175E" w:rsidTr="00B945FF">
        <w:tc>
          <w:tcPr>
            <w:tcW w:w="8771" w:type="dxa"/>
            <w:tcBorders>
              <w:top w:val="single" w:sz="6" w:space="0" w:color="78A22F"/>
              <w:left w:val="nil"/>
              <w:bottom w:val="nil"/>
              <w:right w:val="nil"/>
            </w:tcBorders>
            <w:shd w:val="clear" w:color="auto" w:fill="auto"/>
          </w:tcPr>
          <w:p w:rsidR="00A7175E" w:rsidRPr="00176D3F" w:rsidRDefault="00A7175E" w:rsidP="00A7175E">
            <w:pPr>
              <w:pStyle w:val="FigureTitle"/>
            </w:pPr>
            <w:r w:rsidRPr="00784A05">
              <w:rPr>
                <w:b w:val="0"/>
              </w:rPr>
              <w:t xml:space="preserve">Figure </w:t>
            </w:r>
            <w:r>
              <w:rPr>
                <w:b w:val="0"/>
              </w:rPr>
              <w:t>4.29</w:t>
            </w:r>
            <w:r>
              <w:tab/>
            </w:r>
            <w:r w:rsidRPr="00A7175E">
              <w:t>Proportion of year 3 students achieving at or above the numeracy national minimum standard, 2014</w:t>
            </w:r>
            <w:r w:rsidRPr="00A7175E">
              <w:rPr>
                <w:rStyle w:val="NoteLabel"/>
                <w:b/>
              </w:rPr>
              <w:t>a, b</w:t>
            </w:r>
          </w:p>
        </w:tc>
      </w:tr>
      <w:tr w:rsidR="00A7175E" w:rsidTr="00B945F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A7175E" w:rsidTr="00B945FF">
              <w:trPr>
                <w:jc w:val="center"/>
              </w:trPr>
              <w:tc>
                <w:tcPr>
                  <w:tcW w:w="5000" w:type="pct"/>
                  <w:tcBorders>
                    <w:top w:val="nil"/>
                    <w:bottom w:val="nil"/>
                  </w:tcBorders>
                </w:tcPr>
                <w:p w:rsidR="00A7175E" w:rsidRDefault="00547047" w:rsidP="00B945FF">
                  <w:pPr>
                    <w:pStyle w:val="Figure"/>
                    <w:spacing w:before="60" w:after="60"/>
                  </w:pPr>
                  <w:r>
                    <w:rPr>
                      <w:noProof/>
                    </w:rPr>
                    <w:drawing>
                      <wp:inline distT="0" distB="0" distL="0" distR="0">
                        <wp:extent cx="5391150" cy="2695575"/>
                        <wp:effectExtent l="0" t="0" r="0" b="9525"/>
                        <wp:docPr id="29" name="Picture 29" descr="Figure 4.29 Proportion of year 3 students achieving at or above the numeracy national minimum standard, 2014 &#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A7175E" w:rsidRDefault="00A7175E" w:rsidP="00B945FF">
            <w:pPr>
              <w:pStyle w:val="Figure"/>
            </w:pPr>
          </w:p>
        </w:tc>
      </w:tr>
      <w:tr w:rsidR="00A7175E" w:rsidRPr="00176D3F" w:rsidTr="00B945FF">
        <w:tc>
          <w:tcPr>
            <w:tcW w:w="8771" w:type="dxa"/>
            <w:tcBorders>
              <w:top w:val="nil"/>
              <w:left w:val="nil"/>
              <w:bottom w:val="nil"/>
              <w:right w:val="nil"/>
            </w:tcBorders>
            <w:shd w:val="clear" w:color="auto" w:fill="auto"/>
          </w:tcPr>
          <w:p w:rsidR="00A7175E" w:rsidRPr="00176D3F" w:rsidRDefault="00A7175E" w:rsidP="00B945FF">
            <w:pPr>
              <w:pStyle w:val="Note"/>
            </w:pPr>
            <w:r>
              <w:rPr>
                <w:rStyle w:val="NoteLabel"/>
              </w:rPr>
              <w:t>a</w:t>
            </w:r>
            <w:r>
              <w:t xml:space="preserve"> </w:t>
            </w:r>
            <w:r w:rsidRPr="00E66784">
              <w:t xml:space="preserve">Error bars represent the 95 per cent confidence interval associated with each point estimate. </w:t>
            </w:r>
            <w:r w:rsidRPr="00820CF9">
              <w:rPr>
                <w:rStyle w:val="NoteLabel"/>
              </w:rPr>
              <w:t>b</w:t>
            </w:r>
            <w:r w:rsidRPr="00E66784">
              <w:t> For further information and caveats see table 4A.</w:t>
            </w:r>
            <w:r>
              <w:t>108</w:t>
            </w:r>
            <w:r w:rsidRPr="00E66784">
              <w:t>.</w:t>
            </w:r>
          </w:p>
        </w:tc>
      </w:tr>
      <w:tr w:rsidR="00A7175E" w:rsidRPr="00176D3F" w:rsidTr="00B945FF">
        <w:tc>
          <w:tcPr>
            <w:tcW w:w="8771" w:type="dxa"/>
            <w:tcBorders>
              <w:top w:val="nil"/>
              <w:left w:val="nil"/>
              <w:bottom w:val="nil"/>
              <w:right w:val="nil"/>
            </w:tcBorders>
            <w:shd w:val="clear" w:color="auto" w:fill="auto"/>
          </w:tcPr>
          <w:p w:rsidR="00A7175E" w:rsidRPr="00176D3F" w:rsidRDefault="00A7175E" w:rsidP="00B945FF">
            <w:pPr>
              <w:pStyle w:val="Source"/>
            </w:pPr>
            <w:r>
              <w:rPr>
                <w:i/>
              </w:rPr>
              <w:t>S</w:t>
            </w:r>
            <w:r w:rsidRPr="00784A05">
              <w:rPr>
                <w:i/>
              </w:rPr>
              <w:t>ource</w:t>
            </w:r>
            <w:r w:rsidRPr="00176D3F">
              <w:t xml:space="preserve">: </w:t>
            </w:r>
            <w:r w:rsidRPr="00E66784">
              <w:t>ACARA (201</w:t>
            </w:r>
            <w:r>
              <w:t>4</w:t>
            </w:r>
            <w:r w:rsidRPr="00E66784">
              <w:t xml:space="preserve"> and unpublished) </w:t>
            </w:r>
            <w:r w:rsidRPr="00E66784">
              <w:rPr>
                <w:i/>
              </w:rPr>
              <w:t>NAPLAN Achievement in Reading, Writing, Language Conventions and Numeracy: National Report for 201</w:t>
            </w:r>
            <w:r>
              <w:rPr>
                <w:i/>
              </w:rPr>
              <w:t>4</w:t>
            </w:r>
            <w:r w:rsidRPr="00E66784">
              <w:t>; table 4A.</w:t>
            </w:r>
            <w:r>
              <w:t>108.</w:t>
            </w:r>
          </w:p>
        </w:tc>
      </w:tr>
      <w:tr w:rsidR="00A7175E" w:rsidTr="00B945FF">
        <w:tc>
          <w:tcPr>
            <w:tcW w:w="8771" w:type="dxa"/>
            <w:tcBorders>
              <w:top w:val="nil"/>
              <w:left w:val="nil"/>
              <w:bottom w:val="single" w:sz="6" w:space="0" w:color="78A22F"/>
              <w:right w:val="nil"/>
            </w:tcBorders>
            <w:shd w:val="clear" w:color="auto" w:fill="auto"/>
          </w:tcPr>
          <w:p w:rsidR="00A7175E" w:rsidRDefault="00A7175E" w:rsidP="00B945FF">
            <w:pPr>
              <w:pStyle w:val="Figurespace"/>
            </w:pPr>
          </w:p>
        </w:tc>
      </w:tr>
      <w:tr w:rsidR="00A7175E" w:rsidRPr="000863A5" w:rsidTr="00B945FF">
        <w:tc>
          <w:tcPr>
            <w:tcW w:w="8771" w:type="dxa"/>
            <w:tcBorders>
              <w:top w:val="single" w:sz="6" w:space="0" w:color="78A22F"/>
              <w:left w:val="nil"/>
              <w:bottom w:val="nil"/>
              <w:right w:val="nil"/>
            </w:tcBorders>
          </w:tcPr>
          <w:p w:rsidR="00A7175E" w:rsidRPr="00626D32" w:rsidRDefault="00A7175E" w:rsidP="00B945FF">
            <w:pPr>
              <w:pStyle w:val="BoxSpaceBelow"/>
            </w:pPr>
          </w:p>
        </w:tc>
      </w:tr>
    </w:tbl>
    <w:p w:rsidR="008C752D" w:rsidRPr="0089766B" w:rsidRDefault="008C752D" w:rsidP="008C752D">
      <w:pPr>
        <w:pStyle w:val="BodyText"/>
      </w:pPr>
      <w:r w:rsidRPr="0089766B">
        <w:t xml:space="preserve">Statistical significance of differences across states and territories between proportions of year </w:t>
      </w:r>
      <w:r>
        <w:t>3</w:t>
      </w:r>
      <w:r w:rsidRPr="0089766B">
        <w:t xml:space="preserve"> students who achieved at or above the national minimum standard for </w:t>
      </w:r>
      <w:r>
        <w:t>numeracy</w:t>
      </w:r>
      <w:r w:rsidRPr="0089766B">
        <w:t xml:space="preserve"> in 2014 are provided in table 4A.</w:t>
      </w:r>
      <w:r w:rsidR="001521BB">
        <w:t>108</w:t>
      </w:r>
      <w:r w:rsidRPr="0089766B">
        <w:t>.</w:t>
      </w:r>
    </w:p>
    <w:p w:rsidR="008C752D" w:rsidRPr="0089766B" w:rsidRDefault="008C752D" w:rsidP="00C27408">
      <w:pPr>
        <w:pStyle w:val="BodyText"/>
      </w:pPr>
      <w:r w:rsidRPr="0089766B">
        <w:lastRenderedPageBreak/>
        <w:t xml:space="preserve">The mean scale score for year </w:t>
      </w:r>
      <w:r>
        <w:t>3</w:t>
      </w:r>
      <w:r w:rsidRPr="0089766B">
        <w:t xml:space="preserve"> </w:t>
      </w:r>
      <w:r>
        <w:t>numeracy</w:t>
      </w:r>
      <w:r w:rsidRPr="0089766B">
        <w:t xml:space="preserve"> in 2014 for all students was </w:t>
      </w:r>
      <w:r w:rsidR="00A90148" w:rsidRPr="00C27408">
        <w:rPr>
          <w:shd w:val="clear" w:color="auto" w:fill="FFFFFF" w:themeFill="background1"/>
        </w:rPr>
        <w:t>400.8–402.8</w:t>
      </w:r>
      <w:r w:rsidRPr="0089766B">
        <w:t xml:space="preserve"> nationally. The mean scale score for Aboriginal and Torres S</w:t>
      </w:r>
      <w:r w:rsidRPr="00C27408">
        <w:rPr>
          <w:shd w:val="clear" w:color="auto" w:fill="FFFFFF" w:themeFill="background1"/>
        </w:rPr>
        <w:t>t</w:t>
      </w:r>
      <w:r w:rsidRPr="0089766B">
        <w:t xml:space="preserve">rait Islander students </w:t>
      </w:r>
      <w:r w:rsidR="00B6284D">
        <w:br/>
      </w:r>
      <w:r w:rsidRPr="0089766B">
        <w:t>(</w:t>
      </w:r>
      <w:r w:rsidR="00A90148" w:rsidRPr="00C27408">
        <w:rPr>
          <w:shd w:val="clear" w:color="auto" w:fill="FFFFFF" w:themeFill="background1"/>
        </w:rPr>
        <w:t>328.6</w:t>
      </w:r>
      <w:r w:rsidR="00B6284D" w:rsidRPr="00C27408">
        <w:rPr>
          <w:shd w:val="clear" w:color="auto" w:fill="FFFFFF" w:themeFill="background1"/>
        </w:rPr>
        <w:t>–334.</w:t>
      </w:r>
      <w:r w:rsidR="00A90148" w:rsidRPr="00C27408">
        <w:rPr>
          <w:shd w:val="clear" w:color="auto" w:fill="FFFFFF" w:themeFill="background1"/>
        </w:rPr>
        <w:t>4</w:t>
      </w:r>
      <w:r w:rsidRPr="00C27408">
        <w:rPr>
          <w:shd w:val="clear" w:color="auto" w:fill="FFFFFF" w:themeFill="background1"/>
        </w:rPr>
        <w:t>)</w:t>
      </w:r>
      <w:r w:rsidRPr="0089766B">
        <w:t xml:space="preserve"> was significantly lower than for non-Indigenous students (</w:t>
      </w:r>
      <w:r w:rsidR="00A90148" w:rsidRPr="00C27408">
        <w:rPr>
          <w:shd w:val="clear" w:color="auto" w:fill="FFFFFF" w:themeFill="background1"/>
        </w:rPr>
        <w:t>405.0</w:t>
      </w:r>
      <w:r w:rsidR="00B6284D" w:rsidRPr="00C27408">
        <w:rPr>
          <w:shd w:val="clear" w:color="auto" w:fill="FFFFFF" w:themeFill="background1"/>
        </w:rPr>
        <w:t>–</w:t>
      </w:r>
      <w:r w:rsidR="00A90148" w:rsidRPr="00C27408">
        <w:rPr>
          <w:shd w:val="clear" w:color="auto" w:fill="FFFFFF" w:themeFill="background1"/>
        </w:rPr>
        <w:t>406.8</w:t>
      </w:r>
      <w:r w:rsidRPr="00C27408">
        <w:rPr>
          <w:shd w:val="clear" w:color="auto" w:fill="FFFFFF" w:themeFill="background1"/>
        </w:rPr>
        <w:t>).</w:t>
      </w:r>
      <w:r w:rsidRPr="0089766B">
        <w:t xml:space="preserve"> Mean scale scores varied across jurisdictions (table 4A.</w:t>
      </w:r>
      <w:r w:rsidR="001521BB">
        <w:t>111</w:t>
      </w:r>
      <w:r w:rsidRPr="0089766B">
        <w:t>).</w:t>
      </w:r>
    </w:p>
    <w:p w:rsidR="008C752D" w:rsidRDefault="008C752D" w:rsidP="008C752D">
      <w:pPr>
        <w:pStyle w:val="BodyText"/>
      </w:pPr>
      <w:r w:rsidRPr="0089766B">
        <w:t>Table 4.</w:t>
      </w:r>
      <w:r w:rsidR="00A37418">
        <w:t>13</w:t>
      </w:r>
      <w:r w:rsidRPr="0089766B">
        <w:t xml:space="preserve"> identifies statistical significance of differences between mean scale scores for year </w:t>
      </w:r>
      <w:r>
        <w:t>3</w:t>
      </w:r>
      <w:r w:rsidRPr="0089766B">
        <w:t xml:space="preserve"> </w:t>
      </w:r>
      <w:r>
        <w:t>numeracy</w:t>
      </w:r>
      <w:r w:rsidRPr="0089766B">
        <w:t xml:space="preserve"> outcomes across states and territories in 2014. </w:t>
      </w:r>
    </w:p>
    <w:p w:rsidR="006F2A4E" w:rsidRDefault="006F2A4E" w:rsidP="006F2A4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gridCol w:w="138"/>
      </w:tblGrid>
      <w:tr w:rsidR="006F2A4E" w:rsidTr="00A97042">
        <w:tc>
          <w:tcPr>
            <w:tcW w:w="8909" w:type="dxa"/>
            <w:gridSpan w:val="2"/>
            <w:tcBorders>
              <w:top w:val="single" w:sz="6" w:space="0" w:color="78A22F"/>
              <w:left w:val="nil"/>
              <w:bottom w:val="nil"/>
              <w:right w:val="nil"/>
            </w:tcBorders>
            <w:shd w:val="clear" w:color="auto" w:fill="auto"/>
          </w:tcPr>
          <w:p w:rsidR="006F2A4E" w:rsidRPr="00784A05" w:rsidRDefault="006F2A4E" w:rsidP="006F2A4E">
            <w:pPr>
              <w:pStyle w:val="TableTitle"/>
            </w:pPr>
            <w:r>
              <w:rPr>
                <w:b w:val="0"/>
              </w:rPr>
              <w:t>Table 4.</w:t>
            </w:r>
            <w:r w:rsidR="005953B6">
              <w:rPr>
                <w:b w:val="0"/>
                <w:noProof/>
              </w:rPr>
              <w:t>13</w:t>
            </w:r>
            <w:r>
              <w:tab/>
            </w:r>
            <w:r w:rsidRPr="006F2A4E">
              <w:t xml:space="preserve">Significance of differences for year 3 students, mean scale scores, </w:t>
            </w:r>
            <w:r>
              <w:t>numeracy</w:t>
            </w:r>
            <w:r w:rsidRPr="006F2A4E">
              <w:t>, 2014</w:t>
            </w:r>
            <w:r w:rsidRPr="006F2A4E">
              <w:rPr>
                <w:rStyle w:val="NoteLabel"/>
                <w:b/>
              </w:rPr>
              <w:t>a</w:t>
            </w:r>
          </w:p>
        </w:tc>
      </w:tr>
      <w:tr w:rsidR="001552DE" w:rsidTr="00C27408">
        <w:trPr>
          <w:gridAfter w:val="1"/>
          <w:wAfter w:w="138" w:type="dxa"/>
          <w:cantSplit/>
        </w:trPr>
        <w:tc>
          <w:tcPr>
            <w:tcW w:w="8771" w:type="dxa"/>
            <w:tcBorders>
              <w:top w:val="nil"/>
              <w:left w:val="nil"/>
              <w:bottom w:val="nil"/>
              <w:right w:val="nil"/>
            </w:tcBorders>
            <w:shd w:val="clear" w:color="auto" w:fill="FFFFFF" w:themeFill="background1"/>
          </w:tcPr>
          <w:tbl>
            <w:tblPr>
              <w:tblW w:w="8477" w:type="dxa"/>
              <w:tblInd w:w="10" w:type="dxa"/>
              <w:tblCellMar>
                <w:left w:w="0" w:type="dxa"/>
                <w:right w:w="0" w:type="dxa"/>
              </w:tblCellMar>
              <w:tblLook w:val="0000" w:firstRow="0" w:lastRow="0" w:firstColumn="0" w:lastColumn="0" w:noHBand="0" w:noVBand="0"/>
            </w:tblPr>
            <w:tblGrid>
              <w:gridCol w:w="865"/>
              <w:gridCol w:w="710"/>
              <w:gridCol w:w="766"/>
              <w:gridCol w:w="767"/>
              <w:gridCol w:w="767"/>
              <w:gridCol w:w="767"/>
              <w:gridCol w:w="767"/>
              <w:gridCol w:w="767"/>
              <w:gridCol w:w="767"/>
              <w:gridCol w:w="767"/>
              <w:gridCol w:w="767"/>
            </w:tblGrid>
            <w:tr w:rsidR="001552DE" w:rsidRPr="0034666A" w:rsidTr="005C0D49">
              <w:tc>
                <w:tcPr>
                  <w:tcW w:w="865" w:type="dxa"/>
                  <w:tcBorders>
                    <w:top w:val="single" w:sz="6" w:space="0" w:color="auto"/>
                  </w:tcBorders>
                  <w:shd w:val="clear" w:color="auto" w:fill="auto"/>
                </w:tcPr>
                <w:p w:rsidR="001552DE" w:rsidRPr="004708E3" w:rsidRDefault="001552DE" w:rsidP="005C0D49">
                  <w:pPr>
                    <w:keepNext/>
                    <w:keepLines/>
                    <w:spacing w:before="80" w:after="80" w:line="220" w:lineRule="atLeast"/>
                    <w:ind w:left="6" w:right="113"/>
                    <w:rPr>
                      <w:rFonts w:ascii="Arial" w:hAnsi="Arial"/>
                      <w:i/>
                      <w:sz w:val="20"/>
                      <w:szCs w:val="20"/>
                    </w:rPr>
                  </w:pPr>
                </w:p>
              </w:tc>
              <w:tc>
                <w:tcPr>
                  <w:tcW w:w="710" w:type="dxa"/>
                  <w:tcBorders>
                    <w:top w:val="single" w:sz="6" w:space="0" w:color="auto"/>
                  </w:tcBorders>
                </w:tcPr>
                <w:p w:rsidR="001552DE" w:rsidRPr="0034666A" w:rsidRDefault="001552DE" w:rsidP="005C0D49">
                  <w:pPr>
                    <w:keepNext/>
                    <w:keepLines/>
                    <w:spacing w:before="80" w:after="80" w:line="220" w:lineRule="atLeast"/>
                    <w:ind w:left="6" w:right="113"/>
                    <w:jc w:val="right"/>
                    <w:rPr>
                      <w:rFonts w:ascii="Arial" w:hAnsi="Arial"/>
                      <w:i/>
                      <w:sz w:val="20"/>
                      <w:szCs w:val="20"/>
                    </w:rPr>
                  </w:pPr>
                </w:p>
              </w:tc>
              <w:tc>
                <w:tcPr>
                  <w:tcW w:w="6902" w:type="dxa"/>
                  <w:gridSpan w:val="9"/>
                  <w:tcBorders>
                    <w:top w:val="single" w:sz="6" w:space="0" w:color="auto"/>
                  </w:tcBorders>
                  <w:shd w:val="clear" w:color="auto" w:fill="auto"/>
                  <w:vAlign w:val="center"/>
                </w:tcPr>
                <w:p w:rsidR="001552DE" w:rsidRPr="0034666A" w:rsidRDefault="001552DE" w:rsidP="005C0D49">
                  <w:pPr>
                    <w:pStyle w:val="TableColumnHeading"/>
                    <w:jc w:val="center"/>
                  </w:pPr>
                  <w:r w:rsidRPr="001552DE">
                    <w:t>Comparison jurisdiction</w:t>
                  </w:r>
                </w:p>
              </w:tc>
            </w:tr>
            <w:tr w:rsidR="001552DE" w:rsidRPr="0034666A" w:rsidTr="005C0D49">
              <w:tc>
                <w:tcPr>
                  <w:tcW w:w="865" w:type="dxa"/>
                  <w:tcBorders>
                    <w:bottom w:val="single" w:sz="4" w:space="0" w:color="auto"/>
                  </w:tcBorders>
                  <w:shd w:val="clear" w:color="auto" w:fill="auto"/>
                </w:tcPr>
                <w:p w:rsidR="001552DE" w:rsidRPr="004708E3" w:rsidRDefault="001552DE" w:rsidP="005C0D49">
                  <w:pPr>
                    <w:keepNext/>
                    <w:keepLines/>
                    <w:spacing w:before="80" w:after="80" w:line="220" w:lineRule="atLeast"/>
                    <w:ind w:left="6" w:right="113"/>
                    <w:rPr>
                      <w:rFonts w:ascii="Arial" w:hAnsi="Arial"/>
                      <w:i/>
                      <w:sz w:val="20"/>
                      <w:szCs w:val="20"/>
                    </w:rPr>
                  </w:pPr>
                </w:p>
              </w:tc>
              <w:tc>
                <w:tcPr>
                  <w:tcW w:w="710" w:type="dxa"/>
                  <w:tcBorders>
                    <w:bottom w:val="single" w:sz="4" w:space="0" w:color="auto"/>
                  </w:tcBorders>
                </w:tcPr>
                <w:p w:rsidR="001552DE" w:rsidRPr="0034666A" w:rsidRDefault="001552DE" w:rsidP="005C0D49">
                  <w:pPr>
                    <w:keepNext/>
                    <w:keepLines/>
                    <w:spacing w:before="80" w:after="80" w:line="220" w:lineRule="atLeast"/>
                    <w:ind w:left="6" w:right="113"/>
                    <w:jc w:val="right"/>
                    <w:rPr>
                      <w:rFonts w:ascii="Arial" w:hAnsi="Arial"/>
                      <w:i/>
                      <w:sz w:val="20"/>
                      <w:szCs w:val="20"/>
                    </w:rPr>
                  </w:pPr>
                </w:p>
              </w:tc>
              <w:tc>
                <w:tcPr>
                  <w:tcW w:w="766" w:type="dxa"/>
                  <w:tcBorders>
                    <w:bottom w:val="single" w:sz="4" w:space="0" w:color="auto"/>
                  </w:tcBorders>
                  <w:shd w:val="clear" w:color="auto" w:fill="auto"/>
                </w:tcPr>
                <w:p w:rsidR="001552DE" w:rsidRPr="0034666A" w:rsidRDefault="001552DE" w:rsidP="005C0D49">
                  <w:pPr>
                    <w:pStyle w:val="TableColumnHeading"/>
                  </w:pPr>
                  <w:r w:rsidRPr="0034666A">
                    <w:t>NSW</w:t>
                  </w:r>
                </w:p>
              </w:tc>
              <w:tc>
                <w:tcPr>
                  <w:tcW w:w="767" w:type="dxa"/>
                  <w:tcBorders>
                    <w:bottom w:val="single" w:sz="4" w:space="0" w:color="auto"/>
                  </w:tcBorders>
                  <w:shd w:val="clear" w:color="auto" w:fill="auto"/>
                </w:tcPr>
                <w:p w:rsidR="001552DE" w:rsidRPr="0034666A" w:rsidRDefault="001552DE" w:rsidP="005C0D49">
                  <w:pPr>
                    <w:pStyle w:val="TableColumnHeading"/>
                  </w:pPr>
                  <w:r w:rsidRPr="0034666A">
                    <w:t>Vic</w:t>
                  </w:r>
                </w:p>
              </w:tc>
              <w:tc>
                <w:tcPr>
                  <w:tcW w:w="767" w:type="dxa"/>
                  <w:tcBorders>
                    <w:bottom w:val="single" w:sz="4" w:space="0" w:color="auto"/>
                  </w:tcBorders>
                  <w:shd w:val="clear" w:color="auto" w:fill="auto"/>
                </w:tcPr>
                <w:p w:rsidR="001552DE" w:rsidRPr="0034666A" w:rsidRDefault="001552DE" w:rsidP="005C0D49">
                  <w:pPr>
                    <w:pStyle w:val="TableColumnHeading"/>
                  </w:pPr>
                  <w:r w:rsidRPr="0034666A">
                    <w:t>Qld</w:t>
                  </w:r>
                </w:p>
              </w:tc>
              <w:tc>
                <w:tcPr>
                  <w:tcW w:w="767" w:type="dxa"/>
                  <w:tcBorders>
                    <w:bottom w:val="single" w:sz="4" w:space="0" w:color="auto"/>
                  </w:tcBorders>
                  <w:shd w:val="clear" w:color="auto" w:fill="auto"/>
                </w:tcPr>
                <w:p w:rsidR="001552DE" w:rsidRPr="0034666A" w:rsidRDefault="001552DE" w:rsidP="005C0D49">
                  <w:pPr>
                    <w:pStyle w:val="TableColumnHeading"/>
                  </w:pPr>
                  <w:r w:rsidRPr="0034666A">
                    <w:t>WA</w:t>
                  </w:r>
                </w:p>
              </w:tc>
              <w:tc>
                <w:tcPr>
                  <w:tcW w:w="767" w:type="dxa"/>
                  <w:tcBorders>
                    <w:bottom w:val="single" w:sz="4" w:space="0" w:color="auto"/>
                  </w:tcBorders>
                  <w:shd w:val="clear" w:color="auto" w:fill="auto"/>
                </w:tcPr>
                <w:p w:rsidR="001552DE" w:rsidRPr="0034666A" w:rsidRDefault="001552DE" w:rsidP="005C0D49">
                  <w:pPr>
                    <w:pStyle w:val="TableColumnHeading"/>
                  </w:pPr>
                  <w:r w:rsidRPr="0034666A">
                    <w:t>SA</w:t>
                  </w:r>
                </w:p>
              </w:tc>
              <w:tc>
                <w:tcPr>
                  <w:tcW w:w="767" w:type="dxa"/>
                  <w:tcBorders>
                    <w:bottom w:val="single" w:sz="4" w:space="0" w:color="auto"/>
                  </w:tcBorders>
                  <w:shd w:val="clear" w:color="auto" w:fill="auto"/>
                </w:tcPr>
                <w:p w:rsidR="001552DE" w:rsidRPr="0034666A" w:rsidRDefault="001552DE" w:rsidP="005C0D49">
                  <w:pPr>
                    <w:pStyle w:val="TableColumnHeading"/>
                  </w:pPr>
                  <w:r w:rsidRPr="0034666A">
                    <w:t>Tas</w:t>
                  </w:r>
                </w:p>
              </w:tc>
              <w:tc>
                <w:tcPr>
                  <w:tcW w:w="767" w:type="dxa"/>
                  <w:tcBorders>
                    <w:bottom w:val="single" w:sz="4" w:space="0" w:color="auto"/>
                  </w:tcBorders>
                  <w:shd w:val="clear" w:color="auto" w:fill="auto"/>
                </w:tcPr>
                <w:p w:rsidR="001552DE" w:rsidRPr="0034666A" w:rsidRDefault="001552DE" w:rsidP="005C0D49">
                  <w:pPr>
                    <w:pStyle w:val="TableColumnHeading"/>
                  </w:pPr>
                  <w:r w:rsidRPr="0034666A">
                    <w:t>ACT</w:t>
                  </w:r>
                </w:p>
              </w:tc>
              <w:tc>
                <w:tcPr>
                  <w:tcW w:w="767" w:type="dxa"/>
                  <w:tcBorders>
                    <w:bottom w:val="single" w:sz="4" w:space="0" w:color="auto"/>
                  </w:tcBorders>
                  <w:shd w:val="clear" w:color="auto" w:fill="auto"/>
                </w:tcPr>
                <w:p w:rsidR="001552DE" w:rsidRPr="0034666A" w:rsidRDefault="001552DE" w:rsidP="005C0D49">
                  <w:pPr>
                    <w:pStyle w:val="TableColumnHeading"/>
                  </w:pPr>
                  <w:r w:rsidRPr="0034666A">
                    <w:t>NT</w:t>
                  </w:r>
                </w:p>
              </w:tc>
              <w:tc>
                <w:tcPr>
                  <w:tcW w:w="767" w:type="dxa"/>
                  <w:tcBorders>
                    <w:bottom w:val="single" w:sz="4" w:space="0" w:color="auto"/>
                  </w:tcBorders>
                  <w:shd w:val="clear" w:color="auto" w:fill="auto"/>
                </w:tcPr>
                <w:p w:rsidR="001552DE" w:rsidRPr="0034666A" w:rsidRDefault="001552DE" w:rsidP="005C0D49">
                  <w:pPr>
                    <w:pStyle w:val="TableColumnHeading"/>
                  </w:pPr>
                  <w:r w:rsidRPr="0034666A">
                    <w:t>Aust</w:t>
                  </w:r>
                </w:p>
              </w:tc>
            </w:tr>
            <w:tr w:rsidR="00902B56" w:rsidRPr="0034666A" w:rsidTr="0081630C">
              <w:tc>
                <w:tcPr>
                  <w:tcW w:w="865" w:type="dxa"/>
                  <w:tcBorders>
                    <w:top w:val="dotted" w:sz="4" w:space="0" w:color="auto"/>
                    <w:left w:val="dotted" w:sz="4" w:space="0" w:color="auto"/>
                    <w:bottom w:val="dotted" w:sz="4" w:space="0" w:color="auto"/>
                    <w:right w:val="dotted" w:sz="4" w:space="0" w:color="auto"/>
                  </w:tcBorders>
                  <w:shd w:val="clear" w:color="auto" w:fill="auto"/>
                </w:tcPr>
                <w:p w:rsidR="00902B56" w:rsidRPr="0034666A" w:rsidRDefault="00902B56" w:rsidP="005C0D49">
                  <w:pPr>
                    <w:pStyle w:val="TableUnitsRow"/>
                  </w:pP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tcPr>
                <w:p w:rsidR="00902B56" w:rsidRDefault="00902B56" w:rsidP="005C0D49">
                  <w:pPr>
                    <w:pStyle w:val="TableUnitsRow"/>
                  </w:pP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02B56" w:rsidRPr="008C7BAA" w:rsidRDefault="00902B56" w:rsidP="008C7BAA">
                  <w:pPr>
                    <w:pStyle w:val="TableBodyText"/>
                  </w:pPr>
                  <w:r w:rsidRPr="008C7BAA">
                    <w:t xml:space="preserve">407.3 </w:t>
                  </w:r>
                  <w:r w:rsidR="00C32E47">
                    <w:br/>
                  </w:r>
                  <w:r w:rsidRPr="008C7BAA">
                    <w:t>± 1.8</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02B56" w:rsidRPr="008C7BAA" w:rsidRDefault="00902B56" w:rsidP="00C32E47">
                  <w:pPr>
                    <w:pStyle w:val="TableBodyText"/>
                  </w:pPr>
                  <w:r w:rsidRPr="008C7BAA">
                    <w:t>413.9</w:t>
                  </w:r>
                  <w:r w:rsidR="00C32E47">
                    <w:br/>
                  </w:r>
                  <w:r w:rsidRPr="008C7BAA">
                    <w:t>± 1.7</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02B56" w:rsidRPr="008C7BAA" w:rsidRDefault="00902B56" w:rsidP="008C7BAA">
                  <w:pPr>
                    <w:pStyle w:val="TableBodyText"/>
                  </w:pPr>
                  <w:r w:rsidRPr="008C7BAA">
                    <w:t xml:space="preserve">393.4 </w:t>
                  </w:r>
                  <w:r w:rsidR="00C32E47">
                    <w:br/>
                  </w:r>
                  <w:r w:rsidRPr="008C7BAA">
                    <w:t>± 2.1</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02B56" w:rsidRPr="008C7BAA" w:rsidRDefault="00902B56" w:rsidP="008C7BAA">
                  <w:pPr>
                    <w:pStyle w:val="TableBodyText"/>
                  </w:pPr>
                  <w:r w:rsidRPr="008C7BAA">
                    <w:t xml:space="preserve">392.5 </w:t>
                  </w:r>
                  <w:r w:rsidR="00C32E47">
                    <w:br/>
                  </w:r>
                  <w:r w:rsidRPr="008C7BAA">
                    <w:t>± 2.8</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02B56" w:rsidRPr="008C7BAA" w:rsidRDefault="00902B56" w:rsidP="008C7BAA">
                  <w:pPr>
                    <w:pStyle w:val="TableBodyText"/>
                  </w:pPr>
                  <w:r w:rsidRPr="008C7BAA">
                    <w:t xml:space="preserve">385.4 </w:t>
                  </w:r>
                  <w:r w:rsidR="00C32E47">
                    <w:br/>
                  </w:r>
                  <w:r w:rsidRPr="008C7BAA">
                    <w:t>± 3.0</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02B56" w:rsidRPr="008C7BAA" w:rsidRDefault="00902B56" w:rsidP="008C7BAA">
                  <w:pPr>
                    <w:pStyle w:val="TableBodyText"/>
                  </w:pPr>
                  <w:r w:rsidRPr="008C7BAA">
                    <w:t xml:space="preserve">396.3 </w:t>
                  </w:r>
                  <w:r w:rsidR="00C32E47">
                    <w:br/>
                  </w:r>
                  <w:r w:rsidRPr="008C7BAA">
                    <w:t>± 5.4</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02B56" w:rsidRPr="008C7BAA" w:rsidRDefault="00902B56" w:rsidP="008C7BAA">
                  <w:pPr>
                    <w:pStyle w:val="TableBodyText"/>
                  </w:pPr>
                  <w:r w:rsidRPr="008C7BAA">
                    <w:t>413.9</w:t>
                  </w:r>
                  <w:r w:rsidR="00C32E47">
                    <w:br/>
                  </w:r>
                  <w:r w:rsidRPr="008C7BAA">
                    <w:t xml:space="preserve"> ± 5.0</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02B56" w:rsidRPr="008C7BAA" w:rsidRDefault="00902B56" w:rsidP="008C7BAA">
                  <w:pPr>
                    <w:pStyle w:val="TableBodyText"/>
                  </w:pPr>
                  <w:r w:rsidRPr="008C7BAA">
                    <w:t xml:space="preserve">338.1 </w:t>
                  </w:r>
                  <w:r w:rsidR="00C32E47">
                    <w:br/>
                  </w:r>
                  <w:r w:rsidRPr="008C7BAA">
                    <w:t>± 15.5</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02B56" w:rsidRPr="008C7BAA" w:rsidRDefault="00902B56" w:rsidP="008C7BAA">
                  <w:pPr>
                    <w:pStyle w:val="TableBodyText"/>
                  </w:pPr>
                  <w:r w:rsidRPr="008C7BAA">
                    <w:t xml:space="preserve">401.8 </w:t>
                  </w:r>
                  <w:r w:rsidR="00C32E47">
                    <w:br/>
                  </w:r>
                  <w:r w:rsidRPr="008C7BAA">
                    <w:t>± 1.0</w:t>
                  </w:r>
                </w:p>
              </w:tc>
            </w:tr>
            <w:tr w:rsidR="008C7BAA" w:rsidRPr="0034666A" w:rsidTr="0081630C">
              <w:tc>
                <w:tcPr>
                  <w:tcW w:w="865" w:type="dxa"/>
                  <w:tcBorders>
                    <w:top w:val="dotted" w:sz="4" w:space="0" w:color="auto"/>
                    <w:left w:val="dotted" w:sz="4" w:space="0" w:color="auto"/>
                    <w:bottom w:val="dotted" w:sz="4" w:space="0" w:color="auto"/>
                    <w:right w:val="dotted" w:sz="4" w:space="0" w:color="auto"/>
                  </w:tcBorders>
                  <w:shd w:val="clear" w:color="auto" w:fill="auto"/>
                </w:tcPr>
                <w:p w:rsidR="008C7BAA" w:rsidRPr="001552DE" w:rsidRDefault="008C7BAA" w:rsidP="005C0D49">
                  <w:pPr>
                    <w:pStyle w:val="TableColumnHeading"/>
                  </w:pPr>
                  <w:r w:rsidRPr="001552DE">
                    <w:t>NSW</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8C7BAA" w:rsidRDefault="008C7BAA" w:rsidP="008C7BAA">
                  <w:pPr>
                    <w:pStyle w:val="TableBodyText"/>
                  </w:pPr>
                  <w:r>
                    <w:t>407.3 ± 1.8</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r>
            <w:tr w:rsidR="008C7BAA" w:rsidRPr="0034666A" w:rsidTr="0081630C">
              <w:tc>
                <w:tcPr>
                  <w:tcW w:w="865" w:type="dxa"/>
                  <w:tcBorders>
                    <w:top w:val="dotted" w:sz="4" w:space="0" w:color="auto"/>
                    <w:left w:val="dotted" w:sz="4" w:space="0" w:color="auto"/>
                    <w:bottom w:val="dotted" w:sz="4" w:space="0" w:color="auto"/>
                    <w:right w:val="dotted" w:sz="4" w:space="0" w:color="auto"/>
                  </w:tcBorders>
                  <w:shd w:val="clear" w:color="auto" w:fill="auto"/>
                </w:tcPr>
                <w:p w:rsidR="008C7BAA" w:rsidRPr="001552DE" w:rsidRDefault="008C7BAA" w:rsidP="005C0D49">
                  <w:pPr>
                    <w:pStyle w:val="TableColumnHeading"/>
                  </w:pPr>
                  <w:r w:rsidRPr="001552DE">
                    <w:t>Vic</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8C7BAA" w:rsidRDefault="008C7BAA" w:rsidP="008C7BAA">
                  <w:pPr>
                    <w:pStyle w:val="TableBodyText"/>
                  </w:pPr>
                  <w:r>
                    <w:t>413.9 ± 1.7</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r>
            <w:tr w:rsidR="008C7BAA" w:rsidRPr="0034666A" w:rsidTr="0081630C">
              <w:tc>
                <w:tcPr>
                  <w:tcW w:w="865" w:type="dxa"/>
                  <w:tcBorders>
                    <w:top w:val="dotted" w:sz="4" w:space="0" w:color="auto"/>
                    <w:left w:val="dotted" w:sz="4" w:space="0" w:color="auto"/>
                    <w:bottom w:val="dotted" w:sz="4" w:space="0" w:color="auto"/>
                    <w:right w:val="dotted" w:sz="4" w:space="0" w:color="auto"/>
                  </w:tcBorders>
                  <w:shd w:val="clear" w:color="auto" w:fill="auto"/>
                </w:tcPr>
                <w:p w:rsidR="008C7BAA" w:rsidRPr="001552DE" w:rsidRDefault="008C7BAA" w:rsidP="005C0D49">
                  <w:pPr>
                    <w:pStyle w:val="TableColumnHeading"/>
                  </w:pPr>
                  <w:r w:rsidRPr="001552DE">
                    <w:t>Qld</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8C7BAA" w:rsidRDefault="008C7BAA" w:rsidP="008C7BAA">
                  <w:pPr>
                    <w:pStyle w:val="TableBodyText"/>
                  </w:pPr>
                  <w:r>
                    <w:t>393.4 ± 2.1</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r>
            <w:tr w:rsidR="008C7BAA" w:rsidRPr="0034666A" w:rsidTr="0081630C">
              <w:tc>
                <w:tcPr>
                  <w:tcW w:w="865" w:type="dxa"/>
                  <w:tcBorders>
                    <w:top w:val="dotted" w:sz="4" w:space="0" w:color="auto"/>
                    <w:left w:val="dotted" w:sz="4" w:space="0" w:color="auto"/>
                    <w:bottom w:val="dotted" w:sz="4" w:space="0" w:color="auto"/>
                    <w:right w:val="dotted" w:sz="4" w:space="0" w:color="auto"/>
                  </w:tcBorders>
                  <w:shd w:val="clear" w:color="auto" w:fill="auto"/>
                </w:tcPr>
                <w:p w:rsidR="008C7BAA" w:rsidRPr="001552DE" w:rsidRDefault="008C7BAA" w:rsidP="005C0D49">
                  <w:pPr>
                    <w:pStyle w:val="TableColumnHeading"/>
                  </w:pPr>
                  <w:r w:rsidRPr="001552DE">
                    <w:t>WA</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8C7BAA" w:rsidRDefault="008C7BAA" w:rsidP="008C7BAA">
                  <w:pPr>
                    <w:pStyle w:val="TableBodyText"/>
                  </w:pPr>
                  <w:r>
                    <w:t>392.5 ± 2.8</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r>
            <w:tr w:rsidR="008C7BAA" w:rsidRPr="0034666A" w:rsidTr="0081630C">
              <w:tc>
                <w:tcPr>
                  <w:tcW w:w="865" w:type="dxa"/>
                  <w:tcBorders>
                    <w:top w:val="dotted" w:sz="4" w:space="0" w:color="auto"/>
                    <w:left w:val="dotted" w:sz="4" w:space="0" w:color="auto"/>
                    <w:bottom w:val="dotted" w:sz="4" w:space="0" w:color="auto"/>
                    <w:right w:val="dotted" w:sz="4" w:space="0" w:color="auto"/>
                  </w:tcBorders>
                  <w:shd w:val="clear" w:color="auto" w:fill="auto"/>
                </w:tcPr>
                <w:p w:rsidR="008C7BAA" w:rsidRPr="001552DE" w:rsidRDefault="008C7BAA" w:rsidP="005C0D49">
                  <w:pPr>
                    <w:pStyle w:val="TableColumnHeading"/>
                  </w:pPr>
                  <w:r w:rsidRPr="001552DE">
                    <w:t>SA</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8C7BAA" w:rsidRDefault="008C7BAA" w:rsidP="008C7BAA">
                  <w:pPr>
                    <w:pStyle w:val="TableBodyText"/>
                  </w:pPr>
                  <w:r>
                    <w:t>385.4 ± 3.0</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MS Gothic" w:eastAsia="MS Gothic" w:hAnsi="MS Gothic" w:cs="MS Gothic" w:hint="eastAsia"/>
                    </w:rPr>
                    <w:t>▽</w:t>
                  </w:r>
                </w:p>
              </w:tc>
            </w:tr>
            <w:tr w:rsidR="008C7BAA" w:rsidRPr="0034666A" w:rsidTr="0081630C">
              <w:tc>
                <w:tcPr>
                  <w:tcW w:w="865" w:type="dxa"/>
                  <w:tcBorders>
                    <w:top w:val="dotted" w:sz="4" w:space="0" w:color="auto"/>
                    <w:left w:val="dotted" w:sz="4" w:space="0" w:color="auto"/>
                    <w:bottom w:val="dotted" w:sz="4" w:space="0" w:color="auto"/>
                    <w:right w:val="dotted" w:sz="4" w:space="0" w:color="auto"/>
                  </w:tcBorders>
                  <w:shd w:val="clear" w:color="auto" w:fill="auto"/>
                </w:tcPr>
                <w:p w:rsidR="008C7BAA" w:rsidRPr="001552DE" w:rsidRDefault="008C7BAA" w:rsidP="005C0D49">
                  <w:pPr>
                    <w:pStyle w:val="TableColumnHeading"/>
                  </w:pPr>
                  <w:r w:rsidRPr="001552DE">
                    <w:t>Tas</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8C7BAA" w:rsidRDefault="008C7BAA" w:rsidP="008C7BAA">
                  <w:pPr>
                    <w:pStyle w:val="TableBodyText"/>
                  </w:pPr>
                  <w:r>
                    <w:t>396.3 ± 5.4</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r>
            <w:tr w:rsidR="008C7BAA" w:rsidRPr="0034666A" w:rsidTr="0081630C">
              <w:tc>
                <w:tcPr>
                  <w:tcW w:w="865" w:type="dxa"/>
                  <w:tcBorders>
                    <w:top w:val="dotted" w:sz="4" w:space="0" w:color="auto"/>
                    <w:left w:val="dotted" w:sz="4" w:space="0" w:color="auto"/>
                    <w:bottom w:val="dotted" w:sz="4" w:space="0" w:color="auto"/>
                    <w:right w:val="dotted" w:sz="4" w:space="0" w:color="auto"/>
                  </w:tcBorders>
                  <w:shd w:val="clear" w:color="auto" w:fill="auto"/>
                </w:tcPr>
                <w:p w:rsidR="008C7BAA" w:rsidRPr="001552DE" w:rsidRDefault="008C7BAA" w:rsidP="005C0D49">
                  <w:pPr>
                    <w:pStyle w:val="TableColumnHeading"/>
                  </w:pPr>
                  <w:r w:rsidRPr="001552DE">
                    <w:t>ACT</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8C7BAA" w:rsidRDefault="008C7BAA" w:rsidP="008C7BAA">
                  <w:pPr>
                    <w:pStyle w:val="TableBodyText"/>
                  </w:pPr>
                  <w:r>
                    <w:t>413.9 ± 5.0</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r>
            <w:tr w:rsidR="008C7BAA" w:rsidRPr="0034666A" w:rsidTr="0081630C">
              <w:tc>
                <w:tcPr>
                  <w:tcW w:w="865" w:type="dxa"/>
                  <w:tcBorders>
                    <w:top w:val="dotted" w:sz="4" w:space="0" w:color="auto"/>
                    <w:left w:val="dotted" w:sz="4" w:space="0" w:color="auto"/>
                    <w:bottom w:val="dotted" w:sz="4" w:space="0" w:color="auto"/>
                    <w:right w:val="dotted" w:sz="4" w:space="0" w:color="auto"/>
                  </w:tcBorders>
                  <w:shd w:val="clear" w:color="auto" w:fill="auto"/>
                </w:tcPr>
                <w:p w:rsidR="008C7BAA" w:rsidRPr="001552DE" w:rsidRDefault="008C7BAA" w:rsidP="005C0D49">
                  <w:pPr>
                    <w:pStyle w:val="TableColumnHeading"/>
                  </w:pPr>
                  <w:r w:rsidRPr="001552DE">
                    <w:t>NT</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8C7BAA" w:rsidRDefault="008C7BAA" w:rsidP="008C7BAA">
                  <w:pPr>
                    <w:pStyle w:val="TableBodyText"/>
                  </w:pPr>
                  <w:r>
                    <w:t>338.1 ± 15.5</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r>
            <w:tr w:rsidR="008C7BAA" w:rsidRPr="00895A13" w:rsidTr="0081630C">
              <w:tc>
                <w:tcPr>
                  <w:tcW w:w="865" w:type="dxa"/>
                  <w:tcBorders>
                    <w:top w:val="dotted" w:sz="4" w:space="0" w:color="auto"/>
                    <w:left w:val="dotted" w:sz="4" w:space="0" w:color="auto"/>
                    <w:bottom w:val="dotted" w:sz="4" w:space="0" w:color="auto"/>
                    <w:right w:val="dotted" w:sz="4" w:space="0" w:color="auto"/>
                  </w:tcBorders>
                  <w:shd w:val="clear" w:color="auto" w:fill="auto"/>
                </w:tcPr>
                <w:p w:rsidR="008C7BAA" w:rsidRPr="001552DE" w:rsidRDefault="008C7BAA" w:rsidP="005C0D49">
                  <w:pPr>
                    <w:pStyle w:val="TableColumnHeading"/>
                  </w:pPr>
                  <w:r w:rsidRPr="001552DE">
                    <w:t>Aust</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8C7BAA" w:rsidRDefault="008C7BAA" w:rsidP="008C7BAA">
                  <w:pPr>
                    <w:pStyle w:val="TableBodyText"/>
                  </w:pPr>
                  <w:r>
                    <w:t>401.8 ± 1.0</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 </w:t>
                  </w:r>
                </w:p>
              </w:tc>
            </w:tr>
          </w:tbl>
          <w:p w:rsidR="001552DE" w:rsidRDefault="001552DE" w:rsidP="005C0D49">
            <w:pPr>
              <w:pStyle w:val="Box"/>
            </w:pPr>
          </w:p>
        </w:tc>
      </w:tr>
      <w:tr w:rsidR="006F2A4E" w:rsidTr="00A97042">
        <w:trPr>
          <w:cantSplit/>
        </w:trPr>
        <w:tc>
          <w:tcPr>
            <w:tcW w:w="8909" w:type="dxa"/>
            <w:gridSpan w:val="2"/>
            <w:tcBorders>
              <w:top w:val="nil"/>
              <w:left w:val="nil"/>
              <w:bottom w:val="nil"/>
              <w:right w:val="nil"/>
            </w:tcBorders>
            <w:shd w:val="clear" w:color="auto" w:fill="auto"/>
          </w:tcPr>
          <w:p w:rsidR="006F2A4E" w:rsidRPr="009F0531" w:rsidRDefault="006F2A4E" w:rsidP="007A42E5">
            <w:pPr>
              <w:pStyle w:val="Note"/>
            </w:pPr>
            <w:r w:rsidRPr="009F0531">
              <w:rPr>
                <w:rStyle w:val="NoteLabel"/>
                <w:b w:val="0"/>
                <w:position w:val="0"/>
              </w:rPr>
              <w:t>▲</w:t>
            </w:r>
            <w:r>
              <w:t xml:space="preserve"> </w:t>
            </w:r>
            <w:r w:rsidRPr="009F0531">
              <w:t xml:space="preserve">Average achievement is substantially above and is statistically significantly different from the comparison State/Territory. </w:t>
            </w:r>
            <w:r w:rsidRPr="009F0531">
              <w:rPr>
                <w:rFonts w:ascii="Cambria Math" w:hAnsi="Cambria Math" w:cs="Cambria Math"/>
              </w:rPr>
              <w:t>△</w:t>
            </w:r>
            <w:r w:rsidRPr="009F0531">
              <w:t xml:space="preserve"> Average achievement is above and is statistically significantly different from the comparison State/Territory. ■ Average achievement is close to or not statistically different from the comparison State/Territory. </w:t>
            </w:r>
            <w:r w:rsidRPr="009F0531">
              <w:rPr>
                <w:rFonts w:ascii="MS Gothic" w:eastAsia="MS Gothic" w:hAnsi="MS Gothic" w:cs="MS Gothic" w:hint="eastAsia"/>
              </w:rPr>
              <w:t>▽</w:t>
            </w:r>
            <w:r w:rsidR="00C32E47">
              <w:rPr>
                <w:rFonts w:ascii="MS Gothic" w:eastAsia="MS Gothic" w:hAnsi="MS Gothic" w:cs="MS Gothic"/>
              </w:rPr>
              <w:t xml:space="preserve"> </w:t>
            </w:r>
            <w:r w:rsidRPr="009F0531">
              <w:t>Average achievement is below and is statistically significantly different from the comparison State/Territory. ▼ Average achievement is substantially below and is statistically significantly different from the comparison State/Territory.</w:t>
            </w:r>
          </w:p>
          <w:p w:rsidR="006F2A4E" w:rsidRDefault="006F2A4E" w:rsidP="001521BB">
            <w:pPr>
              <w:pStyle w:val="Note"/>
              <w:rPr>
                <w:i/>
              </w:rPr>
            </w:pPr>
            <w:r w:rsidRPr="008E77FE">
              <w:rPr>
                <w:rStyle w:val="NoteLabel"/>
              </w:rPr>
              <w:t>a</w:t>
            </w:r>
            <w:r w:rsidRPr="009F0531">
              <w:t> For further information and caveats see table 4A.</w:t>
            </w:r>
            <w:r w:rsidR="001521BB">
              <w:t>111</w:t>
            </w:r>
            <w:r w:rsidRPr="009F0531">
              <w:t>.</w:t>
            </w:r>
            <w:r>
              <w:t xml:space="preserve"> .. not applicable.</w:t>
            </w:r>
          </w:p>
        </w:tc>
      </w:tr>
      <w:tr w:rsidR="006F2A4E" w:rsidTr="00A97042">
        <w:trPr>
          <w:cantSplit/>
        </w:trPr>
        <w:tc>
          <w:tcPr>
            <w:tcW w:w="8909" w:type="dxa"/>
            <w:gridSpan w:val="2"/>
            <w:tcBorders>
              <w:top w:val="nil"/>
              <w:left w:val="nil"/>
              <w:bottom w:val="nil"/>
              <w:right w:val="nil"/>
            </w:tcBorders>
            <w:shd w:val="clear" w:color="auto" w:fill="auto"/>
          </w:tcPr>
          <w:p w:rsidR="006F2A4E" w:rsidRDefault="006F2A4E" w:rsidP="001521BB">
            <w:pPr>
              <w:pStyle w:val="Source"/>
            </w:pPr>
            <w:r>
              <w:rPr>
                <w:i/>
              </w:rPr>
              <w:t>Source</w:t>
            </w:r>
            <w:r w:rsidRPr="00167F06">
              <w:t xml:space="preserve">: </w:t>
            </w:r>
            <w:r w:rsidRPr="006F2A4E">
              <w:t>ACARA (2014</w:t>
            </w:r>
            <w:r w:rsidR="00592D0D" w:rsidRPr="00BE4E82">
              <w:t xml:space="preserve"> and unpublished</w:t>
            </w:r>
            <w:r w:rsidRPr="006F2A4E">
              <w:t xml:space="preserve">) </w:t>
            </w:r>
            <w:r w:rsidRPr="006F2A4E">
              <w:rPr>
                <w:i/>
              </w:rPr>
              <w:t>NAPLAN Achievement in Reading, Writing, Language Conventions and Numeracy: National Report for 2014</w:t>
            </w:r>
            <w:r w:rsidRPr="006F2A4E">
              <w:t>; table 4A.</w:t>
            </w:r>
            <w:r w:rsidR="001521BB">
              <w:t>111</w:t>
            </w:r>
            <w:r w:rsidRPr="006F2A4E">
              <w:t>.</w:t>
            </w:r>
          </w:p>
        </w:tc>
      </w:tr>
      <w:tr w:rsidR="006F2A4E" w:rsidTr="00A97042">
        <w:trPr>
          <w:cantSplit/>
        </w:trPr>
        <w:tc>
          <w:tcPr>
            <w:tcW w:w="8909" w:type="dxa"/>
            <w:gridSpan w:val="2"/>
            <w:tcBorders>
              <w:top w:val="nil"/>
              <w:left w:val="nil"/>
              <w:bottom w:val="single" w:sz="6" w:space="0" w:color="78A22F"/>
              <w:right w:val="nil"/>
            </w:tcBorders>
            <w:shd w:val="clear" w:color="auto" w:fill="auto"/>
          </w:tcPr>
          <w:p w:rsidR="006F2A4E" w:rsidRDefault="006F2A4E" w:rsidP="007A42E5">
            <w:pPr>
              <w:pStyle w:val="Box"/>
              <w:spacing w:before="0" w:line="120" w:lineRule="exact"/>
            </w:pPr>
          </w:p>
        </w:tc>
      </w:tr>
      <w:tr w:rsidR="006F2A4E" w:rsidRPr="000863A5" w:rsidTr="00A97042">
        <w:tc>
          <w:tcPr>
            <w:tcW w:w="8909" w:type="dxa"/>
            <w:gridSpan w:val="2"/>
            <w:tcBorders>
              <w:top w:val="single" w:sz="6" w:space="0" w:color="78A22F"/>
              <w:left w:val="nil"/>
              <w:bottom w:val="nil"/>
              <w:right w:val="nil"/>
            </w:tcBorders>
          </w:tcPr>
          <w:p w:rsidR="006F2A4E" w:rsidRPr="00626D32" w:rsidRDefault="006F2A4E" w:rsidP="007A42E5">
            <w:pPr>
              <w:pStyle w:val="BoxSpaceBelow"/>
            </w:pPr>
          </w:p>
        </w:tc>
      </w:tr>
    </w:tbl>
    <w:p w:rsidR="008C752D" w:rsidRDefault="008C752D" w:rsidP="007D6009">
      <w:pPr>
        <w:spacing w:before="240" w:line="320" w:lineRule="atLeast"/>
        <w:jc w:val="both"/>
        <w:rPr>
          <w:szCs w:val="20"/>
        </w:rPr>
      </w:pPr>
      <w:r w:rsidRPr="00891EF6">
        <w:rPr>
          <w:szCs w:val="20"/>
        </w:rPr>
        <w:t xml:space="preserve">The proportion of year </w:t>
      </w:r>
      <w:r>
        <w:rPr>
          <w:szCs w:val="20"/>
        </w:rPr>
        <w:t>5</w:t>
      </w:r>
      <w:r w:rsidRPr="00891EF6">
        <w:rPr>
          <w:szCs w:val="20"/>
        </w:rPr>
        <w:t xml:space="preserve"> students who achieved at or above the numeracy national minimum standard in 201</w:t>
      </w:r>
      <w:r>
        <w:rPr>
          <w:szCs w:val="20"/>
        </w:rPr>
        <w:t>4</w:t>
      </w:r>
      <w:r w:rsidRPr="00891EF6">
        <w:rPr>
          <w:szCs w:val="20"/>
        </w:rPr>
        <w:t xml:space="preserve"> was </w:t>
      </w:r>
      <w:r w:rsidR="00B6284D" w:rsidRPr="007D6009">
        <w:rPr>
          <w:szCs w:val="20"/>
          <w:shd w:val="clear" w:color="auto" w:fill="FFFFFF" w:themeFill="background1"/>
        </w:rPr>
        <w:t>93.</w:t>
      </w:r>
      <w:r w:rsidR="00A90148" w:rsidRPr="007D6009">
        <w:rPr>
          <w:szCs w:val="20"/>
          <w:shd w:val="clear" w:color="auto" w:fill="FFFFFF" w:themeFill="background1"/>
        </w:rPr>
        <w:t>3</w:t>
      </w:r>
      <w:r w:rsidR="00B6284D" w:rsidRPr="007D6009">
        <w:rPr>
          <w:szCs w:val="20"/>
          <w:shd w:val="clear" w:color="auto" w:fill="FFFFFF" w:themeFill="background1"/>
        </w:rPr>
        <w:t>–93.</w:t>
      </w:r>
      <w:r w:rsidR="00A90148" w:rsidRPr="007D6009">
        <w:rPr>
          <w:szCs w:val="20"/>
          <w:shd w:val="clear" w:color="auto" w:fill="FFFFFF" w:themeFill="background1"/>
        </w:rPr>
        <w:t>7</w:t>
      </w:r>
      <w:r w:rsidRPr="00E116EB">
        <w:rPr>
          <w:szCs w:val="20"/>
        </w:rPr>
        <w:t xml:space="preserve"> </w:t>
      </w:r>
      <w:r w:rsidRPr="00891EF6">
        <w:rPr>
          <w:szCs w:val="20"/>
        </w:rPr>
        <w:t xml:space="preserve">per cent nationally. The proportion of </w:t>
      </w:r>
      <w:r w:rsidR="007267E2" w:rsidRPr="00BE4E82">
        <w:t>Aboriginal and Torres Strait Islander</w:t>
      </w:r>
      <w:r w:rsidRPr="00891EF6">
        <w:rPr>
          <w:szCs w:val="20"/>
        </w:rPr>
        <w:t xml:space="preserve"> students (</w:t>
      </w:r>
      <w:r w:rsidR="00A90148" w:rsidRPr="007D6009">
        <w:rPr>
          <w:szCs w:val="20"/>
          <w:shd w:val="clear" w:color="auto" w:fill="FFFFFF" w:themeFill="background1"/>
        </w:rPr>
        <w:t>69.5</w:t>
      </w:r>
      <w:r w:rsidR="00B6284D" w:rsidRPr="007D6009">
        <w:rPr>
          <w:szCs w:val="20"/>
          <w:shd w:val="clear" w:color="auto" w:fill="FFFFFF" w:themeFill="background1"/>
        </w:rPr>
        <w:t>–7</w:t>
      </w:r>
      <w:r w:rsidR="00A90148" w:rsidRPr="007D6009">
        <w:rPr>
          <w:szCs w:val="20"/>
          <w:shd w:val="clear" w:color="auto" w:fill="FFFFFF" w:themeFill="background1"/>
        </w:rPr>
        <w:t>2</w:t>
      </w:r>
      <w:r w:rsidR="00B6284D" w:rsidRPr="007D6009">
        <w:rPr>
          <w:szCs w:val="20"/>
          <w:shd w:val="clear" w:color="auto" w:fill="FFFFFF" w:themeFill="background1"/>
        </w:rPr>
        <w:t>.7</w:t>
      </w:r>
      <w:r w:rsidRPr="00E116EB">
        <w:rPr>
          <w:szCs w:val="20"/>
        </w:rPr>
        <w:t xml:space="preserve"> </w:t>
      </w:r>
      <w:r w:rsidRPr="00891EF6">
        <w:rPr>
          <w:szCs w:val="20"/>
        </w:rPr>
        <w:t>per cent) was significantly lower than for non</w:t>
      </w:r>
      <w:r w:rsidRPr="00891EF6">
        <w:rPr>
          <w:szCs w:val="20"/>
        </w:rPr>
        <w:noBreakHyphen/>
        <w:t>Indigenous students (</w:t>
      </w:r>
      <w:r w:rsidR="00B6284D" w:rsidRPr="007D6009">
        <w:rPr>
          <w:szCs w:val="20"/>
          <w:shd w:val="clear" w:color="auto" w:fill="FFFFFF" w:themeFill="background1"/>
        </w:rPr>
        <w:t>94.</w:t>
      </w:r>
      <w:r w:rsidR="00A90148" w:rsidRPr="007D6009">
        <w:rPr>
          <w:szCs w:val="20"/>
          <w:shd w:val="clear" w:color="auto" w:fill="FFFFFF" w:themeFill="background1"/>
        </w:rPr>
        <w:t>6</w:t>
      </w:r>
      <w:r w:rsidR="00B6284D" w:rsidRPr="007D6009">
        <w:rPr>
          <w:szCs w:val="20"/>
          <w:shd w:val="clear" w:color="auto" w:fill="FFFFFF" w:themeFill="background1"/>
        </w:rPr>
        <w:t>–</w:t>
      </w:r>
      <w:r w:rsidR="00A90148" w:rsidRPr="007D6009">
        <w:rPr>
          <w:szCs w:val="20"/>
          <w:shd w:val="clear" w:color="auto" w:fill="FFFFFF" w:themeFill="background1"/>
        </w:rPr>
        <w:t>95.0</w:t>
      </w:r>
      <w:r w:rsidRPr="00E116EB">
        <w:rPr>
          <w:szCs w:val="20"/>
        </w:rPr>
        <w:t xml:space="preserve"> </w:t>
      </w:r>
      <w:r w:rsidRPr="00891EF6">
        <w:rPr>
          <w:szCs w:val="20"/>
        </w:rPr>
        <w:t>per cent) (figure 4.</w:t>
      </w:r>
      <w:r w:rsidR="00FF2AB3">
        <w:rPr>
          <w:szCs w:val="20"/>
        </w:rPr>
        <w:t>30</w:t>
      </w:r>
      <w:r w:rsidRPr="00891EF6">
        <w:rPr>
          <w:szCs w:val="20"/>
        </w:rPr>
        <w:t>). These proportions varied across jurisdictions.</w:t>
      </w:r>
    </w:p>
    <w:p w:rsidR="004C1186" w:rsidRDefault="004C1186" w:rsidP="00B945FF">
      <w:pPr>
        <w:pStyle w:val="BoxSpaceAbove"/>
      </w:pPr>
    </w:p>
    <w:tbl>
      <w:tblPr>
        <w:tblW w:w="8771" w:type="dxa"/>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1186" w:rsidTr="004C1186">
        <w:tc>
          <w:tcPr>
            <w:tcW w:w="8771" w:type="dxa"/>
            <w:tcBorders>
              <w:top w:val="single" w:sz="6" w:space="0" w:color="78A22F"/>
              <w:left w:val="nil"/>
              <w:bottom w:val="nil"/>
              <w:right w:val="nil"/>
            </w:tcBorders>
            <w:shd w:val="clear" w:color="auto" w:fill="auto"/>
          </w:tcPr>
          <w:p w:rsidR="004C1186" w:rsidRPr="00176D3F" w:rsidRDefault="004C1186" w:rsidP="004C1186">
            <w:pPr>
              <w:pStyle w:val="FigureTitle"/>
            </w:pPr>
            <w:r w:rsidRPr="00784A05">
              <w:rPr>
                <w:b w:val="0"/>
              </w:rPr>
              <w:t xml:space="preserve">Figure </w:t>
            </w:r>
            <w:r>
              <w:rPr>
                <w:b w:val="0"/>
              </w:rPr>
              <w:t>4.30</w:t>
            </w:r>
            <w:r>
              <w:tab/>
            </w:r>
            <w:r w:rsidRPr="004C1186">
              <w:t>Proportion of year 5 students achieving at or above the numeracy national minimum standard, 2014</w:t>
            </w:r>
            <w:r w:rsidRPr="004C1186">
              <w:rPr>
                <w:rStyle w:val="NoteLabel"/>
                <w:b/>
              </w:rPr>
              <w:t>a, b</w:t>
            </w:r>
          </w:p>
        </w:tc>
      </w:tr>
      <w:tr w:rsidR="004C1186" w:rsidTr="004C118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4C1186" w:rsidTr="00B945FF">
              <w:trPr>
                <w:jc w:val="center"/>
              </w:trPr>
              <w:tc>
                <w:tcPr>
                  <w:tcW w:w="5000" w:type="pct"/>
                  <w:tcBorders>
                    <w:top w:val="nil"/>
                    <w:bottom w:val="nil"/>
                  </w:tcBorders>
                </w:tcPr>
                <w:p w:rsidR="004C1186" w:rsidRDefault="00547047" w:rsidP="00B945FF">
                  <w:pPr>
                    <w:pStyle w:val="Figure"/>
                    <w:spacing w:before="60" w:after="60"/>
                  </w:pPr>
                  <w:r>
                    <w:rPr>
                      <w:noProof/>
                    </w:rPr>
                    <w:drawing>
                      <wp:inline distT="0" distB="0" distL="0" distR="0">
                        <wp:extent cx="5391150" cy="2695575"/>
                        <wp:effectExtent l="0" t="0" r="0" b="9525"/>
                        <wp:docPr id="30" name="Picture 30" descr="Figure 4.30 Proportion of year 5 students achieving at or above the numeracy national minimum standard, 20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4C1186" w:rsidRDefault="004C1186" w:rsidP="00B945FF">
            <w:pPr>
              <w:pStyle w:val="Figure"/>
            </w:pPr>
          </w:p>
        </w:tc>
      </w:tr>
      <w:tr w:rsidR="004C1186" w:rsidRPr="00176D3F" w:rsidTr="004C1186">
        <w:tc>
          <w:tcPr>
            <w:tcW w:w="8771" w:type="dxa"/>
            <w:tcBorders>
              <w:top w:val="nil"/>
              <w:left w:val="nil"/>
              <w:bottom w:val="nil"/>
              <w:right w:val="nil"/>
            </w:tcBorders>
            <w:shd w:val="clear" w:color="auto" w:fill="auto"/>
          </w:tcPr>
          <w:p w:rsidR="004C1186" w:rsidRPr="00176D3F" w:rsidRDefault="004C1186" w:rsidP="00B945FF">
            <w:pPr>
              <w:pStyle w:val="Note"/>
            </w:pPr>
            <w:r>
              <w:rPr>
                <w:rStyle w:val="NoteLabel"/>
              </w:rPr>
              <w:t>a</w:t>
            </w:r>
            <w:r w:rsidRPr="00984F75">
              <w:t xml:space="preserve"> Error bars represent the 95 per cent confidence interval associated with each point estimate. </w:t>
            </w:r>
            <w:r w:rsidRPr="00820CF9">
              <w:rPr>
                <w:rStyle w:val="NoteLabel"/>
              </w:rPr>
              <w:t>b</w:t>
            </w:r>
            <w:r w:rsidRPr="00984F75">
              <w:t> For further information and caveats see table 4A.</w:t>
            </w:r>
            <w:r>
              <w:t>108.</w:t>
            </w:r>
          </w:p>
        </w:tc>
      </w:tr>
      <w:tr w:rsidR="004C1186" w:rsidRPr="00176D3F" w:rsidTr="004C1186">
        <w:tc>
          <w:tcPr>
            <w:tcW w:w="8771" w:type="dxa"/>
            <w:tcBorders>
              <w:top w:val="nil"/>
              <w:left w:val="nil"/>
              <w:bottom w:val="nil"/>
              <w:right w:val="nil"/>
            </w:tcBorders>
            <w:shd w:val="clear" w:color="auto" w:fill="auto"/>
          </w:tcPr>
          <w:p w:rsidR="004C1186" w:rsidRPr="00176D3F" w:rsidRDefault="004C1186" w:rsidP="00B945FF">
            <w:pPr>
              <w:pStyle w:val="Source"/>
            </w:pPr>
            <w:r>
              <w:rPr>
                <w:i/>
              </w:rPr>
              <w:t>S</w:t>
            </w:r>
            <w:r w:rsidRPr="00784A05">
              <w:rPr>
                <w:i/>
              </w:rPr>
              <w:t>ource</w:t>
            </w:r>
            <w:r w:rsidRPr="00176D3F">
              <w:t xml:space="preserve">: </w:t>
            </w:r>
            <w:r w:rsidRPr="00984F75">
              <w:t>ACARA (201</w:t>
            </w:r>
            <w:r>
              <w:t>4</w:t>
            </w:r>
            <w:r w:rsidRPr="00984F75">
              <w:t xml:space="preserve"> and unpublished) </w:t>
            </w:r>
            <w:r w:rsidRPr="00984F75">
              <w:rPr>
                <w:i/>
              </w:rPr>
              <w:t>NAPLAN Achievement in Reading, Writing, Language Conventions and Numeracy: National Report for 201</w:t>
            </w:r>
            <w:r>
              <w:rPr>
                <w:i/>
              </w:rPr>
              <w:t>4</w:t>
            </w:r>
            <w:r w:rsidRPr="00984F75">
              <w:t>; table 4A.</w:t>
            </w:r>
            <w:r>
              <w:t>108</w:t>
            </w:r>
            <w:r w:rsidRPr="00984F75">
              <w:t>.</w:t>
            </w:r>
          </w:p>
        </w:tc>
      </w:tr>
      <w:tr w:rsidR="004C1186" w:rsidTr="004C1186">
        <w:tc>
          <w:tcPr>
            <w:tcW w:w="8771" w:type="dxa"/>
            <w:tcBorders>
              <w:top w:val="nil"/>
              <w:left w:val="nil"/>
              <w:bottom w:val="single" w:sz="6" w:space="0" w:color="78A22F"/>
              <w:right w:val="nil"/>
            </w:tcBorders>
            <w:shd w:val="clear" w:color="auto" w:fill="auto"/>
          </w:tcPr>
          <w:p w:rsidR="004C1186" w:rsidRDefault="004C1186" w:rsidP="00B945FF">
            <w:pPr>
              <w:pStyle w:val="Figurespace"/>
            </w:pPr>
          </w:p>
        </w:tc>
      </w:tr>
      <w:tr w:rsidR="004C1186" w:rsidRPr="000863A5" w:rsidTr="004C1186">
        <w:tc>
          <w:tcPr>
            <w:tcW w:w="8771" w:type="dxa"/>
            <w:tcBorders>
              <w:top w:val="single" w:sz="6" w:space="0" w:color="78A22F"/>
              <w:left w:val="nil"/>
              <w:bottom w:val="nil"/>
              <w:right w:val="nil"/>
            </w:tcBorders>
          </w:tcPr>
          <w:p w:rsidR="004C1186" w:rsidRPr="00626D32" w:rsidRDefault="004C1186" w:rsidP="00B945FF">
            <w:pPr>
              <w:pStyle w:val="BoxSpaceBelow"/>
            </w:pPr>
          </w:p>
        </w:tc>
      </w:tr>
    </w:tbl>
    <w:p w:rsidR="008C752D" w:rsidRPr="0089766B" w:rsidRDefault="008C752D" w:rsidP="008C752D">
      <w:pPr>
        <w:pStyle w:val="BodyText"/>
      </w:pPr>
      <w:r w:rsidRPr="0089766B">
        <w:t xml:space="preserve">Statistical significance of differences across states and territories between proportions of year </w:t>
      </w:r>
      <w:r>
        <w:t>5</w:t>
      </w:r>
      <w:r w:rsidRPr="0089766B">
        <w:t xml:space="preserve"> students who achieved at or above the national minimum standard for </w:t>
      </w:r>
      <w:r>
        <w:t>numeracy</w:t>
      </w:r>
      <w:r w:rsidRPr="0089766B">
        <w:t xml:space="preserve"> in 2014 are provided in table 4A.</w:t>
      </w:r>
      <w:r w:rsidR="001521BB">
        <w:t>108</w:t>
      </w:r>
      <w:r w:rsidRPr="0089766B">
        <w:t>.</w:t>
      </w:r>
    </w:p>
    <w:p w:rsidR="008C752D" w:rsidRPr="0089766B" w:rsidRDefault="008C752D" w:rsidP="007D6009">
      <w:pPr>
        <w:pStyle w:val="BodyText"/>
      </w:pPr>
      <w:r w:rsidRPr="0089766B">
        <w:t xml:space="preserve">The mean scale score for year </w:t>
      </w:r>
      <w:r>
        <w:t>5</w:t>
      </w:r>
      <w:r w:rsidRPr="0089766B">
        <w:t xml:space="preserve"> </w:t>
      </w:r>
      <w:r>
        <w:t>numeracy</w:t>
      </w:r>
      <w:r w:rsidRPr="0089766B">
        <w:t xml:space="preserve"> in 2014 for all students was </w:t>
      </w:r>
      <w:r w:rsidR="00B6284D" w:rsidRPr="007D6009">
        <w:rPr>
          <w:shd w:val="clear" w:color="auto" w:fill="FFFFFF" w:themeFill="background1"/>
        </w:rPr>
        <w:t>48</w:t>
      </w:r>
      <w:r w:rsidR="00A90148" w:rsidRPr="007D6009">
        <w:rPr>
          <w:shd w:val="clear" w:color="auto" w:fill="FFFFFF" w:themeFill="background1"/>
        </w:rPr>
        <w:t>6</w:t>
      </w:r>
      <w:r w:rsidR="00B6284D" w:rsidRPr="007D6009">
        <w:rPr>
          <w:shd w:val="clear" w:color="auto" w:fill="FFFFFF" w:themeFill="background1"/>
        </w:rPr>
        <w:t>.</w:t>
      </w:r>
      <w:r w:rsidR="00A90148" w:rsidRPr="007D6009">
        <w:rPr>
          <w:shd w:val="clear" w:color="auto" w:fill="FFFFFF" w:themeFill="background1"/>
        </w:rPr>
        <w:t>6</w:t>
      </w:r>
      <w:r w:rsidR="00F3188C" w:rsidRPr="007D6009">
        <w:rPr>
          <w:shd w:val="clear" w:color="auto" w:fill="FFFFFF" w:themeFill="background1"/>
        </w:rPr>
        <w:t>–48</w:t>
      </w:r>
      <w:r w:rsidR="00A90148" w:rsidRPr="007D6009">
        <w:rPr>
          <w:shd w:val="clear" w:color="auto" w:fill="FFFFFF" w:themeFill="background1"/>
        </w:rPr>
        <w:t>8</w:t>
      </w:r>
      <w:r w:rsidR="00F3188C" w:rsidRPr="007D6009">
        <w:rPr>
          <w:shd w:val="clear" w:color="auto" w:fill="FFFFFF" w:themeFill="background1"/>
        </w:rPr>
        <w:t>.</w:t>
      </w:r>
      <w:r w:rsidR="00A90148" w:rsidRPr="007D6009">
        <w:rPr>
          <w:shd w:val="clear" w:color="auto" w:fill="FFFFFF" w:themeFill="background1"/>
        </w:rPr>
        <w:t>6</w:t>
      </w:r>
      <w:r w:rsidRPr="0089766B">
        <w:t xml:space="preserve"> nationally. The mean scale score for Aboriginal and Torres Strait Islander students </w:t>
      </w:r>
      <w:r w:rsidR="00F3188C">
        <w:br/>
      </w:r>
      <w:r w:rsidRPr="0089766B">
        <w:t>(</w:t>
      </w:r>
      <w:r w:rsidR="00A90148" w:rsidRPr="007D6009">
        <w:rPr>
          <w:shd w:val="clear" w:color="auto" w:fill="FFFFFF" w:themeFill="background1"/>
        </w:rPr>
        <w:t>415.3</w:t>
      </w:r>
      <w:r w:rsidR="00F3188C" w:rsidRPr="007D6009">
        <w:rPr>
          <w:shd w:val="clear" w:color="auto" w:fill="FFFFFF" w:themeFill="background1"/>
        </w:rPr>
        <w:t>–420.</w:t>
      </w:r>
      <w:r w:rsidR="00A90148" w:rsidRPr="007D6009">
        <w:rPr>
          <w:shd w:val="clear" w:color="auto" w:fill="FFFFFF" w:themeFill="background1"/>
        </w:rPr>
        <w:t>5</w:t>
      </w:r>
      <w:r w:rsidRPr="007D6009">
        <w:rPr>
          <w:shd w:val="clear" w:color="auto" w:fill="FFFFFF" w:themeFill="background1"/>
        </w:rPr>
        <w:t>)</w:t>
      </w:r>
      <w:r w:rsidRPr="0089766B">
        <w:t xml:space="preserve"> was significantly lower than for non-Indigenous students (</w:t>
      </w:r>
      <w:r w:rsidR="00F3188C" w:rsidRPr="007D6009">
        <w:rPr>
          <w:shd w:val="clear" w:color="auto" w:fill="FFFFFF" w:themeFill="background1"/>
        </w:rPr>
        <w:t>4</w:t>
      </w:r>
      <w:r w:rsidR="00A90148" w:rsidRPr="007D6009">
        <w:rPr>
          <w:shd w:val="clear" w:color="auto" w:fill="FFFFFF" w:themeFill="background1"/>
        </w:rPr>
        <w:t>90.6</w:t>
      </w:r>
      <w:r w:rsidR="00F3188C" w:rsidRPr="007D6009">
        <w:rPr>
          <w:shd w:val="clear" w:color="auto" w:fill="FFFFFF" w:themeFill="background1"/>
        </w:rPr>
        <w:t>–49</w:t>
      </w:r>
      <w:r w:rsidR="00A90148" w:rsidRPr="007D6009">
        <w:rPr>
          <w:shd w:val="clear" w:color="auto" w:fill="FFFFFF" w:themeFill="background1"/>
        </w:rPr>
        <w:t>2.4</w:t>
      </w:r>
      <w:r w:rsidRPr="0089766B">
        <w:t>). Mean scale scores varied across jurisdictions (table 4A.</w:t>
      </w:r>
      <w:r w:rsidR="001521BB">
        <w:t>111</w:t>
      </w:r>
      <w:r w:rsidRPr="0089766B">
        <w:t>).</w:t>
      </w:r>
    </w:p>
    <w:p w:rsidR="008C752D" w:rsidRDefault="008C752D" w:rsidP="008C752D">
      <w:pPr>
        <w:pStyle w:val="BodyText"/>
      </w:pPr>
      <w:r w:rsidRPr="0089766B">
        <w:t>Table 4.</w:t>
      </w:r>
      <w:r w:rsidR="00A37418">
        <w:t>14</w:t>
      </w:r>
      <w:r w:rsidRPr="0089766B">
        <w:t xml:space="preserve"> identifies statistical significance of differences between mean scale scores for year </w:t>
      </w:r>
      <w:r>
        <w:t>5</w:t>
      </w:r>
      <w:r w:rsidRPr="0089766B">
        <w:t xml:space="preserve"> </w:t>
      </w:r>
      <w:r>
        <w:t>numeracy</w:t>
      </w:r>
      <w:r w:rsidRPr="0089766B">
        <w:t xml:space="preserve"> outcomes across states and territories in 2014. </w:t>
      </w:r>
    </w:p>
    <w:p w:rsidR="006F2A4E" w:rsidRDefault="006F2A4E" w:rsidP="006F2A4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gridCol w:w="138"/>
      </w:tblGrid>
      <w:tr w:rsidR="006F2A4E" w:rsidTr="00A97042">
        <w:tc>
          <w:tcPr>
            <w:tcW w:w="8909" w:type="dxa"/>
            <w:gridSpan w:val="2"/>
            <w:tcBorders>
              <w:top w:val="single" w:sz="6" w:space="0" w:color="78A22F"/>
              <w:left w:val="nil"/>
              <w:bottom w:val="nil"/>
              <w:right w:val="nil"/>
            </w:tcBorders>
            <w:shd w:val="clear" w:color="auto" w:fill="auto"/>
          </w:tcPr>
          <w:p w:rsidR="006F2A4E" w:rsidRPr="00784A05" w:rsidRDefault="006F2A4E" w:rsidP="006F2A4E">
            <w:pPr>
              <w:pStyle w:val="TableTitle"/>
            </w:pPr>
            <w:r>
              <w:rPr>
                <w:b w:val="0"/>
              </w:rPr>
              <w:t>Table 4.</w:t>
            </w:r>
            <w:r w:rsidR="005953B6">
              <w:rPr>
                <w:b w:val="0"/>
                <w:noProof/>
              </w:rPr>
              <w:t>14</w:t>
            </w:r>
            <w:r>
              <w:tab/>
            </w:r>
            <w:r w:rsidRPr="006F2A4E">
              <w:t xml:space="preserve">Significance of differences for year </w:t>
            </w:r>
            <w:r>
              <w:t>5</w:t>
            </w:r>
            <w:r w:rsidRPr="006F2A4E">
              <w:t xml:space="preserve"> students, mean scale scores, </w:t>
            </w:r>
            <w:r>
              <w:t>numeracy</w:t>
            </w:r>
            <w:r w:rsidRPr="006F2A4E">
              <w:t>, 2014</w:t>
            </w:r>
            <w:r w:rsidRPr="006F2A4E">
              <w:rPr>
                <w:rStyle w:val="NoteLabel"/>
                <w:b/>
              </w:rPr>
              <w:t>a</w:t>
            </w:r>
          </w:p>
        </w:tc>
      </w:tr>
      <w:tr w:rsidR="001552DE" w:rsidTr="005C0D49">
        <w:trPr>
          <w:gridAfter w:val="1"/>
          <w:wAfter w:w="138" w:type="dxa"/>
          <w:cantSplit/>
        </w:trPr>
        <w:tc>
          <w:tcPr>
            <w:tcW w:w="8771" w:type="dxa"/>
            <w:tcBorders>
              <w:top w:val="nil"/>
              <w:left w:val="nil"/>
              <w:bottom w:val="nil"/>
              <w:right w:val="nil"/>
            </w:tcBorders>
            <w:shd w:val="clear" w:color="auto" w:fill="auto"/>
          </w:tcPr>
          <w:tbl>
            <w:tblPr>
              <w:tblW w:w="8477" w:type="dxa"/>
              <w:tblInd w:w="10" w:type="dxa"/>
              <w:tblCellMar>
                <w:left w:w="0" w:type="dxa"/>
                <w:right w:w="0" w:type="dxa"/>
              </w:tblCellMar>
              <w:tblLook w:val="0000" w:firstRow="0" w:lastRow="0" w:firstColumn="0" w:lastColumn="0" w:noHBand="0" w:noVBand="0"/>
            </w:tblPr>
            <w:tblGrid>
              <w:gridCol w:w="865"/>
              <w:gridCol w:w="710"/>
              <w:gridCol w:w="766"/>
              <w:gridCol w:w="767"/>
              <w:gridCol w:w="767"/>
              <w:gridCol w:w="767"/>
              <w:gridCol w:w="767"/>
              <w:gridCol w:w="767"/>
              <w:gridCol w:w="767"/>
              <w:gridCol w:w="767"/>
              <w:gridCol w:w="767"/>
            </w:tblGrid>
            <w:tr w:rsidR="001552DE" w:rsidRPr="0034666A" w:rsidTr="005C0D49">
              <w:tc>
                <w:tcPr>
                  <w:tcW w:w="865" w:type="dxa"/>
                  <w:tcBorders>
                    <w:top w:val="single" w:sz="6" w:space="0" w:color="auto"/>
                  </w:tcBorders>
                  <w:shd w:val="clear" w:color="auto" w:fill="auto"/>
                </w:tcPr>
                <w:p w:rsidR="001552DE" w:rsidRPr="004708E3" w:rsidRDefault="001552DE" w:rsidP="005C0D49">
                  <w:pPr>
                    <w:keepNext/>
                    <w:keepLines/>
                    <w:spacing w:before="80" w:after="80" w:line="220" w:lineRule="atLeast"/>
                    <w:ind w:left="6" w:right="113"/>
                    <w:rPr>
                      <w:rFonts w:ascii="Arial" w:hAnsi="Arial"/>
                      <w:i/>
                      <w:sz w:val="20"/>
                      <w:szCs w:val="20"/>
                    </w:rPr>
                  </w:pPr>
                </w:p>
              </w:tc>
              <w:tc>
                <w:tcPr>
                  <w:tcW w:w="710" w:type="dxa"/>
                  <w:tcBorders>
                    <w:top w:val="single" w:sz="6" w:space="0" w:color="auto"/>
                  </w:tcBorders>
                </w:tcPr>
                <w:p w:rsidR="001552DE" w:rsidRPr="0034666A" w:rsidRDefault="001552DE" w:rsidP="005C0D49">
                  <w:pPr>
                    <w:keepNext/>
                    <w:keepLines/>
                    <w:spacing w:before="80" w:after="80" w:line="220" w:lineRule="atLeast"/>
                    <w:ind w:left="6" w:right="113"/>
                    <w:jc w:val="right"/>
                    <w:rPr>
                      <w:rFonts w:ascii="Arial" w:hAnsi="Arial"/>
                      <w:i/>
                      <w:sz w:val="20"/>
                      <w:szCs w:val="20"/>
                    </w:rPr>
                  </w:pPr>
                </w:p>
              </w:tc>
              <w:tc>
                <w:tcPr>
                  <w:tcW w:w="6902" w:type="dxa"/>
                  <w:gridSpan w:val="9"/>
                  <w:tcBorders>
                    <w:top w:val="single" w:sz="6" w:space="0" w:color="auto"/>
                  </w:tcBorders>
                  <w:shd w:val="clear" w:color="auto" w:fill="auto"/>
                  <w:vAlign w:val="center"/>
                </w:tcPr>
                <w:p w:rsidR="001552DE" w:rsidRPr="0034666A" w:rsidRDefault="001552DE" w:rsidP="005C0D49">
                  <w:pPr>
                    <w:pStyle w:val="TableColumnHeading"/>
                    <w:jc w:val="center"/>
                  </w:pPr>
                  <w:r w:rsidRPr="001552DE">
                    <w:t>Comparison jurisdiction</w:t>
                  </w:r>
                </w:p>
              </w:tc>
            </w:tr>
            <w:tr w:rsidR="001552DE" w:rsidRPr="0034666A" w:rsidTr="005C0D49">
              <w:tc>
                <w:tcPr>
                  <w:tcW w:w="865" w:type="dxa"/>
                  <w:tcBorders>
                    <w:bottom w:val="single" w:sz="4" w:space="0" w:color="auto"/>
                  </w:tcBorders>
                  <w:shd w:val="clear" w:color="auto" w:fill="auto"/>
                </w:tcPr>
                <w:p w:rsidR="001552DE" w:rsidRPr="004708E3" w:rsidRDefault="001552DE" w:rsidP="005C0D49">
                  <w:pPr>
                    <w:keepNext/>
                    <w:keepLines/>
                    <w:spacing w:before="80" w:after="80" w:line="220" w:lineRule="atLeast"/>
                    <w:ind w:left="6" w:right="113"/>
                    <w:rPr>
                      <w:rFonts w:ascii="Arial" w:hAnsi="Arial"/>
                      <w:i/>
                      <w:sz w:val="20"/>
                      <w:szCs w:val="20"/>
                    </w:rPr>
                  </w:pPr>
                </w:p>
              </w:tc>
              <w:tc>
                <w:tcPr>
                  <w:tcW w:w="710" w:type="dxa"/>
                  <w:tcBorders>
                    <w:bottom w:val="single" w:sz="4" w:space="0" w:color="auto"/>
                  </w:tcBorders>
                </w:tcPr>
                <w:p w:rsidR="001552DE" w:rsidRPr="0034666A" w:rsidRDefault="001552DE" w:rsidP="005C0D49">
                  <w:pPr>
                    <w:keepNext/>
                    <w:keepLines/>
                    <w:spacing w:before="80" w:after="80" w:line="220" w:lineRule="atLeast"/>
                    <w:ind w:left="6" w:right="113"/>
                    <w:jc w:val="right"/>
                    <w:rPr>
                      <w:rFonts w:ascii="Arial" w:hAnsi="Arial"/>
                      <w:i/>
                      <w:sz w:val="20"/>
                      <w:szCs w:val="20"/>
                    </w:rPr>
                  </w:pPr>
                </w:p>
              </w:tc>
              <w:tc>
                <w:tcPr>
                  <w:tcW w:w="766" w:type="dxa"/>
                  <w:tcBorders>
                    <w:bottom w:val="single" w:sz="4" w:space="0" w:color="auto"/>
                  </w:tcBorders>
                  <w:shd w:val="clear" w:color="auto" w:fill="auto"/>
                </w:tcPr>
                <w:p w:rsidR="001552DE" w:rsidRPr="0034666A" w:rsidRDefault="001552DE" w:rsidP="005C0D49">
                  <w:pPr>
                    <w:pStyle w:val="TableColumnHeading"/>
                  </w:pPr>
                  <w:r w:rsidRPr="0034666A">
                    <w:t>NSW</w:t>
                  </w:r>
                </w:p>
              </w:tc>
              <w:tc>
                <w:tcPr>
                  <w:tcW w:w="767" w:type="dxa"/>
                  <w:tcBorders>
                    <w:bottom w:val="single" w:sz="4" w:space="0" w:color="auto"/>
                  </w:tcBorders>
                  <w:shd w:val="clear" w:color="auto" w:fill="auto"/>
                </w:tcPr>
                <w:p w:rsidR="001552DE" w:rsidRPr="0034666A" w:rsidRDefault="001552DE" w:rsidP="005C0D49">
                  <w:pPr>
                    <w:pStyle w:val="TableColumnHeading"/>
                  </w:pPr>
                  <w:r w:rsidRPr="0034666A">
                    <w:t>Vic</w:t>
                  </w:r>
                </w:p>
              </w:tc>
              <w:tc>
                <w:tcPr>
                  <w:tcW w:w="767" w:type="dxa"/>
                  <w:tcBorders>
                    <w:bottom w:val="single" w:sz="4" w:space="0" w:color="auto"/>
                  </w:tcBorders>
                  <w:shd w:val="clear" w:color="auto" w:fill="auto"/>
                </w:tcPr>
                <w:p w:rsidR="001552DE" w:rsidRPr="0034666A" w:rsidRDefault="001552DE" w:rsidP="005C0D49">
                  <w:pPr>
                    <w:pStyle w:val="TableColumnHeading"/>
                  </w:pPr>
                  <w:r w:rsidRPr="0034666A">
                    <w:t>Qld</w:t>
                  </w:r>
                </w:p>
              </w:tc>
              <w:tc>
                <w:tcPr>
                  <w:tcW w:w="767" w:type="dxa"/>
                  <w:tcBorders>
                    <w:bottom w:val="single" w:sz="4" w:space="0" w:color="auto"/>
                  </w:tcBorders>
                  <w:shd w:val="clear" w:color="auto" w:fill="auto"/>
                </w:tcPr>
                <w:p w:rsidR="001552DE" w:rsidRPr="0034666A" w:rsidRDefault="001552DE" w:rsidP="005C0D49">
                  <w:pPr>
                    <w:pStyle w:val="TableColumnHeading"/>
                  </w:pPr>
                  <w:r w:rsidRPr="0034666A">
                    <w:t>WA</w:t>
                  </w:r>
                </w:p>
              </w:tc>
              <w:tc>
                <w:tcPr>
                  <w:tcW w:w="767" w:type="dxa"/>
                  <w:tcBorders>
                    <w:bottom w:val="single" w:sz="4" w:space="0" w:color="auto"/>
                  </w:tcBorders>
                  <w:shd w:val="clear" w:color="auto" w:fill="auto"/>
                </w:tcPr>
                <w:p w:rsidR="001552DE" w:rsidRPr="0034666A" w:rsidRDefault="001552DE" w:rsidP="005C0D49">
                  <w:pPr>
                    <w:pStyle w:val="TableColumnHeading"/>
                  </w:pPr>
                  <w:r w:rsidRPr="0034666A">
                    <w:t>SA</w:t>
                  </w:r>
                </w:p>
              </w:tc>
              <w:tc>
                <w:tcPr>
                  <w:tcW w:w="767" w:type="dxa"/>
                  <w:tcBorders>
                    <w:bottom w:val="single" w:sz="4" w:space="0" w:color="auto"/>
                  </w:tcBorders>
                  <w:shd w:val="clear" w:color="auto" w:fill="auto"/>
                </w:tcPr>
                <w:p w:rsidR="001552DE" w:rsidRPr="0034666A" w:rsidRDefault="001552DE" w:rsidP="005C0D49">
                  <w:pPr>
                    <w:pStyle w:val="TableColumnHeading"/>
                  </w:pPr>
                  <w:r w:rsidRPr="0034666A">
                    <w:t>Tas</w:t>
                  </w:r>
                </w:p>
              </w:tc>
              <w:tc>
                <w:tcPr>
                  <w:tcW w:w="767" w:type="dxa"/>
                  <w:tcBorders>
                    <w:bottom w:val="single" w:sz="4" w:space="0" w:color="auto"/>
                  </w:tcBorders>
                  <w:shd w:val="clear" w:color="auto" w:fill="auto"/>
                </w:tcPr>
                <w:p w:rsidR="001552DE" w:rsidRPr="0034666A" w:rsidRDefault="001552DE" w:rsidP="005C0D49">
                  <w:pPr>
                    <w:pStyle w:val="TableColumnHeading"/>
                  </w:pPr>
                  <w:r w:rsidRPr="0034666A">
                    <w:t>ACT</w:t>
                  </w:r>
                </w:p>
              </w:tc>
              <w:tc>
                <w:tcPr>
                  <w:tcW w:w="767" w:type="dxa"/>
                  <w:tcBorders>
                    <w:bottom w:val="single" w:sz="4" w:space="0" w:color="auto"/>
                  </w:tcBorders>
                  <w:shd w:val="clear" w:color="auto" w:fill="auto"/>
                </w:tcPr>
                <w:p w:rsidR="001552DE" w:rsidRPr="0034666A" w:rsidRDefault="001552DE" w:rsidP="005C0D49">
                  <w:pPr>
                    <w:pStyle w:val="TableColumnHeading"/>
                  </w:pPr>
                  <w:r w:rsidRPr="0034666A">
                    <w:t>NT</w:t>
                  </w:r>
                </w:p>
              </w:tc>
              <w:tc>
                <w:tcPr>
                  <w:tcW w:w="767" w:type="dxa"/>
                  <w:tcBorders>
                    <w:bottom w:val="single" w:sz="4" w:space="0" w:color="auto"/>
                  </w:tcBorders>
                  <w:shd w:val="clear" w:color="auto" w:fill="auto"/>
                </w:tcPr>
                <w:p w:rsidR="001552DE" w:rsidRPr="0034666A" w:rsidRDefault="001552DE" w:rsidP="005C0D49">
                  <w:pPr>
                    <w:pStyle w:val="TableColumnHeading"/>
                  </w:pPr>
                  <w:r w:rsidRPr="0034666A">
                    <w:t>Aust</w:t>
                  </w:r>
                </w:p>
              </w:tc>
            </w:tr>
            <w:tr w:rsidR="008C7BAA" w:rsidRPr="0034666A" w:rsidTr="007D6009">
              <w:tc>
                <w:tcPr>
                  <w:tcW w:w="865" w:type="dxa"/>
                  <w:tcBorders>
                    <w:top w:val="dotted" w:sz="4" w:space="0" w:color="auto"/>
                    <w:left w:val="dotted" w:sz="4" w:space="0" w:color="auto"/>
                    <w:bottom w:val="dotted" w:sz="4" w:space="0" w:color="auto"/>
                    <w:right w:val="dotted" w:sz="4" w:space="0" w:color="auto"/>
                  </w:tcBorders>
                  <w:shd w:val="clear" w:color="auto" w:fill="auto"/>
                </w:tcPr>
                <w:p w:rsidR="008C7BAA" w:rsidRPr="0034666A" w:rsidRDefault="008C7BAA" w:rsidP="005C0D49">
                  <w:pPr>
                    <w:pStyle w:val="TableUnitsRow"/>
                  </w:pP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tcPr>
                <w:p w:rsidR="008C7BAA" w:rsidRDefault="008C7BAA" w:rsidP="005C0D49">
                  <w:pPr>
                    <w:pStyle w:val="TableUnitsRow"/>
                  </w:pP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 xml:space="preserve">493.4 </w:t>
                  </w:r>
                  <w:r w:rsidR="00C32E47">
                    <w:br/>
                  </w:r>
                  <w:r>
                    <w:t>± 1.9</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 xml:space="preserve">496.6 </w:t>
                  </w:r>
                  <w:r w:rsidR="00C32E47">
                    <w:br/>
                  </w:r>
                  <w:r>
                    <w:t>± 1.7</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 xml:space="preserve">481.7 </w:t>
                  </w:r>
                  <w:r w:rsidR="00C32E47">
                    <w:br/>
                  </w:r>
                  <w:r>
                    <w:t>± 2.1</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 xml:space="preserve">480.6 </w:t>
                  </w:r>
                  <w:r w:rsidR="00C32E47">
                    <w:br/>
                  </w:r>
                  <w:r>
                    <w:t>± 2.8</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470.9</w:t>
                  </w:r>
                  <w:r w:rsidR="00C32E47">
                    <w:br/>
                  </w:r>
                  <w:r>
                    <w:t xml:space="preserve"> ± 2.9</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 xml:space="preserve">477.3 </w:t>
                  </w:r>
                  <w:r w:rsidR="00C32E47">
                    <w:br/>
                  </w:r>
                  <w:r>
                    <w:t>± 4.8</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497.4</w:t>
                  </w:r>
                  <w:r w:rsidR="00C32E47">
                    <w:br/>
                  </w:r>
                  <w:r>
                    <w:t xml:space="preserve"> ± 5.0</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 xml:space="preserve">422.7 </w:t>
                  </w:r>
                  <w:r w:rsidR="00C32E47">
                    <w:br/>
                  </w:r>
                  <w:r>
                    <w:t>± 13.4</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 xml:space="preserve">487.6 </w:t>
                  </w:r>
                  <w:r w:rsidR="00C32E47">
                    <w:br/>
                  </w:r>
                  <w:r>
                    <w:t>± 1.0</w:t>
                  </w:r>
                </w:p>
              </w:tc>
            </w:tr>
            <w:tr w:rsidR="008C7BAA" w:rsidRPr="0034666A" w:rsidTr="007D6009">
              <w:tc>
                <w:tcPr>
                  <w:tcW w:w="865" w:type="dxa"/>
                  <w:tcBorders>
                    <w:top w:val="dotted" w:sz="4" w:space="0" w:color="auto"/>
                    <w:left w:val="dotted" w:sz="4" w:space="0" w:color="auto"/>
                    <w:bottom w:val="dotted" w:sz="4" w:space="0" w:color="auto"/>
                    <w:right w:val="dotted" w:sz="4" w:space="0" w:color="auto"/>
                  </w:tcBorders>
                  <w:shd w:val="clear" w:color="auto" w:fill="auto"/>
                </w:tcPr>
                <w:p w:rsidR="008C7BAA" w:rsidRPr="001552DE" w:rsidRDefault="008C7BAA" w:rsidP="005C0D49">
                  <w:pPr>
                    <w:pStyle w:val="TableColumnHeading"/>
                  </w:pPr>
                  <w:r w:rsidRPr="001552DE">
                    <w:t>NSW</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8C7BAA" w:rsidRDefault="008C7BAA" w:rsidP="008C7BAA">
                  <w:pPr>
                    <w:pStyle w:val="TableBodyText"/>
                  </w:pPr>
                  <w:r>
                    <w:t>493.4 ± 1.9</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r>
            <w:tr w:rsidR="008C7BAA" w:rsidRPr="0034666A" w:rsidTr="007D6009">
              <w:tc>
                <w:tcPr>
                  <w:tcW w:w="865" w:type="dxa"/>
                  <w:tcBorders>
                    <w:top w:val="dotted" w:sz="4" w:space="0" w:color="auto"/>
                    <w:left w:val="dotted" w:sz="4" w:space="0" w:color="auto"/>
                    <w:bottom w:val="dotted" w:sz="4" w:space="0" w:color="auto"/>
                    <w:right w:val="dotted" w:sz="4" w:space="0" w:color="auto"/>
                  </w:tcBorders>
                  <w:shd w:val="clear" w:color="auto" w:fill="auto"/>
                </w:tcPr>
                <w:p w:rsidR="008C7BAA" w:rsidRPr="001552DE" w:rsidRDefault="008C7BAA" w:rsidP="005C0D49">
                  <w:pPr>
                    <w:pStyle w:val="TableColumnHeading"/>
                  </w:pPr>
                  <w:r w:rsidRPr="001552DE">
                    <w:t>Vic</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8C7BAA" w:rsidRDefault="008C7BAA" w:rsidP="008C7BAA">
                  <w:pPr>
                    <w:pStyle w:val="TableBodyText"/>
                  </w:pPr>
                  <w:r>
                    <w:t>496.6 ± 1.7</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r>
            <w:tr w:rsidR="008C7BAA" w:rsidRPr="0034666A" w:rsidTr="007D6009">
              <w:tc>
                <w:tcPr>
                  <w:tcW w:w="865" w:type="dxa"/>
                  <w:tcBorders>
                    <w:top w:val="dotted" w:sz="4" w:space="0" w:color="auto"/>
                    <w:left w:val="dotted" w:sz="4" w:space="0" w:color="auto"/>
                    <w:bottom w:val="dotted" w:sz="4" w:space="0" w:color="auto"/>
                    <w:right w:val="dotted" w:sz="4" w:space="0" w:color="auto"/>
                  </w:tcBorders>
                  <w:shd w:val="clear" w:color="auto" w:fill="auto"/>
                </w:tcPr>
                <w:p w:rsidR="008C7BAA" w:rsidRPr="001552DE" w:rsidRDefault="008C7BAA" w:rsidP="005C0D49">
                  <w:pPr>
                    <w:pStyle w:val="TableColumnHeading"/>
                  </w:pPr>
                  <w:r w:rsidRPr="001552DE">
                    <w:t>Qld</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8C7BAA" w:rsidRDefault="008C7BAA" w:rsidP="008C7BAA">
                  <w:pPr>
                    <w:pStyle w:val="TableBodyText"/>
                  </w:pPr>
                  <w:r>
                    <w:t>481.7 ± 2.1</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r>
            <w:tr w:rsidR="008C7BAA" w:rsidRPr="0034666A" w:rsidTr="007D6009">
              <w:tc>
                <w:tcPr>
                  <w:tcW w:w="865" w:type="dxa"/>
                  <w:tcBorders>
                    <w:top w:val="dotted" w:sz="4" w:space="0" w:color="auto"/>
                    <w:left w:val="dotted" w:sz="4" w:space="0" w:color="auto"/>
                    <w:bottom w:val="dotted" w:sz="4" w:space="0" w:color="auto"/>
                    <w:right w:val="dotted" w:sz="4" w:space="0" w:color="auto"/>
                  </w:tcBorders>
                  <w:shd w:val="clear" w:color="auto" w:fill="auto"/>
                </w:tcPr>
                <w:p w:rsidR="008C7BAA" w:rsidRPr="001552DE" w:rsidRDefault="008C7BAA" w:rsidP="005C0D49">
                  <w:pPr>
                    <w:pStyle w:val="TableColumnHeading"/>
                  </w:pPr>
                  <w:r w:rsidRPr="001552DE">
                    <w:t>WA</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8C7BAA" w:rsidRDefault="008C7BAA" w:rsidP="008C7BAA">
                  <w:pPr>
                    <w:pStyle w:val="TableBodyText"/>
                  </w:pPr>
                  <w:r>
                    <w:t>480.6 ± 2.8</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r>
            <w:tr w:rsidR="008C7BAA" w:rsidRPr="0034666A" w:rsidTr="007D6009">
              <w:tc>
                <w:tcPr>
                  <w:tcW w:w="865" w:type="dxa"/>
                  <w:tcBorders>
                    <w:top w:val="dotted" w:sz="4" w:space="0" w:color="auto"/>
                    <w:left w:val="dotted" w:sz="4" w:space="0" w:color="auto"/>
                    <w:bottom w:val="dotted" w:sz="4" w:space="0" w:color="auto"/>
                    <w:right w:val="dotted" w:sz="4" w:space="0" w:color="auto"/>
                  </w:tcBorders>
                  <w:shd w:val="clear" w:color="auto" w:fill="auto"/>
                </w:tcPr>
                <w:p w:rsidR="008C7BAA" w:rsidRPr="001552DE" w:rsidRDefault="008C7BAA" w:rsidP="005C0D49">
                  <w:pPr>
                    <w:pStyle w:val="TableColumnHeading"/>
                  </w:pPr>
                  <w:r w:rsidRPr="001552DE">
                    <w:t>SA</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8C7BAA" w:rsidRDefault="008C7BAA" w:rsidP="008C7BAA">
                  <w:pPr>
                    <w:pStyle w:val="TableBodyText"/>
                  </w:pPr>
                  <w:r>
                    <w:t>470.9 ± 2.9</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MS Gothic" w:eastAsia="MS Gothic" w:hAnsi="MS Gothic" w:cs="MS Gothic" w:hint="eastAsia"/>
                    </w:rPr>
                    <w:t>▽</w:t>
                  </w:r>
                </w:p>
              </w:tc>
            </w:tr>
            <w:tr w:rsidR="008C7BAA" w:rsidRPr="0034666A" w:rsidTr="007D6009">
              <w:tc>
                <w:tcPr>
                  <w:tcW w:w="865" w:type="dxa"/>
                  <w:tcBorders>
                    <w:top w:val="dotted" w:sz="4" w:space="0" w:color="auto"/>
                    <w:left w:val="dotted" w:sz="4" w:space="0" w:color="auto"/>
                    <w:bottom w:val="dotted" w:sz="4" w:space="0" w:color="auto"/>
                    <w:right w:val="dotted" w:sz="4" w:space="0" w:color="auto"/>
                  </w:tcBorders>
                  <w:shd w:val="clear" w:color="auto" w:fill="auto"/>
                </w:tcPr>
                <w:p w:rsidR="008C7BAA" w:rsidRPr="001552DE" w:rsidRDefault="008C7BAA" w:rsidP="005C0D49">
                  <w:pPr>
                    <w:pStyle w:val="TableColumnHeading"/>
                  </w:pPr>
                  <w:r w:rsidRPr="001552DE">
                    <w:t>Tas</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8C7BAA" w:rsidRDefault="008C7BAA" w:rsidP="008C7BAA">
                  <w:pPr>
                    <w:pStyle w:val="TableBodyText"/>
                  </w:pPr>
                  <w:r>
                    <w:t>477.3 ± 4.8</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r>
            <w:tr w:rsidR="008C7BAA" w:rsidRPr="0034666A" w:rsidTr="007D6009">
              <w:tc>
                <w:tcPr>
                  <w:tcW w:w="865" w:type="dxa"/>
                  <w:tcBorders>
                    <w:top w:val="dotted" w:sz="4" w:space="0" w:color="auto"/>
                    <w:left w:val="dotted" w:sz="4" w:space="0" w:color="auto"/>
                    <w:bottom w:val="dotted" w:sz="4" w:space="0" w:color="auto"/>
                    <w:right w:val="dotted" w:sz="4" w:space="0" w:color="auto"/>
                  </w:tcBorders>
                  <w:shd w:val="clear" w:color="auto" w:fill="auto"/>
                </w:tcPr>
                <w:p w:rsidR="008C7BAA" w:rsidRPr="001552DE" w:rsidRDefault="008C7BAA" w:rsidP="005C0D49">
                  <w:pPr>
                    <w:pStyle w:val="TableColumnHeading"/>
                  </w:pPr>
                  <w:r w:rsidRPr="001552DE">
                    <w:t>ACT</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8C7BAA" w:rsidRDefault="008C7BAA" w:rsidP="008C7BAA">
                  <w:pPr>
                    <w:pStyle w:val="TableBodyText"/>
                  </w:pPr>
                  <w:r>
                    <w:t>497.4 ± 5.0</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r>
            <w:tr w:rsidR="008C7BAA" w:rsidRPr="0034666A" w:rsidTr="007D6009">
              <w:tc>
                <w:tcPr>
                  <w:tcW w:w="865" w:type="dxa"/>
                  <w:tcBorders>
                    <w:top w:val="dotted" w:sz="4" w:space="0" w:color="auto"/>
                    <w:left w:val="dotted" w:sz="4" w:space="0" w:color="auto"/>
                    <w:bottom w:val="dotted" w:sz="4" w:space="0" w:color="auto"/>
                    <w:right w:val="dotted" w:sz="4" w:space="0" w:color="auto"/>
                  </w:tcBorders>
                  <w:shd w:val="clear" w:color="auto" w:fill="auto"/>
                </w:tcPr>
                <w:p w:rsidR="008C7BAA" w:rsidRPr="001552DE" w:rsidRDefault="008C7BAA" w:rsidP="005C0D49">
                  <w:pPr>
                    <w:pStyle w:val="TableColumnHeading"/>
                  </w:pPr>
                  <w:r w:rsidRPr="001552DE">
                    <w:t>NT</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8C7BAA" w:rsidRDefault="008C7BAA" w:rsidP="008C7BAA">
                  <w:pPr>
                    <w:pStyle w:val="TableBodyText"/>
                  </w:pPr>
                  <w:r>
                    <w:t>422.7 ± 13.4</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r>
            <w:tr w:rsidR="008C7BAA" w:rsidRPr="00895A13" w:rsidTr="007D6009">
              <w:tc>
                <w:tcPr>
                  <w:tcW w:w="865" w:type="dxa"/>
                  <w:tcBorders>
                    <w:top w:val="dotted" w:sz="4" w:space="0" w:color="auto"/>
                    <w:left w:val="dotted" w:sz="4" w:space="0" w:color="auto"/>
                    <w:bottom w:val="dotted" w:sz="4" w:space="0" w:color="auto"/>
                    <w:right w:val="dotted" w:sz="4" w:space="0" w:color="auto"/>
                  </w:tcBorders>
                  <w:shd w:val="clear" w:color="auto" w:fill="auto"/>
                </w:tcPr>
                <w:p w:rsidR="008C7BAA" w:rsidRPr="001552DE" w:rsidRDefault="008C7BAA" w:rsidP="005C0D49">
                  <w:pPr>
                    <w:pStyle w:val="TableColumnHeading"/>
                  </w:pPr>
                  <w:r w:rsidRPr="001552DE">
                    <w:t>Aust</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8C7BAA" w:rsidRDefault="008C7BAA" w:rsidP="008C7BAA">
                  <w:pPr>
                    <w:pStyle w:val="TableBodyText"/>
                  </w:pPr>
                  <w:r>
                    <w:t>487.6 ± 1.0</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 </w:t>
                  </w:r>
                </w:p>
              </w:tc>
            </w:tr>
          </w:tbl>
          <w:p w:rsidR="001552DE" w:rsidRDefault="001552DE" w:rsidP="005C0D49">
            <w:pPr>
              <w:pStyle w:val="Box"/>
            </w:pPr>
          </w:p>
        </w:tc>
      </w:tr>
      <w:tr w:rsidR="006F2A4E" w:rsidTr="00A97042">
        <w:trPr>
          <w:cantSplit/>
        </w:trPr>
        <w:tc>
          <w:tcPr>
            <w:tcW w:w="8909" w:type="dxa"/>
            <w:gridSpan w:val="2"/>
            <w:tcBorders>
              <w:top w:val="nil"/>
              <w:left w:val="nil"/>
              <w:bottom w:val="nil"/>
              <w:right w:val="nil"/>
            </w:tcBorders>
            <w:shd w:val="clear" w:color="auto" w:fill="auto"/>
          </w:tcPr>
          <w:p w:rsidR="006F2A4E" w:rsidRPr="009F0531" w:rsidRDefault="006F2A4E" w:rsidP="007A42E5">
            <w:pPr>
              <w:pStyle w:val="Note"/>
            </w:pPr>
            <w:r w:rsidRPr="009F0531">
              <w:rPr>
                <w:rStyle w:val="NoteLabel"/>
                <w:b w:val="0"/>
                <w:position w:val="0"/>
              </w:rPr>
              <w:t>▲</w:t>
            </w:r>
            <w:r>
              <w:t xml:space="preserve"> </w:t>
            </w:r>
            <w:r w:rsidRPr="009F0531">
              <w:t xml:space="preserve">Average achievement is substantially above and is statistically significantly different from the comparison State/Territory. </w:t>
            </w:r>
            <w:r w:rsidRPr="009F0531">
              <w:rPr>
                <w:rFonts w:ascii="Cambria Math" w:hAnsi="Cambria Math" w:cs="Cambria Math"/>
              </w:rPr>
              <w:t>△</w:t>
            </w:r>
            <w:r w:rsidRPr="009F0531">
              <w:t xml:space="preserve"> Average achievement is above and is statistically significantly different from the comparison State/Territory. ■ Average achievement is close to or not statistically different from the comparison State/Territory. </w:t>
            </w:r>
            <w:r w:rsidRPr="009F0531">
              <w:rPr>
                <w:rFonts w:ascii="MS Gothic" w:eastAsia="MS Gothic" w:hAnsi="MS Gothic" w:cs="MS Gothic" w:hint="eastAsia"/>
              </w:rPr>
              <w:t>▽</w:t>
            </w:r>
            <w:r w:rsidR="00C32E47">
              <w:rPr>
                <w:rFonts w:ascii="MS Gothic" w:eastAsia="MS Gothic" w:hAnsi="MS Gothic" w:cs="MS Gothic"/>
              </w:rPr>
              <w:t xml:space="preserve"> </w:t>
            </w:r>
            <w:r w:rsidRPr="009F0531">
              <w:t>Average achievement is below and is statistically significantly different from the comparison State/Territory. ▼ Average achievement is substantially below and is statistically significantly different from the comparison State/Territory.</w:t>
            </w:r>
          </w:p>
          <w:p w:rsidR="006F2A4E" w:rsidRDefault="006F2A4E" w:rsidP="001521BB">
            <w:pPr>
              <w:pStyle w:val="Note"/>
              <w:rPr>
                <w:i/>
              </w:rPr>
            </w:pPr>
            <w:r w:rsidRPr="008E77FE">
              <w:rPr>
                <w:rStyle w:val="NoteLabel"/>
              </w:rPr>
              <w:t>a</w:t>
            </w:r>
            <w:r w:rsidRPr="009F0531">
              <w:t> For further information and caveats see table 4A.</w:t>
            </w:r>
            <w:r w:rsidR="001521BB">
              <w:t>111</w:t>
            </w:r>
            <w:r w:rsidRPr="009F0531">
              <w:t>.</w:t>
            </w:r>
            <w:r>
              <w:t xml:space="preserve"> .. not applicable.</w:t>
            </w:r>
          </w:p>
        </w:tc>
      </w:tr>
      <w:tr w:rsidR="006F2A4E" w:rsidTr="00A97042">
        <w:trPr>
          <w:cantSplit/>
        </w:trPr>
        <w:tc>
          <w:tcPr>
            <w:tcW w:w="8909" w:type="dxa"/>
            <w:gridSpan w:val="2"/>
            <w:tcBorders>
              <w:top w:val="nil"/>
              <w:left w:val="nil"/>
              <w:bottom w:val="nil"/>
              <w:right w:val="nil"/>
            </w:tcBorders>
            <w:shd w:val="clear" w:color="auto" w:fill="auto"/>
          </w:tcPr>
          <w:p w:rsidR="006F2A4E" w:rsidRDefault="006F2A4E" w:rsidP="001521BB">
            <w:pPr>
              <w:pStyle w:val="Source"/>
            </w:pPr>
            <w:r>
              <w:rPr>
                <w:i/>
              </w:rPr>
              <w:t>Source</w:t>
            </w:r>
            <w:r w:rsidRPr="00167F06">
              <w:t xml:space="preserve">: </w:t>
            </w:r>
            <w:r w:rsidRPr="006F2A4E">
              <w:t>ACARA (2014</w:t>
            </w:r>
            <w:r w:rsidR="00592D0D" w:rsidRPr="00BE4E82">
              <w:t xml:space="preserve"> and unpublished</w:t>
            </w:r>
            <w:r w:rsidRPr="006F2A4E">
              <w:t xml:space="preserve">) </w:t>
            </w:r>
            <w:r w:rsidRPr="006F2A4E">
              <w:rPr>
                <w:i/>
              </w:rPr>
              <w:t>NAPLAN Achievement in Reading, Writing, Language Conventions and Numeracy: National Report for 2014</w:t>
            </w:r>
            <w:r w:rsidRPr="006F2A4E">
              <w:t>; table 4A.</w:t>
            </w:r>
            <w:r w:rsidR="001521BB">
              <w:t>111</w:t>
            </w:r>
            <w:r w:rsidRPr="006F2A4E">
              <w:t>.</w:t>
            </w:r>
          </w:p>
        </w:tc>
      </w:tr>
      <w:tr w:rsidR="006F2A4E" w:rsidTr="00A97042">
        <w:trPr>
          <w:cantSplit/>
        </w:trPr>
        <w:tc>
          <w:tcPr>
            <w:tcW w:w="8909" w:type="dxa"/>
            <w:gridSpan w:val="2"/>
            <w:tcBorders>
              <w:top w:val="nil"/>
              <w:left w:val="nil"/>
              <w:bottom w:val="single" w:sz="6" w:space="0" w:color="78A22F"/>
              <w:right w:val="nil"/>
            </w:tcBorders>
            <w:shd w:val="clear" w:color="auto" w:fill="auto"/>
          </w:tcPr>
          <w:p w:rsidR="006F2A4E" w:rsidRDefault="006F2A4E" w:rsidP="007A42E5">
            <w:pPr>
              <w:pStyle w:val="Box"/>
              <w:spacing w:before="0" w:line="120" w:lineRule="exact"/>
            </w:pPr>
          </w:p>
        </w:tc>
      </w:tr>
      <w:tr w:rsidR="006F2A4E" w:rsidRPr="000863A5" w:rsidTr="00A97042">
        <w:tc>
          <w:tcPr>
            <w:tcW w:w="8909" w:type="dxa"/>
            <w:gridSpan w:val="2"/>
            <w:tcBorders>
              <w:top w:val="single" w:sz="6" w:space="0" w:color="78A22F"/>
              <w:left w:val="nil"/>
              <w:bottom w:val="nil"/>
              <w:right w:val="nil"/>
            </w:tcBorders>
          </w:tcPr>
          <w:p w:rsidR="006F2A4E" w:rsidRPr="00626D32" w:rsidRDefault="006F2A4E" w:rsidP="007A42E5">
            <w:pPr>
              <w:pStyle w:val="BoxSpaceBelow"/>
            </w:pPr>
          </w:p>
        </w:tc>
      </w:tr>
    </w:tbl>
    <w:p w:rsidR="008C752D" w:rsidRDefault="008C752D" w:rsidP="007D6009">
      <w:pPr>
        <w:spacing w:before="240" w:line="320" w:lineRule="atLeast"/>
        <w:jc w:val="both"/>
        <w:rPr>
          <w:szCs w:val="20"/>
        </w:rPr>
      </w:pPr>
      <w:r w:rsidRPr="00891EF6">
        <w:rPr>
          <w:szCs w:val="20"/>
        </w:rPr>
        <w:t xml:space="preserve">The proportion of year </w:t>
      </w:r>
      <w:r>
        <w:rPr>
          <w:szCs w:val="20"/>
        </w:rPr>
        <w:t>7</w:t>
      </w:r>
      <w:r w:rsidRPr="00891EF6">
        <w:rPr>
          <w:szCs w:val="20"/>
        </w:rPr>
        <w:t xml:space="preserve"> students who achieved at or above the numeracy national minimum standard in 201</w:t>
      </w:r>
      <w:r>
        <w:rPr>
          <w:szCs w:val="20"/>
        </w:rPr>
        <w:t>4</w:t>
      </w:r>
      <w:r w:rsidRPr="00891EF6">
        <w:rPr>
          <w:szCs w:val="20"/>
        </w:rPr>
        <w:t xml:space="preserve"> was </w:t>
      </w:r>
      <w:r w:rsidR="00F3188C" w:rsidRPr="007D6009">
        <w:rPr>
          <w:szCs w:val="20"/>
          <w:shd w:val="clear" w:color="auto" w:fill="FFFFFF" w:themeFill="background1"/>
        </w:rPr>
        <w:t>94.</w:t>
      </w:r>
      <w:r w:rsidR="00A90148" w:rsidRPr="007D6009">
        <w:rPr>
          <w:szCs w:val="20"/>
          <w:shd w:val="clear" w:color="auto" w:fill="FFFFFF" w:themeFill="background1"/>
        </w:rPr>
        <w:t>9</w:t>
      </w:r>
      <w:r w:rsidR="00F3188C" w:rsidRPr="007D6009">
        <w:rPr>
          <w:szCs w:val="20"/>
          <w:shd w:val="clear" w:color="auto" w:fill="FFFFFF" w:themeFill="background1"/>
        </w:rPr>
        <w:t>–95.</w:t>
      </w:r>
      <w:r w:rsidR="00A90148" w:rsidRPr="007D6009">
        <w:rPr>
          <w:szCs w:val="20"/>
          <w:shd w:val="clear" w:color="auto" w:fill="FFFFFF" w:themeFill="background1"/>
        </w:rPr>
        <w:t>3</w:t>
      </w:r>
      <w:r w:rsidRPr="00E116EB">
        <w:rPr>
          <w:szCs w:val="20"/>
        </w:rPr>
        <w:t xml:space="preserve"> </w:t>
      </w:r>
      <w:r w:rsidRPr="00891EF6">
        <w:rPr>
          <w:szCs w:val="20"/>
        </w:rPr>
        <w:t xml:space="preserve">per cent nationally. The proportion of </w:t>
      </w:r>
      <w:r w:rsidR="007267E2" w:rsidRPr="00BE4E82">
        <w:t>Aboriginal and Torres Strait Islander</w:t>
      </w:r>
      <w:r w:rsidRPr="00891EF6">
        <w:rPr>
          <w:szCs w:val="20"/>
        </w:rPr>
        <w:t xml:space="preserve"> students (</w:t>
      </w:r>
      <w:r w:rsidR="00A90148" w:rsidRPr="007D6009">
        <w:rPr>
          <w:szCs w:val="20"/>
          <w:shd w:val="clear" w:color="auto" w:fill="FFFFFF" w:themeFill="background1"/>
        </w:rPr>
        <w:t>77.9</w:t>
      </w:r>
      <w:r w:rsidR="00F3188C" w:rsidRPr="007D6009">
        <w:rPr>
          <w:szCs w:val="20"/>
          <w:shd w:val="clear" w:color="auto" w:fill="FFFFFF" w:themeFill="background1"/>
        </w:rPr>
        <w:t>–</w:t>
      </w:r>
      <w:r w:rsidR="00A90148" w:rsidRPr="007D6009">
        <w:rPr>
          <w:szCs w:val="20"/>
          <w:shd w:val="clear" w:color="auto" w:fill="FFFFFF" w:themeFill="background1"/>
        </w:rPr>
        <w:t>81.1</w:t>
      </w:r>
      <w:r w:rsidRPr="00E116EB">
        <w:rPr>
          <w:szCs w:val="20"/>
        </w:rPr>
        <w:t xml:space="preserve"> </w:t>
      </w:r>
      <w:r w:rsidRPr="00891EF6">
        <w:rPr>
          <w:szCs w:val="20"/>
        </w:rPr>
        <w:t>per cent) was significantly lower than for non</w:t>
      </w:r>
      <w:r w:rsidRPr="00891EF6">
        <w:rPr>
          <w:szCs w:val="20"/>
        </w:rPr>
        <w:noBreakHyphen/>
        <w:t>Indigenous students (</w:t>
      </w:r>
      <w:r w:rsidR="00F3188C" w:rsidRPr="007D6009">
        <w:rPr>
          <w:szCs w:val="20"/>
          <w:shd w:val="clear" w:color="auto" w:fill="FFFFFF" w:themeFill="background1"/>
        </w:rPr>
        <w:t>95.</w:t>
      </w:r>
      <w:r w:rsidR="00A90148" w:rsidRPr="007D6009">
        <w:rPr>
          <w:szCs w:val="20"/>
          <w:shd w:val="clear" w:color="auto" w:fill="FFFFFF" w:themeFill="background1"/>
        </w:rPr>
        <w:t>9</w:t>
      </w:r>
      <w:r w:rsidR="00F3188C" w:rsidRPr="007D6009">
        <w:rPr>
          <w:szCs w:val="20"/>
          <w:shd w:val="clear" w:color="auto" w:fill="FFFFFF" w:themeFill="background1"/>
        </w:rPr>
        <w:t>–96.</w:t>
      </w:r>
      <w:r w:rsidR="00A90148" w:rsidRPr="007D6009">
        <w:rPr>
          <w:szCs w:val="20"/>
          <w:shd w:val="clear" w:color="auto" w:fill="FFFFFF" w:themeFill="background1"/>
        </w:rPr>
        <w:t>3</w:t>
      </w:r>
      <w:r w:rsidRPr="00E116EB">
        <w:rPr>
          <w:szCs w:val="20"/>
        </w:rPr>
        <w:t xml:space="preserve"> </w:t>
      </w:r>
      <w:r w:rsidRPr="00891EF6">
        <w:rPr>
          <w:szCs w:val="20"/>
        </w:rPr>
        <w:t>per cent) (figure 4.3</w:t>
      </w:r>
      <w:r w:rsidR="00FF2AB3">
        <w:rPr>
          <w:szCs w:val="20"/>
        </w:rPr>
        <w:t>1</w:t>
      </w:r>
      <w:r w:rsidRPr="00891EF6">
        <w:rPr>
          <w:szCs w:val="20"/>
        </w:rPr>
        <w:t>). These proportions varied across jurisdictions.</w:t>
      </w:r>
    </w:p>
    <w:p w:rsidR="008C752D" w:rsidRDefault="008C752D" w:rsidP="008C752D">
      <w:pPr>
        <w:pStyle w:val="BodyText"/>
      </w:pPr>
      <w:r>
        <w:br w:type="page"/>
      </w:r>
    </w:p>
    <w:p w:rsidR="004C1186" w:rsidRDefault="004C1186" w:rsidP="00B945F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C1186" w:rsidTr="00B945FF">
        <w:tc>
          <w:tcPr>
            <w:tcW w:w="8771" w:type="dxa"/>
            <w:tcBorders>
              <w:top w:val="single" w:sz="6" w:space="0" w:color="78A22F"/>
              <w:left w:val="nil"/>
              <w:bottom w:val="nil"/>
              <w:right w:val="nil"/>
            </w:tcBorders>
            <w:shd w:val="clear" w:color="auto" w:fill="auto"/>
          </w:tcPr>
          <w:p w:rsidR="004C1186" w:rsidRPr="00176D3F" w:rsidRDefault="004C1186" w:rsidP="004C1186">
            <w:pPr>
              <w:pStyle w:val="FigureTitle"/>
            </w:pPr>
            <w:r w:rsidRPr="00784A05">
              <w:rPr>
                <w:b w:val="0"/>
              </w:rPr>
              <w:t xml:space="preserve">Figure </w:t>
            </w:r>
            <w:r>
              <w:rPr>
                <w:b w:val="0"/>
              </w:rPr>
              <w:t>4.31</w:t>
            </w:r>
            <w:r>
              <w:tab/>
            </w:r>
            <w:r w:rsidRPr="00001089">
              <w:t>Proportion of year 7 students achieving at or above the numeracy national minimum standard, 201</w:t>
            </w:r>
            <w:r>
              <w:t>4</w:t>
            </w:r>
            <w:r w:rsidRPr="00001089">
              <w:rPr>
                <w:rStyle w:val="NoteLabel"/>
                <w:b/>
              </w:rPr>
              <w:t>a, b</w:t>
            </w:r>
          </w:p>
        </w:tc>
      </w:tr>
      <w:tr w:rsidR="004C1186" w:rsidTr="00B945F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4C1186" w:rsidTr="00B945FF">
              <w:trPr>
                <w:jc w:val="center"/>
              </w:trPr>
              <w:tc>
                <w:tcPr>
                  <w:tcW w:w="5000" w:type="pct"/>
                  <w:tcBorders>
                    <w:top w:val="nil"/>
                    <w:bottom w:val="nil"/>
                  </w:tcBorders>
                </w:tcPr>
                <w:p w:rsidR="004C1186" w:rsidRDefault="00547047" w:rsidP="00B945FF">
                  <w:pPr>
                    <w:pStyle w:val="Figure"/>
                    <w:spacing w:before="60" w:after="60"/>
                  </w:pPr>
                  <w:r>
                    <w:rPr>
                      <w:noProof/>
                    </w:rPr>
                    <w:drawing>
                      <wp:inline distT="0" distB="0" distL="0" distR="0">
                        <wp:extent cx="5391150" cy="2695575"/>
                        <wp:effectExtent l="0" t="0" r="0" b="9525"/>
                        <wp:docPr id="31" name="Picture 31" descr="Figure 4.31 Proportion of year 7 students achieving at or above the numeracy national minimum standard, 2014&#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4C1186" w:rsidRDefault="004C1186" w:rsidP="00B945FF">
            <w:pPr>
              <w:pStyle w:val="Figure"/>
            </w:pPr>
          </w:p>
        </w:tc>
      </w:tr>
      <w:tr w:rsidR="004C1186" w:rsidRPr="00176D3F" w:rsidTr="00B945FF">
        <w:tc>
          <w:tcPr>
            <w:tcW w:w="8771" w:type="dxa"/>
            <w:tcBorders>
              <w:top w:val="nil"/>
              <w:left w:val="nil"/>
              <w:bottom w:val="nil"/>
              <w:right w:val="nil"/>
            </w:tcBorders>
            <w:shd w:val="clear" w:color="auto" w:fill="auto"/>
          </w:tcPr>
          <w:p w:rsidR="004C1186" w:rsidRPr="00176D3F" w:rsidRDefault="004C1186" w:rsidP="00B945FF">
            <w:pPr>
              <w:pStyle w:val="Note"/>
            </w:pPr>
            <w:r>
              <w:rPr>
                <w:rStyle w:val="NoteLabel"/>
              </w:rPr>
              <w:t>a</w:t>
            </w:r>
            <w:r w:rsidRPr="00001089">
              <w:t xml:space="preserve"> Error bars represent the 95 per cent confidence interval associated with each point estimate. </w:t>
            </w:r>
            <w:r w:rsidRPr="00820CF9">
              <w:rPr>
                <w:rStyle w:val="NoteLabel"/>
              </w:rPr>
              <w:t>b</w:t>
            </w:r>
            <w:r w:rsidRPr="00001089">
              <w:t> For further information and caveats see table 4A.</w:t>
            </w:r>
            <w:r>
              <w:t>108</w:t>
            </w:r>
            <w:r w:rsidRPr="00001089">
              <w:t>.</w:t>
            </w:r>
          </w:p>
        </w:tc>
      </w:tr>
      <w:tr w:rsidR="004C1186" w:rsidRPr="00176D3F" w:rsidTr="00B945FF">
        <w:tc>
          <w:tcPr>
            <w:tcW w:w="8771" w:type="dxa"/>
            <w:tcBorders>
              <w:top w:val="nil"/>
              <w:left w:val="nil"/>
              <w:bottom w:val="nil"/>
              <w:right w:val="nil"/>
            </w:tcBorders>
            <w:shd w:val="clear" w:color="auto" w:fill="auto"/>
          </w:tcPr>
          <w:p w:rsidR="004C1186" w:rsidRPr="00176D3F" w:rsidRDefault="004C1186" w:rsidP="00B945FF">
            <w:pPr>
              <w:pStyle w:val="Source"/>
            </w:pPr>
            <w:r>
              <w:rPr>
                <w:i/>
              </w:rPr>
              <w:t>S</w:t>
            </w:r>
            <w:r w:rsidRPr="00784A05">
              <w:rPr>
                <w:i/>
              </w:rPr>
              <w:t>ource</w:t>
            </w:r>
            <w:r w:rsidRPr="00176D3F">
              <w:t xml:space="preserve">: </w:t>
            </w:r>
            <w:r w:rsidRPr="0099541F">
              <w:t>ACARA (201</w:t>
            </w:r>
            <w:r>
              <w:t>4</w:t>
            </w:r>
            <w:r w:rsidRPr="0099541F">
              <w:t xml:space="preserve"> and unpublished) </w:t>
            </w:r>
            <w:r w:rsidRPr="0099541F">
              <w:rPr>
                <w:i/>
              </w:rPr>
              <w:t>NAPLAN Achievement in Reading, Writing, Language Conventions and Numeracy: National Report for 201</w:t>
            </w:r>
            <w:r>
              <w:rPr>
                <w:i/>
              </w:rPr>
              <w:t>4</w:t>
            </w:r>
            <w:r w:rsidRPr="0099541F">
              <w:t>; table 4A.</w:t>
            </w:r>
            <w:r>
              <w:t>108.</w:t>
            </w:r>
          </w:p>
        </w:tc>
      </w:tr>
      <w:tr w:rsidR="004C1186" w:rsidTr="00B945FF">
        <w:tc>
          <w:tcPr>
            <w:tcW w:w="8771" w:type="dxa"/>
            <w:tcBorders>
              <w:top w:val="nil"/>
              <w:left w:val="nil"/>
              <w:bottom w:val="single" w:sz="6" w:space="0" w:color="78A22F"/>
              <w:right w:val="nil"/>
            </w:tcBorders>
            <w:shd w:val="clear" w:color="auto" w:fill="auto"/>
          </w:tcPr>
          <w:p w:rsidR="004C1186" w:rsidRDefault="004C1186" w:rsidP="00B945FF">
            <w:pPr>
              <w:pStyle w:val="Figurespace"/>
            </w:pPr>
          </w:p>
        </w:tc>
      </w:tr>
      <w:tr w:rsidR="004C1186" w:rsidRPr="000863A5" w:rsidTr="00B945FF">
        <w:tc>
          <w:tcPr>
            <w:tcW w:w="8771" w:type="dxa"/>
            <w:tcBorders>
              <w:top w:val="single" w:sz="6" w:space="0" w:color="78A22F"/>
              <w:left w:val="nil"/>
              <w:bottom w:val="nil"/>
              <w:right w:val="nil"/>
            </w:tcBorders>
          </w:tcPr>
          <w:p w:rsidR="004C1186" w:rsidRPr="00626D32" w:rsidRDefault="004C1186" w:rsidP="00B945FF">
            <w:pPr>
              <w:pStyle w:val="BoxSpaceBelow"/>
            </w:pPr>
          </w:p>
        </w:tc>
      </w:tr>
    </w:tbl>
    <w:p w:rsidR="008C752D" w:rsidRPr="0089766B" w:rsidRDefault="008C752D" w:rsidP="008C752D">
      <w:pPr>
        <w:pStyle w:val="BodyText"/>
      </w:pPr>
      <w:r w:rsidRPr="0089766B">
        <w:t xml:space="preserve">Statistical significance of differences across states and territories between proportions of year </w:t>
      </w:r>
      <w:r w:rsidR="004C0D14">
        <w:t>7</w:t>
      </w:r>
      <w:r w:rsidRPr="0089766B">
        <w:t xml:space="preserve"> students who achieved at or above the national minimum standard for </w:t>
      </w:r>
      <w:r>
        <w:t>numeracy</w:t>
      </w:r>
      <w:r w:rsidRPr="0089766B">
        <w:t xml:space="preserve"> in 2014 are provided in table 4A.</w:t>
      </w:r>
      <w:r w:rsidR="001521BB">
        <w:t>108</w:t>
      </w:r>
      <w:r w:rsidRPr="0089766B">
        <w:t>.</w:t>
      </w:r>
    </w:p>
    <w:p w:rsidR="008C752D" w:rsidRPr="0089766B" w:rsidRDefault="008C752D" w:rsidP="007D6009">
      <w:pPr>
        <w:pStyle w:val="BodyText"/>
      </w:pPr>
      <w:r w:rsidRPr="0089766B">
        <w:t xml:space="preserve">The mean scale score for year </w:t>
      </w:r>
      <w:r w:rsidR="004C0D14">
        <w:t>7</w:t>
      </w:r>
      <w:r w:rsidRPr="0089766B">
        <w:t xml:space="preserve"> </w:t>
      </w:r>
      <w:r>
        <w:t>numeracy</w:t>
      </w:r>
      <w:r w:rsidRPr="0089766B">
        <w:t xml:space="preserve"> in 2014 for all students was </w:t>
      </w:r>
      <w:r w:rsidR="00F3188C" w:rsidRPr="007D6009">
        <w:rPr>
          <w:shd w:val="clear" w:color="auto" w:fill="FFFFFF" w:themeFill="background1"/>
        </w:rPr>
        <w:t>54</w:t>
      </w:r>
      <w:r w:rsidR="00A90148" w:rsidRPr="007D6009">
        <w:rPr>
          <w:shd w:val="clear" w:color="auto" w:fill="FFFFFF" w:themeFill="background1"/>
        </w:rPr>
        <w:t>4.2</w:t>
      </w:r>
      <w:r w:rsidR="00F3188C" w:rsidRPr="007D6009">
        <w:rPr>
          <w:shd w:val="clear" w:color="auto" w:fill="FFFFFF" w:themeFill="background1"/>
        </w:rPr>
        <w:t>–54</w:t>
      </w:r>
      <w:r w:rsidR="00A90148" w:rsidRPr="007D6009">
        <w:rPr>
          <w:shd w:val="clear" w:color="auto" w:fill="FFFFFF" w:themeFill="background1"/>
        </w:rPr>
        <w:t>7.6</w:t>
      </w:r>
      <w:r w:rsidRPr="0089766B">
        <w:t xml:space="preserve"> nationally. The mean scale score for Aboriginal and Torres Strait Islander students </w:t>
      </w:r>
      <w:r w:rsidR="00F3188C">
        <w:br/>
      </w:r>
      <w:r w:rsidRPr="0089766B">
        <w:t>(</w:t>
      </w:r>
      <w:r w:rsidR="00F3188C" w:rsidRPr="007D6009">
        <w:rPr>
          <w:shd w:val="clear" w:color="auto" w:fill="FFFFFF" w:themeFill="background1"/>
        </w:rPr>
        <w:t>47</w:t>
      </w:r>
      <w:r w:rsidR="00A90148" w:rsidRPr="007D6009">
        <w:rPr>
          <w:shd w:val="clear" w:color="auto" w:fill="FFFFFF" w:themeFill="background1"/>
        </w:rPr>
        <w:t>5.7</w:t>
      </w:r>
      <w:r w:rsidR="00F3188C" w:rsidRPr="007D6009">
        <w:rPr>
          <w:shd w:val="clear" w:color="auto" w:fill="FFFFFF" w:themeFill="background1"/>
        </w:rPr>
        <w:t>–4</w:t>
      </w:r>
      <w:r w:rsidR="00A90148" w:rsidRPr="007D6009">
        <w:rPr>
          <w:shd w:val="clear" w:color="auto" w:fill="FFFFFF" w:themeFill="background1"/>
        </w:rPr>
        <w:t>81.3</w:t>
      </w:r>
      <w:r w:rsidRPr="007D6009">
        <w:rPr>
          <w:shd w:val="clear" w:color="auto" w:fill="FFFFFF" w:themeFill="background1"/>
        </w:rPr>
        <w:t>)</w:t>
      </w:r>
      <w:r w:rsidRPr="0089766B">
        <w:t xml:space="preserve"> was significantly lower than for non-Indigenous students (</w:t>
      </w:r>
      <w:r w:rsidR="00F3188C" w:rsidRPr="007D6009">
        <w:rPr>
          <w:shd w:val="clear" w:color="auto" w:fill="FFFFFF" w:themeFill="background1"/>
        </w:rPr>
        <w:t>54</w:t>
      </w:r>
      <w:r w:rsidR="00A90148" w:rsidRPr="007D6009">
        <w:rPr>
          <w:shd w:val="clear" w:color="auto" w:fill="FFFFFF" w:themeFill="background1"/>
        </w:rPr>
        <w:t>8.0</w:t>
      </w:r>
      <w:r w:rsidR="00F3188C" w:rsidRPr="007D6009">
        <w:rPr>
          <w:shd w:val="clear" w:color="auto" w:fill="FFFFFF" w:themeFill="background1"/>
        </w:rPr>
        <w:t>–5</w:t>
      </w:r>
      <w:r w:rsidR="00A90148" w:rsidRPr="007D6009">
        <w:rPr>
          <w:shd w:val="clear" w:color="auto" w:fill="FFFFFF" w:themeFill="background1"/>
        </w:rPr>
        <w:t>51</w:t>
      </w:r>
      <w:r w:rsidR="00F3188C" w:rsidRPr="007D6009">
        <w:rPr>
          <w:shd w:val="clear" w:color="auto" w:fill="FFFFFF" w:themeFill="background1"/>
        </w:rPr>
        <w:t>.4</w:t>
      </w:r>
      <w:r w:rsidRPr="0089766B">
        <w:t>). Mean scale scores varied across jurisdictions (table 4A.</w:t>
      </w:r>
      <w:r w:rsidR="001521BB">
        <w:t>111</w:t>
      </w:r>
      <w:r w:rsidRPr="0089766B">
        <w:t>).</w:t>
      </w:r>
    </w:p>
    <w:p w:rsidR="008C752D" w:rsidRDefault="008C752D" w:rsidP="008C752D">
      <w:pPr>
        <w:pStyle w:val="BodyText"/>
      </w:pPr>
      <w:r w:rsidRPr="0089766B">
        <w:t>Table 4.</w:t>
      </w:r>
      <w:r w:rsidR="00A37418">
        <w:t>15</w:t>
      </w:r>
      <w:r w:rsidRPr="0089766B">
        <w:t xml:space="preserve"> identifies statistical significance of differences between mean scale scores for year </w:t>
      </w:r>
      <w:r w:rsidR="004C0D14">
        <w:t>7</w:t>
      </w:r>
      <w:r w:rsidRPr="0089766B">
        <w:t xml:space="preserve"> </w:t>
      </w:r>
      <w:r>
        <w:t>numeracy</w:t>
      </w:r>
      <w:r w:rsidRPr="0089766B">
        <w:t xml:space="preserve"> outcomes across states and territories in 2014. </w:t>
      </w:r>
    </w:p>
    <w:p w:rsidR="006F2A4E" w:rsidRDefault="006F2A4E" w:rsidP="006F2A4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gridCol w:w="138"/>
      </w:tblGrid>
      <w:tr w:rsidR="006F2A4E" w:rsidTr="00A97042">
        <w:tc>
          <w:tcPr>
            <w:tcW w:w="8909" w:type="dxa"/>
            <w:gridSpan w:val="2"/>
            <w:tcBorders>
              <w:top w:val="single" w:sz="6" w:space="0" w:color="78A22F"/>
              <w:left w:val="nil"/>
              <w:bottom w:val="nil"/>
              <w:right w:val="nil"/>
            </w:tcBorders>
            <w:shd w:val="clear" w:color="auto" w:fill="auto"/>
          </w:tcPr>
          <w:p w:rsidR="006F2A4E" w:rsidRPr="00784A05" w:rsidRDefault="006F2A4E" w:rsidP="006F2A4E">
            <w:pPr>
              <w:pStyle w:val="TableTitle"/>
            </w:pPr>
            <w:r>
              <w:rPr>
                <w:b w:val="0"/>
              </w:rPr>
              <w:t>Table 4.</w:t>
            </w:r>
            <w:r w:rsidR="005953B6">
              <w:rPr>
                <w:b w:val="0"/>
                <w:noProof/>
              </w:rPr>
              <w:t>15</w:t>
            </w:r>
            <w:r>
              <w:tab/>
            </w:r>
            <w:r w:rsidRPr="006F2A4E">
              <w:t xml:space="preserve">Significance of differences for year </w:t>
            </w:r>
            <w:r>
              <w:t>7</w:t>
            </w:r>
            <w:r w:rsidRPr="006F2A4E">
              <w:t xml:space="preserve"> students, mean scale scores, </w:t>
            </w:r>
            <w:r>
              <w:t>numeracy</w:t>
            </w:r>
            <w:r w:rsidRPr="006F2A4E">
              <w:t>, 2014</w:t>
            </w:r>
            <w:r w:rsidRPr="006F2A4E">
              <w:rPr>
                <w:rStyle w:val="NoteLabel"/>
                <w:b/>
              </w:rPr>
              <w:t>a</w:t>
            </w:r>
          </w:p>
        </w:tc>
      </w:tr>
      <w:tr w:rsidR="003C17D3" w:rsidTr="005C0D49">
        <w:trPr>
          <w:gridAfter w:val="1"/>
          <w:wAfter w:w="138" w:type="dxa"/>
          <w:cantSplit/>
        </w:trPr>
        <w:tc>
          <w:tcPr>
            <w:tcW w:w="8771" w:type="dxa"/>
            <w:tcBorders>
              <w:top w:val="nil"/>
              <w:left w:val="nil"/>
              <w:bottom w:val="nil"/>
              <w:right w:val="nil"/>
            </w:tcBorders>
            <w:shd w:val="clear" w:color="auto" w:fill="auto"/>
          </w:tcPr>
          <w:tbl>
            <w:tblPr>
              <w:tblW w:w="8477" w:type="dxa"/>
              <w:tblInd w:w="10" w:type="dxa"/>
              <w:tblCellMar>
                <w:left w:w="0" w:type="dxa"/>
                <w:right w:w="0" w:type="dxa"/>
              </w:tblCellMar>
              <w:tblLook w:val="0000" w:firstRow="0" w:lastRow="0" w:firstColumn="0" w:lastColumn="0" w:noHBand="0" w:noVBand="0"/>
            </w:tblPr>
            <w:tblGrid>
              <w:gridCol w:w="865"/>
              <w:gridCol w:w="710"/>
              <w:gridCol w:w="766"/>
              <w:gridCol w:w="767"/>
              <w:gridCol w:w="767"/>
              <w:gridCol w:w="767"/>
              <w:gridCol w:w="767"/>
              <w:gridCol w:w="767"/>
              <w:gridCol w:w="767"/>
              <w:gridCol w:w="767"/>
              <w:gridCol w:w="767"/>
            </w:tblGrid>
            <w:tr w:rsidR="003C17D3" w:rsidRPr="0034666A" w:rsidTr="005C0D49">
              <w:tc>
                <w:tcPr>
                  <w:tcW w:w="865" w:type="dxa"/>
                  <w:tcBorders>
                    <w:top w:val="single" w:sz="6" w:space="0" w:color="auto"/>
                  </w:tcBorders>
                  <w:shd w:val="clear" w:color="auto" w:fill="auto"/>
                </w:tcPr>
                <w:p w:rsidR="003C17D3" w:rsidRPr="004708E3" w:rsidRDefault="003C17D3" w:rsidP="005C0D49">
                  <w:pPr>
                    <w:keepNext/>
                    <w:keepLines/>
                    <w:spacing w:before="80" w:after="80" w:line="220" w:lineRule="atLeast"/>
                    <w:ind w:left="6" w:right="113"/>
                    <w:rPr>
                      <w:rFonts w:ascii="Arial" w:hAnsi="Arial"/>
                      <w:i/>
                      <w:sz w:val="20"/>
                      <w:szCs w:val="20"/>
                    </w:rPr>
                  </w:pPr>
                </w:p>
              </w:tc>
              <w:tc>
                <w:tcPr>
                  <w:tcW w:w="710" w:type="dxa"/>
                  <w:tcBorders>
                    <w:top w:val="single" w:sz="6" w:space="0" w:color="auto"/>
                  </w:tcBorders>
                </w:tcPr>
                <w:p w:rsidR="003C17D3" w:rsidRPr="0034666A" w:rsidRDefault="003C17D3" w:rsidP="005C0D49">
                  <w:pPr>
                    <w:keepNext/>
                    <w:keepLines/>
                    <w:spacing w:before="80" w:after="80" w:line="220" w:lineRule="atLeast"/>
                    <w:ind w:left="6" w:right="113"/>
                    <w:jc w:val="right"/>
                    <w:rPr>
                      <w:rFonts w:ascii="Arial" w:hAnsi="Arial"/>
                      <w:i/>
                      <w:sz w:val="20"/>
                      <w:szCs w:val="20"/>
                    </w:rPr>
                  </w:pPr>
                </w:p>
              </w:tc>
              <w:tc>
                <w:tcPr>
                  <w:tcW w:w="6902" w:type="dxa"/>
                  <w:gridSpan w:val="9"/>
                  <w:tcBorders>
                    <w:top w:val="single" w:sz="6" w:space="0" w:color="auto"/>
                  </w:tcBorders>
                  <w:shd w:val="clear" w:color="auto" w:fill="auto"/>
                  <w:vAlign w:val="center"/>
                </w:tcPr>
                <w:p w:rsidR="003C17D3" w:rsidRPr="0034666A" w:rsidRDefault="003C17D3" w:rsidP="005C0D49">
                  <w:pPr>
                    <w:pStyle w:val="TableColumnHeading"/>
                    <w:jc w:val="center"/>
                  </w:pPr>
                  <w:r w:rsidRPr="001552DE">
                    <w:t>Comparison jurisdiction</w:t>
                  </w:r>
                </w:p>
              </w:tc>
            </w:tr>
            <w:tr w:rsidR="003C17D3" w:rsidRPr="0034666A" w:rsidTr="005C0D49">
              <w:tc>
                <w:tcPr>
                  <w:tcW w:w="865" w:type="dxa"/>
                  <w:tcBorders>
                    <w:bottom w:val="single" w:sz="4" w:space="0" w:color="auto"/>
                  </w:tcBorders>
                  <w:shd w:val="clear" w:color="auto" w:fill="auto"/>
                </w:tcPr>
                <w:p w:rsidR="003C17D3" w:rsidRPr="004708E3" w:rsidRDefault="003C17D3" w:rsidP="005C0D49">
                  <w:pPr>
                    <w:keepNext/>
                    <w:keepLines/>
                    <w:spacing w:before="80" w:after="80" w:line="220" w:lineRule="atLeast"/>
                    <w:ind w:left="6" w:right="113"/>
                    <w:rPr>
                      <w:rFonts w:ascii="Arial" w:hAnsi="Arial"/>
                      <w:i/>
                      <w:sz w:val="20"/>
                      <w:szCs w:val="20"/>
                    </w:rPr>
                  </w:pPr>
                </w:p>
              </w:tc>
              <w:tc>
                <w:tcPr>
                  <w:tcW w:w="710" w:type="dxa"/>
                  <w:tcBorders>
                    <w:bottom w:val="single" w:sz="4" w:space="0" w:color="auto"/>
                  </w:tcBorders>
                </w:tcPr>
                <w:p w:rsidR="003C17D3" w:rsidRPr="0034666A" w:rsidRDefault="003C17D3" w:rsidP="005C0D49">
                  <w:pPr>
                    <w:keepNext/>
                    <w:keepLines/>
                    <w:spacing w:before="80" w:after="80" w:line="220" w:lineRule="atLeast"/>
                    <w:ind w:left="6" w:right="113"/>
                    <w:jc w:val="right"/>
                    <w:rPr>
                      <w:rFonts w:ascii="Arial" w:hAnsi="Arial"/>
                      <w:i/>
                      <w:sz w:val="20"/>
                      <w:szCs w:val="20"/>
                    </w:rPr>
                  </w:pPr>
                </w:p>
              </w:tc>
              <w:tc>
                <w:tcPr>
                  <w:tcW w:w="766" w:type="dxa"/>
                  <w:tcBorders>
                    <w:bottom w:val="single" w:sz="4" w:space="0" w:color="auto"/>
                  </w:tcBorders>
                  <w:shd w:val="clear" w:color="auto" w:fill="auto"/>
                </w:tcPr>
                <w:p w:rsidR="003C17D3" w:rsidRPr="0034666A" w:rsidRDefault="003C17D3" w:rsidP="005C0D49">
                  <w:pPr>
                    <w:pStyle w:val="TableColumnHeading"/>
                  </w:pPr>
                  <w:r w:rsidRPr="0034666A">
                    <w:t>NSW</w:t>
                  </w:r>
                </w:p>
              </w:tc>
              <w:tc>
                <w:tcPr>
                  <w:tcW w:w="767" w:type="dxa"/>
                  <w:tcBorders>
                    <w:bottom w:val="single" w:sz="4" w:space="0" w:color="auto"/>
                  </w:tcBorders>
                  <w:shd w:val="clear" w:color="auto" w:fill="auto"/>
                </w:tcPr>
                <w:p w:rsidR="003C17D3" w:rsidRPr="0034666A" w:rsidRDefault="003C17D3" w:rsidP="005C0D49">
                  <w:pPr>
                    <w:pStyle w:val="TableColumnHeading"/>
                  </w:pPr>
                  <w:r w:rsidRPr="0034666A">
                    <w:t>Vic</w:t>
                  </w:r>
                </w:p>
              </w:tc>
              <w:tc>
                <w:tcPr>
                  <w:tcW w:w="767" w:type="dxa"/>
                  <w:tcBorders>
                    <w:bottom w:val="single" w:sz="4" w:space="0" w:color="auto"/>
                  </w:tcBorders>
                  <w:shd w:val="clear" w:color="auto" w:fill="auto"/>
                </w:tcPr>
                <w:p w:rsidR="003C17D3" w:rsidRPr="0034666A" w:rsidRDefault="003C17D3" w:rsidP="005C0D49">
                  <w:pPr>
                    <w:pStyle w:val="TableColumnHeading"/>
                  </w:pPr>
                  <w:r w:rsidRPr="0034666A">
                    <w:t>Qld</w:t>
                  </w:r>
                </w:p>
              </w:tc>
              <w:tc>
                <w:tcPr>
                  <w:tcW w:w="767" w:type="dxa"/>
                  <w:tcBorders>
                    <w:bottom w:val="single" w:sz="4" w:space="0" w:color="auto"/>
                  </w:tcBorders>
                  <w:shd w:val="clear" w:color="auto" w:fill="auto"/>
                </w:tcPr>
                <w:p w:rsidR="003C17D3" w:rsidRPr="0034666A" w:rsidRDefault="003C17D3" w:rsidP="005C0D49">
                  <w:pPr>
                    <w:pStyle w:val="TableColumnHeading"/>
                  </w:pPr>
                  <w:r w:rsidRPr="0034666A">
                    <w:t>WA</w:t>
                  </w:r>
                </w:p>
              </w:tc>
              <w:tc>
                <w:tcPr>
                  <w:tcW w:w="767" w:type="dxa"/>
                  <w:tcBorders>
                    <w:bottom w:val="single" w:sz="4" w:space="0" w:color="auto"/>
                  </w:tcBorders>
                  <w:shd w:val="clear" w:color="auto" w:fill="auto"/>
                </w:tcPr>
                <w:p w:rsidR="003C17D3" w:rsidRPr="0034666A" w:rsidRDefault="003C17D3" w:rsidP="005C0D49">
                  <w:pPr>
                    <w:pStyle w:val="TableColumnHeading"/>
                  </w:pPr>
                  <w:r w:rsidRPr="0034666A">
                    <w:t>SA</w:t>
                  </w:r>
                </w:p>
              </w:tc>
              <w:tc>
                <w:tcPr>
                  <w:tcW w:w="767" w:type="dxa"/>
                  <w:tcBorders>
                    <w:bottom w:val="single" w:sz="4" w:space="0" w:color="auto"/>
                  </w:tcBorders>
                  <w:shd w:val="clear" w:color="auto" w:fill="auto"/>
                </w:tcPr>
                <w:p w:rsidR="003C17D3" w:rsidRPr="0034666A" w:rsidRDefault="003C17D3" w:rsidP="005C0D49">
                  <w:pPr>
                    <w:pStyle w:val="TableColumnHeading"/>
                  </w:pPr>
                  <w:r w:rsidRPr="0034666A">
                    <w:t>Tas</w:t>
                  </w:r>
                </w:p>
              </w:tc>
              <w:tc>
                <w:tcPr>
                  <w:tcW w:w="767" w:type="dxa"/>
                  <w:tcBorders>
                    <w:bottom w:val="single" w:sz="4" w:space="0" w:color="auto"/>
                  </w:tcBorders>
                  <w:shd w:val="clear" w:color="auto" w:fill="auto"/>
                </w:tcPr>
                <w:p w:rsidR="003C17D3" w:rsidRPr="0034666A" w:rsidRDefault="003C17D3" w:rsidP="005C0D49">
                  <w:pPr>
                    <w:pStyle w:val="TableColumnHeading"/>
                  </w:pPr>
                  <w:r w:rsidRPr="0034666A">
                    <w:t>ACT</w:t>
                  </w:r>
                </w:p>
              </w:tc>
              <w:tc>
                <w:tcPr>
                  <w:tcW w:w="767" w:type="dxa"/>
                  <w:tcBorders>
                    <w:bottom w:val="single" w:sz="4" w:space="0" w:color="auto"/>
                  </w:tcBorders>
                  <w:shd w:val="clear" w:color="auto" w:fill="auto"/>
                </w:tcPr>
                <w:p w:rsidR="003C17D3" w:rsidRPr="0034666A" w:rsidRDefault="003C17D3" w:rsidP="005C0D49">
                  <w:pPr>
                    <w:pStyle w:val="TableColumnHeading"/>
                  </w:pPr>
                  <w:r w:rsidRPr="0034666A">
                    <w:t>NT</w:t>
                  </w:r>
                </w:p>
              </w:tc>
              <w:tc>
                <w:tcPr>
                  <w:tcW w:w="767" w:type="dxa"/>
                  <w:tcBorders>
                    <w:bottom w:val="single" w:sz="4" w:space="0" w:color="auto"/>
                  </w:tcBorders>
                  <w:shd w:val="clear" w:color="auto" w:fill="auto"/>
                </w:tcPr>
                <w:p w:rsidR="003C17D3" w:rsidRPr="0034666A" w:rsidRDefault="003C17D3" w:rsidP="005C0D49">
                  <w:pPr>
                    <w:pStyle w:val="TableColumnHeading"/>
                  </w:pPr>
                  <w:r w:rsidRPr="0034666A">
                    <w:t>Aust</w:t>
                  </w:r>
                </w:p>
              </w:tc>
            </w:tr>
            <w:tr w:rsidR="008C7BAA" w:rsidRPr="0034666A" w:rsidTr="007D6009">
              <w:tc>
                <w:tcPr>
                  <w:tcW w:w="865" w:type="dxa"/>
                  <w:tcBorders>
                    <w:top w:val="dotted" w:sz="4" w:space="0" w:color="auto"/>
                    <w:left w:val="dotted" w:sz="4" w:space="0" w:color="auto"/>
                    <w:bottom w:val="dotted" w:sz="4" w:space="0" w:color="auto"/>
                    <w:right w:val="dotted" w:sz="4" w:space="0" w:color="auto"/>
                  </w:tcBorders>
                  <w:shd w:val="clear" w:color="auto" w:fill="auto"/>
                </w:tcPr>
                <w:p w:rsidR="008C7BAA" w:rsidRPr="0034666A" w:rsidRDefault="008C7BAA" w:rsidP="005C0D49">
                  <w:pPr>
                    <w:pStyle w:val="TableUnitsRow"/>
                  </w:pP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tcPr>
                <w:p w:rsidR="008C7BAA" w:rsidRDefault="008C7BAA" w:rsidP="005C0D49">
                  <w:pPr>
                    <w:pStyle w:val="TableUnitsRow"/>
                  </w:pP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 xml:space="preserve">550.3 </w:t>
                  </w:r>
                  <w:r w:rsidR="00C32E47">
                    <w:br/>
                  </w:r>
                  <w:r>
                    <w:t>± 3.8</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 xml:space="preserve">548.6 </w:t>
                  </w:r>
                  <w:r w:rsidR="00C32E47">
                    <w:br/>
                  </w:r>
                  <w:r>
                    <w:t>± 3.0</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 xml:space="preserve">543.6 </w:t>
                  </w:r>
                  <w:r w:rsidR="00C32E47">
                    <w:br/>
                  </w:r>
                  <w:r>
                    <w:t>± 2.5</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 xml:space="preserve">545.5 </w:t>
                  </w:r>
                  <w:r w:rsidR="00C32E47">
                    <w:br/>
                  </w:r>
                  <w:r>
                    <w:t>± 3.7</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533.9</w:t>
                  </w:r>
                  <w:r w:rsidR="00C32E47">
                    <w:br/>
                  </w:r>
                  <w:r>
                    <w:t xml:space="preserve"> ± 3.1</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 xml:space="preserve">533.1 </w:t>
                  </w:r>
                  <w:r w:rsidR="00C32E47">
                    <w:br/>
                  </w:r>
                  <w:r>
                    <w:t>± 6.7</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 xml:space="preserve">556.6 </w:t>
                  </w:r>
                  <w:r w:rsidR="00C32E47">
                    <w:br/>
                  </w:r>
                  <w:r>
                    <w:t>± 9.6</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 xml:space="preserve">484.4 </w:t>
                  </w:r>
                  <w:r w:rsidR="00C32E47">
                    <w:br/>
                  </w:r>
                  <w:r>
                    <w:t>± 18.6</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 xml:space="preserve">545.9 </w:t>
                  </w:r>
                  <w:r w:rsidR="00C32E47">
                    <w:br/>
                  </w:r>
                  <w:r>
                    <w:t>± 1.7</w:t>
                  </w:r>
                </w:p>
              </w:tc>
            </w:tr>
            <w:tr w:rsidR="008C7BAA" w:rsidRPr="0034666A" w:rsidTr="007D6009">
              <w:tc>
                <w:tcPr>
                  <w:tcW w:w="865" w:type="dxa"/>
                  <w:tcBorders>
                    <w:top w:val="dotted" w:sz="4" w:space="0" w:color="auto"/>
                    <w:left w:val="dotted" w:sz="4" w:space="0" w:color="auto"/>
                    <w:bottom w:val="dotted" w:sz="4" w:space="0" w:color="auto"/>
                    <w:right w:val="dotted" w:sz="4" w:space="0" w:color="auto"/>
                  </w:tcBorders>
                  <w:shd w:val="clear" w:color="auto" w:fill="auto"/>
                </w:tcPr>
                <w:p w:rsidR="008C7BAA" w:rsidRPr="001552DE" w:rsidRDefault="008C7BAA" w:rsidP="005C0D49">
                  <w:pPr>
                    <w:pStyle w:val="TableColumnHeading"/>
                  </w:pPr>
                  <w:r w:rsidRPr="001552DE">
                    <w:t>NSW</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8C7BAA" w:rsidRDefault="008C7BAA" w:rsidP="008C7BAA">
                  <w:pPr>
                    <w:pStyle w:val="TableBodyText"/>
                  </w:pPr>
                  <w:r>
                    <w:t>550.3 ± 3.8</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r>
            <w:tr w:rsidR="008C7BAA" w:rsidRPr="0034666A" w:rsidTr="007D6009">
              <w:tc>
                <w:tcPr>
                  <w:tcW w:w="865" w:type="dxa"/>
                  <w:tcBorders>
                    <w:top w:val="dotted" w:sz="4" w:space="0" w:color="auto"/>
                    <w:left w:val="dotted" w:sz="4" w:space="0" w:color="auto"/>
                    <w:bottom w:val="dotted" w:sz="4" w:space="0" w:color="auto"/>
                    <w:right w:val="dotted" w:sz="4" w:space="0" w:color="auto"/>
                  </w:tcBorders>
                  <w:shd w:val="clear" w:color="auto" w:fill="auto"/>
                </w:tcPr>
                <w:p w:rsidR="008C7BAA" w:rsidRPr="001552DE" w:rsidRDefault="008C7BAA" w:rsidP="005C0D49">
                  <w:pPr>
                    <w:pStyle w:val="TableColumnHeading"/>
                  </w:pPr>
                  <w:r w:rsidRPr="001552DE">
                    <w:t>Vic</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8C7BAA" w:rsidRDefault="008C7BAA" w:rsidP="008C7BAA">
                  <w:pPr>
                    <w:pStyle w:val="TableBodyText"/>
                  </w:pPr>
                  <w:r>
                    <w:t>548.6 ± 3.0</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r>
            <w:tr w:rsidR="008C7BAA" w:rsidRPr="0034666A" w:rsidTr="007D6009">
              <w:tc>
                <w:tcPr>
                  <w:tcW w:w="865" w:type="dxa"/>
                  <w:tcBorders>
                    <w:top w:val="dotted" w:sz="4" w:space="0" w:color="auto"/>
                    <w:left w:val="dotted" w:sz="4" w:space="0" w:color="auto"/>
                    <w:bottom w:val="dotted" w:sz="4" w:space="0" w:color="auto"/>
                    <w:right w:val="dotted" w:sz="4" w:space="0" w:color="auto"/>
                  </w:tcBorders>
                  <w:shd w:val="clear" w:color="auto" w:fill="auto"/>
                </w:tcPr>
                <w:p w:rsidR="008C7BAA" w:rsidRPr="001552DE" w:rsidRDefault="008C7BAA" w:rsidP="005C0D49">
                  <w:pPr>
                    <w:pStyle w:val="TableColumnHeading"/>
                  </w:pPr>
                  <w:r w:rsidRPr="001552DE">
                    <w:t>Qld</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8C7BAA" w:rsidRDefault="008C7BAA" w:rsidP="008C7BAA">
                  <w:pPr>
                    <w:pStyle w:val="TableBodyText"/>
                  </w:pPr>
                  <w:r>
                    <w:t>543.6 ± 2.5</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r>
            <w:tr w:rsidR="008C7BAA" w:rsidRPr="0034666A" w:rsidTr="007D6009">
              <w:tc>
                <w:tcPr>
                  <w:tcW w:w="865" w:type="dxa"/>
                  <w:tcBorders>
                    <w:top w:val="dotted" w:sz="4" w:space="0" w:color="auto"/>
                    <w:left w:val="dotted" w:sz="4" w:space="0" w:color="auto"/>
                    <w:bottom w:val="dotted" w:sz="4" w:space="0" w:color="auto"/>
                    <w:right w:val="dotted" w:sz="4" w:space="0" w:color="auto"/>
                  </w:tcBorders>
                  <w:shd w:val="clear" w:color="auto" w:fill="auto"/>
                </w:tcPr>
                <w:p w:rsidR="008C7BAA" w:rsidRPr="001552DE" w:rsidRDefault="008C7BAA" w:rsidP="005C0D49">
                  <w:pPr>
                    <w:pStyle w:val="TableColumnHeading"/>
                  </w:pPr>
                  <w:r w:rsidRPr="001552DE">
                    <w:t>WA</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8C7BAA" w:rsidRDefault="008C7BAA" w:rsidP="008C7BAA">
                  <w:pPr>
                    <w:pStyle w:val="TableBodyText"/>
                  </w:pPr>
                  <w:r>
                    <w:t>545.5 ± 3.7</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r>
            <w:tr w:rsidR="008C7BAA" w:rsidRPr="0034666A" w:rsidTr="007D6009">
              <w:tc>
                <w:tcPr>
                  <w:tcW w:w="865" w:type="dxa"/>
                  <w:tcBorders>
                    <w:top w:val="dotted" w:sz="4" w:space="0" w:color="auto"/>
                    <w:left w:val="dotted" w:sz="4" w:space="0" w:color="auto"/>
                    <w:bottom w:val="dotted" w:sz="4" w:space="0" w:color="auto"/>
                    <w:right w:val="dotted" w:sz="4" w:space="0" w:color="auto"/>
                  </w:tcBorders>
                  <w:shd w:val="clear" w:color="auto" w:fill="auto"/>
                </w:tcPr>
                <w:p w:rsidR="008C7BAA" w:rsidRPr="001552DE" w:rsidRDefault="008C7BAA" w:rsidP="005C0D49">
                  <w:pPr>
                    <w:pStyle w:val="TableColumnHeading"/>
                  </w:pPr>
                  <w:r w:rsidRPr="001552DE">
                    <w:t>SA</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8C7BAA" w:rsidRDefault="008C7BAA" w:rsidP="008C7BAA">
                  <w:pPr>
                    <w:pStyle w:val="TableBodyText"/>
                  </w:pPr>
                  <w:r>
                    <w:t>533.9 ± 3.1</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r>
            <w:tr w:rsidR="008C7BAA" w:rsidRPr="0034666A" w:rsidTr="007D6009">
              <w:tc>
                <w:tcPr>
                  <w:tcW w:w="865" w:type="dxa"/>
                  <w:tcBorders>
                    <w:top w:val="dotted" w:sz="4" w:space="0" w:color="auto"/>
                    <w:left w:val="dotted" w:sz="4" w:space="0" w:color="auto"/>
                    <w:bottom w:val="dotted" w:sz="4" w:space="0" w:color="auto"/>
                    <w:right w:val="dotted" w:sz="4" w:space="0" w:color="auto"/>
                  </w:tcBorders>
                  <w:shd w:val="clear" w:color="auto" w:fill="auto"/>
                </w:tcPr>
                <w:p w:rsidR="008C7BAA" w:rsidRPr="001552DE" w:rsidRDefault="008C7BAA" w:rsidP="005C0D49">
                  <w:pPr>
                    <w:pStyle w:val="TableColumnHeading"/>
                  </w:pPr>
                  <w:r w:rsidRPr="001552DE">
                    <w:t>Tas</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8C7BAA" w:rsidRDefault="008C7BAA" w:rsidP="008C7BAA">
                  <w:pPr>
                    <w:pStyle w:val="TableBodyText"/>
                  </w:pPr>
                  <w:r>
                    <w:t>533.1 ± 6.7</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r>
            <w:tr w:rsidR="008C7BAA" w:rsidRPr="0034666A" w:rsidTr="007D6009">
              <w:tc>
                <w:tcPr>
                  <w:tcW w:w="865" w:type="dxa"/>
                  <w:tcBorders>
                    <w:top w:val="dotted" w:sz="4" w:space="0" w:color="auto"/>
                    <w:left w:val="dotted" w:sz="4" w:space="0" w:color="auto"/>
                    <w:bottom w:val="dotted" w:sz="4" w:space="0" w:color="auto"/>
                    <w:right w:val="dotted" w:sz="4" w:space="0" w:color="auto"/>
                  </w:tcBorders>
                  <w:shd w:val="clear" w:color="auto" w:fill="auto"/>
                </w:tcPr>
                <w:p w:rsidR="008C7BAA" w:rsidRPr="001552DE" w:rsidRDefault="008C7BAA" w:rsidP="005C0D49">
                  <w:pPr>
                    <w:pStyle w:val="TableColumnHeading"/>
                  </w:pPr>
                  <w:r w:rsidRPr="001552DE">
                    <w:t>ACT</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8C7BAA" w:rsidRDefault="008C7BAA" w:rsidP="008C7BAA">
                  <w:pPr>
                    <w:pStyle w:val="TableBodyText"/>
                  </w:pPr>
                  <w:r>
                    <w:t>556.6 ± 9.6</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r>
            <w:tr w:rsidR="008C7BAA" w:rsidRPr="0034666A" w:rsidTr="007D6009">
              <w:tc>
                <w:tcPr>
                  <w:tcW w:w="865" w:type="dxa"/>
                  <w:tcBorders>
                    <w:top w:val="dotted" w:sz="4" w:space="0" w:color="auto"/>
                    <w:left w:val="dotted" w:sz="4" w:space="0" w:color="auto"/>
                    <w:bottom w:val="dotted" w:sz="4" w:space="0" w:color="auto"/>
                    <w:right w:val="dotted" w:sz="4" w:space="0" w:color="auto"/>
                  </w:tcBorders>
                  <w:shd w:val="clear" w:color="auto" w:fill="auto"/>
                </w:tcPr>
                <w:p w:rsidR="008C7BAA" w:rsidRPr="001552DE" w:rsidRDefault="008C7BAA" w:rsidP="005C0D49">
                  <w:pPr>
                    <w:pStyle w:val="TableColumnHeading"/>
                  </w:pPr>
                  <w:r w:rsidRPr="001552DE">
                    <w:t>NT</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8C7BAA" w:rsidRDefault="008C7BAA" w:rsidP="008C7BAA">
                  <w:pPr>
                    <w:pStyle w:val="TableBodyText"/>
                  </w:pPr>
                  <w:r>
                    <w:t>484.4 ± 18.6</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r>
            <w:tr w:rsidR="008C7BAA" w:rsidRPr="00895A13" w:rsidTr="007D6009">
              <w:tc>
                <w:tcPr>
                  <w:tcW w:w="865" w:type="dxa"/>
                  <w:tcBorders>
                    <w:top w:val="dotted" w:sz="4" w:space="0" w:color="auto"/>
                    <w:left w:val="dotted" w:sz="4" w:space="0" w:color="auto"/>
                    <w:bottom w:val="dotted" w:sz="4" w:space="0" w:color="auto"/>
                    <w:right w:val="dotted" w:sz="4" w:space="0" w:color="auto"/>
                  </w:tcBorders>
                  <w:shd w:val="clear" w:color="auto" w:fill="auto"/>
                </w:tcPr>
                <w:p w:rsidR="008C7BAA" w:rsidRPr="001552DE" w:rsidRDefault="008C7BAA" w:rsidP="005C0D49">
                  <w:pPr>
                    <w:pStyle w:val="TableColumnHeading"/>
                  </w:pPr>
                  <w:r w:rsidRPr="001552DE">
                    <w:t>Aust</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8C7BAA" w:rsidRDefault="008C7BAA" w:rsidP="008C7BAA">
                  <w:pPr>
                    <w:pStyle w:val="TableBodyText"/>
                  </w:pPr>
                  <w:r>
                    <w:t>545.9 ± 1.7</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8C7BAA" w:rsidRDefault="008C7BAA" w:rsidP="008C7BAA">
                  <w:pPr>
                    <w:pStyle w:val="TableBodyText"/>
                  </w:pPr>
                  <w:r>
                    <w:t>.. </w:t>
                  </w:r>
                </w:p>
              </w:tc>
            </w:tr>
          </w:tbl>
          <w:p w:rsidR="003C17D3" w:rsidRDefault="003C17D3" w:rsidP="005C0D49">
            <w:pPr>
              <w:pStyle w:val="Box"/>
            </w:pPr>
          </w:p>
        </w:tc>
      </w:tr>
      <w:tr w:rsidR="006F2A4E" w:rsidTr="00A97042">
        <w:trPr>
          <w:cantSplit/>
        </w:trPr>
        <w:tc>
          <w:tcPr>
            <w:tcW w:w="8909" w:type="dxa"/>
            <w:gridSpan w:val="2"/>
            <w:tcBorders>
              <w:top w:val="nil"/>
              <w:left w:val="nil"/>
              <w:bottom w:val="nil"/>
              <w:right w:val="nil"/>
            </w:tcBorders>
            <w:shd w:val="clear" w:color="auto" w:fill="auto"/>
          </w:tcPr>
          <w:p w:rsidR="006F2A4E" w:rsidRPr="009F0531" w:rsidRDefault="006F2A4E" w:rsidP="007A42E5">
            <w:pPr>
              <w:pStyle w:val="Note"/>
            </w:pPr>
            <w:r w:rsidRPr="009F0531">
              <w:rPr>
                <w:rStyle w:val="NoteLabel"/>
                <w:b w:val="0"/>
                <w:position w:val="0"/>
              </w:rPr>
              <w:t>▲</w:t>
            </w:r>
            <w:r>
              <w:t xml:space="preserve"> </w:t>
            </w:r>
            <w:r w:rsidRPr="009F0531">
              <w:t xml:space="preserve">Average achievement is substantially above and is statistically significantly different from the comparison State/Territory. </w:t>
            </w:r>
            <w:r w:rsidRPr="009F0531">
              <w:rPr>
                <w:rFonts w:ascii="Cambria Math" w:hAnsi="Cambria Math" w:cs="Cambria Math"/>
              </w:rPr>
              <w:t>△</w:t>
            </w:r>
            <w:r w:rsidRPr="009F0531">
              <w:t xml:space="preserve"> Average achievement is above and is statistically significantly different from the comparison State/Territory. ■ Average achievement is close to or not statistically different from the comparison State/Territory. </w:t>
            </w:r>
            <w:r w:rsidRPr="009F0531">
              <w:rPr>
                <w:rFonts w:ascii="MS Gothic" w:eastAsia="MS Gothic" w:hAnsi="MS Gothic" w:cs="MS Gothic" w:hint="eastAsia"/>
              </w:rPr>
              <w:t>▽</w:t>
            </w:r>
            <w:r w:rsidR="00C32E47">
              <w:rPr>
                <w:rFonts w:ascii="MS Gothic" w:eastAsia="MS Gothic" w:hAnsi="MS Gothic" w:cs="MS Gothic"/>
              </w:rPr>
              <w:t xml:space="preserve"> </w:t>
            </w:r>
            <w:r w:rsidRPr="009F0531">
              <w:t>Average achievement is below and is statistically significantly different from the comparison State/Territory. ▼ Average achievement is substantially below and is statistically significantly different from the comparison State/Territory.</w:t>
            </w:r>
          </w:p>
          <w:p w:rsidR="006F2A4E" w:rsidRDefault="006F2A4E" w:rsidP="001521BB">
            <w:pPr>
              <w:pStyle w:val="Note"/>
              <w:rPr>
                <w:i/>
              </w:rPr>
            </w:pPr>
            <w:r w:rsidRPr="008E77FE">
              <w:rPr>
                <w:rStyle w:val="NoteLabel"/>
              </w:rPr>
              <w:t>a</w:t>
            </w:r>
            <w:r w:rsidRPr="009F0531">
              <w:t> For further information and caveats see table 4A.</w:t>
            </w:r>
            <w:r w:rsidR="001521BB">
              <w:t>111</w:t>
            </w:r>
            <w:r w:rsidRPr="009F0531">
              <w:t>.</w:t>
            </w:r>
            <w:r>
              <w:t xml:space="preserve"> .. not applicable.</w:t>
            </w:r>
          </w:p>
        </w:tc>
      </w:tr>
      <w:tr w:rsidR="006F2A4E" w:rsidTr="00A97042">
        <w:trPr>
          <w:cantSplit/>
        </w:trPr>
        <w:tc>
          <w:tcPr>
            <w:tcW w:w="8909" w:type="dxa"/>
            <w:gridSpan w:val="2"/>
            <w:tcBorders>
              <w:top w:val="nil"/>
              <w:left w:val="nil"/>
              <w:bottom w:val="nil"/>
              <w:right w:val="nil"/>
            </w:tcBorders>
            <w:shd w:val="clear" w:color="auto" w:fill="auto"/>
          </w:tcPr>
          <w:p w:rsidR="006F2A4E" w:rsidRDefault="006F2A4E" w:rsidP="001521BB">
            <w:pPr>
              <w:pStyle w:val="Source"/>
            </w:pPr>
            <w:r>
              <w:rPr>
                <w:i/>
              </w:rPr>
              <w:t>Source</w:t>
            </w:r>
            <w:r w:rsidRPr="00167F06">
              <w:t xml:space="preserve">: </w:t>
            </w:r>
            <w:r w:rsidRPr="006F2A4E">
              <w:t>ACARA (2014</w:t>
            </w:r>
            <w:r w:rsidR="00592D0D" w:rsidRPr="00BE4E82">
              <w:t xml:space="preserve"> and unpublished</w:t>
            </w:r>
            <w:r w:rsidRPr="006F2A4E">
              <w:t xml:space="preserve">) </w:t>
            </w:r>
            <w:r w:rsidRPr="006F2A4E">
              <w:rPr>
                <w:i/>
              </w:rPr>
              <w:t>NAPLAN Achievement in Reading, Writing, Language Conventions and Numeracy: National Report for 2014</w:t>
            </w:r>
            <w:r w:rsidRPr="006F2A4E">
              <w:t>; table 4A.</w:t>
            </w:r>
            <w:r w:rsidR="001521BB">
              <w:t>111</w:t>
            </w:r>
            <w:r w:rsidRPr="006F2A4E">
              <w:t>.</w:t>
            </w:r>
          </w:p>
        </w:tc>
      </w:tr>
      <w:tr w:rsidR="006F2A4E" w:rsidTr="00A97042">
        <w:trPr>
          <w:cantSplit/>
        </w:trPr>
        <w:tc>
          <w:tcPr>
            <w:tcW w:w="8909" w:type="dxa"/>
            <w:gridSpan w:val="2"/>
            <w:tcBorders>
              <w:top w:val="nil"/>
              <w:left w:val="nil"/>
              <w:bottom w:val="single" w:sz="6" w:space="0" w:color="78A22F"/>
              <w:right w:val="nil"/>
            </w:tcBorders>
            <w:shd w:val="clear" w:color="auto" w:fill="auto"/>
          </w:tcPr>
          <w:p w:rsidR="006F2A4E" w:rsidRDefault="006F2A4E" w:rsidP="007A42E5">
            <w:pPr>
              <w:pStyle w:val="Box"/>
              <w:spacing w:before="0" w:line="120" w:lineRule="exact"/>
            </w:pPr>
          </w:p>
        </w:tc>
      </w:tr>
      <w:tr w:rsidR="006F2A4E" w:rsidRPr="000863A5" w:rsidTr="00A97042">
        <w:tc>
          <w:tcPr>
            <w:tcW w:w="8909" w:type="dxa"/>
            <w:gridSpan w:val="2"/>
            <w:tcBorders>
              <w:top w:val="single" w:sz="6" w:space="0" w:color="78A22F"/>
              <w:left w:val="nil"/>
              <w:bottom w:val="nil"/>
              <w:right w:val="nil"/>
            </w:tcBorders>
          </w:tcPr>
          <w:p w:rsidR="006F2A4E" w:rsidRPr="00626D32" w:rsidRDefault="006F2A4E" w:rsidP="007A42E5">
            <w:pPr>
              <w:pStyle w:val="BoxSpaceBelow"/>
            </w:pPr>
          </w:p>
        </w:tc>
      </w:tr>
    </w:tbl>
    <w:p w:rsidR="008C752D" w:rsidRDefault="008C752D" w:rsidP="007D6009">
      <w:pPr>
        <w:spacing w:before="240" w:line="320" w:lineRule="atLeast"/>
        <w:jc w:val="both"/>
        <w:rPr>
          <w:szCs w:val="20"/>
        </w:rPr>
      </w:pPr>
      <w:r w:rsidRPr="00891EF6">
        <w:rPr>
          <w:szCs w:val="20"/>
        </w:rPr>
        <w:t xml:space="preserve">The proportion of year </w:t>
      </w:r>
      <w:r w:rsidR="004C0D14">
        <w:rPr>
          <w:szCs w:val="20"/>
        </w:rPr>
        <w:t>9</w:t>
      </w:r>
      <w:r w:rsidRPr="00891EF6">
        <w:rPr>
          <w:szCs w:val="20"/>
        </w:rPr>
        <w:t xml:space="preserve"> students who achieved at or above the numeracy national minimum standard in 201</w:t>
      </w:r>
      <w:r>
        <w:rPr>
          <w:szCs w:val="20"/>
        </w:rPr>
        <w:t>4</w:t>
      </w:r>
      <w:r w:rsidRPr="00891EF6">
        <w:rPr>
          <w:szCs w:val="20"/>
        </w:rPr>
        <w:t xml:space="preserve"> was </w:t>
      </w:r>
      <w:r w:rsidR="00A90148" w:rsidRPr="007D6009">
        <w:rPr>
          <w:szCs w:val="20"/>
          <w:shd w:val="clear" w:color="auto" w:fill="FFFFFF" w:themeFill="background1"/>
        </w:rPr>
        <w:t>93.8</w:t>
      </w:r>
      <w:r w:rsidR="00F3188C" w:rsidRPr="007D6009">
        <w:rPr>
          <w:szCs w:val="20"/>
          <w:shd w:val="clear" w:color="auto" w:fill="FFFFFF" w:themeFill="background1"/>
        </w:rPr>
        <w:t>–9</w:t>
      </w:r>
      <w:r w:rsidR="00A90148" w:rsidRPr="007D6009">
        <w:rPr>
          <w:szCs w:val="20"/>
          <w:shd w:val="clear" w:color="auto" w:fill="FFFFFF" w:themeFill="background1"/>
        </w:rPr>
        <w:t>4.4</w:t>
      </w:r>
      <w:r w:rsidRPr="00E116EB">
        <w:rPr>
          <w:szCs w:val="20"/>
        </w:rPr>
        <w:t xml:space="preserve"> </w:t>
      </w:r>
      <w:r w:rsidRPr="00891EF6">
        <w:rPr>
          <w:szCs w:val="20"/>
        </w:rPr>
        <w:t xml:space="preserve">per cent nationally. The proportion of </w:t>
      </w:r>
      <w:r w:rsidR="007267E2" w:rsidRPr="00BE4E82">
        <w:t>Aboriginal and Torres Strait Islander</w:t>
      </w:r>
      <w:r w:rsidRPr="00891EF6">
        <w:rPr>
          <w:szCs w:val="20"/>
        </w:rPr>
        <w:t xml:space="preserve"> students (</w:t>
      </w:r>
      <w:r w:rsidR="001155F2" w:rsidRPr="007D6009">
        <w:rPr>
          <w:szCs w:val="20"/>
          <w:shd w:val="clear" w:color="auto" w:fill="FFFFFF" w:themeFill="background1"/>
        </w:rPr>
        <w:t>7</w:t>
      </w:r>
      <w:r w:rsidR="00F3188C" w:rsidRPr="007D6009">
        <w:rPr>
          <w:szCs w:val="20"/>
          <w:shd w:val="clear" w:color="auto" w:fill="FFFFFF" w:themeFill="background1"/>
        </w:rPr>
        <w:t>4.</w:t>
      </w:r>
      <w:r w:rsidR="001155F2" w:rsidRPr="007D6009">
        <w:rPr>
          <w:szCs w:val="20"/>
          <w:shd w:val="clear" w:color="auto" w:fill="FFFFFF" w:themeFill="background1"/>
        </w:rPr>
        <w:t>7</w:t>
      </w:r>
      <w:r w:rsidR="00F3188C" w:rsidRPr="007D6009">
        <w:rPr>
          <w:szCs w:val="20"/>
          <w:shd w:val="clear" w:color="auto" w:fill="FFFFFF" w:themeFill="background1"/>
        </w:rPr>
        <w:t>–</w:t>
      </w:r>
      <w:r w:rsidR="001155F2" w:rsidRPr="007D6009">
        <w:rPr>
          <w:szCs w:val="20"/>
          <w:shd w:val="clear" w:color="auto" w:fill="FFFFFF" w:themeFill="background1"/>
        </w:rPr>
        <w:t>7</w:t>
      </w:r>
      <w:r w:rsidR="00F3188C" w:rsidRPr="007D6009">
        <w:rPr>
          <w:szCs w:val="20"/>
          <w:shd w:val="clear" w:color="auto" w:fill="FFFFFF" w:themeFill="background1"/>
        </w:rPr>
        <w:t>7.</w:t>
      </w:r>
      <w:r w:rsidR="001155F2" w:rsidRPr="007D6009">
        <w:rPr>
          <w:szCs w:val="20"/>
          <w:shd w:val="clear" w:color="auto" w:fill="FFFFFF" w:themeFill="background1"/>
        </w:rPr>
        <w:t>7</w:t>
      </w:r>
      <w:r w:rsidRPr="007D6009">
        <w:rPr>
          <w:szCs w:val="20"/>
          <w:shd w:val="clear" w:color="auto" w:fill="FFFFFF" w:themeFill="background1"/>
        </w:rPr>
        <w:t xml:space="preserve"> per</w:t>
      </w:r>
      <w:r w:rsidRPr="00891EF6">
        <w:rPr>
          <w:szCs w:val="20"/>
        </w:rPr>
        <w:t xml:space="preserve"> cent) was significantly lower than for non</w:t>
      </w:r>
      <w:r w:rsidRPr="00891EF6">
        <w:rPr>
          <w:szCs w:val="20"/>
        </w:rPr>
        <w:noBreakHyphen/>
        <w:t>Indigenous students (</w:t>
      </w:r>
      <w:r w:rsidR="001155F2" w:rsidRPr="007D6009">
        <w:rPr>
          <w:szCs w:val="20"/>
          <w:shd w:val="clear" w:color="auto" w:fill="FFFFFF" w:themeFill="background1"/>
        </w:rPr>
        <w:t>94.9</w:t>
      </w:r>
      <w:r w:rsidR="00F3188C" w:rsidRPr="007D6009">
        <w:rPr>
          <w:szCs w:val="20"/>
          <w:shd w:val="clear" w:color="auto" w:fill="FFFFFF" w:themeFill="background1"/>
        </w:rPr>
        <w:t>–9</w:t>
      </w:r>
      <w:r w:rsidR="001155F2" w:rsidRPr="007D6009">
        <w:rPr>
          <w:szCs w:val="20"/>
          <w:shd w:val="clear" w:color="auto" w:fill="FFFFFF" w:themeFill="background1"/>
        </w:rPr>
        <w:t>5.5</w:t>
      </w:r>
      <w:r w:rsidRPr="00E116EB">
        <w:rPr>
          <w:szCs w:val="20"/>
        </w:rPr>
        <w:t xml:space="preserve"> </w:t>
      </w:r>
      <w:r w:rsidRPr="00891EF6">
        <w:rPr>
          <w:szCs w:val="20"/>
        </w:rPr>
        <w:t>per cent) (figure 4.3</w:t>
      </w:r>
      <w:r w:rsidR="00FF2AB3">
        <w:rPr>
          <w:szCs w:val="20"/>
        </w:rPr>
        <w:t>2</w:t>
      </w:r>
      <w:r w:rsidRPr="00891EF6">
        <w:rPr>
          <w:szCs w:val="20"/>
        </w:rPr>
        <w:t>). These proportions varied across jurisdictions.</w:t>
      </w:r>
    </w:p>
    <w:p w:rsidR="00CE6853" w:rsidRDefault="00CE6853" w:rsidP="00CE6853">
      <w:pPr>
        <w:pStyle w:val="BodyText"/>
      </w:pPr>
      <w:r>
        <w:br w:type="page"/>
      </w:r>
    </w:p>
    <w:p w:rsidR="0099541F" w:rsidRDefault="0099541F" w:rsidP="0058556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9541F" w:rsidTr="0058556B">
        <w:tc>
          <w:tcPr>
            <w:tcW w:w="8771" w:type="dxa"/>
            <w:tcBorders>
              <w:top w:val="single" w:sz="6" w:space="0" w:color="78A22F"/>
              <w:left w:val="nil"/>
              <w:bottom w:val="nil"/>
              <w:right w:val="nil"/>
            </w:tcBorders>
            <w:shd w:val="clear" w:color="auto" w:fill="auto"/>
          </w:tcPr>
          <w:p w:rsidR="0099541F" w:rsidRPr="00176D3F" w:rsidRDefault="0099541F" w:rsidP="008612A7">
            <w:pPr>
              <w:pStyle w:val="FigureTitle"/>
            </w:pPr>
            <w:r w:rsidRPr="00784A05">
              <w:rPr>
                <w:b w:val="0"/>
              </w:rPr>
              <w:t xml:space="preserve">Figure </w:t>
            </w:r>
            <w:r w:rsidR="00B70781">
              <w:rPr>
                <w:b w:val="0"/>
              </w:rPr>
              <w:t>4.</w:t>
            </w:r>
            <w:r w:rsidR="005953B6">
              <w:rPr>
                <w:b w:val="0"/>
                <w:noProof/>
              </w:rPr>
              <w:t>32</w:t>
            </w:r>
            <w:r>
              <w:tab/>
            </w:r>
            <w:r w:rsidRPr="0099541F">
              <w:t>Proportion of year 9 students achieving at or above the numeracy national minimum standard, 201</w:t>
            </w:r>
            <w:r w:rsidR="008612A7">
              <w:t>4</w:t>
            </w:r>
            <w:r w:rsidRPr="0099541F">
              <w:rPr>
                <w:rStyle w:val="NoteLabel"/>
                <w:b/>
              </w:rPr>
              <w:t>a, b</w:t>
            </w:r>
          </w:p>
        </w:tc>
      </w:tr>
      <w:tr w:rsidR="0099541F" w:rsidTr="007D6009">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9541F" w:rsidTr="0058556B">
              <w:trPr>
                <w:jc w:val="center"/>
              </w:trPr>
              <w:tc>
                <w:tcPr>
                  <w:tcW w:w="5000" w:type="pct"/>
                  <w:tcBorders>
                    <w:top w:val="nil"/>
                    <w:bottom w:val="nil"/>
                  </w:tcBorders>
                </w:tcPr>
                <w:p w:rsidR="0099541F" w:rsidRDefault="00E07C77" w:rsidP="0058556B">
                  <w:pPr>
                    <w:pStyle w:val="Figure"/>
                    <w:spacing w:before="60" w:after="60"/>
                  </w:pPr>
                  <w:r>
                    <w:rPr>
                      <w:noProof/>
                    </w:rPr>
                    <w:drawing>
                      <wp:inline distT="0" distB="0" distL="0" distR="0" wp14:anchorId="16334577" wp14:editId="47FCA492">
                        <wp:extent cx="5391150" cy="2695575"/>
                        <wp:effectExtent l="0" t="0" r="0" b="9525"/>
                        <wp:docPr id="32" name="Picture 32" descr="Figure 4.32 Proportion of year 9 students achieving at or above the numeracy national minimum standard,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99541F" w:rsidRDefault="0099541F" w:rsidP="0058556B">
            <w:pPr>
              <w:pStyle w:val="Figure"/>
            </w:pPr>
          </w:p>
        </w:tc>
      </w:tr>
      <w:tr w:rsidR="0099541F" w:rsidRPr="00176D3F" w:rsidTr="0058556B">
        <w:tc>
          <w:tcPr>
            <w:tcW w:w="8771" w:type="dxa"/>
            <w:tcBorders>
              <w:top w:val="nil"/>
              <w:left w:val="nil"/>
              <w:bottom w:val="nil"/>
              <w:right w:val="nil"/>
            </w:tcBorders>
            <w:shd w:val="clear" w:color="auto" w:fill="auto"/>
          </w:tcPr>
          <w:p w:rsidR="0099541F" w:rsidRPr="00176D3F" w:rsidRDefault="0099541F" w:rsidP="00E372EE">
            <w:pPr>
              <w:pStyle w:val="Note"/>
            </w:pPr>
            <w:r>
              <w:rPr>
                <w:rStyle w:val="NoteLabel"/>
              </w:rPr>
              <w:t>a</w:t>
            </w:r>
            <w:r>
              <w:t xml:space="preserve"> </w:t>
            </w:r>
            <w:r w:rsidRPr="0099541F">
              <w:t xml:space="preserve">Error bars represent the 95 per cent confidence interval associated with each point estimate. </w:t>
            </w:r>
            <w:r w:rsidRPr="00820CF9">
              <w:rPr>
                <w:rStyle w:val="NoteLabel"/>
              </w:rPr>
              <w:t>b</w:t>
            </w:r>
            <w:r w:rsidRPr="0099541F">
              <w:t> For further information and caveats see table 4A.</w:t>
            </w:r>
            <w:r w:rsidR="00E372EE">
              <w:t>108</w:t>
            </w:r>
            <w:r w:rsidRPr="0099541F">
              <w:t>.</w:t>
            </w:r>
          </w:p>
        </w:tc>
      </w:tr>
      <w:tr w:rsidR="0099541F" w:rsidRPr="00176D3F" w:rsidTr="0058556B">
        <w:tc>
          <w:tcPr>
            <w:tcW w:w="8771" w:type="dxa"/>
            <w:tcBorders>
              <w:top w:val="nil"/>
              <w:left w:val="nil"/>
              <w:bottom w:val="nil"/>
              <w:right w:val="nil"/>
            </w:tcBorders>
            <w:shd w:val="clear" w:color="auto" w:fill="auto"/>
          </w:tcPr>
          <w:p w:rsidR="0099541F" w:rsidRPr="00176D3F" w:rsidRDefault="0099541F" w:rsidP="00E372EE">
            <w:pPr>
              <w:pStyle w:val="Source"/>
            </w:pPr>
            <w:r>
              <w:rPr>
                <w:i/>
              </w:rPr>
              <w:t>S</w:t>
            </w:r>
            <w:r w:rsidRPr="00784A05">
              <w:rPr>
                <w:i/>
              </w:rPr>
              <w:t>ource</w:t>
            </w:r>
            <w:r w:rsidRPr="00176D3F">
              <w:t xml:space="preserve">: </w:t>
            </w:r>
            <w:r w:rsidRPr="0099541F">
              <w:t>ACARA (201</w:t>
            </w:r>
            <w:r w:rsidR="00CE6853">
              <w:t>4</w:t>
            </w:r>
            <w:r w:rsidRPr="0099541F">
              <w:t xml:space="preserve"> and unpublished) </w:t>
            </w:r>
            <w:r w:rsidRPr="0099541F">
              <w:rPr>
                <w:i/>
              </w:rPr>
              <w:t>NAPLAN Achievement in Reading, Writing, Language Conventions and Numeracy: National Report for 201</w:t>
            </w:r>
            <w:r w:rsidR="00CE6853">
              <w:rPr>
                <w:i/>
              </w:rPr>
              <w:t>4</w:t>
            </w:r>
            <w:r w:rsidRPr="0099541F">
              <w:t>; table 4A.</w:t>
            </w:r>
            <w:r w:rsidR="00E372EE">
              <w:t>108</w:t>
            </w:r>
            <w:r w:rsidRPr="0099541F">
              <w:t>.</w:t>
            </w:r>
          </w:p>
        </w:tc>
      </w:tr>
      <w:tr w:rsidR="0099541F" w:rsidTr="0058556B">
        <w:tc>
          <w:tcPr>
            <w:tcW w:w="8771" w:type="dxa"/>
            <w:tcBorders>
              <w:top w:val="nil"/>
              <w:left w:val="nil"/>
              <w:bottom w:val="single" w:sz="6" w:space="0" w:color="78A22F"/>
              <w:right w:val="nil"/>
            </w:tcBorders>
            <w:shd w:val="clear" w:color="auto" w:fill="auto"/>
          </w:tcPr>
          <w:p w:rsidR="0099541F" w:rsidRDefault="0099541F" w:rsidP="0058556B">
            <w:pPr>
              <w:pStyle w:val="Figurespace"/>
            </w:pPr>
          </w:p>
        </w:tc>
      </w:tr>
      <w:tr w:rsidR="0099541F" w:rsidRPr="000863A5" w:rsidTr="0058556B">
        <w:tc>
          <w:tcPr>
            <w:tcW w:w="8771" w:type="dxa"/>
            <w:tcBorders>
              <w:top w:val="single" w:sz="6" w:space="0" w:color="78A22F"/>
              <w:left w:val="nil"/>
              <w:bottom w:val="nil"/>
              <w:right w:val="nil"/>
            </w:tcBorders>
          </w:tcPr>
          <w:p w:rsidR="0099541F" w:rsidRPr="00626D32" w:rsidRDefault="0099541F" w:rsidP="0058556B">
            <w:pPr>
              <w:pStyle w:val="BoxSpaceBelow"/>
            </w:pPr>
          </w:p>
        </w:tc>
      </w:tr>
    </w:tbl>
    <w:p w:rsidR="008C752D" w:rsidRPr="0089766B" w:rsidRDefault="008C752D" w:rsidP="008C752D">
      <w:pPr>
        <w:pStyle w:val="BodyText"/>
      </w:pPr>
      <w:r w:rsidRPr="0089766B">
        <w:t xml:space="preserve">Statistical significance of differences across states and territories between proportions of year </w:t>
      </w:r>
      <w:r w:rsidR="004C0D14">
        <w:t>9</w:t>
      </w:r>
      <w:r w:rsidRPr="0089766B">
        <w:t xml:space="preserve"> students who achieved at or above the national minimum standard for </w:t>
      </w:r>
      <w:r>
        <w:t>numeracy</w:t>
      </w:r>
      <w:r w:rsidRPr="0089766B">
        <w:t xml:space="preserve"> in 2014 are provided in table 4A.</w:t>
      </w:r>
      <w:r w:rsidR="001521BB">
        <w:t>108</w:t>
      </w:r>
      <w:r w:rsidRPr="0089766B">
        <w:t>.</w:t>
      </w:r>
    </w:p>
    <w:p w:rsidR="008C752D" w:rsidRPr="0089766B" w:rsidRDefault="008C752D" w:rsidP="007D6009">
      <w:pPr>
        <w:pStyle w:val="BodyText"/>
      </w:pPr>
      <w:r w:rsidRPr="0089766B">
        <w:t xml:space="preserve">The mean scale score for year </w:t>
      </w:r>
      <w:r w:rsidR="004C0D14">
        <w:t>9</w:t>
      </w:r>
      <w:r w:rsidRPr="0089766B">
        <w:t xml:space="preserve"> </w:t>
      </w:r>
      <w:r>
        <w:t>numeracy</w:t>
      </w:r>
      <w:r w:rsidRPr="0089766B">
        <w:t xml:space="preserve"> in 2014 for all students was </w:t>
      </w:r>
      <w:r w:rsidR="00F3188C" w:rsidRPr="007D6009">
        <w:rPr>
          <w:shd w:val="clear" w:color="auto" w:fill="FFFFFF" w:themeFill="background1"/>
        </w:rPr>
        <w:t>58</w:t>
      </w:r>
      <w:r w:rsidR="001155F2" w:rsidRPr="007D6009">
        <w:rPr>
          <w:shd w:val="clear" w:color="auto" w:fill="FFFFFF" w:themeFill="background1"/>
        </w:rPr>
        <w:t>5.9</w:t>
      </w:r>
      <w:r w:rsidR="00F3188C" w:rsidRPr="007D6009">
        <w:rPr>
          <w:shd w:val="clear" w:color="auto" w:fill="FFFFFF" w:themeFill="background1"/>
        </w:rPr>
        <w:t>–58</w:t>
      </w:r>
      <w:r w:rsidR="001155F2" w:rsidRPr="007D6009">
        <w:rPr>
          <w:shd w:val="clear" w:color="auto" w:fill="FFFFFF" w:themeFill="background1"/>
        </w:rPr>
        <w:t>9.7</w:t>
      </w:r>
      <w:r w:rsidRPr="0089766B">
        <w:t xml:space="preserve"> nationally. The mean scale score for Aboriginal and Torres Strait Islander students </w:t>
      </w:r>
      <w:r w:rsidR="00F3188C">
        <w:br/>
      </w:r>
      <w:r w:rsidRPr="0089766B">
        <w:t>(</w:t>
      </w:r>
      <w:r w:rsidR="001155F2" w:rsidRPr="007D6009">
        <w:rPr>
          <w:shd w:val="clear" w:color="auto" w:fill="FFFFFF" w:themeFill="background1"/>
        </w:rPr>
        <w:t>520.3</w:t>
      </w:r>
      <w:r w:rsidR="00F3188C" w:rsidRPr="007D6009">
        <w:rPr>
          <w:shd w:val="clear" w:color="auto" w:fill="FFFFFF" w:themeFill="background1"/>
        </w:rPr>
        <w:t>–5</w:t>
      </w:r>
      <w:r w:rsidR="001155F2" w:rsidRPr="007D6009">
        <w:rPr>
          <w:shd w:val="clear" w:color="auto" w:fill="FFFFFF" w:themeFill="background1"/>
        </w:rPr>
        <w:t>25.3</w:t>
      </w:r>
      <w:r w:rsidRPr="0089766B">
        <w:t>) was significantly lower than for non-Indigenous students (</w:t>
      </w:r>
      <w:r w:rsidR="00F3188C" w:rsidRPr="007D6009">
        <w:rPr>
          <w:shd w:val="clear" w:color="auto" w:fill="FFFFFF" w:themeFill="background1"/>
        </w:rPr>
        <w:t>58</w:t>
      </w:r>
      <w:r w:rsidR="001155F2" w:rsidRPr="007D6009">
        <w:rPr>
          <w:shd w:val="clear" w:color="auto" w:fill="FFFFFF" w:themeFill="background1"/>
        </w:rPr>
        <w:t>9.5</w:t>
      </w:r>
      <w:r w:rsidR="00F3188C" w:rsidRPr="007D6009">
        <w:rPr>
          <w:shd w:val="clear" w:color="auto" w:fill="FFFFFF" w:themeFill="background1"/>
        </w:rPr>
        <w:t>–59</w:t>
      </w:r>
      <w:r w:rsidR="001155F2" w:rsidRPr="007D6009">
        <w:rPr>
          <w:shd w:val="clear" w:color="auto" w:fill="FFFFFF" w:themeFill="background1"/>
        </w:rPr>
        <w:t>3.3</w:t>
      </w:r>
      <w:r w:rsidRPr="0089766B">
        <w:t>). Mean scale scores varied across jurisdictions (table 4A.</w:t>
      </w:r>
      <w:r w:rsidR="001521BB">
        <w:t>111</w:t>
      </w:r>
      <w:r w:rsidRPr="0089766B">
        <w:t>).</w:t>
      </w:r>
    </w:p>
    <w:p w:rsidR="008C752D" w:rsidRDefault="008C752D" w:rsidP="008C752D">
      <w:pPr>
        <w:pStyle w:val="BodyText"/>
      </w:pPr>
      <w:r w:rsidRPr="0089766B">
        <w:t>Table 4.</w:t>
      </w:r>
      <w:r w:rsidR="00A37418">
        <w:t>16</w:t>
      </w:r>
      <w:r w:rsidRPr="0089766B">
        <w:t xml:space="preserve"> identifies statistical significance of differences between mean scale scores for year </w:t>
      </w:r>
      <w:r w:rsidR="004C0D14">
        <w:t>9</w:t>
      </w:r>
      <w:r w:rsidRPr="0089766B">
        <w:t xml:space="preserve"> </w:t>
      </w:r>
      <w:r>
        <w:t>numeracy</w:t>
      </w:r>
      <w:r w:rsidRPr="0089766B">
        <w:t xml:space="preserve"> outcomes across states and territories in 2014. </w:t>
      </w:r>
    </w:p>
    <w:p w:rsidR="006F2A4E" w:rsidRDefault="006F2A4E" w:rsidP="006F2A4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gridCol w:w="138"/>
      </w:tblGrid>
      <w:tr w:rsidR="006F2A4E" w:rsidTr="00A97042">
        <w:tc>
          <w:tcPr>
            <w:tcW w:w="8909" w:type="dxa"/>
            <w:gridSpan w:val="2"/>
            <w:tcBorders>
              <w:top w:val="single" w:sz="6" w:space="0" w:color="78A22F"/>
              <w:left w:val="nil"/>
              <w:bottom w:val="nil"/>
              <w:right w:val="nil"/>
            </w:tcBorders>
            <w:shd w:val="clear" w:color="auto" w:fill="auto"/>
          </w:tcPr>
          <w:p w:rsidR="006F2A4E" w:rsidRPr="00784A05" w:rsidRDefault="006F2A4E" w:rsidP="006F2A4E">
            <w:pPr>
              <w:pStyle w:val="TableTitle"/>
            </w:pPr>
            <w:r>
              <w:rPr>
                <w:b w:val="0"/>
              </w:rPr>
              <w:t>Table 4.</w:t>
            </w:r>
            <w:r w:rsidR="005953B6">
              <w:rPr>
                <w:b w:val="0"/>
                <w:noProof/>
              </w:rPr>
              <w:t>16</w:t>
            </w:r>
            <w:r>
              <w:tab/>
            </w:r>
            <w:r w:rsidRPr="006F2A4E">
              <w:t xml:space="preserve">Significance of differences for year </w:t>
            </w:r>
            <w:r>
              <w:t>9</w:t>
            </w:r>
            <w:r w:rsidRPr="006F2A4E">
              <w:t xml:space="preserve"> students, mean scale scores, </w:t>
            </w:r>
            <w:r>
              <w:t>numeracy</w:t>
            </w:r>
            <w:r w:rsidRPr="006F2A4E">
              <w:t>, 2014</w:t>
            </w:r>
            <w:r w:rsidRPr="006F2A4E">
              <w:rPr>
                <w:rStyle w:val="NoteLabel"/>
                <w:b/>
              </w:rPr>
              <w:t>a</w:t>
            </w:r>
          </w:p>
        </w:tc>
      </w:tr>
      <w:tr w:rsidR="003C17D3" w:rsidTr="005C0D49">
        <w:trPr>
          <w:gridAfter w:val="1"/>
          <w:wAfter w:w="138" w:type="dxa"/>
          <w:cantSplit/>
        </w:trPr>
        <w:tc>
          <w:tcPr>
            <w:tcW w:w="8771" w:type="dxa"/>
            <w:tcBorders>
              <w:top w:val="nil"/>
              <w:left w:val="nil"/>
              <w:bottom w:val="nil"/>
              <w:right w:val="nil"/>
            </w:tcBorders>
            <w:shd w:val="clear" w:color="auto" w:fill="auto"/>
          </w:tcPr>
          <w:tbl>
            <w:tblPr>
              <w:tblW w:w="8477" w:type="dxa"/>
              <w:tblInd w:w="10" w:type="dxa"/>
              <w:tblCellMar>
                <w:left w:w="0" w:type="dxa"/>
                <w:right w:w="0" w:type="dxa"/>
              </w:tblCellMar>
              <w:tblLook w:val="0000" w:firstRow="0" w:lastRow="0" w:firstColumn="0" w:lastColumn="0" w:noHBand="0" w:noVBand="0"/>
            </w:tblPr>
            <w:tblGrid>
              <w:gridCol w:w="865"/>
              <w:gridCol w:w="710"/>
              <w:gridCol w:w="766"/>
              <w:gridCol w:w="767"/>
              <w:gridCol w:w="767"/>
              <w:gridCol w:w="767"/>
              <w:gridCol w:w="767"/>
              <w:gridCol w:w="767"/>
              <w:gridCol w:w="767"/>
              <w:gridCol w:w="767"/>
              <w:gridCol w:w="767"/>
            </w:tblGrid>
            <w:tr w:rsidR="003C17D3" w:rsidRPr="0034666A" w:rsidTr="005C0D49">
              <w:tc>
                <w:tcPr>
                  <w:tcW w:w="865" w:type="dxa"/>
                  <w:tcBorders>
                    <w:top w:val="single" w:sz="6" w:space="0" w:color="auto"/>
                  </w:tcBorders>
                  <w:shd w:val="clear" w:color="auto" w:fill="auto"/>
                </w:tcPr>
                <w:p w:rsidR="003C17D3" w:rsidRPr="004708E3" w:rsidRDefault="003C17D3" w:rsidP="005C0D49">
                  <w:pPr>
                    <w:keepNext/>
                    <w:keepLines/>
                    <w:spacing w:before="80" w:after="80" w:line="220" w:lineRule="atLeast"/>
                    <w:ind w:left="6" w:right="113"/>
                    <w:rPr>
                      <w:rFonts w:ascii="Arial" w:hAnsi="Arial"/>
                      <w:i/>
                      <w:sz w:val="20"/>
                      <w:szCs w:val="20"/>
                    </w:rPr>
                  </w:pPr>
                </w:p>
              </w:tc>
              <w:tc>
                <w:tcPr>
                  <w:tcW w:w="710" w:type="dxa"/>
                  <w:tcBorders>
                    <w:top w:val="single" w:sz="6" w:space="0" w:color="auto"/>
                  </w:tcBorders>
                </w:tcPr>
                <w:p w:rsidR="003C17D3" w:rsidRPr="0034666A" w:rsidRDefault="003C17D3" w:rsidP="005C0D49">
                  <w:pPr>
                    <w:keepNext/>
                    <w:keepLines/>
                    <w:spacing w:before="80" w:after="80" w:line="220" w:lineRule="atLeast"/>
                    <w:ind w:left="6" w:right="113"/>
                    <w:jc w:val="right"/>
                    <w:rPr>
                      <w:rFonts w:ascii="Arial" w:hAnsi="Arial"/>
                      <w:i/>
                      <w:sz w:val="20"/>
                      <w:szCs w:val="20"/>
                    </w:rPr>
                  </w:pPr>
                </w:p>
              </w:tc>
              <w:tc>
                <w:tcPr>
                  <w:tcW w:w="6902" w:type="dxa"/>
                  <w:gridSpan w:val="9"/>
                  <w:tcBorders>
                    <w:top w:val="single" w:sz="6" w:space="0" w:color="auto"/>
                  </w:tcBorders>
                  <w:shd w:val="clear" w:color="auto" w:fill="auto"/>
                  <w:vAlign w:val="center"/>
                </w:tcPr>
                <w:p w:rsidR="003C17D3" w:rsidRPr="0034666A" w:rsidRDefault="003C17D3" w:rsidP="005C0D49">
                  <w:pPr>
                    <w:pStyle w:val="TableColumnHeading"/>
                    <w:jc w:val="center"/>
                  </w:pPr>
                  <w:r w:rsidRPr="001552DE">
                    <w:t>Comparison jurisdiction</w:t>
                  </w:r>
                </w:p>
              </w:tc>
            </w:tr>
            <w:tr w:rsidR="003C17D3" w:rsidRPr="0034666A" w:rsidTr="005C0D49">
              <w:tc>
                <w:tcPr>
                  <w:tcW w:w="865" w:type="dxa"/>
                  <w:tcBorders>
                    <w:bottom w:val="single" w:sz="4" w:space="0" w:color="auto"/>
                  </w:tcBorders>
                  <w:shd w:val="clear" w:color="auto" w:fill="auto"/>
                </w:tcPr>
                <w:p w:rsidR="003C17D3" w:rsidRPr="004708E3" w:rsidRDefault="003C17D3" w:rsidP="005C0D49">
                  <w:pPr>
                    <w:keepNext/>
                    <w:keepLines/>
                    <w:spacing w:before="80" w:after="80" w:line="220" w:lineRule="atLeast"/>
                    <w:ind w:left="6" w:right="113"/>
                    <w:rPr>
                      <w:rFonts w:ascii="Arial" w:hAnsi="Arial"/>
                      <w:i/>
                      <w:sz w:val="20"/>
                      <w:szCs w:val="20"/>
                    </w:rPr>
                  </w:pPr>
                </w:p>
              </w:tc>
              <w:tc>
                <w:tcPr>
                  <w:tcW w:w="710" w:type="dxa"/>
                  <w:tcBorders>
                    <w:bottom w:val="single" w:sz="4" w:space="0" w:color="auto"/>
                  </w:tcBorders>
                </w:tcPr>
                <w:p w:rsidR="003C17D3" w:rsidRPr="0034666A" w:rsidRDefault="003C17D3" w:rsidP="005C0D49">
                  <w:pPr>
                    <w:keepNext/>
                    <w:keepLines/>
                    <w:spacing w:before="80" w:after="80" w:line="220" w:lineRule="atLeast"/>
                    <w:ind w:left="6" w:right="113"/>
                    <w:jc w:val="right"/>
                    <w:rPr>
                      <w:rFonts w:ascii="Arial" w:hAnsi="Arial"/>
                      <w:i/>
                      <w:sz w:val="20"/>
                      <w:szCs w:val="20"/>
                    </w:rPr>
                  </w:pPr>
                </w:p>
              </w:tc>
              <w:tc>
                <w:tcPr>
                  <w:tcW w:w="766" w:type="dxa"/>
                  <w:tcBorders>
                    <w:bottom w:val="single" w:sz="4" w:space="0" w:color="auto"/>
                  </w:tcBorders>
                  <w:shd w:val="clear" w:color="auto" w:fill="auto"/>
                </w:tcPr>
                <w:p w:rsidR="003C17D3" w:rsidRPr="0034666A" w:rsidRDefault="003C17D3" w:rsidP="005C0D49">
                  <w:pPr>
                    <w:pStyle w:val="TableColumnHeading"/>
                  </w:pPr>
                  <w:r w:rsidRPr="0034666A">
                    <w:t>NSW</w:t>
                  </w:r>
                </w:p>
              </w:tc>
              <w:tc>
                <w:tcPr>
                  <w:tcW w:w="767" w:type="dxa"/>
                  <w:tcBorders>
                    <w:bottom w:val="single" w:sz="4" w:space="0" w:color="auto"/>
                  </w:tcBorders>
                  <w:shd w:val="clear" w:color="auto" w:fill="auto"/>
                </w:tcPr>
                <w:p w:rsidR="003C17D3" w:rsidRPr="0034666A" w:rsidRDefault="003C17D3" w:rsidP="005C0D49">
                  <w:pPr>
                    <w:pStyle w:val="TableColumnHeading"/>
                  </w:pPr>
                  <w:r w:rsidRPr="0034666A">
                    <w:t>Vic</w:t>
                  </w:r>
                </w:p>
              </w:tc>
              <w:tc>
                <w:tcPr>
                  <w:tcW w:w="767" w:type="dxa"/>
                  <w:tcBorders>
                    <w:bottom w:val="single" w:sz="4" w:space="0" w:color="auto"/>
                  </w:tcBorders>
                  <w:shd w:val="clear" w:color="auto" w:fill="auto"/>
                </w:tcPr>
                <w:p w:rsidR="003C17D3" w:rsidRPr="0034666A" w:rsidRDefault="003C17D3" w:rsidP="005C0D49">
                  <w:pPr>
                    <w:pStyle w:val="TableColumnHeading"/>
                  </w:pPr>
                  <w:r w:rsidRPr="0034666A">
                    <w:t>Qld</w:t>
                  </w:r>
                </w:p>
              </w:tc>
              <w:tc>
                <w:tcPr>
                  <w:tcW w:w="767" w:type="dxa"/>
                  <w:tcBorders>
                    <w:bottom w:val="single" w:sz="4" w:space="0" w:color="auto"/>
                  </w:tcBorders>
                  <w:shd w:val="clear" w:color="auto" w:fill="auto"/>
                </w:tcPr>
                <w:p w:rsidR="003C17D3" w:rsidRPr="0034666A" w:rsidRDefault="003C17D3" w:rsidP="005C0D49">
                  <w:pPr>
                    <w:pStyle w:val="TableColumnHeading"/>
                  </w:pPr>
                  <w:r w:rsidRPr="0034666A">
                    <w:t>WA</w:t>
                  </w:r>
                </w:p>
              </w:tc>
              <w:tc>
                <w:tcPr>
                  <w:tcW w:w="767" w:type="dxa"/>
                  <w:tcBorders>
                    <w:bottom w:val="single" w:sz="4" w:space="0" w:color="auto"/>
                  </w:tcBorders>
                  <w:shd w:val="clear" w:color="auto" w:fill="auto"/>
                </w:tcPr>
                <w:p w:rsidR="003C17D3" w:rsidRPr="0034666A" w:rsidRDefault="003C17D3" w:rsidP="005C0D49">
                  <w:pPr>
                    <w:pStyle w:val="TableColumnHeading"/>
                  </w:pPr>
                  <w:r w:rsidRPr="0034666A">
                    <w:t>SA</w:t>
                  </w:r>
                </w:p>
              </w:tc>
              <w:tc>
                <w:tcPr>
                  <w:tcW w:w="767" w:type="dxa"/>
                  <w:tcBorders>
                    <w:bottom w:val="single" w:sz="4" w:space="0" w:color="auto"/>
                  </w:tcBorders>
                  <w:shd w:val="clear" w:color="auto" w:fill="auto"/>
                </w:tcPr>
                <w:p w:rsidR="003C17D3" w:rsidRPr="0034666A" w:rsidRDefault="003C17D3" w:rsidP="005C0D49">
                  <w:pPr>
                    <w:pStyle w:val="TableColumnHeading"/>
                  </w:pPr>
                  <w:r w:rsidRPr="0034666A">
                    <w:t>Tas</w:t>
                  </w:r>
                </w:p>
              </w:tc>
              <w:tc>
                <w:tcPr>
                  <w:tcW w:w="767" w:type="dxa"/>
                  <w:tcBorders>
                    <w:bottom w:val="single" w:sz="4" w:space="0" w:color="auto"/>
                  </w:tcBorders>
                  <w:shd w:val="clear" w:color="auto" w:fill="auto"/>
                </w:tcPr>
                <w:p w:rsidR="003C17D3" w:rsidRPr="0034666A" w:rsidRDefault="003C17D3" w:rsidP="005C0D49">
                  <w:pPr>
                    <w:pStyle w:val="TableColumnHeading"/>
                  </w:pPr>
                  <w:r w:rsidRPr="0034666A">
                    <w:t>ACT</w:t>
                  </w:r>
                </w:p>
              </w:tc>
              <w:tc>
                <w:tcPr>
                  <w:tcW w:w="767" w:type="dxa"/>
                  <w:tcBorders>
                    <w:bottom w:val="single" w:sz="4" w:space="0" w:color="auto"/>
                  </w:tcBorders>
                  <w:shd w:val="clear" w:color="auto" w:fill="auto"/>
                </w:tcPr>
                <w:p w:rsidR="003C17D3" w:rsidRPr="0034666A" w:rsidRDefault="003C17D3" w:rsidP="005C0D49">
                  <w:pPr>
                    <w:pStyle w:val="TableColumnHeading"/>
                  </w:pPr>
                  <w:r w:rsidRPr="0034666A">
                    <w:t>NT</w:t>
                  </w:r>
                </w:p>
              </w:tc>
              <w:tc>
                <w:tcPr>
                  <w:tcW w:w="767" w:type="dxa"/>
                  <w:tcBorders>
                    <w:bottom w:val="single" w:sz="4" w:space="0" w:color="auto"/>
                  </w:tcBorders>
                  <w:shd w:val="clear" w:color="auto" w:fill="auto"/>
                </w:tcPr>
                <w:p w:rsidR="003C17D3" w:rsidRPr="0034666A" w:rsidRDefault="003C17D3" w:rsidP="005C0D49">
                  <w:pPr>
                    <w:pStyle w:val="TableColumnHeading"/>
                  </w:pPr>
                  <w:r w:rsidRPr="0034666A">
                    <w:t>Aust</w:t>
                  </w:r>
                </w:p>
              </w:tc>
            </w:tr>
            <w:tr w:rsidR="00CF1E50" w:rsidRPr="0034666A" w:rsidTr="007D6009">
              <w:tc>
                <w:tcPr>
                  <w:tcW w:w="865" w:type="dxa"/>
                  <w:tcBorders>
                    <w:top w:val="dotted" w:sz="4" w:space="0" w:color="auto"/>
                    <w:left w:val="dotted" w:sz="4" w:space="0" w:color="auto"/>
                    <w:bottom w:val="dotted" w:sz="4" w:space="0" w:color="auto"/>
                    <w:right w:val="dotted" w:sz="4" w:space="0" w:color="auto"/>
                  </w:tcBorders>
                  <w:shd w:val="clear" w:color="auto" w:fill="auto"/>
                </w:tcPr>
                <w:p w:rsidR="00CF1E50" w:rsidRPr="00CF1E50" w:rsidRDefault="00CF1E50" w:rsidP="00CF1E50">
                  <w:pPr>
                    <w:pStyle w:val="TableBodyText"/>
                  </w:pP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tcPr>
                <w:p w:rsidR="00CF1E50" w:rsidRPr="00CF1E50" w:rsidRDefault="00CF1E50" w:rsidP="00CF1E50">
                  <w:pPr>
                    <w:pStyle w:val="TableBodyText"/>
                  </w:pP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Pr="00CF1E50" w:rsidRDefault="00CF1E50" w:rsidP="00CF1E50">
                  <w:pPr>
                    <w:pStyle w:val="TableBodyText"/>
                  </w:pPr>
                  <w:r w:rsidRPr="00CF1E50">
                    <w:t xml:space="preserve">594.3 </w:t>
                  </w:r>
                  <w:r w:rsidR="00C32E47">
                    <w:br/>
                  </w:r>
                  <w:r w:rsidRPr="00CF1E50">
                    <w:t>± 3.8</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Pr="00CF1E50" w:rsidRDefault="00CF1E50" w:rsidP="00CF1E50">
                  <w:pPr>
                    <w:pStyle w:val="TableBodyText"/>
                  </w:pPr>
                  <w:r w:rsidRPr="00CF1E50">
                    <w:t>592.3</w:t>
                  </w:r>
                  <w:r w:rsidR="00C32E47">
                    <w:br/>
                  </w:r>
                  <w:r w:rsidRPr="00CF1E50">
                    <w:t xml:space="preserve"> ± 3.8</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Pr="00CF1E50" w:rsidRDefault="00CF1E50" w:rsidP="00CF1E50">
                  <w:pPr>
                    <w:pStyle w:val="TableBodyText"/>
                  </w:pPr>
                  <w:r w:rsidRPr="00CF1E50">
                    <w:t xml:space="preserve">579.8 </w:t>
                  </w:r>
                  <w:r w:rsidR="00C32E47">
                    <w:br/>
                  </w:r>
                  <w:r w:rsidRPr="00CF1E50">
                    <w:t>± 3.4</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Pr="00CF1E50" w:rsidRDefault="00CF1E50" w:rsidP="00CF1E50">
                  <w:pPr>
                    <w:pStyle w:val="TableBodyText"/>
                  </w:pPr>
                  <w:r w:rsidRPr="00CF1E50">
                    <w:t>591.1</w:t>
                  </w:r>
                  <w:r w:rsidR="00C32E47">
                    <w:br/>
                  </w:r>
                  <w:r w:rsidRPr="00CF1E50">
                    <w:t xml:space="preserve"> ± 5.5</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Pr="00CF1E50" w:rsidRDefault="00CF1E50" w:rsidP="00CF1E50">
                  <w:pPr>
                    <w:pStyle w:val="TableBodyText"/>
                  </w:pPr>
                  <w:r w:rsidRPr="00CF1E50">
                    <w:t>573.6</w:t>
                  </w:r>
                  <w:r w:rsidR="00C32E47">
                    <w:br/>
                  </w:r>
                  <w:r w:rsidRPr="00CF1E50">
                    <w:t xml:space="preserve"> ± 5.3</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Pr="00CF1E50" w:rsidRDefault="00CF1E50" w:rsidP="00CF1E50">
                  <w:pPr>
                    <w:pStyle w:val="TableBodyText"/>
                  </w:pPr>
                  <w:r w:rsidRPr="00CF1E50">
                    <w:t xml:space="preserve">572.8 </w:t>
                  </w:r>
                  <w:r w:rsidR="00C32E47">
                    <w:br/>
                  </w:r>
                  <w:r w:rsidRPr="00CF1E50">
                    <w:t>± 7.0</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Pr="00CF1E50" w:rsidRDefault="00CF1E50" w:rsidP="00CF1E50">
                  <w:pPr>
                    <w:pStyle w:val="TableBodyText"/>
                  </w:pPr>
                  <w:r w:rsidRPr="00CF1E50">
                    <w:t>594.4</w:t>
                  </w:r>
                  <w:r w:rsidR="00C32E47">
                    <w:br/>
                  </w:r>
                  <w:r w:rsidRPr="00CF1E50">
                    <w:t xml:space="preserve"> ± 9.7</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Pr="00CF1E50" w:rsidRDefault="00CF1E50" w:rsidP="00CF1E50">
                  <w:pPr>
                    <w:pStyle w:val="TableBodyText"/>
                  </w:pPr>
                  <w:r w:rsidRPr="00CF1E50">
                    <w:t>532.0</w:t>
                  </w:r>
                  <w:r w:rsidR="00C32E47">
                    <w:br/>
                  </w:r>
                  <w:r w:rsidRPr="00CF1E50">
                    <w:t xml:space="preserve"> ± 17.2</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Pr="00CF1E50" w:rsidRDefault="00CF1E50" w:rsidP="00CF1E50">
                  <w:pPr>
                    <w:pStyle w:val="TableBodyText"/>
                  </w:pPr>
                  <w:r w:rsidRPr="00CF1E50">
                    <w:t>587.8</w:t>
                  </w:r>
                  <w:r w:rsidR="00C32E47">
                    <w:br/>
                  </w:r>
                  <w:r w:rsidRPr="00CF1E50">
                    <w:t xml:space="preserve"> ± 1.9</w:t>
                  </w:r>
                </w:p>
              </w:tc>
            </w:tr>
            <w:tr w:rsidR="00CF1E50" w:rsidRPr="0034666A" w:rsidTr="007D6009">
              <w:tc>
                <w:tcPr>
                  <w:tcW w:w="865" w:type="dxa"/>
                  <w:tcBorders>
                    <w:top w:val="dotted" w:sz="4" w:space="0" w:color="auto"/>
                    <w:left w:val="dotted" w:sz="4" w:space="0" w:color="auto"/>
                    <w:bottom w:val="dotted" w:sz="4" w:space="0" w:color="auto"/>
                    <w:right w:val="dotted" w:sz="4" w:space="0" w:color="auto"/>
                  </w:tcBorders>
                  <w:shd w:val="clear" w:color="auto" w:fill="auto"/>
                </w:tcPr>
                <w:p w:rsidR="00CF1E50" w:rsidRPr="001552DE" w:rsidRDefault="00CF1E50" w:rsidP="005C0D49">
                  <w:pPr>
                    <w:pStyle w:val="TableColumnHeading"/>
                  </w:pPr>
                  <w:r w:rsidRPr="001552DE">
                    <w:t>NSW</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CF1E50" w:rsidRDefault="00CF1E50" w:rsidP="00CF1E50">
                  <w:pPr>
                    <w:pStyle w:val="TableBodyText"/>
                  </w:pPr>
                  <w:r>
                    <w:t>594.3 ± 3.8</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w:t>
                  </w:r>
                </w:p>
              </w:tc>
            </w:tr>
            <w:tr w:rsidR="00CF1E50" w:rsidRPr="0034666A" w:rsidTr="007D6009">
              <w:tc>
                <w:tcPr>
                  <w:tcW w:w="865" w:type="dxa"/>
                  <w:tcBorders>
                    <w:top w:val="dotted" w:sz="4" w:space="0" w:color="auto"/>
                    <w:left w:val="dotted" w:sz="4" w:space="0" w:color="auto"/>
                    <w:bottom w:val="dotted" w:sz="4" w:space="0" w:color="auto"/>
                    <w:right w:val="dotted" w:sz="4" w:space="0" w:color="auto"/>
                  </w:tcBorders>
                  <w:shd w:val="clear" w:color="auto" w:fill="auto"/>
                </w:tcPr>
                <w:p w:rsidR="00CF1E50" w:rsidRPr="001552DE" w:rsidRDefault="00CF1E50" w:rsidP="005C0D49">
                  <w:pPr>
                    <w:pStyle w:val="TableColumnHeading"/>
                  </w:pPr>
                  <w:r w:rsidRPr="001552DE">
                    <w:t>Vic</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CF1E50" w:rsidRDefault="00CF1E50" w:rsidP="00CF1E50">
                  <w:pPr>
                    <w:pStyle w:val="TableBodyText"/>
                  </w:pPr>
                  <w:r>
                    <w:t>592.3 ± 3.8</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w:t>
                  </w:r>
                </w:p>
              </w:tc>
            </w:tr>
            <w:tr w:rsidR="00CF1E50" w:rsidRPr="0034666A" w:rsidTr="007D6009">
              <w:tc>
                <w:tcPr>
                  <w:tcW w:w="865" w:type="dxa"/>
                  <w:tcBorders>
                    <w:top w:val="dotted" w:sz="4" w:space="0" w:color="auto"/>
                    <w:left w:val="dotted" w:sz="4" w:space="0" w:color="auto"/>
                    <w:bottom w:val="dotted" w:sz="4" w:space="0" w:color="auto"/>
                    <w:right w:val="dotted" w:sz="4" w:space="0" w:color="auto"/>
                  </w:tcBorders>
                  <w:shd w:val="clear" w:color="auto" w:fill="auto"/>
                </w:tcPr>
                <w:p w:rsidR="00CF1E50" w:rsidRPr="001552DE" w:rsidRDefault="00CF1E50" w:rsidP="005C0D49">
                  <w:pPr>
                    <w:pStyle w:val="TableColumnHeading"/>
                  </w:pPr>
                  <w:r w:rsidRPr="001552DE">
                    <w:t>Qld</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CF1E50" w:rsidRDefault="00CF1E50" w:rsidP="00CF1E50">
                  <w:pPr>
                    <w:pStyle w:val="TableBodyText"/>
                  </w:pPr>
                  <w:r>
                    <w:t>579.8 ± 3.4</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w:t>
                  </w:r>
                </w:p>
              </w:tc>
            </w:tr>
            <w:tr w:rsidR="00CF1E50" w:rsidRPr="0034666A" w:rsidTr="007D6009">
              <w:tc>
                <w:tcPr>
                  <w:tcW w:w="865" w:type="dxa"/>
                  <w:tcBorders>
                    <w:top w:val="dotted" w:sz="4" w:space="0" w:color="auto"/>
                    <w:left w:val="dotted" w:sz="4" w:space="0" w:color="auto"/>
                    <w:bottom w:val="dotted" w:sz="4" w:space="0" w:color="auto"/>
                    <w:right w:val="dotted" w:sz="4" w:space="0" w:color="auto"/>
                  </w:tcBorders>
                  <w:shd w:val="clear" w:color="auto" w:fill="auto"/>
                </w:tcPr>
                <w:p w:rsidR="00CF1E50" w:rsidRPr="001552DE" w:rsidRDefault="00CF1E50" w:rsidP="005C0D49">
                  <w:pPr>
                    <w:pStyle w:val="TableColumnHeading"/>
                  </w:pPr>
                  <w:r w:rsidRPr="001552DE">
                    <w:t>WA</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CF1E50" w:rsidRDefault="00CF1E50" w:rsidP="00CF1E50">
                  <w:pPr>
                    <w:pStyle w:val="TableBodyText"/>
                  </w:pPr>
                  <w:r>
                    <w:t>591.1 ± 5.5</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w:t>
                  </w:r>
                </w:p>
              </w:tc>
            </w:tr>
            <w:tr w:rsidR="00CF1E50" w:rsidRPr="0034666A" w:rsidTr="007D6009">
              <w:tc>
                <w:tcPr>
                  <w:tcW w:w="865" w:type="dxa"/>
                  <w:tcBorders>
                    <w:top w:val="dotted" w:sz="4" w:space="0" w:color="auto"/>
                    <w:left w:val="dotted" w:sz="4" w:space="0" w:color="auto"/>
                    <w:bottom w:val="dotted" w:sz="4" w:space="0" w:color="auto"/>
                    <w:right w:val="dotted" w:sz="4" w:space="0" w:color="auto"/>
                  </w:tcBorders>
                  <w:shd w:val="clear" w:color="auto" w:fill="auto"/>
                </w:tcPr>
                <w:p w:rsidR="00CF1E50" w:rsidRPr="001552DE" w:rsidRDefault="00CF1E50" w:rsidP="005C0D49">
                  <w:pPr>
                    <w:pStyle w:val="TableColumnHeading"/>
                  </w:pPr>
                  <w:r w:rsidRPr="001552DE">
                    <w:t>SA</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CF1E50" w:rsidRDefault="00CF1E50" w:rsidP="00CF1E50">
                  <w:pPr>
                    <w:pStyle w:val="TableBodyText"/>
                  </w:pPr>
                  <w:r>
                    <w:t>573.6 ± 5.3</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rPr>
                      <w:rFonts w:ascii="MS Gothic" w:eastAsia="MS Gothic" w:hAnsi="MS Gothic" w:cs="MS Gothic" w:hint="eastAsia"/>
                    </w:rPr>
                    <w:t>▽</w:t>
                  </w:r>
                </w:p>
              </w:tc>
            </w:tr>
            <w:tr w:rsidR="00CF1E50" w:rsidRPr="0034666A" w:rsidTr="007D6009">
              <w:tc>
                <w:tcPr>
                  <w:tcW w:w="865" w:type="dxa"/>
                  <w:tcBorders>
                    <w:top w:val="dotted" w:sz="4" w:space="0" w:color="auto"/>
                    <w:left w:val="dotted" w:sz="4" w:space="0" w:color="auto"/>
                    <w:bottom w:val="dotted" w:sz="4" w:space="0" w:color="auto"/>
                    <w:right w:val="dotted" w:sz="4" w:space="0" w:color="auto"/>
                  </w:tcBorders>
                  <w:shd w:val="clear" w:color="auto" w:fill="auto"/>
                </w:tcPr>
                <w:p w:rsidR="00CF1E50" w:rsidRPr="001552DE" w:rsidRDefault="00CF1E50" w:rsidP="005C0D49">
                  <w:pPr>
                    <w:pStyle w:val="TableColumnHeading"/>
                  </w:pPr>
                  <w:r w:rsidRPr="001552DE">
                    <w:t>Tas</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CF1E50" w:rsidRDefault="00CF1E50" w:rsidP="00CF1E50">
                  <w:pPr>
                    <w:pStyle w:val="TableBodyText"/>
                  </w:pPr>
                  <w:r>
                    <w:t>572.8 ± 7.0</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rPr>
                      <w:rFonts w:ascii="MS Gothic" w:eastAsia="MS Gothic" w:hAnsi="MS Gothic" w:cs="MS Gothic" w:hint="eastAsia"/>
                    </w:rPr>
                    <w:t>▽</w:t>
                  </w:r>
                </w:p>
              </w:tc>
            </w:tr>
            <w:tr w:rsidR="00CF1E50" w:rsidRPr="0034666A" w:rsidTr="007D6009">
              <w:tc>
                <w:tcPr>
                  <w:tcW w:w="865" w:type="dxa"/>
                  <w:tcBorders>
                    <w:top w:val="dotted" w:sz="4" w:space="0" w:color="auto"/>
                    <w:left w:val="dotted" w:sz="4" w:space="0" w:color="auto"/>
                    <w:bottom w:val="dotted" w:sz="4" w:space="0" w:color="auto"/>
                    <w:right w:val="dotted" w:sz="4" w:space="0" w:color="auto"/>
                  </w:tcBorders>
                  <w:shd w:val="clear" w:color="auto" w:fill="auto"/>
                </w:tcPr>
                <w:p w:rsidR="00CF1E50" w:rsidRPr="001552DE" w:rsidRDefault="00CF1E50" w:rsidP="005C0D49">
                  <w:pPr>
                    <w:pStyle w:val="TableColumnHeading"/>
                  </w:pPr>
                  <w:r w:rsidRPr="001552DE">
                    <w:t>ACT</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CF1E50" w:rsidRDefault="00CF1E50" w:rsidP="00CF1E50">
                  <w:pPr>
                    <w:pStyle w:val="TableBodyText"/>
                  </w:pPr>
                  <w:r>
                    <w:t>594.4 ± 9.7</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w:t>
                  </w:r>
                </w:p>
              </w:tc>
            </w:tr>
            <w:tr w:rsidR="00CF1E50" w:rsidRPr="0034666A" w:rsidTr="007D6009">
              <w:tc>
                <w:tcPr>
                  <w:tcW w:w="865" w:type="dxa"/>
                  <w:tcBorders>
                    <w:top w:val="dotted" w:sz="4" w:space="0" w:color="auto"/>
                    <w:left w:val="dotted" w:sz="4" w:space="0" w:color="auto"/>
                    <w:bottom w:val="dotted" w:sz="4" w:space="0" w:color="auto"/>
                    <w:right w:val="dotted" w:sz="4" w:space="0" w:color="auto"/>
                  </w:tcBorders>
                  <w:shd w:val="clear" w:color="auto" w:fill="auto"/>
                </w:tcPr>
                <w:p w:rsidR="00CF1E50" w:rsidRPr="001552DE" w:rsidRDefault="00CF1E50" w:rsidP="005C0D49">
                  <w:pPr>
                    <w:pStyle w:val="TableColumnHeading"/>
                  </w:pPr>
                  <w:r w:rsidRPr="001552DE">
                    <w:t>NT</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CF1E50" w:rsidRDefault="00CF1E50" w:rsidP="00CF1E50">
                  <w:pPr>
                    <w:pStyle w:val="TableBodyText"/>
                  </w:pPr>
                  <w:r>
                    <w:t>532.0 ± 17.2</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w:t>
                  </w:r>
                </w:p>
              </w:tc>
            </w:tr>
            <w:tr w:rsidR="00CF1E50" w:rsidRPr="00895A13" w:rsidTr="007D6009">
              <w:tc>
                <w:tcPr>
                  <w:tcW w:w="865" w:type="dxa"/>
                  <w:tcBorders>
                    <w:top w:val="dotted" w:sz="4" w:space="0" w:color="auto"/>
                    <w:left w:val="dotted" w:sz="4" w:space="0" w:color="auto"/>
                    <w:bottom w:val="dotted" w:sz="4" w:space="0" w:color="auto"/>
                    <w:right w:val="dotted" w:sz="4" w:space="0" w:color="auto"/>
                  </w:tcBorders>
                  <w:shd w:val="clear" w:color="auto" w:fill="auto"/>
                </w:tcPr>
                <w:p w:rsidR="00CF1E50" w:rsidRPr="001552DE" w:rsidRDefault="00CF1E50" w:rsidP="005C0D49">
                  <w:pPr>
                    <w:pStyle w:val="TableColumnHeading"/>
                  </w:pPr>
                  <w:r w:rsidRPr="001552DE">
                    <w:t>Aust</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CF1E50" w:rsidRDefault="00CF1E50" w:rsidP="00CF1E50">
                  <w:pPr>
                    <w:pStyle w:val="TableBodyText"/>
                  </w:pPr>
                  <w:r>
                    <w:t>587.8 ± 1.9</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CF1E50" w:rsidRDefault="00CF1E50" w:rsidP="00CF1E50">
                  <w:pPr>
                    <w:pStyle w:val="TableBodyText"/>
                  </w:pPr>
                  <w:r>
                    <w:t>.. </w:t>
                  </w:r>
                </w:p>
              </w:tc>
            </w:tr>
          </w:tbl>
          <w:p w:rsidR="003C17D3" w:rsidRDefault="003C17D3" w:rsidP="005C0D49">
            <w:pPr>
              <w:pStyle w:val="Box"/>
            </w:pPr>
          </w:p>
        </w:tc>
      </w:tr>
      <w:tr w:rsidR="006F2A4E" w:rsidTr="00A97042">
        <w:trPr>
          <w:cantSplit/>
        </w:trPr>
        <w:tc>
          <w:tcPr>
            <w:tcW w:w="8909" w:type="dxa"/>
            <w:gridSpan w:val="2"/>
            <w:tcBorders>
              <w:top w:val="nil"/>
              <w:left w:val="nil"/>
              <w:bottom w:val="nil"/>
              <w:right w:val="nil"/>
            </w:tcBorders>
            <w:shd w:val="clear" w:color="auto" w:fill="auto"/>
          </w:tcPr>
          <w:p w:rsidR="006F2A4E" w:rsidRPr="009F0531" w:rsidRDefault="006F2A4E" w:rsidP="007A42E5">
            <w:pPr>
              <w:pStyle w:val="Note"/>
            </w:pPr>
            <w:r w:rsidRPr="009F0531">
              <w:rPr>
                <w:rStyle w:val="NoteLabel"/>
                <w:b w:val="0"/>
                <w:position w:val="0"/>
              </w:rPr>
              <w:t>▲</w:t>
            </w:r>
            <w:r>
              <w:t xml:space="preserve"> </w:t>
            </w:r>
            <w:r w:rsidRPr="009F0531">
              <w:t xml:space="preserve">Average achievement is substantially above and is statistically significantly different from the comparison State/Territory. </w:t>
            </w:r>
            <w:r w:rsidRPr="009F0531">
              <w:rPr>
                <w:rFonts w:ascii="Cambria Math" w:hAnsi="Cambria Math" w:cs="Cambria Math"/>
              </w:rPr>
              <w:t>△</w:t>
            </w:r>
            <w:r w:rsidRPr="009F0531">
              <w:t xml:space="preserve"> Average achievement is above and is statistically significantly different from the comparison State/Territory. ■ Average achievement is close to or not statistically different from the comparison State/Territory. </w:t>
            </w:r>
            <w:r w:rsidRPr="009F0531">
              <w:rPr>
                <w:rFonts w:ascii="MS Gothic" w:eastAsia="MS Gothic" w:hAnsi="MS Gothic" w:cs="MS Gothic" w:hint="eastAsia"/>
              </w:rPr>
              <w:t>▽</w:t>
            </w:r>
            <w:r w:rsidR="00C32E47">
              <w:rPr>
                <w:rFonts w:ascii="MS Gothic" w:eastAsia="MS Gothic" w:hAnsi="MS Gothic" w:cs="MS Gothic"/>
              </w:rPr>
              <w:t xml:space="preserve"> </w:t>
            </w:r>
            <w:r w:rsidRPr="009F0531">
              <w:t>Average achievement is below and is statistically significantly different from the comparison State/Territory. ▼ Average achievement is substantially below and is statistically significantly different from the comparison State/Territory.</w:t>
            </w:r>
          </w:p>
          <w:p w:rsidR="006F2A4E" w:rsidRDefault="006F2A4E" w:rsidP="001521BB">
            <w:pPr>
              <w:pStyle w:val="Note"/>
              <w:rPr>
                <w:i/>
              </w:rPr>
            </w:pPr>
            <w:r w:rsidRPr="008E77FE">
              <w:rPr>
                <w:rStyle w:val="NoteLabel"/>
              </w:rPr>
              <w:t>a</w:t>
            </w:r>
            <w:r w:rsidRPr="009F0531">
              <w:t> For further information and caveats see table 4A.</w:t>
            </w:r>
            <w:r w:rsidR="001521BB">
              <w:t>111</w:t>
            </w:r>
            <w:r w:rsidRPr="009F0531">
              <w:t>.</w:t>
            </w:r>
            <w:r>
              <w:t xml:space="preserve"> .. not applicable.</w:t>
            </w:r>
          </w:p>
        </w:tc>
      </w:tr>
      <w:tr w:rsidR="006F2A4E" w:rsidTr="00A97042">
        <w:trPr>
          <w:cantSplit/>
        </w:trPr>
        <w:tc>
          <w:tcPr>
            <w:tcW w:w="8909" w:type="dxa"/>
            <w:gridSpan w:val="2"/>
            <w:tcBorders>
              <w:top w:val="nil"/>
              <w:left w:val="nil"/>
              <w:bottom w:val="nil"/>
              <w:right w:val="nil"/>
            </w:tcBorders>
            <w:shd w:val="clear" w:color="auto" w:fill="auto"/>
          </w:tcPr>
          <w:p w:rsidR="006F2A4E" w:rsidRDefault="006F2A4E" w:rsidP="001521BB">
            <w:pPr>
              <w:pStyle w:val="Source"/>
            </w:pPr>
            <w:r>
              <w:rPr>
                <w:i/>
              </w:rPr>
              <w:t>Source</w:t>
            </w:r>
            <w:r w:rsidRPr="00167F06">
              <w:t xml:space="preserve">: </w:t>
            </w:r>
            <w:r w:rsidRPr="006F2A4E">
              <w:t>ACARA (2014</w:t>
            </w:r>
            <w:r w:rsidR="00592D0D" w:rsidRPr="00BE4E82">
              <w:t xml:space="preserve"> and unpublished</w:t>
            </w:r>
            <w:r w:rsidRPr="006F2A4E">
              <w:t xml:space="preserve">) </w:t>
            </w:r>
            <w:r w:rsidRPr="006F2A4E">
              <w:rPr>
                <w:i/>
              </w:rPr>
              <w:t>NAPLAN Achievement in Reading, Writing, Language Conventions and Numeracy: National Report for 2014</w:t>
            </w:r>
            <w:r w:rsidRPr="006F2A4E">
              <w:t>; table 4A.</w:t>
            </w:r>
            <w:r w:rsidR="001521BB">
              <w:t>111</w:t>
            </w:r>
            <w:r w:rsidRPr="006F2A4E">
              <w:t>.</w:t>
            </w:r>
          </w:p>
        </w:tc>
      </w:tr>
      <w:tr w:rsidR="006F2A4E" w:rsidTr="00A97042">
        <w:trPr>
          <w:cantSplit/>
        </w:trPr>
        <w:tc>
          <w:tcPr>
            <w:tcW w:w="8909" w:type="dxa"/>
            <w:gridSpan w:val="2"/>
            <w:tcBorders>
              <w:top w:val="nil"/>
              <w:left w:val="nil"/>
              <w:bottom w:val="single" w:sz="6" w:space="0" w:color="78A22F"/>
              <w:right w:val="nil"/>
            </w:tcBorders>
            <w:shd w:val="clear" w:color="auto" w:fill="auto"/>
          </w:tcPr>
          <w:p w:rsidR="006F2A4E" w:rsidRDefault="006F2A4E" w:rsidP="007A42E5">
            <w:pPr>
              <w:pStyle w:val="Box"/>
              <w:spacing w:before="0" w:line="120" w:lineRule="exact"/>
            </w:pPr>
          </w:p>
        </w:tc>
      </w:tr>
      <w:tr w:rsidR="006F2A4E" w:rsidRPr="000863A5" w:rsidTr="00A97042">
        <w:tc>
          <w:tcPr>
            <w:tcW w:w="8909" w:type="dxa"/>
            <w:gridSpan w:val="2"/>
            <w:tcBorders>
              <w:top w:val="single" w:sz="6" w:space="0" w:color="78A22F"/>
              <w:left w:val="nil"/>
              <w:bottom w:val="nil"/>
              <w:right w:val="nil"/>
            </w:tcBorders>
          </w:tcPr>
          <w:p w:rsidR="006F2A4E" w:rsidRPr="00626D32" w:rsidRDefault="006F2A4E" w:rsidP="007A42E5">
            <w:pPr>
              <w:pStyle w:val="BoxSpaceBelow"/>
            </w:pPr>
          </w:p>
        </w:tc>
      </w:tr>
    </w:tbl>
    <w:p w:rsidR="00666ECE" w:rsidRPr="00666ECE" w:rsidRDefault="00666ECE" w:rsidP="007B0AE2">
      <w:pPr>
        <w:pStyle w:val="Heading6"/>
      </w:pPr>
      <w:r w:rsidRPr="00666ECE">
        <w:t>Geolocation</w:t>
      </w:r>
    </w:p>
    <w:p w:rsidR="00666ECE" w:rsidRPr="000A554E" w:rsidRDefault="00666ECE" w:rsidP="007D6009">
      <w:pPr>
        <w:pStyle w:val="BodyText"/>
      </w:pPr>
      <w:r w:rsidRPr="00666ECE">
        <w:t xml:space="preserve">Across all year levels, </w:t>
      </w:r>
      <w:r w:rsidRPr="00891EF6">
        <w:t xml:space="preserve">numeracy outcomes tended to decline with remoteness. For year </w:t>
      </w:r>
      <w:r w:rsidR="00D576CE">
        <w:t>3</w:t>
      </w:r>
      <w:r w:rsidRPr="00891EF6">
        <w:t xml:space="preserve">, for </w:t>
      </w:r>
      <w:r w:rsidRPr="000A554E">
        <w:t xml:space="preserve">example, </w:t>
      </w:r>
      <w:r w:rsidR="00F3188C" w:rsidRPr="007D6009">
        <w:rPr>
          <w:shd w:val="clear" w:color="auto" w:fill="FFFFFF" w:themeFill="background1"/>
        </w:rPr>
        <w:t>9</w:t>
      </w:r>
      <w:r w:rsidR="001155F2" w:rsidRPr="007D6009">
        <w:rPr>
          <w:shd w:val="clear" w:color="auto" w:fill="FFFFFF" w:themeFill="background1"/>
        </w:rPr>
        <w:t>5.3</w:t>
      </w:r>
      <w:r w:rsidR="00F3188C" w:rsidRPr="007D6009">
        <w:rPr>
          <w:shd w:val="clear" w:color="auto" w:fill="FFFFFF" w:themeFill="background1"/>
        </w:rPr>
        <w:t>–9</w:t>
      </w:r>
      <w:r w:rsidR="001155F2" w:rsidRPr="007D6009">
        <w:rPr>
          <w:shd w:val="clear" w:color="auto" w:fill="FFFFFF" w:themeFill="background1"/>
        </w:rPr>
        <w:t>5.7</w:t>
      </w:r>
      <w:r w:rsidR="00270DA3" w:rsidRPr="000A554E">
        <w:t xml:space="preserve"> </w:t>
      </w:r>
      <w:r w:rsidRPr="000A554E">
        <w:t xml:space="preserve">per cent of students in metropolitan areas achieved at or above the national minimum standard, higher than the proportion for provincial students </w:t>
      </w:r>
      <w:r w:rsidR="00F3188C">
        <w:br/>
        <w:t>(</w:t>
      </w:r>
      <w:r w:rsidR="001155F2" w:rsidRPr="007D6009">
        <w:rPr>
          <w:shd w:val="clear" w:color="auto" w:fill="FFFFFF" w:themeFill="background1"/>
        </w:rPr>
        <w:t>93.5</w:t>
      </w:r>
      <w:r w:rsidR="00D774C0" w:rsidRPr="007D6009">
        <w:rPr>
          <w:shd w:val="clear" w:color="auto" w:fill="FFFFFF" w:themeFill="background1"/>
        </w:rPr>
        <w:t>–9</w:t>
      </w:r>
      <w:r w:rsidR="001155F2" w:rsidRPr="007D6009">
        <w:rPr>
          <w:shd w:val="clear" w:color="auto" w:fill="FFFFFF" w:themeFill="background1"/>
        </w:rPr>
        <w:t>4.3</w:t>
      </w:r>
      <w:r w:rsidR="00A37418" w:rsidRPr="000A554E">
        <w:t xml:space="preserve"> </w:t>
      </w:r>
      <w:r w:rsidRPr="000A554E">
        <w:t>per cent), remote students (</w:t>
      </w:r>
      <w:r w:rsidR="00D774C0" w:rsidRPr="007D6009">
        <w:rPr>
          <w:shd w:val="clear" w:color="auto" w:fill="FFFFFF" w:themeFill="background1"/>
        </w:rPr>
        <w:t>8</w:t>
      </w:r>
      <w:r w:rsidR="001155F2" w:rsidRPr="007D6009">
        <w:rPr>
          <w:shd w:val="clear" w:color="auto" w:fill="FFFFFF" w:themeFill="background1"/>
        </w:rPr>
        <w:t>5.2</w:t>
      </w:r>
      <w:r w:rsidR="00D774C0" w:rsidRPr="007D6009">
        <w:rPr>
          <w:shd w:val="clear" w:color="auto" w:fill="FFFFFF" w:themeFill="background1"/>
        </w:rPr>
        <w:t>–</w:t>
      </w:r>
      <w:r w:rsidR="00EB2CA3">
        <w:rPr>
          <w:shd w:val="clear" w:color="auto" w:fill="FFFFFF" w:themeFill="background1"/>
        </w:rPr>
        <w:t>90.0</w:t>
      </w:r>
      <w:r w:rsidR="00A37418" w:rsidRPr="000A554E">
        <w:t xml:space="preserve"> </w:t>
      </w:r>
      <w:r w:rsidRPr="000A554E">
        <w:t xml:space="preserve">per cent) and very remote students </w:t>
      </w:r>
      <w:r w:rsidR="00D774C0">
        <w:br/>
      </w:r>
      <w:r w:rsidRPr="000A554E">
        <w:t>(</w:t>
      </w:r>
      <w:r w:rsidR="001155F2" w:rsidRPr="007D6009">
        <w:rPr>
          <w:shd w:val="clear" w:color="auto" w:fill="FFFFFF" w:themeFill="background1"/>
        </w:rPr>
        <w:t>55.9</w:t>
      </w:r>
      <w:r w:rsidR="00D774C0" w:rsidRPr="007D6009">
        <w:rPr>
          <w:shd w:val="clear" w:color="auto" w:fill="FFFFFF" w:themeFill="background1"/>
        </w:rPr>
        <w:t>–</w:t>
      </w:r>
      <w:r w:rsidR="001155F2" w:rsidRPr="007D6009">
        <w:rPr>
          <w:shd w:val="clear" w:color="auto" w:fill="FFFFFF" w:themeFill="background1"/>
        </w:rPr>
        <w:t>67.5</w:t>
      </w:r>
      <w:r w:rsidR="00A37418" w:rsidRPr="000A554E">
        <w:t xml:space="preserve"> </w:t>
      </w:r>
      <w:r w:rsidRPr="000A554E">
        <w:t>per cent) (figure 4.</w:t>
      </w:r>
      <w:r w:rsidR="00A37418">
        <w:t>3</w:t>
      </w:r>
      <w:r w:rsidR="00FF2AB3">
        <w:t>3</w:t>
      </w:r>
      <w:r w:rsidRPr="000A554E">
        <w:t>).</w:t>
      </w:r>
    </w:p>
    <w:p w:rsidR="00666ECE" w:rsidRPr="00666ECE" w:rsidRDefault="00666ECE" w:rsidP="006C72B4">
      <w:pPr>
        <w:pStyle w:val="BodyText"/>
      </w:pPr>
      <w:r w:rsidRPr="00666ECE">
        <w:t xml:space="preserve">For all geolocation categories across years 3, 5, 7 and 9, the numeracy outcomes nationally for </w:t>
      </w:r>
      <w:r w:rsidR="00602CDA">
        <w:t>Aboriginal and Torres Strait Islander</w:t>
      </w:r>
      <w:r w:rsidRPr="00666ECE">
        <w:t xml:space="preserve"> students were lower than those for non</w:t>
      </w:r>
      <w:r w:rsidR="00146776">
        <w:noBreakHyphen/>
      </w:r>
      <w:r w:rsidRPr="00666ECE">
        <w:t xml:space="preserve">Indigenous students. Nationally, outcomes for </w:t>
      </w:r>
      <w:r w:rsidR="00701AD6" w:rsidRPr="006C72B4">
        <w:rPr>
          <w:szCs w:val="26"/>
        </w:rPr>
        <w:t>Aboriginal and Torres Strait Islander</w:t>
      </w:r>
      <w:r w:rsidRPr="00666ECE">
        <w:t xml:space="preserve"> students generally declined as remoteness increased, and </w:t>
      </w:r>
      <w:r w:rsidRPr="00666ECE">
        <w:rPr>
          <w:szCs w:val="26"/>
        </w:rPr>
        <w:t xml:space="preserve">the gap in learning outcomes between </w:t>
      </w:r>
      <w:r w:rsidR="00602CDA">
        <w:t>Aboriginal and Torres Strait Islander</w:t>
      </w:r>
      <w:r w:rsidRPr="00666ECE">
        <w:rPr>
          <w:szCs w:val="26"/>
        </w:rPr>
        <w:t xml:space="preserve"> studen</w:t>
      </w:r>
      <w:r w:rsidR="00404778">
        <w:rPr>
          <w:szCs w:val="26"/>
        </w:rPr>
        <w:t xml:space="preserve">ts and non-Indigenous students </w:t>
      </w:r>
      <w:r w:rsidRPr="00666ECE">
        <w:rPr>
          <w:szCs w:val="26"/>
        </w:rPr>
        <w:t>was generally greater in remote and very remote areas than in metropolitan and provincial areas.</w:t>
      </w:r>
    </w:p>
    <w:p w:rsidR="00666ECE" w:rsidRPr="00666ECE" w:rsidRDefault="00666ECE" w:rsidP="006C72B4">
      <w:pPr>
        <w:pStyle w:val="BodyText"/>
      </w:pPr>
      <w:r w:rsidRPr="00666ECE">
        <w:lastRenderedPageBreak/>
        <w:t>State and Territory results by Indigenous status and geolocation for years 3, 5, 7 and 9 numeracy literacy are in table 4A.</w:t>
      </w:r>
      <w:r w:rsidR="00E372EE">
        <w:t>109</w:t>
      </w:r>
      <w:r w:rsidRPr="00666ECE">
        <w:t>. The general pattern in jurisdictions appears similar to the national results. However, due to relatively large confidence intervals, caution should be exercised when making comparisons for some data. Mean scale score results by Indigenous status and geolocation are provided in table 4A.</w:t>
      </w:r>
      <w:r w:rsidR="00E372EE">
        <w:t>112</w:t>
      </w:r>
      <w:r w:rsidRPr="00666ECE">
        <w:t>.</w:t>
      </w:r>
    </w:p>
    <w:p w:rsidR="006C72B4" w:rsidRDefault="006C72B4" w:rsidP="00B4549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C72B4" w:rsidTr="00B45495">
        <w:tc>
          <w:tcPr>
            <w:tcW w:w="8771" w:type="dxa"/>
            <w:tcBorders>
              <w:top w:val="single" w:sz="6" w:space="0" w:color="78A22F"/>
              <w:left w:val="nil"/>
              <w:bottom w:val="nil"/>
              <w:right w:val="nil"/>
            </w:tcBorders>
            <w:shd w:val="clear" w:color="auto" w:fill="auto"/>
          </w:tcPr>
          <w:p w:rsidR="006C72B4" w:rsidRPr="00176D3F" w:rsidRDefault="006C72B4" w:rsidP="006C72B4">
            <w:pPr>
              <w:pStyle w:val="FigureTitle"/>
            </w:pPr>
            <w:r w:rsidRPr="00784A05">
              <w:rPr>
                <w:b w:val="0"/>
              </w:rPr>
              <w:t xml:space="preserve">Figure </w:t>
            </w:r>
            <w:r w:rsidR="00B70781">
              <w:rPr>
                <w:b w:val="0"/>
              </w:rPr>
              <w:t>4.</w:t>
            </w:r>
            <w:r w:rsidR="005953B6">
              <w:rPr>
                <w:b w:val="0"/>
                <w:noProof/>
              </w:rPr>
              <w:t>33</w:t>
            </w:r>
            <w:r>
              <w:tab/>
            </w:r>
            <w:r w:rsidRPr="006C72B4">
              <w:t>National proportion of year 3 students achieving at or above the numeracy national minimum standard, by Indigenous status and geolocation, 201</w:t>
            </w:r>
            <w:r>
              <w:t>4</w:t>
            </w:r>
            <w:r w:rsidRPr="006C72B4">
              <w:rPr>
                <w:rStyle w:val="NoteLabel"/>
                <w:b/>
              </w:rPr>
              <w:t>a, b</w:t>
            </w:r>
          </w:p>
        </w:tc>
      </w:tr>
      <w:tr w:rsidR="006C72B4" w:rsidTr="007D6009">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6C72B4" w:rsidTr="00B45495">
              <w:trPr>
                <w:jc w:val="center"/>
              </w:trPr>
              <w:tc>
                <w:tcPr>
                  <w:tcW w:w="5000" w:type="pct"/>
                  <w:tcBorders>
                    <w:top w:val="nil"/>
                    <w:bottom w:val="nil"/>
                  </w:tcBorders>
                </w:tcPr>
                <w:p w:rsidR="006C72B4" w:rsidRDefault="00F06596" w:rsidP="00B45495">
                  <w:pPr>
                    <w:pStyle w:val="Figure"/>
                    <w:spacing w:before="60" w:after="60"/>
                  </w:pPr>
                  <w:r>
                    <w:rPr>
                      <w:noProof/>
                    </w:rPr>
                    <w:drawing>
                      <wp:inline distT="0" distB="0" distL="0" distR="0" wp14:anchorId="424253AC" wp14:editId="0590D723">
                        <wp:extent cx="5391150" cy="2695575"/>
                        <wp:effectExtent l="0" t="0" r="0" b="9525"/>
                        <wp:docPr id="33" name="Picture 33" descr="Figure 4.33 National proportion of year 3 students achieving at or above the numeracy national minimum standard, by Indigenous status and geolocation,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6C72B4" w:rsidRDefault="006C72B4" w:rsidP="00B45495">
            <w:pPr>
              <w:pStyle w:val="Figure"/>
            </w:pPr>
          </w:p>
        </w:tc>
      </w:tr>
      <w:tr w:rsidR="006C72B4" w:rsidRPr="00176D3F" w:rsidTr="00B45495">
        <w:tc>
          <w:tcPr>
            <w:tcW w:w="8771" w:type="dxa"/>
            <w:tcBorders>
              <w:top w:val="nil"/>
              <w:left w:val="nil"/>
              <w:bottom w:val="nil"/>
              <w:right w:val="nil"/>
            </w:tcBorders>
            <w:shd w:val="clear" w:color="auto" w:fill="auto"/>
          </w:tcPr>
          <w:p w:rsidR="006C72B4" w:rsidRPr="00176D3F" w:rsidRDefault="006C72B4" w:rsidP="00E372EE">
            <w:pPr>
              <w:pStyle w:val="Note"/>
            </w:pPr>
            <w:r>
              <w:rPr>
                <w:rStyle w:val="NoteLabel"/>
              </w:rPr>
              <w:t>a</w:t>
            </w:r>
            <w:r>
              <w:t xml:space="preserve"> </w:t>
            </w:r>
            <w:r w:rsidRPr="006C72B4">
              <w:t xml:space="preserve">Error bars represent the 95 per cent confidence interval associated with each point estimate. </w:t>
            </w:r>
            <w:r w:rsidRPr="00820CF9">
              <w:rPr>
                <w:rStyle w:val="NoteLabel"/>
              </w:rPr>
              <w:t>b</w:t>
            </w:r>
            <w:r w:rsidRPr="006C72B4">
              <w:t> Data for year 3 students are shown and may not be representative of students in years 5, 7 and 9 which are detailed in table 4A.</w:t>
            </w:r>
            <w:r w:rsidR="00E372EE">
              <w:t>109</w:t>
            </w:r>
            <w:r>
              <w:t xml:space="preserve">. </w:t>
            </w:r>
          </w:p>
        </w:tc>
      </w:tr>
      <w:tr w:rsidR="006C72B4" w:rsidRPr="00176D3F" w:rsidTr="00B45495">
        <w:tc>
          <w:tcPr>
            <w:tcW w:w="8771" w:type="dxa"/>
            <w:tcBorders>
              <w:top w:val="nil"/>
              <w:left w:val="nil"/>
              <w:bottom w:val="nil"/>
              <w:right w:val="nil"/>
            </w:tcBorders>
            <w:shd w:val="clear" w:color="auto" w:fill="auto"/>
          </w:tcPr>
          <w:p w:rsidR="006C72B4" w:rsidRPr="00176D3F" w:rsidRDefault="006C72B4" w:rsidP="00E372EE">
            <w:pPr>
              <w:pStyle w:val="Source"/>
            </w:pPr>
            <w:r>
              <w:rPr>
                <w:i/>
              </w:rPr>
              <w:t>S</w:t>
            </w:r>
            <w:r w:rsidRPr="00784A05">
              <w:rPr>
                <w:i/>
              </w:rPr>
              <w:t>ource</w:t>
            </w:r>
            <w:r w:rsidRPr="00176D3F">
              <w:t xml:space="preserve">: </w:t>
            </w:r>
            <w:r w:rsidRPr="006C72B4">
              <w:t>ACARA (201</w:t>
            </w:r>
            <w:r w:rsidR="00CE6853">
              <w:t>4</w:t>
            </w:r>
            <w:r w:rsidRPr="006C72B4">
              <w:t xml:space="preserve"> and unpublished) </w:t>
            </w:r>
            <w:r w:rsidRPr="006C72B4">
              <w:rPr>
                <w:i/>
              </w:rPr>
              <w:t>NAPLAN Achievement in Reading, Writing, Language Conventions and Numeracy: National Report for 201</w:t>
            </w:r>
            <w:r w:rsidR="00CE6853">
              <w:rPr>
                <w:i/>
              </w:rPr>
              <w:t>4</w:t>
            </w:r>
            <w:r w:rsidRPr="006C72B4">
              <w:t>; table 4A.</w:t>
            </w:r>
            <w:r w:rsidR="00E372EE">
              <w:t>109</w:t>
            </w:r>
            <w:r>
              <w:t>.</w:t>
            </w:r>
          </w:p>
        </w:tc>
      </w:tr>
      <w:tr w:rsidR="006C72B4" w:rsidTr="00B45495">
        <w:tc>
          <w:tcPr>
            <w:tcW w:w="8771" w:type="dxa"/>
            <w:tcBorders>
              <w:top w:val="nil"/>
              <w:left w:val="nil"/>
              <w:bottom w:val="single" w:sz="6" w:space="0" w:color="78A22F"/>
              <w:right w:val="nil"/>
            </w:tcBorders>
            <w:shd w:val="clear" w:color="auto" w:fill="auto"/>
          </w:tcPr>
          <w:p w:rsidR="006C72B4" w:rsidRDefault="006C72B4" w:rsidP="00B45495">
            <w:pPr>
              <w:pStyle w:val="Figurespace"/>
            </w:pPr>
          </w:p>
        </w:tc>
      </w:tr>
      <w:tr w:rsidR="006C72B4" w:rsidRPr="000863A5" w:rsidTr="00B45495">
        <w:tc>
          <w:tcPr>
            <w:tcW w:w="8771" w:type="dxa"/>
            <w:tcBorders>
              <w:top w:val="single" w:sz="6" w:space="0" w:color="78A22F"/>
              <w:left w:val="nil"/>
              <w:bottom w:val="nil"/>
              <w:right w:val="nil"/>
            </w:tcBorders>
          </w:tcPr>
          <w:p w:rsidR="006C72B4" w:rsidRPr="00626D32" w:rsidRDefault="006C72B4" w:rsidP="00B45495">
            <w:pPr>
              <w:pStyle w:val="BoxSpaceBelow"/>
            </w:pPr>
          </w:p>
        </w:tc>
      </w:tr>
    </w:tbl>
    <w:p w:rsidR="00666ECE" w:rsidRPr="00666ECE" w:rsidRDefault="00666ECE" w:rsidP="007B0AE2">
      <w:pPr>
        <w:pStyle w:val="Heading6"/>
      </w:pPr>
      <w:r w:rsidRPr="00666ECE">
        <w:t>Socio-economic status</w:t>
      </w:r>
    </w:p>
    <w:p w:rsidR="00D948AA" w:rsidRPr="006C72B4" w:rsidRDefault="00602CDA" w:rsidP="006C72B4">
      <w:pPr>
        <w:pStyle w:val="BodyText"/>
      </w:pPr>
      <w:r w:rsidRPr="006C72B4">
        <w:t xml:space="preserve">State and Territory data on the proportions of students achieving at or above the national minimum standard and mean scale scores in </w:t>
      </w:r>
      <w:r w:rsidR="00E372EE">
        <w:t>numeracy</w:t>
      </w:r>
      <w:r w:rsidRPr="006C72B4">
        <w:t xml:space="preserve"> assessment for years 3, 5, 7 and 9 by parental education and parental occupation for 2014 are included in tables 4A.</w:t>
      </w:r>
      <w:r w:rsidR="00E372EE">
        <w:t>110</w:t>
      </w:r>
      <w:r w:rsidRPr="006C72B4">
        <w:t xml:space="preserve"> and 4A.</w:t>
      </w:r>
      <w:r w:rsidR="00E372EE">
        <w:t>113</w:t>
      </w:r>
      <w:r w:rsidRPr="006C72B4">
        <w:t>. Data 2013 are in table 4A.</w:t>
      </w:r>
      <w:r w:rsidR="00E372EE">
        <w:t>128 and 4A.131</w:t>
      </w:r>
      <w:r w:rsidRPr="006C72B4">
        <w:t>. Data for 2010, 2011 and 2012 were included in the earlier Reports.</w:t>
      </w:r>
    </w:p>
    <w:p w:rsidR="007072F5" w:rsidRDefault="007C7E11" w:rsidP="007B0AE2">
      <w:pPr>
        <w:pStyle w:val="Heading6"/>
      </w:pPr>
      <w:r w:rsidRPr="00076F94">
        <w:t xml:space="preserve">Time series analysis of NAPLAN </w:t>
      </w:r>
      <w:r>
        <w:t xml:space="preserve">numeracy </w:t>
      </w:r>
      <w:r w:rsidR="00C43453">
        <w:t>outcomes</w:t>
      </w:r>
      <w:r w:rsidRPr="00076F94">
        <w:t xml:space="preserve"> </w:t>
      </w:r>
    </w:p>
    <w:p w:rsidR="007072F5" w:rsidRPr="006C72B4" w:rsidRDefault="007072F5" w:rsidP="006C72B4">
      <w:pPr>
        <w:pStyle w:val="BodyText"/>
      </w:pPr>
      <w:r w:rsidRPr="006C72B4">
        <w:t>The following time series outcomes are reported:</w:t>
      </w:r>
    </w:p>
    <w:p w:rsidR="007072F5" w:rsidRDefault="007072F5" w:rsidP="007072F5">
      <w:pPr>
        <w:pStyle w:val="ListBullet"/>
      </w:pPr>
      <w:r>
        <w:t xml:space="preserve">The difference between two given years for a level (for example, year </w:t>
      </w:r>
      <w:r w:rsidR="00C43453">
        <w:t>5</w:t>
      </w:r>
      <w:r>
        <w:t xml:space="preserve"> numeracy from 201</w:t>
      </w:r>
      <w:r w:rsidR="001748FA">
        <w:t>3</w:t>
      </w:r>
      <w:r>
        <w:t xml:space="preserve"> to 201</w:t>
      </w:r>
      <w:r w:rsidR="001748FA">
        <w:t>4</w:t>
      </w:r>
      <w:r>
        <w:t>), for both the proportion at and above the national minimum standard and mean scale scores</w:t>
      </w:r>
      <w:r w:rsidR="00C43453">
        <w:t>.</w:t>
      </w:r>
    </w:p>
    <w:p w:rsidR="007072F5" w:rsidRDefault="007072F5" w:rsidP="007072F5">
      <w:pPr>
        <w:pStyle w:val="ListBullet"/>
      </w:pPr>
      <w:r>
        <w:lastRenderedPageBreak/>
        <w:t>The gain in mean scale score by a cohort of students as they move between year levels (for example year 3 numeracy in 201</w:t>
      </w:r>
      <w:r w:rsidR="001748FA">
        <w:t>2</w:t>
      </w:r>
      <w:r>
        <w:t xml:space="preserve"> to year 5 numeracy in 201</w:t>
      </w:r>
      <w:r w:rsidR="001748FA">
        <w:t>4</w:t>
      </w:r>
      <w:r>
        <w:t>).</w:t>
      </w:r>
    </w:p>
    <w:p w:rsidR="007C7E11" w:rsidRDefault="007C7E11" w:rsidP="007B0AE2">
      <w:pPr>
        <w:pStyle w:val="Heading6"/>
      </w:pPr>
      <w:r w:rsidRPr="00076F94">
        <w:t>Statistical significance of differences between years</w:t>
      </w:r>
    </w:p>
    <w:p w:rsidR="001748FA" w:rsidRPr="007B32D4" w:rsidRDefault="001748FA" w:rsidP="006C72B4">
      <w:pPr>
        <w:pStyle w:val="BodyText"/>
      </w:pPr>
      <w:r w:rsidRPr="007B32D4">
        <w:t>Table 4.</w:t>
      </w:r>
      <w:r w:rsidR="00E372EE">
        <w:t>1</w:t>
      </w:r>
      <w:r w:rsidR="00AF6FB4">
        <w:t>7</w:t>
      </w:r>
      <w:r w:rsidRPr="007B32D4">
        <w:t xml:space="preserve"> provides a summary of </w:t>
      </w:r>
      <w:r w:rsidR="00515AE0">
        <w:t xml:space="preserve">the nature of </w:t>
      </w:r>
      <w:r w:rsidRPr="007B32D4">
        <w:t xml:space="preserve">differences in achievement </w:t>
      </w:r>
      <w:r>
        <w:t xml:space="preserve">at year 5 </w:t>
      </w:r>
      <w:r w:rsidRPr="007B32D4">
        <w:t xml:space="preserve">for mean scale score and proportions at and above </w:t>
      </w:r>
      <w:r w:rsidR="005C1D95">
        <w:t xml:space="preserve">the </w:t>
      </w:r>
      <w:r w:rsidR="0030452D">
        <w:t>national minimum standard</w:t>
      </w:r>
      <w:r w:rsidR="005C1D95">
        <w:t xml:space="preserve"> for numeracy</w:t>
      </w:r>
      <w:r w:rsidRPr="007B32D4">
        <w:t xml:space="preserve">, by Indigenous status, on a national basis across various years. Data for states and territories are in </w:t>
      </w:r>
      <w:r w:rsidRPr="00E372EE">
        <w:rPr>
          <w:shd w:val="clear" w:color="auto" w:fill="FFFFFF" w:themeFill="background1"/>
        </w:rPr>
        <w:t>tables </w:t>
      </w:r>
      <w:r w:rsidRPr="00C76C22">
        <w:rPr>
          <w:shd w:val="clear" w:color="auto" w:fill="FFFFFF" w:themeFill="background1"/>
        </w:rPr>
        <w:t>4A.</w:t>
      </w:r>
      <w:r w:rsidR="00E372EE" w:rsidRPr="00C76C22">
        <w:rPr>
          <w:shd w:val="clear" w:color="auto" w:fill="FFFFFF" w:themeFill="background1"/>
        </w:rPr>
        <w:t>116</w:t>
      </w:r>
      <w:r w:rsidRPr="00C76C22">
        <w:rPr>
          <w:shd w:val="clear" w:color="auto" w:fill="FFFFFF" w:themeFill="background1"/>
        </w:rPr>
        <w:t>–</w:t>
      </w:r>
      <w:r w:rsidR="00E372EE" w:rsidRPr="00C76C22">
        <w:rPr>
          <w:shd w:val="clear" w:color="auto" w:fill="FFFFFF" w:themeFill="background1"/>
        </w:rPr>
        <w:t>123</w:t>
      </w:r>
      <w:r w:rsidRPr="007B32D4">
        <w:t>. These data are not comparable across jurisdictions and can only be used for a comparison across time for a jurisdiction, or nationally.</w:t>
      </w:r>
    </w:p>
    <w:p w:rsidR="00BF6853" w:rsidRDefault="00BF6853" w:rsidP="00197701">
      <w:pPr>
        <w:pStyle w:val="BodyText"/>
        <w:shd w:val="clear" w:color="auto" w:fill="FFFFFF" w:themeFill="background1"/>
      </w:pPr>
      <w:r w:rsidRPr="007B32D4">
        <w:t xml:space="preserve">Nationally, </w:t>
      </w:r>
      <w:r>
        <w:t xml:space="preserve">for year 5 </w:t>
      </w:r>
      <w:r w:rsidR="005C1D95">
        <w:t>numeracy</w:t>
      </w:r>
      <w:r>
        <w:t>:</w:t>
      </w:r>
    </w:p>
    <w:p w:rsidR="002F0289" w:rsidRDefault="00BF6853" w:rsidP="00197701">
      <w:pPr>
        <w:pStyle w:val="ListBullet"/>
        <w:shd w:val="clear" w:color="auto" w:fill="FFFFFF" w:themeFill="background1"/>
      </w:pPr>
      <w:r w:rsidRPr="007B32D4">
        <w:t>the</w:t>
      </w:r>
      <w:r>
        <w:t xml:space="preserve"> percentage of students achieving at or above the </w:t>
      </w:r>
      <w:r w:rsidR="0030452D">
        <w:t>national minimum standard</w:t>
      </w:r>
      <w:r>
        <w:t xml:space="preserve"> in 2014, and the mean scale scores, were </w:t>
      </w:r>
      <w:r w:rsidR="002F0289">
        <w:t>close to or not statistically significantly different from both 2008 and 2013</w:t>
      </w:r>
    </w:p>
    <w:p w:rsidR="002F0289" w:rsidRDefault="002F0289" w:rsidP="00197701">
      <w:pPr>
        <w:pStyle w:val="ListBullet"/>
        <w:shd w:val="clear" w:color="auto" w:fill="FFFFFF" w:themeFill="background1"/>
      </w:pPr>
      <w:r w:rsidRPr="007B32D4">
        <w:t>the</w:t>
      </w:r>
      <w:r>
        <w:t xml:space="preserve"> percentage of Aboriginal and Torres Strait Islander students achieving at or above the </w:t>
      </w:r>
      <w:r w:rsidR="0030452D">
        <w:t>national minimum standard</w:t>
      </w:r>
      <w:r>
        <w:t xml:space="preserve"> in 2014, and the mean scale scores, were close to or not statistically significantly different from both 2008 and 2013</w:t>
      </w:r>
    </w:p>
    <w:p w:rsidR="00BF6853" w:rsidRDefault="002F0289" w:rsidP="00197701">
      <w:pPr>
        <w:pStyle w:val="ListBullet"/>
        <w:shd w:val="clear" w:color="auto" w:fill="FFFFFF" w:themeFill="background1"/>
      </w:pPr>
      <w:r w:rsidRPr="007B32D4">
        <w:t>the</w:t>
      </w:r>
      <w:r>
        <w:t xml:space="preserve"> percentage of non-Indigenous students achieving at or above the </w:t>
      </w:r>
      <w:r w:rsidR="0030452D">
        <w:t>national minimum standard</w:t>
      </w:r>
      <w:r>
        <w:t xml:space="preserve"> in 2014, and the mean scale scores, were close to or not statistically significantly different from both 2008 and 2013</w:t>
      </w:r>
      <w:r w:rsidR="00BF6853">
        <w:t xml:space="preserve"> (table 4.1</w:t>
      </w:r>
      <w:r w:rsidR="00321BBB">
        <w:t>7</w:t>
      </w:r>
      <w:r w:rsidR="00BF6853">
        <w:t>).</w:t>
      </w:r>
    </w:p>
    <w:p w:rsidR="0077694F" w:rsidRDefault="0077694F" w:rsidP="006C72B4">
      <w:pPr>
        <w:pStyle w:val="BodyText"/>
        <w:rPr>
          <w:shd w:val="clear" w:color="auto" w:fill="FFFFFF" w:themeFill="background1"/>
        </w:rPr>
      </w:pPr>
      <w:r w:rsidRPr="00277216">
        <w:t xml:space="preserve">Data for years 3, 7 and 9 and proportions at or above </w:t>
      </w:r>
      <w:r w:rsidR="0030452D">
        <w:t>national minimum standard</w:t>
      </w:r>
      <w:r w:rsidRPr="00277216">
        <w:t xml:space="preserve"> for LBOTE students and by sex are included separately for each </w:t>
      </w:r>
      <w:r w:rsidR="00C35FD6">
        <w:t>S</w:t>
      </w:r>
      <w:r w:rsidRPr="00277216">
        <w:t xml:space="preserve">tate and </w:t>
      </w:r>
      <w:r w:rsidR="00C35FD6">
        <w:rPr>
          <w:shd w:val="clear" w:color="auto" w:fill="FFFFFF" w:themeFill="background1"/>
        </w:rPr>
        <w:t>T</w:t>
      </w:r>
      <w:r w:rsidRPr="00277216">
        <w:rPr>
          <w:shd w:val="clear" w:color="auto" w:fill="FFFFFF" w:themeFill="background1"/>
        </w:rPr>
        <w:t xml:space="preserve">erritory and nationally in tables </w:t>
      </w:r>
      <w:r w:rsidRPr="00C76C22">
        <w:rPr>
          <w:shd w:val="clear" w:color="auto" w:fill="FFFFFF" w:themeFill="background1"/>
        </w:rPr>
        <w:t>4A.</w:t>
      </w:r>
      <w:r w:rsidR="00E372EE" w:rsidRPr="00C76C22">
        <w:rPr>
          <w:shd w:val="clear" w:color="auto" w:fill="FFFFFF" w:themeFill="background1"/>
        </w:rPr>
        <w:t>116–12</w:t>
      </w:r>
      <w:r w:rsidR="00C76C22" w:rsidRPr="00C76C22">
        <w:rPr>
          <w:shd w:val="clear" w:color="auto" w:fill="FFFFFF" w:themeFill="background1"/>
        </w:rPr>
        <w:t>4</w:t>
      </w:r>
      <w:r w:rsidR="00E372EE" w:rsidRPr="00C76C22">
        <w:rPr>
          <w:shd w:val="clear" w:color="auto" w:fill="FFFFFF" w:themeFill="background1"/>
        </w:rPr>
        <w:t>.</w:t>
      </w:r>
      <w:r w:rsidRPr="007B32D4">
        <w:rPr>
          <w:shd w:val="clear" w:color="auto" w:fill="FFFFFF" w:themeFill="background1"/>
        </w:rPr>
        <w:t xml:space="preserve"> </w:t>
      </w:r>
    </w:p>
    <w:p w:rsidR="004E52C6" w:rsidRDefault="004E52C6" w:rsidP="004E52C6">
      <w:pPr>
        <w:pStyle w:val="BodyText"/>
        <w:rPr>
          <w:shd w:val="clear" w:color="auto" w:fill="FFFFFF" w:themeFill="background1"/>
        </w:rPr>
      </w:pPr>
      <w:r>
        <w:rPr>
          <w:shd w:val="clear" w:color="auto" w:fill="FFFFFF" w:themeFill="background1"/>
        </w:rPr>
        <w:t>Data for years 2008 and 2012</w:t>
      </w:r>
      <w:r w:rsidR="002A20D1">
        <w:rPr>
          <w:shd w:val="clear" w:color="auto" w:fill="FFFFFF" w:themeFill="background1"/>
        </w:rPr>
        <w:t xml:space="preserve"> to </w:t>
      </w:r>
      <w:r>
        <w:rPr>
          <w:shd w:val="clear" w:color="auto" w:fill="FFFFFF" w:themeFill="background1"/>
        </w:rPr>
        <w:t>2013 are included in tables 4A.134–142.</w:t>
      </w:r>
    </w:p>
    <w:p w:rsidR="00A10710" w:rsidRDefault="00A10710" w:rsidP="00A10710">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909"/>
      </w:tblGrid>
      <w:tr w:rsidR="00A10710" w:rsidTr="009D1C5F">
        <w:tc>
          <w:tcPr>
            <w:tcW w:w="8771" w:type="dxa"/>
            <w:tcBorders>
              <w:top w:val="single" w:sz="6" w:space="0" w:color="78A22F"/>
              <w:left w:val="nil"/>
              <w:bottom w:val="nil"/>
              <w:right w:val="nil"/>
            </w:tcBorders>
            <w:shd w:val="clear" w:color="auto" w:fill="auto"/>
          </w:tcPr>
          <w:p w:rsidR="00A10710" w:rsidRPr="00784A05" w:rsidRDefault="00A10710" w:rsidP="0009443A">
            <w:pPr>
              <w:pStyle w:val="TableTitle"/>
            </w:pPr>
            <w:r>
              <w:rPr>
                <w:b w:val="0"/>
              </w:rPr>
              <w:t>Table 4.</w:t>
            </w:r>
            <w:r w:rsidR="005953B6">
              <w:rPr>
                <w:b w:val="0"/>
                <w:noProof/>
              </w:rPr>
              <w:t>17</w:t>
            </w:r>
            <w:r>
              <w:tab/>
            </w:r>
            <w:r w:rsidRPr="00D74DE6">
              <w:t xml:space="preserve">Mean scale scores and proportion of students who achieved at or above the national minimum standard for year 5 </w:t>
            </w:r>
            <w:r w:rsidR="00A47EA6">
              <w:t>numeracy</w:t>
            </w:r>
            <w:r w:rsidRPr="00197701">
              <w:rPr>
                <w:shd w:val="clear" w:color="auto" w:fill="FFFFFF" w:themeFill="background1"/>
              </w:rPr>
              <w:t xml:space="preserve">, </w:t>
            </w:r>
            <w:r w:rsidR="0009443A" w:rsidRPr="00197701">
              <w:rPr>
                <w:shd w:val="clear" w:color="auto" w:fill="FFFFFF" w:themeFill="background1"/>
              </w:rPr>
              <w:t xml:space="preserve">2008 and 2013 to 2014, </w:t>
            </w:r>
            <w:r w:rsidRPr="00197701">
              <w:rPr>
                <w:shd w:val="clear" w:color="auto" w:fill="FFFFFF" w:themeFill="background1"/>
              </w:rPr>
              <w:t>and nature of the difference</w:t>
            </w:r>
            <w:r w:rsidR="0030452D" w:rsidRPr="00197701">
              <w:rPr>
                <w:shd w:val="clear" w:color="auto" w:fill="FFFFFF" w:themeFill="background1"/>
              </w:rPr>
              <w:t>s</w:t>
            </w:r>
            <w:r w:rsidRPr="00197701">
              <w:rPr>
                <w:shd w:val="clear" w:color="auto" w:fill="FFFFFF" w:themeFill="background1"/>
              </w:rPr>
              <w:t>, Australia</w:t>
            </w:r>
            <w:r w:rsidRPr="00197701">
              <w:rPr>
                <w:rStyle w:val="NoteLabel"/>
                <w:b/>
                <w:shd w:val="clear" w:color="auto" w:fill="FFFFFF" w:themeFill="background1"/>
              </w:rPr>
              <w:t>a</w:t>
            </w:r>
            <w:r w:rsidRPr="00D74DE6">
              <w:rPr>
                <w:rStyle w:val="NoteLabel"/>
                <w:b/>
              </w:rPr>
              <w:t>, b</w:t>
            </w:r>
            <w:r>
              <w:rPr>
                <w:rStyle w:val="NoteLabel"/>
                <w:b/>
              </w:rPr>
              <w:t xml:space="preserve"> </w:t>
            </w:r>
          </w:p>
        </w:tc>
      </w:tr>
      <w:tr w:rsidR="00A10710" w:rsidTr="009D1C5F">
        <w:trPr>
          <w:cantSplit/>
        </w:trPr>
        <w:tc>
          <w:tcPr>
            <w:tcW w:w="8771" w:type="dxa"/>
            <w:tcBorders>
              <w:top w:val="nil"/>
              <w:left w:val="nil"/>
              <w:bottom w:val="nil"/>
              <w:right w:val="nil"/>
            </w:tcBorders>
            <w:shd w:val="clear" w:color="auto" w:fill="FFFFFF" w:themeFill="background1"/>
          </w:tcPr>
          <w:tbl>
            <w:tblPr>
              <w:tblW w:w="8916" w:type="dxa"/>
              <w:tblCellMar>
                <w:left w:w="0" w:type="dxa"/>
                <w:right w:w="0" w:type="dxa"/>
              </w:tblCellMar>
              <w:tblLook w:val="0000" w:firstRow="0" w:lastRow="0" w:firstColumn="0" w:lastColumn="0" w:noHBand="0" w:noVBand="0"/>
            </w:tblPr>
            <w:tblGrid>
              <w:gridCol w:w="1600"/>
              <w:gridCol w:w="724"/>
              <w:gridCol w:w="84"/>
              <w:gridCol w:w="703"/>
              <w:gridCol w:w="455"/>
              <w:gridCol w:w="30"/>
              <w:gridCol w:w="1041"/>
              <w:gridCol w:w="152"/>
              <w:gridCol w:w="123"/>
              <w:gridCol w:w="993"/>
              <w:gridCol w:w="70"/>
              <w:gridCol w:w="62"/>
              <w:gridCol w:w="385"/>
              <w:gridCol w:w="715"/>
              <w:gridCol w:w="66"/>
              <w:gridCol w:w="382"/>
              <w:gridCol w:w="1200"/>
              <w:gridCol w:w="66"/>
              <w:gridCol w:w="53"/>
              <w:gridCol w:w="12"/>
            </w:tblGrid>
            <w:tr w:rsidR="006A2830" w:rsidRPr="00F41936" w:rsidTr="00197701">
              <w:trPr>
                <w:gridAfter w:val="1"/>
                <w:wAfter w:w="7" w:type="pct"/>
              </w:trPr>
              <w:tc>
                <w:tcPr>
                  <w:tcW w:w="897" w:type="pct"/>
                  <w:tcBorders>
                    <w:top w:val="single" w:sz="6" w:space="0" w:color="auto"/>
                    <w:bottom w:val="single" w:sz="6" w:space="0" w:color="auto"/>
                  </w:tcBorders>
                  <w:shd w:val="clear" w:color="auto" w:fill="auto"/>
                </w:tcPr>
                <w:p w:rsidR="006A2830" w:rsidRPr="00F41936" w:rsidRDefault="006A2830" w:rsidP="009D1C5F">
                  <w:pPr>
                    <w:pStyle w:val="TableColumnHeading"/>
                    <w:jc w:val="left"/>
                  </w:pPr>
                </w:p>
              </w:tc>
              <w:tc>
                <w:tcPr>
                  <w:tcW w:w="453" w:type="pct"/>
                  <w:gridSpan w:val="2"/>
                  <w:tcBorders>
                    <w:top w:val="single" w:sz="6" w:space="0" w:color="auto"/>
                    <w:bottom w:val="single" w:sz="6" w:space="0" w:color="auto"/>
                  </w:tcBorders>
                </w:tcPr>
                <w:p w:rsidR="006A2830" w:rsidRPr="00F41936" w:rsidRDefault="006A2830" w:rsidP="006A2830">
                  <w:pPr>
                    <w:pStyle w:val="TableColumnHeading"/>
                    <w:ind w:right="628"/>
                  </w:pPr>
                </w:p>
              </w:tc>
              <w:tc>
                <w:tcPr>
                  <w:tcW w:w="649" w:type="pct"/>
                  <w:gridSpan w:val="2"/>
                  <w:tcBorders>
                    <w:top w:val="single" w:sz="6" w:space="0" w:color="auto"/>
                    <w:bottom w:val="single" w:sz="6" w:space="0" w:color="auto"/>
                  </w:tcBorders>
                  <w:shd w:val="clear" w:color="auto" w:fill="auto"/>
                </w:tcPr>
                <w:p w:rsidR="006A2830" w:rsidRPr="00F41936" w:rsidRDefault="006A2830" w:rsidP="009D1C5F">
                  <w:pPr>
                    <w:pStyle w:val="TableColumnHeading"/>
                  </w:pPr>
                </w:p>
              </w:tc>
              <w:tc>
                <w:tcPr>
                  <w:tcW w:w="686" w:type="pct"/>
                  <w:gridSpan w:val="3"/>
                  <w:tcBorders>
                    <w:top w:val="single" w:sz="6" w:space="0" w:color="auto"/>
                    <w:bottom w:val="single" w:sz="6" w:space="0" w:color="auto"/>
                  </w:tcBorders>
                </w:tcPr>
                <w:p w:rsidR="006A2830" w:rsidRPr="00F41936" w:rsidRDefault="006A2830" w:rsidP="009D1C5F">
                  <w:pPr>
                    <w:pStyle w:val="TableColumnHeading"/>
                    <w:ind w:right="28"/>
                  </w:pPr>
                </w:p>
              </w:tc>
              <w:tc>
                <w:tcPr>
                  <w:tcW w:w="626" w:type="pct"/>
                  <w:gridSpan w:val="2"/>
                  <w:tcBorders>
                    <w:top w:val="single" w:sz="6" w:space="0" w:color="auto"/>
                    <w:bottom w:val="single" w:sz="6" w:space="0" w:color="auto"/>
                  </w:tcBorders>
                  <w:shd w:val="clear" w:color="auto" w:fill="FFFFFF" w:themeFill="background1"/>
                </w:tcPr>
                <w:p w:rsidR="006A2830" w:rsidRPr="00F41936" w:rsidRDefault="006A2830" w:rsidP="009D1C5F">
                  <w:pPr>
                    <w:pStyle w:val="TableColumnHeading"/>
                    <w:ind w:right="28"/>
                  </w:pPr>
                </w:p>
              </w:tc>
              <w:tc>
                <w:tcPr>
                  <w:tcW w:w="1681" w:type="pct"/>
                  <w:gridSpan w:val="9"/>
                  <w:tcBorders>
                    <w:top w:val="single" w:sz="6" w:space="0" w:color="auto"/>
                    <w:bottom w:val="single" w:sz="6" w:space="0" w:color="auto"/>
                  </w:tcBorders>
                  <w:shd w:val="clear" w:color="auto" w:fill="FFFFFF" w:themeFill="background1"/>
                  <w:vAlign w:val="center"/>
                </w:tcPr>
                <w:p w:rsidR="006A2830" w:rsidRPr="00F41936" w:rsidRDefault="006A2830" w:rsidP="00197701">
                  <w:pPr>
                    <w:pStyle w:val="TableColumnHeading"/>
                    <w:ind w:left="310" w:right="-566"/>
                    <w:jc w:val="left"/>
                  </w:pPr>
                  <w:r>
                    <w:t>Nature</w:t>
                  </w:r>
                  <w:r w:rsidRPr="00F41936">
                    <w:t xml:space="preserve"> of </w:t>
                  </w:r>
                  <w:r>
                    <w:t xml:space="preserve">the </w:t>
                  </w:r>
                  <w:r w:rsidRPr="00F41936">
                    <w:t xml:space="preserve">difference </w:t>
                  </w:r>
                </w:p>
              </w:tc>
            </w:tr>
            <w:tr w:rsidR="006A2830" w:rsidRPr="00D74DE6" w:rsidTr="006A2830">
              <w:tc>
                <w:tcPr>
                  <w:tcW w:w="897" w:type="pct"/>
                  <w:tcBorders>
                    <w:top w:val="single" w:sz="6" w:space="0" w:color="auto"/>
                  </w:tcBorders>
                  <w:vAlign w:val="center"/>
                </w:tcPr>
                <w:p w:rsidR="006A2830" w:rsidRPr="00D74DE6" w:rsidRDefault="006A2830" w:rsidP="009D1C5F">
                  <w:pPr>
                    <w:pStyle w:val="TableColumnHeading"/>
                    <w:jc w:val="center"/>
                  </w:pPr>
                </w:p>
              </w:tc>
              <w:tc>
                <w:tcPr>
                  <w:tcW w:w="453" w:type="pct"/>
                  <w:gridSpan w:val="2"/>
                  <w:tcBorders>
                    <w:top w:val="single" w:sz="6" w:space="0" w:color="auto"/>
                  </w:tcBorders>
                </w:tcPr>
                <w:p w:rsidR="006A2830" w:rsidRPr="00D74DE6" w:rsidRDefault="006A2830" w:rsidP="006A2830">
                  <w:pPr>
                    <w:pStyle w:val="TableColumnHeading"/>
                    <w:ind w:left="350" w:right="628"/>
                  </w:pPr>
                </w:p>
              </w:tc>
              <w:tc>
                <w:tcPr>
                  <w:tcW w:w="649" w:type="pct"/>
                  <w:gridSpan w:val="2"/>
                  <w:tcBorders>
                    <w:top w:val="single" w:sz="6" w:space="0" w:color="auto"/>
                  </w:tcBorders>
                  <w:vAlign w:val="center"/>
                </w:tcPr>
                <w:p w:rsidR="006A2830" w:rsidRPr="00D74DE6" w:rsidRDefault="006A2830" w:rsidP="006A2830">
                  <w:pPr>
                    <w:pStyle w:val="TableColumnHeading"/>
                    <w:ind w:left="350" w:right="198"/>
                  </w:pPr>
                  <w:r w:rsidRPr="00D74DE6">
                    <w:t>2008</w:t>
                  </w:r>
                </w:p>
              </w:tc>
              <w:tc>
                <w:tcPr>
                  <w:tcW w:w="755" w:type="pct"/>
                  <w:gridSpan w:val="4"/>
                  <w:tcBorders>
                    <w:top w:val="single" w:sz="6" w:space="0" w:color="auto"/>
                  </w:tcBorders>
                  <w:vAlign w:val="center"/>
                </w:tcPr>
                <w:p w:rsidR="006A2830" w:rsidRPr="00D74DE6" w:rsidRDefault="006A2830" w:rsidP="00A47EA6">
                  <w:pPr>
                    <w:pStyle w:val="TableColumnHeading"/>
                    <w:ind w:left="350"/>
                    <w:jc w:val="center"/>
                  </w:pPr>
                  <w:r w:rsidRPr="00D74DE6">
                    <w:t>2013</w:t>
                  </w:r>
                </w:p>
              </w:tc>
              <w:tc>
                <w:tcPr>
                  <w:tcW w:w="557" w:type="pct"/>
                  <w:tcBorders>
                    <w:top w:val="single" w:sz="6" w:space="0" w:color="auto"/>
                  </w:tcBorders>
                  <w:vAlign w:val="center"/>
                </w:tcPr>
                <w:p w:rsidR="006A2830" w:rsidRPr="00D74DE6" w:rsidRDefault="006A2830" w:rsidP="00A47EA6">
                  <w:pPr>
                    <w:pStyle w:val="TableColumnHeading"/>
                    <w:ind w:left="350"/>
                    <w:jc w:val="center"/>
                  </w:pPr>
                  <w:r w:rsidRPr="00D74DE6">
                    <w:t>2014</w:t>
                  </w:r>
                </w:p>
              </w:tc>
              <w:tc>
                <w:tcPr>
                  <w:tcW w:w="727" w:type="pct"/>
                  <w:gridSpan w:val="5"/>
                  <w:tcBorders>
                    <w:top w:val="single" w:sz="6" w:space="0" w:color="auto"/>
                  </w:tcBorders>
                  <w:vAlign w:val="center"/>
                </w:tcPr>
                <w:p w:rsidR="006A2830" w:rsidRPr="00D74DE6" w:rsidRDefault="006A2830" w:rsidP="006A2830">
                  <w:pPr>
                    <w:pStyle w:val="TableColumnHeading"/>
                    <w:jc w:val="center"/>
                  </w:pPr>
                  <w:r w:rsidRPr="00D74DE6">
                    <w:t xml:space="preserve">2008 to </w:t>
                  </w:r>
                  <w:r>
                    <w:t>2</w:t>
                  </w:r>
                  <w:r w:rsidRPr="00D74DE6">
                    <w:t>014</w:t>
                  </w:r>
                </w:p>
              </w:tc>
              <w:tc>
                <w:tcPr>
                  <w:tcW w:w="962" w:type="pct"/>
                  <w:gridSpan w:val="5"/>
                  <w:tcBorders>
                    <w:top w:val="single" w:sz="6" w:space="0" w:color="auto"/>
                  </w:tcBorders>
                  <w:vAlign w:val="center"/>
                </w:tcPr>
                <w:p w:rsidR="006A2830" w:rsidRPr="00D74DE6" w:rsidRDefault="006A2830" w:rsidP="006A2830">
                  <w:pPr>
                    <w:pStyle w:val="TableColumnHeading"/>
                    <w:jc w:val="center"/>
                  </w:pPr>
                  <w:r w:rsidRPr="00D74DE6">
                    <w:t>2013 to 2014</w:t>
                  </w:r>
                </w:p>
              </w:tc>
            </w:tr>
            <w:tr w:rsidR="006A2830" w:rsidRPr="00F41936" w:rsidTr="006A2830">
              <w:trPr>
                <w:gridAfter w:val="13"/>
                <w:wAfter w:w="2400" w:type="pct"/>
              </w:trPr>
              <w:tc>
                <w:tcPr>
                  <w:tcW w:w="2600" w:type="pct"/>
                  <w:gridSpan w:val="7"/>
                </w:tcPr>
                <w:p w:rsidR="006A2830" w:rsidRPr="00F41936" w:rsidRDefault="006A2830" w:rsidP="006A2830">
                  <w:pPr>
                    <w:pStyle w:val="TableBodyText"/>
                    <w:ind w:right="628"/>
                    <w:jc w:val="left"/>
                  </w:pPr>
                  <w:r w:rsidRPr="002D0E4E">
                    <w:rPr>
                      <w:b/>
                    </w:rPr>
                    <w:t>Aboriginal and Torres Strait Islander students</w:t>
                  </w:r>
                </w:p>
              </w:tc>
            </w:tr>
            <w:tr w:rsidR="006A2830" w:rsidRPr="00F41936" w:rsidTr="00197701">
              <w:trPr>
                <w:gridAfter w:val="3"/>
                <w:wAfter w:w="74" w:type="pct"/>
              </w:trPr>
              <w:tc>
                <w:tcPr>
                  <w:tcW w:w="897" w:type="pct"/>
                  <w:vAlign w:val="center"/>
                </w:tcPr>
                <w:p w:rsidR="006A2830" w:rsidRPr="00F41936" w:rsidRDefault="006A2830" w:rsidP="009D1C5F">
                  <w:pPr>
                    <w:pStyle w:val="TableUnitsRow"/>
                    <w:jc w:val="left"/>
                  </w:pPr>
                  <w:r w:rsidRPr="00F41936">
                    <w:t>Mean scale score</w:t>
                  </w:r>
                </w:p>
              </w:tc>
              <w:tc>
                <w:tcPr>
                  <w:tcW w:w="453" w:type="pct"/>
                  <w:gridSpan w:val="2"/>
                </w:tcPr>
                <w:p w:rsidR="006A2830" w:rsidRDefault="006A2830" w:rsidP="006A2830">
                  <w:pPr>
                    <w:pStyle w:val="TableBodyText"/>
                  </w:pPr>
                  <w:r>
                    <w:t>no.</w:t>
                  </w:r>
                </w:p>
              </w:tc>
              <w:tc>
                <w:tcPr>
                  <w:tcW w:w="666" w:type="pct"/>
                  <w:gridSpan w:val="3"/>
                  <w:vAlign w:val="center"/>
                </w:tcPr>
                <w:p w:rsidR="006A2830" w:rsidRDefault="006A2830" w:rsidP="006A2830">
                  <w:pPr>
                    <w:pStyle w:val="TableBodyText"/>
                  </w:pPr>
                  <w:r>
                    <w:t>408.0 ± 2.8</w:t>
                  </w:r>
                </w:p>
              </w:tc>
              <w:tc>
                <w:tcPr>
                  <w:tcW w:w="669" w:type="pct"/>
                  <w:gridSpan w:val="2"/>
                  <w:vAlign w:val="center"/>
                </w:tcPr>
                <w:p w:rsidR="006A2830" w:rsidRDefault="006A2830" w:rsidP="006A2830">
                  <w:pPr>
                    <w:pStyle w:val="TableBodyText"/>
                  </w:pPr>
                  <w:r>
                    <w:t>417.4 ± 2.9</w:t>
                  </w:r>
                </w:p>
              </w:tc>
              <w:tc>
                <w:tcPr>
                  <w:tcW w:w="665" w:type="pct"/>
                  <w:gridSpan w:val="3"/>
                  <w:vAlign w:val="center"/>
                </w:tcPr>
                <w:p w:rsidR="006A2830" w:rsidRDefault="006A2830" w:rsidP="006A2830">
                  <w:pPr>
                    <w:pStyle w:val="TableBodyText"/>
                  </w:pPr>
                  <w:r>
                    <w:t>417.9 ± 2.6</w:t>
                  </w:r>
                </w:p>
              </w:tc>
              <w:tc>
                <w:tcPr>
                  <w:tcW w:w="652" w:type="pct"/>
                  <w:gridSpan w:val="3"/>
                  <w:shd w:val="clear" w:color="auto" w:fill="FFFFFF" w:themeFill="background1"/>
                  <w:vAlign w:val="center"/>
                </w:tcPr>
                <w:p w:rsidR="006A2830" w:rsidRPr="0044511E" w:rsidRDefault="006A2830">
                  <w:pPr>
                    <w:jc w:val="center"/>
                    <w:rPr>
                      <w:rFonts w:ascii="Arial" w:hAnsi="Arial" w:cs="Arial"/>
                      <w:sz w:val="18"/>
                      <w:szCs w:val="18"/>
                    </w:rPr>
                  </w:pPr>
                  <w:r w:rsidRPr="0044511E">
                    <w:rPr>
                      <w:rFonts w:ascii="Arial" w:hAnsi="Arial" w:cs="Arial"/>
                      <w:sz w:val="18"/>
                      <w:szCs w:val="18"/>
                    </w:rPr>
                    <w:t>■</w:t>
                  </w:r>
                </w:p>
              </w:tc>
              <w:tc>
                <w:tcPr>
                  <w:tcW w:w="924" w:type="pct"/>
                  <w:gridSpan w:val="3"/>
                  <w:shd w:val="clear" w:color="auto" w:fill="FFFFFF" w:themeFill="background1"/>
                  <w:vAlign w:val="center"/>
                </w:tcPr>
                <w:p w:rsidR="006A2830" w:rsidRPr="0044511E" w:rsidRDefault="006A2830">
                  <w:pPr>
                    <w:jc w:val="center"/>
                    <w:rPr>
                      <w:rFonts w:ascii="Arial" w:hAnsi="Arial" w:cs="Arial"/>
                      <w:sz w:val="18"/>
                      <w:szCs w:val="18"/>
                    </w:rPr>
                  </w:pPr>
                  <w:r w:rsidRPr="0044511E">
                    <w:rPr>
                      <w:rFonts w:ascii="Arial" w:hAnsi="Arial" w:cs="Arial"/>
                      <w:sz w:val="18"/>
                      <w:szCs w:val="18"/>
                    </w:rPr>
                    <w:t>■</w:t>
                  </w:r>
                </w:p>
              </w:tc>
            </w:tr>
            <w:tr w:rsidR="006A2830" w:rsidRPr="00F41936" w:rsidTr="00197701">
              <w:trPr>
                <w:gridAfter w:val="3"/>
                <w:wAfter w:w="74" w:type="pct"/>
              </w:trPr>
              <w:tc>
                <w:tcPr>
                  <w:tcW w:w="897" w:type="pct"/>
                  <w:vAlign w:val="center"/>
                </w:tcPr>
                <w:p w:rsidR="006A2830" w:rsidRPr="00F41936" w:rsidRDefault="006A2830" w:rsidP="009D1C5F">
                  <w:pPr>
                    <w:pStyle w:val="TableUnitsRow"/>
                    <w:jc w:val="left"/>
                  </w:pPr>
                  <w:r w:rsidRPr="00F41936">
                    <w:t>At or above NMS</w:t>
                  </w:r>
                </w:p>
              </w:tc>
              <w:tc>
                <w:tcPr>
                  <w:tcW w:w="453" w:type="pct"/>
                  <w:gridSpan w:val="2"/>
                </w:tcPr>
                <w:p w:rsidR="006A2830" w:rsidRDefault="006A2830" w:rsidP="006A2830">
                  <w:pPr>
                    <w:pStyle w:val="TableBodyText"/>
                  </w:pPr>
                  <w:r>
                    <w:t>%</w:t>
                  </w:r>
                </w:p>
              </w:tc>
              <w:tc>
                <w:tcPr>
                  <w:tcW w:w="666" w:type="pct"/>
                  <w:gridSpan w:val="3"/>
                  <w:vAlign w:val="center"/>
                </w:tcPr>
                <w:p w:rsidR="006A2830" w:rsidRDefault="006A2830" w:rsidP="006A2830">
                  <w:pPr>
                    <w:pStyle w:val="TableBodyText"/>
                  </w:pPr>
                  <w:r>
                    <w:t>69.2 ± 1.7</w:t>
                  </w:r>
                </w:p>
              </w:tc>
              <w:tc>
                <w:tcPr>
                  <w:tcW w:w="669" w:type="pct"/>
                  <w:gridSpan w:val="2"/>
                  <w:vAlign w:val="center"/>
                </w:tcPr>
                <w:p w:rsidR="006A2830" w:rsidRDefault="006A2830" w:rsidP="006A2830">
                  <w:pPr>
                    <w:pStyle w:val="TableBodyText"/>
                  </w:pPr>
                  <w:r>
                    <w:t>73.0 ± 1.7</w:t>
                  </w:r>
                </w:p>
              </w:tc>
              <w:tc>
                <w:tcPr>
                  <w:tcW w:w="665" w:type="pct"/>
                  <w:gridSpan w:val="3"/>
                  <w:vAlign w:val="center"/>
                </w:tcPr>
                <w:p w:rsidR="006A2830" w:rsidRDefault="006A2830" w:rsidP="006A2830">
                  <w:pPr>
                    <w:pStyle w:val="TableBodyText"/>
                  </w:pPr>
                  <w:r>
                    <w:t>71.1 ± 1.6</w:t>
                  </w:r>
                </w:p>
              </w:tc>
              <w:tc>
                <w:tcPr>
                  <w:tcW w:w="652" w:type="pct"/>
                  <w:gridSpan w:val="3"/>
                  <w:shd w:val="clear" w:color="auto" w:fill="FFFFFF" w:themeFill="background1"/>
                  <w:vAlign w:val="center"/>
                </w:tcPr>
                <w:p w:rsidR="006A2830" w:rsidRPr="0044511E" w:rsidRDefault="006A2830">
                  <w:pPr>
                    <w:jc w:val="center"/>
                    <w:rPr>
                      <w:rFonts w:ascii="Arial" w:hAnsi="Arial" w:cs="Arial"/>
                      <w:sz w:val="18"/>
                      <w:szCs w:val="18"/>
                    </w:rPr>
                  </w:pPr>
                  <w:r w:rsidRPr="0044511E">
                    <w:rPr>
                      <w:rFonts w:ascii="Arial" w:hAnsi="Arial" w:cs="Arial"/>
                      <w:sz w:val="18"/>
                      <w:szCs w:val="18"/>
                    </w:rPr>
                    <w:t>■</w:t>
                  </w:r>
                </w:p>
              </w:tc>
              <w:tc>
                <w:tcPr>
                  <w:tcW w:w="924" w:type="pct"/>
                  <w:gridSpan w:val="3"/>
                  <w:shd w:val="clear" w:color="auto" w:fill="FFFFFF" w:themeFill="background1"/>
                  <w:vAlign w:val="center"/>
                </w:tcPr>
                <w:p w:rsidR="006A2830" w:rsidRPr="0044511E" w:rsidRDefault="006A2830">
                  <w:pPr>
                    <w:jc w:val="center"/>
                    <w:rPr>
                      <w:rFonts w:ascii="Arial" w:hAnsi="Arial" w:cs="Arial"/>
                      <w:sz w:val="18"/>
                      <w:szCs w:val="18"/>
                    </w:rPr>
                  </w:pPr>
                  <w:r w:rsidRPr="0044511E">
                    <w:rPr>
                      <w:rFonts w:ascii="Arial" w:hAnsi="Arial" w:cs="Arial"/>
                      <w:sz w:val="18"/>
                      <w:szCs w:val="18"/>
                    </w:rPr>
                    <w:t>■</w:t>
                  </w:r>
                </w:p>
              </w:tc>
            </w:tr>
            <w:tr w:rsidR="006A2830" w:rsidRPr="00F41936" w:rsidTr="00197701">
              <w:trPr>
                <w:gridAfter w:val="1"/>
                <w:wAfter w:w="7" w:type="pct"/>
              </w:trPr>
              <w:tc>
                <w:tcPr>
                  <w:tcW w:w="3601" w:type="pct"/>
                  <w:gridSpan w:val="13"/>
                  <w:shd w:val="clear" w:color="auto" w:fill="FFFFFF" w:themeFill="background1"/>
                </w:tcPr>
                <w:p w:rsidR="006A2830" w:rsidRPr="00F41936" w:rsidRDefault="006A2830" w:rsidP="006A2830">
                  <w:pPr>
                    <w:pStyle w:val="TableBodyText"/>
                    <w:ind w:right="628"/>
                    <w:jc w:val="left"/>
                  </w:pPr>
                  <w:r w:rsidRPr="002D5668">
                    <w:rPr>
                      <w:b/>
                    </w:rPr>
                    <w:t>Non-Indigenous students</w:t>
                  </w:r>
                </w:p>
              </w:tc>
              <w:tc>
                <w:tcPr>
                  <w:tcW w:w="652" w:type="pct"/>
                  <w:gridSpan w:val="3"/>
                  <w:shd w:val="clear" w:color="auto" w:fill="FFFFFF" w:themeFill="background1"/>
                  <w:vAlign w:val="center"/>
                </w:tcPr>
                <w:p w:rsidR="006A2830" w:rsidRPr="0044511E" w:rsidRDefault="006A2830" w:rsidP="006A2830">
                  <w:pPr>
                    <w:pStyle w:val="TableBodyText"/>
                    <w:jc w:val="left"/>
                    <w:rPr>
                      <w:szCs w:val="18"/>
                    </w:rPr>
                  </w:pPr>
                </w:p>
              </w:tc>
              <w:tc>
                <w:tcPr>
                  <w:tcW w:w="740" w:type="pct"/>
                  <w:gridSpan w:val="3"/>
                  <w:shd w:val="clear" w:color="auto" w:fill="FFFFFF" w:themeFill="background1"/>
                </w:tcPr>
                <w:p w:rsidR="006A2830" w:rsidRPr="0044511E" w:rsidRDefault="006A2830" w:rsidP="009D1C5F">
                  <w:pPr>
                    <w:pStyle w:val="TableBodyText"/>
                    <w:jc w:val="center"/>
                    <w:rPr>
                      <w:szCs w:val="18"/>
                    </w:rPr>
                  </w:pPr>
                </w:p>
              </w:tc>
            </w:tr>
            <w:tr w:rsidR="006A2830" w:rsidRPr="00F41936" w:rsidTr="00197701">
              <w:trPr>
                <w:gridAfter w:val="3"/>
                <w:wAfter w:w="74" w:type="pct"/>
              </w:trPr>
              <w:tc>
                <w:tcPr>
                  <w:tcW w:w="897" w:type="pct"/>
                  <w:vAlign w:val="center"/>
                </w:tcPr>
                <w:p w:rsidR="006A2830" w:rsidRPr="00F41936" w:rsidRDefault="006A2830" w:rsidP="009D1C5F">
                  <w:pPr>
                    <w:pStyle w:val="TableUnitsRow"/>
                    <w:jc w:val="left"/>
                  </w:pPr>
                  <w:r w:rsidRPr="00F41936">
                    <w:t>Mean scale score</w:t>
                  </w:r>
                </w:p>
              </w:tc>
              <w:tc>
                <w:tcPr>
                  <w:tcW w:w="453" w:type="pct"/>
                  <w:gridSpan w:val="2"/>
                </w:tcPr>
                <w:p w:rsidR="006A2830" w:rsidRDefault="006A2830" w:rsidP="006A2830">
                  <w:pPr>
                    <w:pStyle w:val="TableBodyText"/>
                  </w:pPr>
                  <w:r>
                    <w:t>no.</w:t>
                  </w:r>
                </w:p>
              </w:tc>
              <w:tc>
                <w:tcPr>
                  <w:tcW w:w="666" w:type="pct"/>
                  <w:gridSpan w:val="3"/>
                  <w:vAlign w:val="center"/>
                </w:tcPr>
                <w:p w:rsidR="006A2830" w:rsidRDefault="006A2830" w:rsidP="006A2830">
                  <w:pPr>
                    <w:pStyle w:val="TableBodyText"/>
                  </w:pPr>
                  <w:r>
                    <w:t>479.5 ± 1.0</w:t>
                  </w:r>
                </w:p>
              </w:tc>
              <w:tc>
                <w:tcPr>
                  <w:tcW w:w="669" w:type="pct"/>
                  <w:gridSpan w:val="2"/>
                  <w:vAlign w:val="center"/>
                </w:tcPr>
                <w:p w:rsidR="006A2830" w:rsidRDefault="006A2830" w:rsidP="006A2830">
                  <w:pPr>
                    <w:pStyle w:val="TableBodyText"/>
                    <w:ind w:left="-343"/>
                  </w:pPr>
                  <w:r>
                    <w:t>489.8 ± 1.0</w:t>
                  </w:r>
                </w:p>
              </w:tc>
              <w:tc>
                <w:tcPr>
                  <w:tcW w:w="665" w:type="pct"/>
                  <w:gridSpan w:val="3"/>
                  <w:vAlign w:val="center"/>
                </w:tcPr>
                <w:p w:rsidR="006A2830" w:rsidRDefault="006A2830" w:rsidP="006A2830">
                  <w:pPr>
                    <w:pStyle w:val="TableBodyText"/>
                  </w:pPr>
                  <w:r>
                    <w:t>491.5 ± 0.9</w:t>
                  </w:r>
                </w:p>
              </w:tc>
              <w:tc>
                <w:tcPr>
                  <w:tcW w:w="652" w:type="pct"/>
                  <w:gridSpan w:val="3"/>
                  <w:shd w:val="clear" w:color="auto" w:fill="FFFFFF" w:themeFill="background1"/>
                  <w:vAlign w:val="center"/>
                </w:tcPr>
                <w:p w:rsidR="006A2830" w:rsidRPr="0044511E" w:rsidRDefault="006A2830">
                  <w:pPr>
                    <w:jc w:val="center"/>
                    <w:rPr>
                      <w:rFonts w:ascii="Arial" w:hAnsi="Arial" w:cs="Arial"/>
                      <w:sz w:val="18"/>
                      <w:szCs w:val="18"/>
                    </w:rPr>
                  </w:pPr>
                  <w:r w:rsidRPr="0044511E">
                    <w:rPr>
                      <w:rFonts w:ascii="Arial" w:hAnsi="Arial" w:cs="Arial"/>
                      <w:sz w:val="18"/>
                      <w:szCs w:val="18"/>
                    </w:rPr>
                    <w:t>■</w:t>
                  </w:r>
                </w:p>
              </w:tc>
              <w:tc>
                <w:tcPr>
                  <w:tcW w:w="924" w:type="pct"/>
                  <w:gridSpan w:val="3"/>
                  <w:shd w:val="clear" w:color="auto" w:fill="FFFFFF" w:themeFill="background1"/>
                  <w:vAlign w:val="center"/>
                </w:tcPr>
                <w:p w:rsidR="006A2830" w:rsidRPr="0044511E" w:rsidRDefault="006A2830">
                  <w:pPr>
                    <w:jc w:val="center"/>
                    <w:rPr>
                      <w:rFonts w:ascii="Arial" w:hAnsi="Arial" w:cs="Arial"/>
                      <w:sz w:val="18"/>
                      <w:szCs w:val="18"/>
                    </w:rPr>
                  </w:pPr>
                  <w:r w:rsidRPr="0044511E">
                    <w:rPr>
                      <w:rFonts w:ascii="Arial" w:hAnsi="Arial" w:cs="Arial"/>
                      <w:sz w:val="18"/>
                      <w:szCs w:val="18"/>
                    </w:rPr>
                    <w:t>■</w:t>
                  </w:r>
                </w:p>
              </w:tc>
            </w:tr>
            <w:tr w:rsidR="006A2830" w:rsidRPr="00F41936" w:rsidTr="00197701">
              <w:trPr>
                <w:gridAfter w:val="3"/>
                <w:wAfter w:w="74" w:type="pct"/>
              </w:trPr>
              <w:tc>
                <w:tcPr>
                  <w:tcW w:w="897" w:type="pct"/>
                  <w:vAlign w:val="center"/>
                </w:tcPr>
                <w:p w:rsidR="006A2830" w:rsidRPr="00F41936" w:rsidRDefault="006A2830" w:rsidP="009D1C5F">
                  <w:pPr>
                    <w:pStyle w:val="TableUnitsRow"/>
                    <w:jc w:val="left"/>
                  </w:pPr>
                  <w:r w:rsidRPr="00F41936">
                    <w:t>At or above NMS</w:t>
                  </w:r>
                </w:p>
              </w:tc>
              <w:tc>
                <w:tcPr>
                  <w:tcW w:w="453" w:type="pct"/>
                  <w:gridSpan w:val="2"/>
                </w:tcPr>
                <w:p w:rsidR="006A2830" w:rsidRDefault="006A2830" w:rsidP="006A2830">
                  <w:pPr>
                    <w:pStyle w:val="TableBodyText"/>
                  </w:pPr>
                  <w:r>
                    <w:t>%</w:t>
                  </w:r>
                </w:p>
              </w:tc>
              <w:tc>
                <w:tcPr>
                  <w:tcW w:w="666" w:type="pct"/>
                  <w:gridSpan w:val="3"/>
                  <w:vAlign w:val="center"/>
                </w:tcPr>
                <w:p w:rsidR="006A2830" w:rsidRDefault="006A2830" w:rsidP="006A2830">
                  <w:pPr>
                    <w:pStyle w:val="TableBodyText"/>
                  </w:pPr>
                  <w:r>
                    <w:t>94.0 ± 0.2</w:t>
                  </w:r>
                </w:p>
              </w:tc>
              <w:tc>
                <w:tcPr>
                  <w:tcW w:w="669" w:type="pct"/>
                  <w:gridSpan w:val="2"/>
                  <w:vAlign w:val="center"/>
                </w:tcPr>
                <w:p w:rsidR="006A2830" w:rsidRDefault="006A2830" w:rsidP="006A2830">
                  <w:pPr>
                    <w:pStyle w:val="TableBodyText"/>
                  </w:pPr>
                  <w:r>
                    <w:t>94.6 ± 0.2</w:t>
                  </w:r>
                </w:p>
              </w:tc>
              <w:tc>
                <w:tcPr>
                  <w:tcW w:w="665" w:type="pct"/>
                  <w:gridSpan w:val="3"/>
                  <w:vAlign w:val="center"/>
                </w:tcPr>
                <w:p w:rsidR="006A2830" w:rsidRDefault="006A2830" w:rsidP="006A2830">
                  <w:pPr>
                    <w:pStyle w:val="TableBodyText"/>
                  </w:pPr>
                  <w:r>
                    <w:t>94.8 ± 0.2</w:t>
                  </w:r>
                </w:p>
              </w:tc>
              <w:tc>
                <w:tcPr>
                  <w:tcW w:w="652" w:type="pct"/>
                  <w:gridSpan w:val="3"/>
                  <w:shd w:val="clear" w:color="auto" w:fill="FFFFFF" w:themeFill="background1"/>
                  <w:vAlign w:val="center"/>
                </w:tcPr>
                <w:p w:rsidR="006A2830" w:rsidRPr="0044511E" w:rsidRDefault="006A2830">
                  <w:pPr>
                    <w:jc w:val="center"/>
                    <w:rPr>
                      <w:rFonts w:ascii="Arial" w:hAnsi="Arial" w:cs="Arial"/>
                      <w:sz w:val="18"/>
                      <w:szCs w:val="18"/>
                    </w:rPr>
                  </w:pPr>
                  <w:r w:rsidRPr="0044511E">
                    <w:rPr>
                      <w:rFonts w:ascii="Arial" w:hAnsi="Arial" w:cs="Arial"/>
                      <w:sz w:val="18"/>
                      <w:szCs w:val="18"/>
                    </w:rPr>
                    <w:t>■</w:t>
                  </w:r>
                </w:p>
              </w:tc>
              <w:tc>
                <w:tcPr>
                  <w:tcW w:w="924" w:type="pct"/>
                  <w:gridSpan w:val="3"/>
                  <w:shd w:val="clear" w:color="auto" w:fill="FFFFFF" w:themeFill="background1"/>
                  <w:vAlign w:val="center"/>
                </w:tcPr>
                <w:p w:rsidR="006A2830" w:rsidRPr="0044511E" w:rsidRDefault="006A2830">
                  <w:pPr>
                    <w:jc w:val="center"/>
                    <w:rPr>
                      <w:rFonts w:ascii="Arial" w:hAnsi="Arial" w:cs="Arial"/>
                      <w:sz w:val="18"/>
                      <w:szCs w:val="18"/>
                    </w:rPr>
                  </w:pPr>
                  <w:r w:rsidRPr="0044511E">
                    <w:rPr>
                      <w:rFonts w:ascii="Arial" w:hAnsi="Arial" w:cs="Arial"/>
                      <w:sz w:val="18"/>
                      <w:szCs w:val="18"/>
                    </w:rPr>
                    <w:t>■</w:t>
                  </w:r>
                </w:p>
              </w:tc>
            </w:tr>
            <w:tr w:rsidR="006A2830" w:rsidRPr="00F41936" w:rsidTr="00197701">
              <w:trPr>
                <w:gridAfter w:val="2"/>
                <w:wAfter w:w="38" w:type="pct"/>
              </w:trPr>
              <w:tc>
                <w:tcPr>
                  <w:tcW w:w="1303" w:type="pct"/>
                  <w:gridSpan w:val="2"/>
                </w:tcPr>
                <w:p w:rsidR="006A2830" w:rsidRPr="002D5668" w:rsidRDefault="006A2830" w:rsidP="006A2830">
                  <w:pPr>
                    <w:pStyle w:val="TableBodyText"/>
                    <w:ind w:right="628"/>
                    <w:jc w:val="left"/>
                    <w:rPr>
                      <w:b/>
                    </w:rPr>
                  </w:pPr>
                  <w:r w:rsidRPr="002D5668">
                    <w:rPr>
                      <w:b/>
                    </w:rPr>
                    <w:t>All students</w:t>
                  </w:r>
                </w:p>
              </w:tc>
              <w:tc>
                <w:tcPr>
                  <w:tcW w:w="441" w:type="pct"/>
                  <w:gridSpan w:val="2"/>
                </w:tcPr>
                <w:p w:rsidR="006A2830" w:rsidRPr="00F41936" w:rsidRDefault="006A2830" w:rsidP="009D1C5F">
                  <w:pPr>
                    <w:pStyle w:val="TableBodyText"/>
                  </w:pPr>
                </w:p>
              </w:tc>
              <w:tc>
                <w:tcPr>
                  <w:tcW w:w="1641" w:type="pct"/>
                  <w:gridSpan w:val="8"/>
                  <w:shd w:val="clear" w:color="auto" w:fill="FFFFFF" w:themeFill="background1"/>
                </w:tcPr>
                <w:p w:rsidR="006A2830" w:rsidRPr="00F41936" w:rsidRDefault="006A2830" w:rsidP="009D1C5F">
                  <w:pPr>
                    <w:pStyle w:val="TableBodyText"/>
                  </w:pPr>
                </w:p>
              </w:tc>
              <w:tc>
                <w:tcPr>
                  <w:tcW w:w="654" w:type="pct"/>
                  <w:gridSpan w:val="3"/>
                  <w:shd w:val="clear" w:color="auto" w:fill="FFFFFF" w:themeFill="background1"/>
                </w:tcPr>
                <w:p w:rsidR="006A2830" w:rsidRPr="0044511E" w:rsidRDefault="006A2830" w:rsidP="009D1C5F">
                  <w:pPr>
                    <w:pStyle w:val="TableBodyText"/>
                    <w:jc w:val="center"/>
                    <w:rPr>
                      <w:szCs w:val="18"/>
                    </w:rPr>
                  </w:pPr>
                </w:p>
              </w:tc>
              <w:tc>
                <w:tcPr>
                  <w:tcW w:w="924" w:type="pct"/>
                  <w:gridSpan w:val="3"/>
                  <w:shd w:val="clear" w:color="auto" w:fill="FFFFFF" w:themeFill="background1"/>
                </w:tcPr>
                <w:p w:rsidR="006A2830" w:rsidRPr="0044511E" w:rsidRDefault="006A2830" w:rsidP="009D1C5F">
                  <w:pPr>
                    <w:pStyle w:val="TableBodyText"/>
                    <w:jc w:val="center"/>
                    <w:rPr>
                      <w:szCs w:val="18"/>
                    </w:rPr>
                  </w:pPr>
                </w:p>
              </w:tc>
            </w:tr>
            <w:tr w:rsidR="006A2830" w:rsidRPr="00F41936" w:rsidTr="00197701">
              <w:trPr>
                <w:gridAfter w:val="3"/>
                <w:wAfter w:w="74" w:type="pct"/>
              </w:trPr>
              <w:tc>
                <w:tcPr>
                  <w:tcW w:w="897" w:type="pct"/>
                  <w:vAlign w:val="center"/>
                </w:tcPr>
                <w:p w:rsidR="006A2830" w:rsidRPr="00F41936" w:rsidRDefault="006A2830" w:rsidP="009D1C5F">
                  <w:pPr>
                    <w:pStyle w:val="TableUnitsRow"/>
                    <w:jc w:val="left"/>
                  </w:pPr>
                  <w:r w:rsidRPr="00F41936">
                    <w:t>Mean scale score</w:t>
                  </w:r>
                </w:p>
              </w:tc>
              <w:tc>
                <w:tcPr>
                  <w:tcW w:w="453" w:type="pct"/>
                  <w:gridSpan w:val="2"/>
                </w:tcPr>
                <w:p w:rsidR="006A2830" w:rsidRDefault="006A2830" w:rsidP="006A2830">
                  <w:pPr>
                    <w:pStyle w:val="TableBodyText"/>
                  </w:pPr>
                  <w:r>
                    <w:t>no.</w:t>
                  </w:r>
                </w:p>
              </w:tc>
              <w:tc>
                <w:tcPr>
                  <w:tcW w:w="666" w:type="pct"/>
                  <w:gridSpan w:val="3"/>
                  <w:vAlign w:val="center"/>
                </w:tcPr>
                <w:p w:rsidR="006A2830" w:rsidRDefault="006A2830" w:rsidP="006A2830">
                  <w:pPr>
                    <w:pStyle w:val="TableBodyText"/>
                  </w:pPr>
                  <w:r>
                    <w:t>475.9 ± 1.1</w:t>
                  </w:r>
                </w:p>
              </w:tc>
              <w:tc>
                <w:tcPr>
                  <w:tcW w:w="669" w:type="pct"/>
                  <w:gridSpan w:val="2"/>
                  <w:vAlign w:val="center"/>
                </w:tcPr>
                <w:p w:rsidR="006A2830" w:rsidRDefault="006A2830" w:rsidP="006A2830">
                  <w:pPr>
                    <w:pStyle w:val="TableBodyText"/>
                  </w:pPr>
                  <w:r>
                    <w:t>485.8 ± 1.1</w:t>
                  </w:r>
                </w:p>
              </w:tc>
              <w:tc>
                <w:tcPr>
                  <w:tcW w:w="665" w:type="pct"/>
                  <w:gridSpan w:val="3"/>
                  <w:vAlign w:val="center"/>
                </w:tcPr>
                <w:p w:rsidR="006A2830" w:rsidRDefault="006A2830" w:rsidP="006A2830">
                  <w:pPr>
                    <w:pStyle w:val="TableBodyText"/>
                  </w:pPr>
                  <w:r>
                    <w:t>487.6 ± 1.0</w:t>
                  </w:r>
                </w:p>
              </w:tc>
              <w:tc>
                <w:tcPr>
                  <w:tcW w:w="652" w:type="pct"/>
                  <w:gridSpan w:val="3"/>
                  <w:shd w:val="clear" w:color="auto" w:fill="FFFFFF" w:themeFill="background1"/>
                  <w:vAlign w:val="center"/>
                </w:tcPr>
                <w:p w:rsidR="006A2830" w:rsidRPr="0044511E" w:rsidRDefault="006A2830">
                  <w:pPr>
                    <w:jc w:val="center"/>
                    <w:rPr>
                      <w:rFonts w:ascii="Arial" w:hAnsi="Arial" w:cs="Arial"/>
                      <w:sz w:val="18"/>
                      <w:szCs w:val="18"/>
                    </w:rPr>
                  </w:pPr>
                  <w:r w:rsidRPr="0044511E">
                    <w:rPr>
                      <w:rFonts w:ascii="Arial" w:hAnsi="Arial" w:cs="Arial"/>
                      <w:sz w:val="18"/>
                      <w:szCs w:val="18"/>
                    </w:rPr>
                    <w:t>■</w:t>
                  </w:r>
                </w:p>
              </w:tc>
              <w:tc>
                <w:tcPr>
                  <w:tcW w:w="924" w:type="pct"/>
                  <w:gridSpan w:val="3"/>
                  <w:shd w:val="clear" w:color="auto" w:fill="FFFFFF" w:themeFill="background1"/>
                  <w:vAlign w:val="center"/>
                </w:tcPr>
                <w:p w:rsidR="006A2830" w:rsidRPr="0044511E" w:rsidRDefault="006A2830">
                  <w:pPr>
                    <w:jc w:val="center"/>
                    <w:rPr>
                      <w:rFonts w:ascii="Arial" w:hAnsi="Arial" w:cs="Arial"/>
                      <w:sz w:val="18"/>
                      <w:szCs w:val="18"/>
                    </w:rPr>
                  </w:pPr>
                  <w:r w:rsidRPr="0044511E">
                    <w:rPr>
                      <w:rFonts w:ascii="Arial" w:hAnsi="Arial" w:cs="Arial"/>
                      <w:sz w:val="18"/>
                      <w:szCs w:val="18"/>
                    </w:rPr>
                    <w:t>■</w:t>
                  </w:r>
                </w:p>
              </w:tc>
            </w:tr>
            <w:tr w:rsidR="006A2830" w:rsidRPr="00F41936" w:rsidTr="00197701">
              <w:trPr>
                <w:gridAfter w:val="3"/>
                <w:wAfter w:w="74" w:type="pct"/>
              </w:trPr>
              <w:tc>
                <w:tcPr>
                  <w:tcW w:w="897" w:type="pct"/>
                  <w:tcBorders>
                    <w:bottom w:val="single" w:sz="6" w:space="0" w:color="auto"/>
                  </w:tcBorders>
                  <w:shd w:val="clear" w:color="auto" w:fill="auto"/>
                  <w:vAlign w:val="center"/>
                </w:tcPr>
                <w:p w:rsidR="006A2830" w:rsidRPr="00F41936" w:rsidRDefault="006A2830" w:rsidP="009D1C5F">
                  <w:pPr>
                    <w:pStyle w:val="TableUnitsRow"/>
                    <w:jc w:val="left"/>
                  </w:pPr>
                  <w:r w:rsidRPr="00F41936">
                    <w:t>At or above NMS</w:t>
                  </w:r>
                </w:p>
              </w:tc>
              <w:tc>
                <w:tcPr>
                  <w:tcW w:w="453" w:type="pct"/>
                  <w:gridSpan w:val="2"/>
                  <w:tcBorders>
                    <w:bottom w:val="single" w:sz="6" w:space="0" w:color="auto"/>
                  </w:tcBorders>
                </w:tcPr>
                <w:p w:rsidR="006A2830" w:rsidRDefault="006A2830" w:rsidP="006A2830">
                  <w:pPr>
                    <w:pStyle w:val="TableBodyText"/>
                  </w:pPr>
                  <w:r>
                    <w:t>%</w:t>
                  </w:r>
                </w:p>
              </w:tc>
              <w:tc>
                <w:tcPr>
                  <w:tcW w:w="666" w:type="pct"/>
                  <w:gridSpan w:val="3"/>
                  <w:tcBorders>
                    <w:bottom w:val="single" w:sz="6" w:space="0" w:color="auto"/>
                  </w:tcBorders>
                  <w:shd w:val="clear" w:color="auto" w:fill="auto"/>
                  <w:vAlign w:val="center"/>
                </w:tcPr>
                <w:p w:rsidR="006A2830" w:rsidRDefault="006A2830" w:rsidP="006A2830">
                  <w:pPr>
                    <w:pStyle w:val="TableBodyText"/>
                  </w:pPr>
                  <w:r>
                    <w:t>92.7 ± 0.2</w:t>
                  </w:r>
                </w:p>
              </w:tc>
              <w:tc>
                <w:tcPr>
                  <w:tcW w:w="669" w:type="pct"/>
                  <w:gridSpan w:val="2"/>
                  <w:tcBorders>
                    <w:bottom w:val="single" w:sz="6" w:space="0" w:color="auto"/>
                  </w:tcBorders>
                  <w:vAlign w:val="center"/>
                </w:tcPr>
                <w:p w:rsidR="006A2830" w:rsidRDefault="006A2830" w:rsidP="006A2830">
                  <w:pPr>
                    <w:pStyle w:val="TableBodyText"/>
                  </w:pPr>
                  <w:r>
                    <w:t>93.4 ± 0.2</w:t>
                  </w:r>
                </w:p>
              </w:tc>
              <w:tc>
                <w:tcPr>
                  <w:tcW w:w="665" w:type="pct"/>
                  <w:gridSpan w:val="3"/>
                  <w:tcBorders>
                    <w:bottom w:val="single" w:sz="6" w:space="0" w:color="auto"/>
                  </w:tcBorders>
                  <w:vAlign w:val="center"/>
                </w:tcPr>
                <w:p w:rsidR="006A2830" w:rsidRDefault="006A2830" w:rsidP="006A2830">
                  <w:pPr>
                    <w:pStyle w:val="TableBodyText"/>
                  </w:pPr>
                  <w:r>
                    <w:t>93.5 ± 0.2</w:t>
                  </w:r>
                </w:p>
              </w:tc>
              <w:tc>
                <w:tcPr>
                  <w:tcW w:w="652" w:type="pct"/>
                  <w:gridSpan w:val="3"/>
                  <w:tcBorders>
                    <w:bottom w:val="single" w:sz="6" w:space="0" w:color="auto"/>
                  </w:tcBorders>
                  <w:shd w:val="clear" w:color="auto" w:fill="FFFFFF" w:themeFill="background1"/>
                  <w:vAlign w:val="center"/>
                </w:tcPr>
                <w:p w:rsidR="006A2830" w:rsidRPr="0044511E" w:rsidRDefault="006A2830">
                  <w:pPr>
                    <w:jc w:val="center"/>
                    <w:rPr>
                      <w:rFonts w:ascii="Arial" w:hAnsi="Arial" w:cs="Arial"/>
                      <w:sz w:val="18"/>
                      <w:szCs w:val="18"/>
                    </w:rPr>
                  </w:pPr>
                  <w:r w:rsidRPr="0044511E">
                    <w:rPr>
                      <w:rFonts w:ascii="Arial" w:hAnsi="Arial" w:cs="Arial"/>
                      <w:sz w:val="18"/>
                      <w:szCs w:val="18"/>
                    </w:rPr>
                    <w:t>■</w:t>
                  </w:r>
                </w:p>
              </w:tc>
              <w:tc>
                <w:tcPr>
                  <w:tcW w:w="924" w:type="pct"/>
                  <w:gridSpan w:val="3"/>
                  <w:tcBorders>
                    <w:bottom w:val="single" w:sz="6" w:space="0" w:color="auto"/>
                  </w:tcBorders>
                  <w:shd w:val="clear" w:color="auto" w:fill="FFFFFF" w:themeFill="background1"/>
                  <w:vAlign w:val="center"/>
                </w:tcPr>
                <w:p w:rsidR="006A2830" w:rsidRPr="0044511E" w:rsidRDefault="006A2830">
                  <w:pPr>
                    <w:jc w:val="center"/>
                    <w:rPr>
                      <w:rFonts w:ascii="Arial" w:hAnsi="Arial" w:cs="Arial"/>
                      <w:sz w:val="18"/>
                      <w:szCs w:val="18"/>
                    </w:rPr>
                  </w:pPr>
                  <w:r w:rsidRPr="0044511E">
                    <w:rPr>
                      <w:rFonts w:ascii="Arial" w:hAnsi="Arial" w:cs="Arial"/>
                      <w:sz w:val="18"/>
                      <w:szCs w:val="18"/>
                    </w:rPr>
                    <w:t>■</w:t>
                  </w:r>
                </w:p>
              </w:tc>
            </w:tr>
          </w:tbl>
          <w:p w:rsidR="00A10710" w:rsidRDefault="00A10710" w:rsidP="009D1C5F">
            <w:pPr>
              <w:pStyle w:val="Box"/>
            </w:pPr>
          </w:p>
        </w:tc>
      </w:tr>
      <w:tr w:rsidR="00A10710" w:rsidTr="00197701">
        <w:trPr>
          <w:cantSplit/>
        </w:trPr>
        <w:tc>
          <w:tcPr>
            <w:tcW w:w="8771" w:type="dxa"/>
            <w:tcBorders>
              <w:top w:val="nil"/>
              <w:left w:val="nil"/>
              <w:bottom w:val="nil"/>
              <w:right w:val="nil"/>
            </w:tcBorders>
            <w:shd w:val="clear" w:color="auto" w:fill="FFFFFF" w:themeFill="background1"/>
          </w:tcPr>
          <w:p w:rsidR="00014C57" w:rsidRPr="00197701" w:rsidRDefault="00A10710" w:rsidP="0044511E">
            <w:pPr>
              <w:pStyle w:val="Note"/>
              <w:rPr>
                <w:shd w:val="clear" w:color="auto" w:fill="FFFF00"/>
              </w:rPr>
            </w:pPr>
            <w:r w:rsidRPr="00197701">
              <w:t>NMS = National Minimum Standard</w:t>
            </w:r>
            <w:r w:rsidRPr="00197701">
              <w:rPr>
                <w:shd w:val="clear" w:color="auto" w:fill="FFFFFF" w:themeFill="background1"/>
              </w:rPr>
              <w:t xml:space="preserve">. </w:t>
            </w:r>
          </w:p>
          <w:p w:rsidR="00014C57" w:rsidRPr="00197701" w:rsidRDefault="0044511E" w:rsidP="00197701">
            <w:pPr>
              <w:pStyle w:val="Note"/>
              <w:shd w:val="clear" w:color="auto" w:fill="FFFFFF" w:themeFill="background1"/>
              <w:rPr>
                <w:shd w:val="clear" w:color="auto" w:fill="FFFF00"/>
              </w:rPr>
            </w:pPr>
            <w:r w:rsidRPr="00197701">
              <w:rPr>
                <w:shd w:val="clear" w:color="auto" w:fill="FFFFFF" w:themeFill="background1"/>
              </w:rPr>
              <w:t>For Comparison of mean</w:t>
            </w:r>
            <w:r w:rsidR="005C1D95" w:rsidRPr="00197701">
              <w:rPr>
                <w:shd w:val="clear" w:color="auto" w:fill="FFFFFF" w:themeFill="background1"/>
              </w:rPr>
              <w:t xml:space="preserve"> scale scores</w:t>
            </w:r>
            <w:r w:rsidRPr="00197701">
              <w:rPr>
                <w:shd w:val="clear" w:color="auto" w:fill="FFFFFF" w:themeFill="background1"/>
              </w:rPr>
              <w:t>: ■</w:t>
            </w:r>
            <w:r w:rsidR="002A20D1">
              <w:rPr>
                <w:shd w:val="clear" w:color="auto" w:fill="FFFFFF" w:themeFill="background1"/>
              </w:rPr>
              <w:t xml:space="preserve"> </w:t>
            </w:r>
            <w:r w:rsidRPr="00197701">
              <w:rPr>
                <w:shd w:val="clear" w:color="auto" w:fill="FFFFFF" w:themeFill="background1"/>
              </w:rPr>
              <w:t xml:space="preserve">Average achievement is close to or not statistically different from the base year (or previous year). </w:t>
            </w:r>
          </w:p>
          <w:p w:rsidR="0044511E" w:rsidRPr="00197701" w:rsidRDefault="0044511E" w:rsidP="00197701">
            <w:pPr>
              <w:pStyle w:val="Note"/>
            </w:pPr>
            <w:r w:rsidRPr="00197701">
              <w:rPr>
                <w:shd w:val="clear" w:color="auto" w:fill="FFFFFF" w:themeFill="background1"/>
              </w:rPr>
              <w:t xml:space="preserve">For Comparison of percentage of students at or above </w:t>
            </w:r>
            <w:r w:rsidR="005C1D95" w:rsidRPr="00197701">
              <w:rPr>
                <w:shd w:val="clear" w:color="auto" w:fill="FFFFFF" w:themeFill="background1"/>
              </w:rPr>
              <w:t>national minimum standard</w:t>
            </w:r>
            <w:r w:rsidRPr="00197701">
              <w:rPr>
                <w:shd w:val="clear" w:color="auto" w:fill="FFFFFF" w:themeFill="background1"/>
              </w:rPr>
              <w:t>: ■</w:t>
            </w:r>
            <w:r w:rsidR="002A20D1">
              <w:rPr>
                <w:shd w:val="clear" w:color="auto" w:fill="FFFFFF" w:themeFill="background1"/>
              </w:rPr>
              <w:t xml:space="preserve"> </w:t>
            </w:r>
            <w:r w:rsidRPr="00197701">
              <w:rPr>
                <w:shd w:val="clear" w:color="auto" w:fill="FFFFFF" w:themeFill="background1"/>
              </w:rPr>
              <w:t xml:space="preserve">Percentage of students at or above </w:t>
            </w:r>
            <w:r w:rsidR="005C1D95" w:rsidRPr="00197701">
              <w:rPr>
                <w:shd w:val="clear" w:color="auto" w:fill="FFFFFF" w:themeFill="background1"/>
              </w:rPr>
              <w:t>national minimum standard</w:t>
            </w:r>
            <w:r w:rsidRPr="00197701">
              <w:rPr>
                <w:shd w:val="clear" w:color="auto" w:fill="FFFFFF" w:themeFill="background1"/>
              </w:rPr>
              <w:t xml:space="preserve"> is close to or not statistically different from the base year (or previous year).</w:t>
            </w:r>
          </w:p>
          <w:p w:rsidR="00A10710" w:rsidRPr="00197701" w:rsidRDefault="0044511E" w:rsidP="0044511E">
            <w:pPr>
              <w:pStyle w:val="Note"/>
              <w:rPr>
                <w:i/>
              </w:rPr>
            </w:pPr>
            <w:r w:rsidRPr="00197701">
              <w:t xml:space="preserve"> </w:t>
            </w:r>
            <w:r w:rsidR="00A10710" w:rsidRPr="00197701">
              <w:rPr>
                <w:rStyle w:val="NoteLabel"/>
              </w:rPr>
              <w:t>a</w:t>
            </w:r>
            <w:r w:rsidR="00A10710" w:rsidRPr="00197701">
              <w:t xml:space="preserve"> The mean scale scores and proportions at or above national minimum standard reported in this table include 95 per cent confidence intervals (for example, a mean scale score of 400.0 ± 2.7). The confidence intervals in this table are for the specific year applicable and do not provide an indication of statistically significant differences between years. See section 2.5 of the statistical context chapter (chapter 2) for more information on confidence intervals. </w:t>
            </w:r>
            <w:r w:rsidR="00A10710" w:rsidRPr="00197701">
              <w:rPr>
                <w:rStyle w:val="NoteLabel"/>
              </w:rPr>
              <w:t>b</w:t>
            </w:r>
            <w:r w:rsidR="00A10710" w:rsidRPr="00197701">
              <w:t> For further information and caveats see table 4A.</w:t>
            </w:r>
            <w:r w:rsidR="00A47EA6" w:rsidRPr="00197701">
              <w:t>124</w:t>
            </w:r>
            <w:r w:rsidR="00A10710" w:rsidRPr="00197701">
              <w:t>.</w:t>
            </w:r>
          </w:p>
        </w:tc>
      </w:tr>
      <w:tr w:rsidR="00A10710" w:rsidTr="00197701">
        <w:trPr>
          <w:cantSplit/>
        </w:trPr>
        <w:tc>
          <w:tcPr>
            <w:tcW w:w="8771" w:type="dxa"/>
            <w:tcBorders>
              <w:top w:val="nil"/>
              <w:left w:val="nil"/>
              <w:bottom w:val="nil"/>
              <w:right w:val="nil"/>
            </w:tcBorders>
            <w:shd w:val="clear" w:color="auto" w:fill="FFFFFF" w:themeFill="background1"/>
          </w:tcPr>
          <w:p w:rsidR="00A10710" w:rsidRPr="00197701" w:rsidRDefault="00A10710" w:rsidP="00A10710">
            <w:pPr>
              <w:pStyle w:val="Source"/>
            </w:pPr>
            <w:r w:rsidRPr="00197701">
              <w:rPr>
                <w:i/>
              </w:rPr>
              <w:t>Source</w:t>
            </w:r>
            <w:r w:rsidRPr="00197701">
              <w:t xml:space="preserve">: ACARA (2014 and unpublished) </w:t>
            </w:r>
            <w:r w:rsidRPr="00197701">
              <w:rPr>
                <w:i/>
              </w:rPr>
              <w:t>NAPLAN Achievement in Reading, Writing, Language Conventions and Numeracy: National Report for 2014</w:t>
            </w:r>
            <w:r w:rsidRPr="00197701">
              <w:t>, ACARA, Sydney; table 4A.124.</w:t>
            </w:r>
          </w:p>
        </w:tc>
      </w:tr>
      <w:tr w:rsidR="00A10710" w:rsidTr="00197701">
        <w:trPr>
          <w:cantSplit/>
        </w:trPr>
        <w:tc>
          <w:tcPr>
            <w:tcW w:w="8771" w:type="dxa"/>
            <w:tcBorders>
              <w:top w:val="nil"/>
              <w:left w:val="nil"/>
              <w:bottom w:val="single" w:sz="6" w:space="0" w:color="78A22F"/>
              <w:right w:val="nil"/>
            </w:tcBorders>
            <w:shd w:val="clear" w:color="auto" w:fill="FFFFFF" w:themeFill="background1"/>
          </w:tcPr>
          <w:p w:rsidR="00A10710" w:rsidRPr="00197701" w:rsidRDefault="00A10710" w:rsidP="009D1C5F">
            <w:pPr>
              <w:pStyle w:val="Box"/>
              <w:spacing w:before="0" w:line="120" w:lineRule="exact"/>
            </w:pPr>
          </w:p>
        </w:tc>
      </w:tr>
      <w:tr w:rsidR="00A10710" w:rsidRPr="000863A5" w:rsidTr="00197701">
        <w:tc>
          <w:tcPr>
            <w:tcW w:w="8771" w:type="dxa"/>
            <w:tcBorders>
              <w:top w:val="single" w:sz="6" w:space="0" w:color="78A22F"/>
              <w:left w:val="nil"/>
              <w:bottom w:val="nil"/>
              <w:right w:val="nil"/>
            </w:tcBorders>
            <w:shd w:val="clear" w:color="auto" w:fill="FFFFFF" w:themeFill="background1"/>
          </w:tcPr>
          <w:p w:rsidR="00A10710" w:rsidRPr="00197701" w:rsidRDefault="00A10710" w:rsidP="009D1C5F">
            <w:pPr>
              <w:pStyle w:val="BoxSpaceBelow"/>
            </w:pPr>
          </w:p>
        </w:tc>
      </w:tr>
    </w:tbl>
    <w:p w:rsidR="000C510D" w:rsidRDefault="000C510D" w:rsidP="007B0AE2">
      <w:pPr>
        <w:pStyle w:val="Heading6"/>
      </w:pPr>
      <w:r>
        <w:t>Cohort gain</w:t>
      </w:r>
    </w:p>
    <w:p w:rsidR="000C510D" w:rsidRPr="000C510D" w:rsidRDefault="001748FA" w:rsidP="004D2AC5">
      <w:pPr>
        <w:pStyle w:val="BodyText"/>
      </w:pPr>
      <w:r w:rsidRPr="002700D1">
        <w:t>Analysis of NAPLAN mean scale score data for the years 2008 to 2010</w:t>
      </w:r>
      <w:r>
        <w:t>,</w:t>
      </w:r>
      <w:r w:rsidRPr="002700D1">
        <w:t xml:space="preserve"> 2010 to 2012 </w:t>
      </w:r>
      <w:r>
        <w:t xml:space="preserve">and 2012 to 2014 </w:t>
      </w:r>
      <w:r w:rsidRPr="002700D1">
        <w:t>enables comparisons of outcomes for the same cohort of students over time (box 4.</w:t>
      </w:r>
      <w:r w:rsidR="00FF2AB3">
        <w:t>10</w:t>
      </w:r>
      <w:r w:rsidRPr="002700D1">
        <w:t xml:space="preserve">). </w:t>
      </w:r>
      <w:r w:rsidR="000C510D" w:rsidRPr="000C510D">
        <w:t xml:space="preserve">From year 3 in 2008 to year 5 in 2010, the gain in numeracy mean scale score </w:t>
      </w:r>
      <w:r w:rsidR="009D7A8B">
        <w:t>(</w:t>
      </w:r>
      <w:r w:rsidR="009D7A8B" w:rsidRPr="007072F5">
        <w:t xml:space="preserve">on the common national scale for </w:t>
      </w:r>
      <w:r w:rsidR="007B5845">
        <w:t>y</w:t>
      </w:r>
      <w:r w:rsidR="009D7A8B" w:rsidRPr="007072F5">
        <w:t>ears 3, 5, 7 and 9, ranging from 0 to 1000</w:t>
      </w:r>
      <w:r w:rsidR="009D7A8B">
        <w:t xml:space="preserve">) </w:t>
      </w:r>
      <w:r w:rsidR="000C510D" w:rsidRPr="000C510D">
        <w:t xml:space="preserve">was between 83.6 and 100.2 points nationally. For the same cohort, from year 5 in 2010 to year 7 in 2012, the </w:t>
      </w:r>
      <w:r w:rsidR="009D7A8B">
        <w:t xml:space="preserve">mean scale score </w:t>
      </w:r>
      <w:r w:rsidR="000C510D" w:rsidRPr="000C510D">
        <w:t>gain was between 43.3 and 55.3 points nationally</w:t>
      </w:r>
      <w:r>
        <w:t xml:space="preserve">, and from </w:t>
      </w:r>
      <w:r w:rsidRPr="00D07F9F">
        <w:t xml:space="preserve">year </w:t>
      </w:r>
      <w:r>
        <w:t>7</w:t>
      </w:r>
      <w:r w:rsidRPr="00D07F9F">
        <w:t xml:space="preserve"> in 201</w:t>
      </w:r>
      <w:r>
        <w:t>2</w:t>
      </w:r>
      <w:r w:rsidRPr="00D07F9F">
        <w:t xml:space="preserve"> to year </w:t>
      </w:r>
      <w:r>
        <w:t>9</w:t>
      </w:r>
      <w:r w:rsidRPr="00D07F9F">
        <w:t xml:space="preserve"> in 201</w:t>
      </w:r>
      <w:r>
        <w:t>4</w:t>
      </w:r>
      <w:r w:rsidRPr="00D07F9F">
        <w:t xml:space="preserve">, the </w:t>
      </w:r>
      <w:r>
        <w:t xml:space="preserve">mean scale score </w:t>
      </w:r>
      <w:r w:rsidRPr="00D07F9F">
        <w:t xml:space="preserve">gain was between </w:t>
      </w:r>
      <w:r w:rsidR="00D774C0" w:rsidRPr="004D2AC5">
        <w:rPr>
          <w:shd w:val="clear" w:color="auto" w:fill="FFFFFF" w:themeFill="background1"/>
        </w:rPr>
        <w:t>45.0</w:t>
      </w:r>
      <w:r w:rsidRPr="004D2AC5">
        <w:rPr>
          <w:shd w:val="clear" w:color="auto" w:fill="FFFFFF" w:themeFill="background1"/>
        </w:rPr>
        <w:t xml:space="preserve"> and </w:t>
      </w:r>
      <w:r w:rsidR="00D774C0" w:rsidRPr="004D2AC5">
        <w:rPr>
          <w:shd w:val="clear" w:color="auto" w:fill="FFFFFF" w:themeFill="background1"/>
        </w:rPr>
        <w:t>54.4</w:t>
      </w:r>
      <w:r w:rsidRPr="004D2AC5">
        <w:rPr>
          <w:shd w:val="clear" w:color="auto" w:fill="FFFFFF" w:themeFill="background1"/>
        </w:rPr>
        <w:t xml:space="preserve"> </w:t>
      </w:r>
      <w:r w:rsidRPr="00D07F9F">
        <w:t>points nationally</w:t>
      </w:r>
      <w:r w:rsidR="00321BBB">
        <w:t xml:space="preserve"> (table 4.18).</w:t>
      </w:r>
    </w:p>
    <w:p w:rsidR="001748FA" w:rsidRPr="00D07F9F" w:rsidRDefault="001748FA" w:rsidP="004D2AC5">
      <w:pPr>
        <w:pStyle w:val="BodyText"/>
      </w:pPr>
      <w:r w:rsidRPr="00D07F9F">
        <w:t xml:space="preserve">For </w:t>
      </w:r>
      <w:r>
        <w:t>Aboriginal and Torres Strait Islander</w:t>
      </w:r>
      <w:r w:rsidRPr="00D07F9F">
        <w:t xml:space="preserve"> students, </w:t>
      </w:r>
      <w:r>
        <w:t xml:space="preserve">from </w:t>
      </w:r>
      <w:r w:rsidRPr="00D07F9F">
        <w:t xml:space="preserve">year 3 in 2008 to year 5 in 2010 the </w:t>
      </w:r>
      <w:r>
        <w:t xml:space="preserve">mean scale score </w:t>
      </w:r>
      <w:r w:rsidRPr="00D07F9F">
        <w:t xml:space="preserve">gain </w:t>
      </w:r>
      <w:r>
        <w:t xml:space="preserve">nationally </w:t>
      </w:r>
      <w:r w:rsidRPr="00D07F9F">
        <w:t xml:space="preserve">was between </w:t>
      </w:r>
      <w:r w:rsidR="00EB2CA3">
        <w:t>80.0</w:t>
      </w:r>
      <w:r w:rsidRPr="00D07F9F">
        <w:t xml:space="preserve"> and </w:t>
      </w:r>
      <w:r w:rsidR="00EB2CA3">
        <w:t>98.6</w:t>
      </w:r>
      <w:r w:rsidRPr="00D07F9F">
        <w:t xml:space="preserve"> points</w:t>
      </w:r>
      <w:r>
        <w:t>,</w:t>
      </w:r>
      <w:r w:rsidRPr="00D07F9F">
        <w:t xml:space="preserve"> from y</w:t>
      </w:r>
      <w:r>
        <w:t>ear 5 in 2010 to year 7 in 2012</w:t>
      </w:r>
      <w:r w:rsidRPr="00D07F9F">
        <w:t xml:space="preserve"> the </w:t>
      </w:r>
      <w:r>
        <w:t xml:space="preserve">mean scale score </w:t>
      </w:r>
      <w:r w:rsidRPr="00D07F9F">
        <w:t xml:space="preserve">gain was between </w:t>
      </w:r>
      <w:r w:rsidR="00EB2CA3">
        <w:t>45.</w:t>
      </w:r>
      <w:r w:rsidR="00B75BD3">
        <w:t>4</w:t>
      </w:r>
      <w:r w:rsidRPr="00D07F9F">
        <w:t xml:space="preserve"> and </w:t>
      </w:r>
      <w:r w:rsidR="00EB2CA3">
        <w:t>59.6</w:t>
      </w:r>
      <w:r w:rsidRPr="00D07F9F">
        <w:t xml:space="preserve"> points nationally</w:t>
      </w:r>
      <w:r>
        <w:t xml:space="preserve"> and </w:t>
      </w:r>
      <w:r w:rsidRPr="00D07F9F">
        <w:t xml:space="preserve">from year </w:t>
      </w:r>
      <w:r>
        <w:t>7</w:t>
      </w:r>
      <w:r w:rsidRPr="00D07F9F">
        <w:t xml:space="preserve"> in 201</w:t>
      </w:r>
      <w:r>
        <w:t>2</w:t>
      </w:r>
      <w:r w:rsidRPr="00D07F9F">
        <w:t xml:space="preserve"> to year </w:t>
      </w:r>
      <w:r>
        <w:t>9</w:t>
      </w:r>
      <w:r w:rsidRPr="00D07F9F">
        <w:t xml:space="preserve"> in 201</w:t>
      </w:r>
      <w:r>
        <w:t>4</w:t>
      </w:r>
      <w:r w:rsidRPr="00D07F9F">
        <w:t xml:space="preserve">, the </w:t>
      </w:r>
      <w:r>
        <w:t xml:space="preserve">mean scale score </w:t>
      </w:r>
      <w:r w:rsidRPr="00D07F9F">
        <w:t xml:space="preserve">gain was between </w:t>
      </w:r>
      <w:r w:rsidR="00D774C0" w:rsidRPr="004D2AC5">
        <w:rPr>
          <w:shd w:val="clear" w:color="auto" w:fill="FFFFFF" w:themeFill="background1"/>
        </w:rPr>
        <w:t>4</w:t>
      </w:r>
      <w:r w:rsidR="00EB2CA3">
        <w:rPr>
          <w:shd w:val="clear" w:color="auto" w:fill="FFFFFF" w:themeFill="background1"/>
        </w:rPr>
        <w:t>8</w:t>
      </w:r>
      <w:r w:rsidR="00D774C0" w:rsidRPr="004D2AC5">
        <w:rPr>
          <w:shd w:val="clear" w:color="auto" w:fill="FFFFFF" w:themeFill="background1"/>
        </w:rPr>
        <w:t>.0</w:t>
      </w:r>
      <w:r w:rsidRPr="004D2AC5">
        <w:rPr>
          <w:shd w:val="clear" w:color="auto" w:fill="FFFFFF" w:themeFill="background1"/>
        </w:rPr>
        <w:t xml:space="preserve"> and </w:t>
      </w:r>
      <w:r w:rsidR="00D774C0" w:rsidRPr="004D2AC5">
        <w:rPr>
          <w:shd w:val="clear" w:color="auto" w:fill="FFFFFF" w:themeFill="background1"/>
        </w:rPr>
        <w:t>58.8</w:t>
      </w:r>
      <w:r w:rsidRPr="004D2AC5">
        <w:rPr>
          <w:shd w:val="clear" w:color="auto" w:fill="FFFFFF" w:themeFill="background1"/>
        </w:rPr>
        <w:t xml:space="preserve"> </w:t>
      </w:r>
      <w:r w:rsidRPr="00D07F9F">
        <w:t>points. For non</w:t>
      </w:r>
      <w:r>
        <w:noBreakHyphen/>
      </w:r>
      <w:r w:rsidRPr="00D07F9F">
        <w:t xml:space="preserve">Indigenous students, </w:t>
      </w:r>
      <w:r>
        <w:t xml:space="preserve">from </w:t>
      </w:r>
      <w:r w:rsidRPr="00D07F9F">
        <w:t xml:space="preserve">year 3 in 2008 to year 5 in 2010 the </w:t>
      </w:r>
      <w:r>
        <w:t xml:space="preserve">mean scale score </w:t>
      </w:r>
      <w:r w:rsidRPr="00D07F9F">
        <w:t xml:space="preserve">gain </w:t>
      </w:r>
      <w:r>
        <w:t xml:space="preserve">nationally </w:t>
      </w:r>
      <w:r w:rsidRPr="00D07F9F">
        <w:t xml:space="preserve">was between </w:t>
      </w:r>
      <w:r w:rsidR="00EB2CA3">
        <w:t>83.8</w:t>
      </w:r>
      <w:r w:rsidRPr="00D07F9F">
        <w:t xml:space="preserve"> and </w:t>
      </w:r>
      <w:r w:rsidR="00EB2CA3">
        <w:t>100.4</w:t>
      </w:r>
      <w:r w:rsidRPr="00D07F9F">
        <w:t xml:space="preserve"> points</w:t>
      </w:r>
      <w:r>
        <w:t xml:space="preserve">, from </w:t>
      </w:r>
      <w:r w:rsidRPr="00D07F9F">
        <w:lastRenderedPageBreak/>
        <w:t>year</w:t>
      </w:r>
      <w:r w:rsidR="007B5845">
        <w:t> </w:t>
      </w:r>
      <w:r w:rsidRPr="00D07F9F">
        <w:t xml:space="preserve">5 in 2010 to year 7 in 2012, the </w:t>
      </w:r>
      <w:r>
        <w:t xml:space="preserve">mean scale score </w:t>
      </w:r>
      <w:r w:rsidRPr="00D07F9F">
        <w:t xml:space="preserve">was between </w:t>
      </w:r>
      <w:r w:rsidR="00EB2CA3">
        <w:t>43.2</w:t>
      </w:r>
      <w:r w:rsidRPr="00D07F9F">
        <w:t xml:space="preserve"> and </w:t>
      </w:r>
      <w:r w:rsidR="00EB2CA3">
        <w:t>55.2</w:t>
      </w:r>
      <w:r w:rsidRPr="00D07F9F">
        <w:t xml:space="preserve"> points nationally</w:t>
      </w:r>
      <w:r>
        <w:t xml:space="preserve"> and from </w:t>
      </w:r>
      <w:r w:rsidRPr="00D07F9F">
        <w:t xml:space="preserve">year </w:t>
      </w:r>
      <w:r>
        <w:t>7</w:t>
      </w:r>
      <w:r w:rsidRPr="00D07F9F">
        <w:t xml:space="preserve"> in 201</w:t>
      </w:r>
      <w:r w:rsidR="00221E5A">
        <w:t>2</w:t>
      </w:r>
      <w:r w:rsidRPr="00D07F9F">
        <w:t xml:space="preserve"> to year </w:t>
      </w:r>
      <w:r>
        <w:t>9</w:t>
      </w:r>
      <w:r w:rsidRPr="00D07F9F">
        <w:t xml:space="preserve"> in 201</w:t>
      </w:r>
      <w:r>
        <w:t>4</w:t>
      </w:r>
      <w:r w:rsidRPr="00D07F9F">
        <w:t xml:space="preserve">, the </w:t>
      </w:r>
      <w:r>
        <w:t xml:space="preserve">mean scale score gain </w:t>
      </w:r>
      <w:r w:rsidRPr="00D07F9F">
        <w:t xml:space="preserve">was between </w:t>
      </w:r>
      <w:r w:rsidR="001B60DD" w:rsidRPr="004D2AC5">
        <w:rPr>
          <w:shd w:val="clear" w:color="auto" w:fill="FFFFFF" w:themeFill="background1"/>
        </w:rPr>
        <w:t>44.9</w:t>
      </w:r>
      <w:r w:rsidRPr="004D2AC5">
        <w:rPr>
          <w:shd w:val="clear" w:color="auto" w:fill="FFFFFF" w:themeFill="background1"/>
        </w:rPr>
        <w:t xml:space="preserve"> and </w:t>
      </w:r>
      <w:r w:rsidR="001B60DD" w:rsidRPr="004D2AC5">
        <w:rPr>
          <w:shd w:val="clear" w:color="auto" w:fill="FFFFFF" w:themeFill="background1"/>
        </w:rPr>
        <w:t>54.3</w:t>
      </w:r>
      <w:r w:rsidRPr="00D07F9F">
        <w:t xml:space="preserve"> points</w:t>
      </w:r>
      <w:r w:rsidR="00321BBB">
        <w:t xml:space="preserve"> (table 4.18)</w:t>
      </w:r>
      <w:r w:rsidRPr="00D07F9F">
        <w:t xml:space="preserve">.  </w:t>
      </w:r>
    </w:p>
    <w:p w:rsidR="001748FA" w:rsidRPr="001748FA" w:rsidRDefault="001748FA" w:rsidP="00E372EE">
      <w:pPr>
        <w:pStyle w:val="BodyText"/>
        <w:shd w:val="clear" w:color="auto" w:fill="FFFFFF" w:themeFill="background1"/>
      </w:pPr>
      <w:r w:rsidRPr="007C7E11">
        <w:t xml:space="preserve">These </w:t>
      </w:r>
      <w:r>
        <w:t>mean scale score gain</w:t>
      </w:r>
      <w:r w:rsidRPr="007C7E11">
        <w:t xml:space="preserve">s varied across jurisdictions </w:t>
      </w:r>
      <w:r w:rsidR="000C510D" w:rsidRPr="000C510D">
        <w:t>(table 4.</w:t>
      </w:r>
      <w:r w:rsidR="00A37418">
        <w:t>18</w:t>
      </w:r>
      <w:r w:rsidR="000C510D" w:rsidRPr="000C510D">
        <w:t xml:space="preserve">). </w:t>
      </w:r>
      <w:r w:rsidRPr="001748FA">
        <w:t>Data for other cohorts from 2008–2010, 2010</w:t>
      </w:r>
      <w:r w:rsidR="00E372EE">
        <w:t>–</w:t>
      </w:r>
      <w:r w:rsidRPr="001748FA">
        <w:t>2012 and 2012</w:t>
      </w:r>
      <w:r w:rsidR="002A20D1">
        <w:t>–20</w:t>
      </w:r>
      <w:r w:rsidRPr="001748FA">
        <w:t>14 are in table 4A.</w:t>
      </w:r>
      <w:r w:rsidR="00E372EE" w:rsidRPr="00E372EE">
        <w:rPr>
          <w:shd w:val="clear" w:color="auto" w:fill="FFFFFF" w:themeFill="background1"/>
        </w:rPr>
        <w:t>125</w:t>
      </w:r>
      <w:r w:rsidRPr="00E372EE">
        <w:rPr>
          <w:shd w:val="clear" w:color="auto" w:fill="FFFFFF" w:themeFill="background1"/>
        </w:rPr>
        <w:t>.</w:t>
      </w:r>
      <w:r w:rsidRPr="001748FA">
        <w:t xml:space="preserve"> Data for years 2009-2011 and 2011</w:t>
      </w:r>
      <w:r w:rsidR="007B5845">
        <w:t>–</w:t>
      </w:r>
      <w:r w:rsidRPr="001748FA">
        <w:t>2013 are in table 4A.</w:t>
      </w:r>
      <w:r w:rsidR="00E372EE">
        <w:t>143</w:t>
      </w:r>
      <w:r w:rsidRPr="001748FA">
        <w:t>.</w:t>
      </w: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909"/>
      </w:tblGrid>
      <w:tr w:rsidR="001D0F72" w:rsidRPr="00784A05" w:rsidTr="001748FA">
        <w:tc>
          <w:tcPr>
            <w:tcW w:w="8909" w:type="dxa"/>
            <w:tcBorders>
              <w:top w:val="single" w:sz="6" w:space="0" w:color="78A22F"/>
              <w:left w:val="nil"/>
              <w:bottom w:val="nil"/>
              <w:right w:val="nil"/>
            </w:tcBorders>
            <w:shd w:val="clear" w:color="auto" w:fill="auto"/>
          </w:tcPr>
          <w:p w:rsidR="001D0F72" w:rsidRPr="00784A05" w:rsidRDefault="001D0F72" w:rsidP="001D0F72">
            <w:pPr>
              <w:pStyle w:val="TableTitle"/>
            </w:pPr>
            <w:r>
              <w:rPr>
                <w:b w:val="0"/>
              </w:rPr>
              <w:lastRenderedPageBreak/>
              <w:t xml:space="preserve">Table </w:t>
            </w:r>
            <w:r w:rsidR="00B70781">
              <w:rPr>
                <w:b w:val="0"/>
              </w:rPr>
              <w:t>4.</w:t>
            </w:r>
            <w:r w:rsidR="005953B6">
              <w:rPr>
                <w:b w:val="0"/>
                <w:noProof/>
              </w:rPr>
              <w:t>18</w:t>
            </w:r>
            <w:r>
              <w:tab/>
            </w:r>
            <w:r w:rsidRPr="000A7A95">
              <w:t xml:space="preserve">Gain in mean scale score for </w:t>
            </w:r>
            <w:r>
              <w:t>numeracy</w:t>
            </w:r>
            <w:r w:rsidRPr="000A7A95">
              <w:t>: year 3 (2008) to year 5 (2010) to year 7 (2012)</w:t>
            </w:r>
            <w:r>
              <w:t xml:space="preserve"> to year 9 (2014)</w:t>
            </w:r>
            <w:r w:rsidRPr="000A7A95">
              <w:rPr>
                <w:rStyle w:val="NoteLabel"/>
                <w:b/>
              </w:rPr>
              <w:t>a, b</w:t>
            </w:r>
          </w:p>
        </w:tc>
      </w:tr>
      <w:tr w:rsidR="001D0F72" w:rsidTr="001748FA">
        <w:trPr>
          <w:cantSplit/>
        </w:trPr>
        <w:tc>
          <w:tcPr>
            <w:tcW w:w="8909" w:type="dxa"/>
            <w:tcBorders>
              <w:top w:val="nil"/>
              <w:left w:val="nil"/>
              <w:bottom w:val="nil"/>
              <w:right w:val="nil"/>
            </w:tcBorders>
            <w:shd w:val="clear" w:color="auto" w:fill="auto"/>
          </w:tcPr>
          <w:tbl>
            <w:tblPr>
              <w:tblW w:w="8790" w:type="dxa"/>
              <w:tblCellMar>
                <w:left w:w="0" w:type="dxa"/>
                <w:right w:w="0" w:type="dxa"/>
              </w:tblCellMar>
              <w:tblLook w:val="0000" w:firstRow="0" w:lastRow="0" w:firstColumn="0" w:lastColumn="0" w:noHBand="0" w:noVBand="0"/>
            </w:tblPr>
            <w:tblGrid>
              <w:gridCol w:w="1560"/>
              <w:gridCol w:w="803"/>
              <w:gridCol w:w="803"/>
              <w:gridCol w:w="804"/>
              <w:gridCol w:w="803"/>
              <w:gridCol w:w="803"/>
              <w:gridCol w:w="804"/>
              <w:gridCol w:w="803"/>
              <w:gridCol w:w="803"/>
              <w:gridCol w:w="804"/>
            </w:tblGrid>
            <w:tr w:rsidR="001D0F72" w:rsidRPr="004708E3" w:rsidTr="001D0F72">
              <w:tc>
                <w:tcPr>
                  <w:tcW w:w="1560" w:type="dxa"/>
                  <w:tcBorders>
                    <w:top w:val="single" w:sz="6" w:space="0" w:color="auto"/>
                    <w:bottom w:val="single" w:sz="6" w:space="0" w:color="auto"/>
                  </w:tcBorders>
                  <w:shd w:val="clear" w:color="auto" w:fill="auto"/>
                </w:tcPr>
                <w:p w:rsidR="001D0F72" w:rsidRPr="004708E3" w:rsidRDefault="001D0F72" w:rsidP="001D0F72">
                  <w:pPr>
                    <w:keepNext/>
                    <w:keepLines/>
                    <w:spacing w:before="80" w:after="80" w:line="220" w:lineRule="atLeast"/>
                    <w:ind w:left="6" w:right="113"/>
                    <w:rPr>
                      <w:rFonts w:ascii="Arial" w:hAnsi="Arial"/>
                      <w:i/>
                      <w:sz w:val="20"/>
                      <w:szCs w:val="20"/>
                    </w:rPr>
                  </w:pPr>
                </w:p>
              </w:tc>
              <w:tc>
                <w:tcPr>
                  <w:tcW w:w="803" w:type="dxa"/>
                  <w:tcBorders>
                    <w:top w:val="single" w:sz="6" w:space="0" w:color="auto"/>
                    <w:bottom w:val="single" w:sz="6" w:space="0" w:color="auto"/>
                  </w:tcBorders>
                  <w:shd w:val="clear" w:color="auto" w:fill="auto"/>
                </w:tcPr>
                <w:p w:rsidR="001D0F72" w:rsidRPr="004708E3" w:rsidRDefault="001D0F72" w:rsidP="001D0F72">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NSW</w:t>
                  </w:r>
                </w:p>
              </w:tc>
              <w:tc>
                <w:tcPr>
                  <w:tcW w:w="803" w:type="dxa"/>
                  <w:tcBorders>
                    <w:top w:val="single" w:sz="6" w:space="0" w:color="auto"/>
                    <w:bottom w:val="single" w:sz="6" w:space="0" w:color="auto"/>
                  </w:tcBorders>
                  <w:shd w:val="clear" w:color="auto" w:fill="auto"/>
                </w:tcPr>
                <w:p w:rsidR="001D0F72" w:rsidRPr="004708E3" w:rsidRDefault="001D0F72" w:rsidP="001D0F72">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Vic</w:t>
                  </w:r>
                </w:p>
              </w:tc>
              <w:tc>
                <w:tcPr>
                  <w:tcW w:w="804" w:type="dxa"/>
                  <w:tcBorders>
                    <w:top w:val="single" w:sz="6" w:space="0" w:color="auto"/>
                    <w:bottom w:val="single" w:sz="6" w:space="0" w:color="auto"/>
                  </w:tcBorders>
                  <w:shd w:val="clear" w:color="auto" w:fill="auto"/>
                </w:tcPr>
                <w:p w:rsidR="001D0F72" w:rsidRPr="004708E3" w:rsidRDefault="001D0F72" w:rsidP="001D0F72">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Qld</w:t>
                  </w:r>
                </w:p>
              </w:tc>
              <w:tc>
                <w:tcPr>
                  <w:tcW w:w="803" w:type="dxa"/>
                  <w:tcBorders>
                    <w:top w:val="single" w:sz="6" w:space="0" w:color="auto"/>
                    <w:bottom w:val="single" w:sz="6" w:space="0" w:color="auto"/>
                  </w:tcBorders>
                  <w:shd w:val="clear" w:color="auto" w:fill="auto"/>
                </w:tcPr>
                <w:p w:rsidR="001D0F72" w:rsidRPr="004708E3" w:rsidRDefault="001D0F72" w:rsidP="001D0F72">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WA</w:t>
                  </w:r>
                </w:p>
              </w:tc>
              <w:tc>
                <w:tcPr>
                  <w:tcW w:w="803" w:type="dxa"/>
                  <w:tcBorders>
                    <w:top w:val="single" w:sz="6" w:space="0" w:color="auto"/>
                    <w:bottom w:val="single" w:sz="6" w:space="0" w:color="auto"/>
                  </w:tcBorders>
                  <w:shd w:val="clear" w:color="auto" w:fill="auto"/>
                </w:tcPr>
                <w:p w:rsidR="001D0F72" w:rsidRPr="004708E3" w:rsidRDefault="001D0F72" w:rsidP="001D0F72">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SA</w:t>
                  </w:r>
                </w:p>
              </w:tc>
              <w:tc>
                <w:tcPr>
                  <w:tcW w:w="804" w:type="dxa"/>
                  <w:tcBorders>
                    <w:top w:val="single" w:sz="6" w:space="0" w:color="auto"/>
                    <w:bottom w:val="single" w:sz="6" w:space="0" w:color="auto"/>
                  </w:tcBorders>
                  <w:shd w:val="clear" w:color="auto" w:fill="auto"/>
                </w:tcPr>
                <w:p w:rsidR="001D0F72" w:rsidRPr="004708E3" w:rsidRDefault="001D0F72" w:rsidP="001D0F72">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Tas</w:t>
                  </w:r>
                </w:p>
              </w:tc>
              <w:tc>
                <w:tcPr>
                  <w:tcW w:w="803" w:type="dxa"/>
                  <w:tcBorders>
                    <w:top w:val="single" w:sz="6" w:space="0" w:color="auto"/>
                    <w:bottom w:val="single" w:sz="6" w:space="0" w:color="auto"/>
                  </w:tcBorders>
                  <w:shd w:val="clear" w:color="auto" w:fill="auto"/>
                </w:tcPr>
                <w:p w:rsidR="001D0F72" w:rsidRPr="004708E3" w:rsidRDefault="001D0F72" w:rsidP="001D0F72">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ACT</w:t>
                  </w:r>
                </w:p>
              </w:tc>
              <w:tc>
                <w:tcPr>
                  <w:tcW w:w="803" w:type="dxa"/>
                  <w:tcBorders>
                    <w:top w:val="single" w:sz="6" w:space="0" w:color="auto"/>
                    <w:bottom w:val="single" w:sz="6" w:space="0" w:color="auto"/>
                  </w:tcBorders>
                  <w:shd w:val="clear" w:color="auto" w:fill="auto"/>
                </w:tcPr>
                <w:p w:rsidR="001D0F72" w:rsidRPr="004708E3" w:rsidRDefault="001D0F72" w:rsidP="001D0F72">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NT</w:t>
                  </w:r>
                </w:p>
              </w:tc>
              <w:tc>
                <w:tcPr>
                  <w:tcW w:w="804" w:type="dxa"/>
                  <w:tcBorders>
                    <w:top w:val="single" w:sz="6" w:space="0" w:color="auto"/>
                    <w:bottom w:val="single" w:sz="6" w:space="0" w:color="auto"/>
                  </w:tcBorders>
                  <w:shd w:val="clear" w:color="auto" w:fill="auto"/>
                </w:tcPr>
                <w:p w:rsidR="001D0F72" w:rsidRPr="004708E3" w:rsidRDefault="001D0F72" w:rsidP="001D0F72">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Aust</w:t>
                  </w:r>
                </w:p>
              </w:tc>
            </w:tr>
            <w:tr w:rsidR="001D0F72" w:rsidRPr="004708E3" w:rsidTr="001D0F72">
              <w:tc>
                <w:tcPr>
                  <w:tcW w:w="8790" w:type="dxa"/>
                  <w:gridSpan w:val="10"/>
                </w:tcPr>
                <w:p w:rsidR="001D0F72" w:rsidRPr="00B13ED5" w:rsidRDefault="001D0F72" w:rsidP="001D0F72">
                  <w:pPr>
                    <w:pStyle w:val="TableUnitsRow"/>
                    <w:jc w:val="left"/>
                    <w:rPr>
                      <w:rFonts w:cs="Arial"/>
                      <w:b/>
                    </w:rPr>
                  </w:pPr>
                  <w:r w:rsidRPr="00B13ED5">
                    <w:rPr>
                      <w:b/>
                    </w:rPr>
                    <w:t xml:space="preserve">Aboriginal and Torres Strait </w:t>
                  </w:r>
                  <w:r>
                    <w:rPr>
                      <w:b/>
                    </w:rPr>
                    <w:t>I</w:t>
                  </w:r>
                  <w:r w:rsidRPr="00B13ED5">
                    <w:rPr>
                      <w:b/>
                    </w:rPr>
                    <w:t>slander students</w:t>
                  </w:r>
                </w:p>
              </w:tc>
            </w:tr>
            <w:tr w:rsidR="00EE27CE" w:rsidRPr="00530424" w:rsidTr="001D0F72">
              <w:tc>
                <w:tcPr>
                  <w:tcW w:w="1560" w:type="dxa"/>
                </w:tcPr>
                <w:p w:rsidR="00EE27CE" w:rsidRPr="00D774C0" w:rsidRDefault="00EE27CE" w:rsidP="004F0487">
                  <w:pPr>
                    <w:pStyle w:val="TableBodyText"/>
                    <w:jc w:val="left"/>
                  </w:pPr>
                  <w:r w:rsidRPr="00D774C0">
                    <w:t>2008 Year 3</w:t>
                  </w:r>
                </w:p>
              </w:tc>
              <w:tc>
                <w:tcPr>
                  <w:tcW w:w="803" w:type="dxa"/>
                  <w:vAlign w:val="center"/>
                </w:tcPr>
                <w:p w:rsidR="00EE27CE" w:rsidRPr="00D774C0" w:rsidRDefault="00EE27CE" w:rsidP="00EE27CE">
                  <w:pPr>
                    <w:pStyle w:val="TableBodyText"/>
                    <w:rPr>
                      <w:szCs w:val="18"/>
                    </w:rPr>
                  </w:pPr>
                  <w:r w:rsidRPr="00D774C0">
                    <w:rPr>
                      <w:szCs w:val="18"/>
                    </w:rPr>
                    <w:t xml:space="preserve">350.3 </w:t>
                  </w:r>
                  <w:r w:rsidR="00C32E47">
                    <w:rPr>
                      <w:szCs w:val="18"/>
                    </w:rPr>
                    <w:br/>
                  </w:r>
                  <w:r w:rsidRPr="00D774C0">
                    <w:rPr>
                      <w:szCs w:val="18"/>
                    </w:rPr>
                    <w:t>± 3.1</w:t>
                  </w:r>
                </w:p>
              </w:tc>
              <w:tc>
                <w:tcPr>
                  <w:tcW w:w="803" w:type="dxa"/>
                  <w:vAlign w:val="center"/>
                </w:tcPr>
                <w:p w:rsidR="00EE27CE" w:rsidRPr="00D774C0" w:rsidRDefault="00EE27CE" w:rsidP="00EE27CE">
                  <w:pPr>
                    <w:pStyle w:val="TableBodyText"/>
                    <w:rPr>
                      <w:szCs w:val="18"/>
                    </w:rPr>
                  </w:pPr>
                  <w:r w:rsidRPr="00D774C0">
                    <w:rPr>
                      <w:szCs w:val="18"/>
                    </w:rPr>
                    <w:t xml:space="preserve">376.9 </w:t>
                  </w:r>
                  <w:r w:rsidR="00C32E47">
                    <w:rPr>
                      <w:szCs w:val="18"/>
                    </w:rPr>
                    <w:br/>
                  </w:r>
                  <w:r w:rsidRPr="00D774C0">
                    <w:rPr>
                      <w:szCs w:val="18"/>
                    </w:rPr>
                    <w:t>± 5.5</w:t>
                  </w:r>
                </w:p>
              </w:tc>
              <w:tc>
                <w:tcPr>
                  <w:tcW w:w="804" w:type="dxa"/>
                  <w:vAlign w:val="center"/>
                </w:tcPr>
                <w:p w:rsidR="00EE27CE" w:rsidRPr="00D774C0" w:rsidRDefault="00EE27CE" w:rsidP="00EE27CE">
                  <w:pPr>
                    <w:pStyle w:val="TableBodyText"/>
                    <w:rPr>
                      <w:szCs w:val="18"/>
                    </w:rPr>
                  </w:pPr>
                  <w:r w:rsidRPr="00D774C0">
                    <w:rPr>
                      <w:szCs w:val="18"/>
                    </w:rPr>
                    <w:t xml:space="preserve">316.2 </w:t>
                  </w:r>
                  <w:r w:rsidR="00C32E47">
                    <w:rPr>
                      <w:szCs w:val="18"/>
                    </w:rPr>
                    <w:br/>
                  </w:r>
                  <w:r w:rsidRPr="00D774C0">
                    <w:rPr>
                      <w:szCs w:val="18"/>
                    </w:rPr>
                    <w:t>± 6.4</w:t>
                  </w:r>
                </w:p>
              </w:tc>
              <w:tc>
                <w:tcPr>
                  <w:tcW w:w="803" w:type="dxa"/>
                  <w:vAlign w:val="center"/>
                </w:tcPr>
                <w:p w:rsidR="00EE27CE" w:rsidRPr="00D774C0" w:rsidRDefault="00EE27CE" w:rsidP="00EE27CE">
                  <w:pPr>
                    <w:pStyle w:val="TableBodyText"/>
                    <w:rPr>
                      <w:szCs w:val="18"/>
                    </w:rPr>
                  </w:pPr>
                  <w:r w:rsidRPr="00D774C0">
                    <w:rPr>
                      <w:szCs w:val="18"/>
                    </w:rPr>
                    <w:t xml:space="preserve">313.9 </w:t>
                  </w:r>
                  <w:r w:rsidR="00C32E47">
                    <w:rPr>
                      <w:szCs w:val="18"/>
                    </w:rPr>
                    <w:br/>
                  </w:r>
                  <w:r w:rsidRPr="00D774C0">
                    <w:rPr>
                      <w:szCs w:val="18"/>
                    </w:rPr>
                    <w:t>± 5.1</w:t>
                  </w:r>
                </w:p>
              </w:tc>
              <w:tc>
                <w:tcPr>
                  <w:tcW w:w="803" w:type="dxa"/>
                  <w:vAlign w:val="center"/>
                </w:tcPr>
                <w:p w:rsidR="00EE27CE" w:rsidRPr="00D774C0" w:rsidRDefault="00EE27CE" w:rsidP="00EE27CE">
                  <w:pPr>
                    <w:pStyle w:val="TableBodyText"/>
                    <w:rPr>
                      <w:szCs w:val="18"/>
                    </w:rPr>
                  </w:pPr>
                  <w:r w:rsidRPr="00D774C0">
                    <w:rPr>
                      <w:szCs w:val="18"/>
                    </w:rPr>
                    <w:t xml:space="preserve">330.7 </w:t>
                  </w:r>
                  <w:r w:rsidR="00C32E47">
                    <w:rPr>
                      <w:szCs w:val="18"/>
                    </w:rPr>
                    <w:br/>
                  </w:r>
                  <w:r w:rsidRPr="00D774C0">
                    <w:rPr>
                      <w:szCs w:val="18"/>
                    </w:rPr>
                    <w:t>± 6.5</w:t>
                  </w:r>
                </w:p>
              </w:tc>
              <w:tc>
                <w:tcPr>
                  <w:tcW w:w="804" w:type="dxa"/>
                  <w:vAlign w:val="center"/>
                </w:tcPr>
                <w:p w:rsidR="00EE27CE" w:rsidRPr="00D774C0" w:rsidRDefault="00EE27CE" w:rsidP="00EE27CE">
                  <w:pPr>
                    <w:pStyle w:val="TableBodyText"/>
                    <w:rPr>
                      <w:szCs w:val="18"/>
                    </w:rPr>
                  </w:pPr>
                  <w:r w:rsidRPr="00D774C0">
                    <w:rPr>
                      <w:szCs w:val="18"/>
                    </w:rPr>
                    <w:t xml:space="preserve">377.1 </w:t>
                  </w:r>
                  <w:r w:rsidR="00C32E47">
                    <w:rPr>
                      <w:szCs w:val="18"/>
                    </w:rPr>
                    <w:br/>
                  </w:r>
                  <w:r w:rsidRPr="00D774C0">
                    <w:rPr>
                      <w:szCs w:val="18"/>
                    </w:rPr>
                    <w:t>± 8.2</w:t>
                  </w:r>
                </w:p>
              </w:tc>
              <w:tc>
                <w:tcPr>
                  <w:tcW w:w="803" w:type="dxa"/>
                  <w:vAlign w:val="center"/>
                </w:tcPr>
                <w:p w:rsidR="00EE27CE" w:rsidRPr="00D774C0" w:rsidRDefault="00EE27CE" w:rsidP="00EE27CE">
                  <w:pPr>
                    <w:pStyle w:val="TableBodyText"/>
                    <w:rPr>
                      <w:szCs w:val="18"/>
                    </w:rPr>
                  </w:pPr>
                  <w:r w:rsidRPr="00D774C0">
                    <w:rPr>
                      <w:szCs w:val="18"/>
                    </w:rPr>
                    <w:t xml:space="preserve">355.1 </w:t>
                  </w:r>
                  <w:r w:rsidR="00C32E47">
                    <w:rPr>
                      <w:szCs w:val="18"/>
                    </w:rPr>
                    <w:br/>
                  </w:r>
                  <w:r w:rsidRPr="00D774C0">
                    <w:rPr>
                      <w:szCs w:val="18"/>
                    </w:rPr>
                    <w:t>± 16.2</w:t>
                  </w:r>
                </w:p>
              </w:tc>
              <w:tc>
                <w:tcPr>
                  <w:tcW w:w="803" w:type="dxa"/>
                  <w:vAlign w:val="center"/>
                </w:tcPr>
                <w:p w:rsidR="00EE27CE" w:rsidRPr="00D774C0" w:rsidRDefault="00EE27CE" w:rsidP="00EE27CE">
                  <w:pPr>
                    <w:pStyle w:val="TableBodyText"/>
                    <w:rPr>
                      <w:szCs w:val="18"/>
                    </w:rPr>
                  </w:pPr>
                  <w:r w:rsidRPr="00D774C0">
                    <w:rPr>
                      <w:szCs w:val="18"/>
                    </w:rPr>
                    <w:t xml:space="preserve">275.0 </w:t>
                  </w:r>
                  <w:r w:rsidR="00C32E47">
                    <w:rPr>
                      <w:szCs w:val="18"/>
                    </w:rPr>
                    <w:br/>
                  </w:r>
                  <w:r w:rsidRPr="00D774C0">
                    <w:rPr>
                      <w:szCs w:val="18"/>
                    </w:rPr>
                    <w:t>± 11.0</w:t>
                  </w:r>
                </w:p>
              </w:tc>
              <w:tc>
                <w:tcPr>
                  <w:tcW w:w="804" w:type="dxa"/>
                  <w:vAlign w:val="center"/>
                </w:tcPr>
                <w:p w:rsidR="00EE27CE" w:rsidRPr="00D774C0" w:rsidRDefault="00EE27CE" w:rsidP="00EE27CE">
                  <w:pPr>
                    <w:pStyle w:val="TableBodyText"/>
                    <w:rPr>
                      <w:szCs w:val="18"/>
                    </w:rPr>
                  </w:pPr>
                  <w:r w:rsidRPr="00D774C0">
                    <w:rPr>
                      <w:szCs w:val="18"/>
                    </w:rPr>
                    <w:t xml:space="preserve">327.6 </w:t>
                  </w:r>
                  <w:r w:rsidR="00C32E47">
                    <w:rPr>
                      <w:szCs w:val="18"/>
                    </w:rPr>
                    <w:br/>
                  </w:r>
                  <w:r w:rsidRPr="00D774C0">
                    <w:rPr>
                      <w:szCs w:val="18"/>
                    </w:rPr>
                    <w:t>± 3.3</w:t>
                  </w:r>
                </w:p>
              </w:tc>
            </w:tr>
            <w:tr w:rsidR="00EE27CE" w:rsidRPr="00530424" w:rsidTr="001D0F72">
              <w:tc>
                <w:tcPr>
                  <w:tcW w:w="1560" w:type="dxa"/>
                </w:tcPr>
                <w:p w:rsidR="00EE27CE" w:rsidRPr="00DB2B49" w:rsidRDefault="00EE27CE" w:rsidP="004F0487">
                  <w:pPr>
                    <w:pStyle w:val="TableBodyText"/>
                    <w:jc w:val="left"/>
                  </w:pPr>
                  <w:r w:rsidRPr="00DB2B49">
                    <w:t>2010 Year 5</w:t>
                  </w:r>
                </w:p>
              </w:tc>
              <w:tc>
                <w:tcPr>
                  <w:tcW w:w="803" w:type="dxa"/>
                  <w:vAlign w:val="center"/>
                </w:tcPr>
                <w:p w:rsidR="00EE27CE" w:rsidRPr="00DB2B49" w:rsidRDefault="00EE27CE" w:rsidP="00EE27CE">
                  <w:pPr>
                    <w:pStyle w:val="TableBodyText"/>
                    <w:rPr>
                      <w:szCs w:val="18"/>
                    </w:rPr>
                  </w:pPr>
                  <w:r w:rsidRPr="00DB2B49">
                    <w:rPr>
                      <w:szCs w:val="18"/>
                    </w:rPr>
                    <w:t xml:space="preserve">435.8 </w:t>
                  </w:r>
                  <w:r w:rsidR="00C32E47">
                    <w:rPr>
                      <w:szCs w:val="18"/>
                    </w:rPr>
                    <w:br/>
                  </w:r>
                  <w:r w:rsidRPr="00DB2B49">
                    <w:rPr>
                      <w:szCs w:val="18"/>
                    </w:rPr>
                    <w:t>± 3.0</w:t>
                  </w:r>
                </w:p>
              </w:tc>
              <w:tc>
                <w:tcPr>
                  <w:tcW w:w="803" w:type="dxa"/>
                  <w:vAlign w:val="center"/>
                </w:tcPr>
                <w:p w:rsidR="00EE27CE" w:rsidRPr="00DB2B49" w:rsidRDefault="00EE27CE" w:rsidP="00EE27CE">
                  <w:pPr>
                    <w:pStyle w:val="TableBodyText"/>
                    <w:rPr>
                      <w:szCs w:val="18"/>
                    </w:rPr>
                  </w:pPr>
                  <w:r w:rsidRPr="00DB2B49">
                    <w:rPr>
                      <w:szCs w:val="18"/>
                    </w:rPr>
                    <w:t>457.0</w:t>
                  </w:r>
                  <w:r w:rsidR="00C32E47">
                    <w:rPr>
                      <w:szCs w:val="18"/>
                    </w:rPr>
                    <w:br/>
                  </w:r>
                  <w:r w:rsidRPr="00DB2B49">
                    <w:rPr>
                      <w:szCs w:val="18"/>
                    </w:rPr>
                    <w:t xml:space="preserve"> ± 5.8</w:t>
                  </w:r>
                </w:p>
              </w:tc>
              <w:tc>
                <w:tcPr>
                  <w:tcW w:w="804" w:type="dxa"/>
                  <w:vAlign w:val="center"/>
                </w:tcPr>
                <w:p w:rsidR="00EE27CE" w:rsidRPr="00DB2B49" w:rsidRDefault="00EE27CE" w:rsidP="00C32E47">
                  <w:pPr>
                    <w:pStyle w:val="TableBodyText"/>
                    <w:rPr>
                      <w:szCs w:val="18"/>
                    </w:rPr>
                  </w:pPr>
                  <w:r w:rsidRPr="00DB2B49">
                    <w:rPr>
                      <w:szCs w:val="18"/>
                    </w:rPr>
                    <w:t>419.5</w:t>
                  </w:r>
                  <w:r w:rsidR="00C32E47">
                    <w:rPr>
                      <w:szCs w:val="18"/>
                    </w:rPr>
                    <w:br/>
                  </w:r>
                  <w:r w:rsidRPr="00DB2B49">
                    <w:rPr>
                      <w:szCs w:val="18"/>
                    </w:rPr>
                    <w:t>± 4.5</w:t>
                  </w:r>
                </w:p>
              </w:tc>
              <w:tc>
                <w:tcPr>
                  <w:tcW w:w="803" w:type="dxa"/>
                  <w:vAlign w:val="center"/>
                </w:tcPr>
                <w:p w:rsidR="00EE27CE" w:rsidRPr="00DB2B49" w:rsidRDefault="00EE27CE" w:rsidP="00C32E47">
                  <w:pPr>
                    <w:pStyle w:val="TableBodyText"/>
                    <w:rPr>
                      <w:szCs w:val="18"/>
                    </w:rPr>
                  </w:pPr>
                  <w:r w:rsidRPr="00DB2B49">
                    <w:rPr>
                      <w:szCs w:val="18"/>
                    </w:rPr>
                    <w:t>398.0</w:t>
                  </w:r>
                  <w:r w:rsidR="00C32E47">
                    <w:rPr>
                      <w:szCs w:val="18"/>
                    </w:rPr>
                    <w:br/>
                  </w:r>
                  <w:r w:rsidRPr="00DB2B49">
                    <w:rPr>
                      <w:szCs w:val="18"/>
                    </w:rPr>
                    <w:t>± 6.0</w:t>
                  </w:r>
                </w:p>
              </w:tc>
              <w:tc>
                <w:tcPr>
                  <w:tcW w:w="803" w:type="dxa"/>
                  <w:vAlign w:val="center"/>
                </w:tcPr>
                <w:p w:rsidR="00EE27CE" w:rsidRPr="00DB2B49" w:rsidRDefault="00EE27CE" w:rsidP="00EE27CE">
                  <w:pPr>
                    <w:pStyle w:val="TableBodyText"/>
                    <w:rPr>
                      <w:szCs w:val="18"/>
                    </w:rPr>
                  </w:pPr>
                  <w:r w:rsidRPr="00DB2B49">
                    <w:rPr>
                      <w:szCs w:val="18"/>
                    </w:rPr>
                    <w:t xml:space="preserve">406.9 </w:t>
                  </w:r>
                  <w:r w:rsidR="00C32E47">
                    <w:rPr>
                      <w:szCs w:val="18"/>
                    </w:rPr>
                    <w:br/>
                  </w:r>
                  <w:r w:rsidRPr="00DB2B49">
                    <w:rPr>
                      <w:szCs w:val="18"/>
                    </w:rPr>
                    <w:t>± 6.8</w:t>
                  </w:r>
                </w:p>
              </w:tc>
              <w:tc>
                <w:tcPr>
                  <w:tcW w:w="804" w:type="dxa"/>
                  <w:vAlign w:val="center"/>
                </w:tcPr>
                <w:p w:rsidR="00EE27CE" w:rsidRPr="00DB2B49" w:rsidRDefault="00EE27CE" w:rsidP="00EE27CE">
                  <w:pPr>
                    <w:pStyle w:val="TableBodyText"/>
                    <w:rPr>
                      <w:szCs w:val="18"/>
                    </w:rPr>
                  </w:pPr>
                  <w:r w:rsidRPr="00DB2B49">
                    <w:rPr>
                      <w:szCs w:val="18"/>
                    </w:rPr>
                    <w:t xml:space="preserve">450.0 </w:t>
                  </w:r>
                  <w:r w:rsidR="00C32E47">
                    <w:rPr>
                      <w:szCs w:val="18"/>
                    </w:rPr>
                    <w:br/>
                  </w:r>
                  <w:r w:rsidRPr="00DB2B49">
                    <w:rPr>
                      <w:szCs w:val="18"/>
                    </w:rPr>
                    <w:t>± 8.0</w:t>
                  </w:r>
                </w:p>
              </w:tc>
              <w:tc>
                <w:tcPr>
                  <w:tcW w:w="803" w:type="dxa"/>
                  <w:vAlign w:val="center"/>
                </w:tcPr>
                <w:p w:rsidR="00EE27CE" w:rsidRPr="00DB2B49" w:rsidRDefault="00EE27CE" w:rsidP="00EE27CE">
                  <w:pPr>
                    <w:pStyle w:val="TableBodyText"/>
                    <w:rPr>
                      <w:szCs w:val="18"/>
                    </w:rPr>
                  </w:pPr>
                  <w:r w:rsidRPr="00DB2B49">
                    <w:rPr>
                      <w:szCs w:val="18"/>
                    </w:rPr>
                    <w:t xml:space="preserve">434.7 </w:t>
                  </w:r>
                  <w:r w:rsidR="00C32E47">
                    <w:rPr>
                      <w:szCs w:val="18"/>
                    </w:rPr>
                    <w:br/>
                  </w:r>
                  <w:r w:rsidRPr="00DB2B49">
                    <w:rPr>
                      <w:szCs w:val="18"/>
                    </w:rPr>
                    <w:t>± 12.8</w:t>
                  </w:r>
                </w:p>
              </w:tc>
              <w:tc>
                <w:tcPr>
                  <w:tcW w:w="803" w:type="dxa"/>
                  <w:vAlign w:val="center"/>
                </w:tcPr>
                <w:p w:rsidR="00EE27CE" w:rsidRPr="00DB2B49" w:rsidRDefault="00EE27CE" w:rsidP="00EE27CE">
                  <w:pPr>
                    <w:pStyle w:val="TableBodyText"/>
                    <w:rPr>
                      <w:szCs w:val="18"/>
                    </w:rPr>
                  </w:pPr>
                  <w:r w:rsidRPr="00DB2B49">
                    <w:rPr>
                      <w:szCs w:val="18"/>
                    </w:rPr>
                    <w:t xml:space="preserve">351.6 </w:t>
                  </w:r>
                  <w:r w:rsidR="00C32E47">
                    <w:rPr>
                      <w:szCs w:val="18"/>
                    </w:rPr>
                    <w:br/>
                  </w:r>
                  <w:r w:rsidRPr="00DB2B49">
                    <w:rPr>
                      <w:szCs w:val="18"/>
                    </w:rPr>
                    <w:t>± 13.0</w:t>
                  </w:r>
                </w:p>
              </w:tc>
              <w:tc>
                <w:tcPr>
                  <w:tcW w:w="804" w:type="dxa"/>
                  <w:vAlign w:val="center"/>
                </w:tcPr>
                <w:p w:rsidR="00EE27CE" w:rsidRPr="00DB2B49" w:rsidRDefault="00EE27CE" w:rsidP="00EE27CE">
                  <w:pPr>
                    <w:pStyle w:val="TableBodyText"/>
                    <w:rPr>
                      <w:szCs w:val="18"/>
                    </w:rPr>
                  </w:pPr>
                  <w:r w:rsidRPr="00DB2B49">
                    <w:rPr>
                      <w:szCs w:val="18"/>
                    </w:rPr>
                    <w:t xml:space="preserve">416.9 </w:t>
                  </w:r>
                  <w:r w:rsidR="00C32E47">
                    <w:rPr>
                      <w:szCs w:val="18"/>
                    </w:rPr>
                    <w:br/>
                  </w:r>
                  <w:r w:rsidRPr="00DB2B49">
                    <w:rPr>
                      <w:szCs w:val="18"/>
                    </w:rPr>
                    <w:t>± 3.1</w:t>
                  </w:r>
                </w:p>
              </w:tc>
            </w:tr>
            <w:tr w:rsidR="00EE27CE" w:rsidRPr="00530424" w:rsidTr="001D0F72">
              <w:tc>
                <w:tcPr>
                  <w:tcW w:w="1560" w:type="dxa"/>
                </w:tcPr>
                <w:p w:rsidR="00EE27CE" w:rsidRPr="00DB2B49" w:rsidRDefault="00EE27CE" w:rsidP="004F0487">
                  <w:pPr>
                    <w:pStyle w:val="TableBodyText"/>
                    <w:jc w:val="left"/>
                  </w:pPr>
                  <w:r w:rsidRPr="00DB2B49">
                    <w:t>2012 Year 7</w:t>
                  </w:r>
                </w:p>
              </w:tc>
              <w:tc>
                <w:tcPr>
                  <w:tcW w:w="803" w:type="dxa"/>
                  <w:vAlign w:val="center"/>
                </w:tcPr>
                <w:p w:rsidR="00EE27CE" w:rsidRPr="00DB2B49" w:rsidRDefault="00EE27CE" w:rsidP="00EE27CE">
                  <w:pPr>
                    <w:pStyle w:val="TableBodyText"/>
                    <w:rPr>
                      <w:szCs w:val="18"/>
                    </w:rPr>
                  </w:pPr>
                  <w:r w:rsidRPr="00DB2B49">
                    <w:rPr>
                      <w:szCs w:val="18"/>
                    </w:rPr>
                    <w:t xml:space="preserve">477.4 </w:t>
                  </w:r>
                  <w:r w:rsidR="00C32E47">
                    <w:rPr>
                      <w:szCs w:val="18"/>
                    </w:rPr>
                    <w:br/>
                  </w:r>
                  <w:r w:rsidRPr="00DB2B49">
                    <w:rPr>
                      <w:szCs w:val="18"/>
                    </w:rPr>
                    <w:t>± 3.2</w:t>
                  </w:r>
                </w:p>
              </w:tc>
              <w:tc>
                <w:tcPr>
                  <w:tcW w:w="803" w:type="dxa"/>
                  <w:vAlign w:val="center"/>
                </w:tcPr>
                <w:p w:rsidR="00EE27CE" w:rsidRPr="00DB2B49" w:rsidRDefault="00EE27CE" w:rsidP="00EE27CE">
                  <w:pPr>
                    <w:pStyle w:val="TableBodyText"/>
                    <w:rPr>
                      <w:szCs w:val="18"/>
                    </w:rPr>
                  </w:pPr>
                  <w:r w:rsidRPr="00DB2B49">
                    <w:rPr>
                      <w:szCs w:val="18"/>
                    </w:rPr>
                    <w:t xml:space="preserve">494.6 </w:t>
                  </w:r>
                  <w:r w:rsidR="00C32E47">
                    <w:rPr>
                      <w:szCs w:val="18"/>
                    </w:rPr>
                    <w:br/>
                  </w:r>
                  <w:r w:rsidRPr="00DB2B49">
                    <w:rPr>
                      <w:szCs w:val="18"/>
                    </w:rPr>
                    <w:t>± 5.2</w:t>
                  </w:r>
                </w:p>
              </w:tc>
              <w:tc>
                <w:tcPr>
                  <w:tcW w:w="804" w:type="dxa"/>
                  <w:vAlign w:val="center"/>
                </w:tcPr>
                <w:p w:rsidR="00EE27CE" w:rsidRPr="00DB2B49" w:rsidRDefault="00EE27CE" w:rsidP="00EE27CE">
                  <w:pPr>
                    <w:pStyle w:val="TableBodyText"/>
                    <w:rPr>
                      <w:szCs w:val="18"/>
                    </w:rPr>
                  </w:pPr>
                  <w:r w:rsidRPr="00DB2B49">
                    <w:rPr>
                      <w:szCs w:val="18"/>
                    </w:rPr>
                    <w:t xml:space="preserve">475.9 </w:t>
                  </w:r>
                  <w:r w:rsidR="00C32E47">
                    <w:rPr>
                      <w:szCs w:val="18"/>
                    </w:rPr>
                    <w:br/>
                  </w:r>
                  <w:r w:rsidRPr="00DB2B49">
                    <w:rPr>
                      <w:szCs w:val="18"/>
                    </w:rPr>
                    <w:t>± 3.7</w:t>
                  </w:r>
                </w:p>
              </w:tc>
              <w:tc>
                <w:tcPr>
                  <w:tcW w:w="803" w:type="dxa"/>
                  <w:vAlign w:val="center"/>
                </w:tcPr>
                <w:p w:rsidR="00EE27CE" w:rsidRPr="00DB2B49" w:rsidRDefault="00EE27CE" w:rsidP="00EE27CE">
                  <w:pPr>
                    <w:pStyle w:val="TableBodyText"/>
                    <w:rPr>
                      <w:szCs w:val="18"/>
                    </w:rPr>
                  </w:pPr>
                  <w:r w:rsidRPr="00DB2B49">
                    <w:rPr>
                      <w:szCs w:val="18"/>
                    </w:rPr>
                    <w:t xml:space="preserve">461.0 </w:t>
                  </w:r>
                  <w:r w:rsidR="00C32E47">
                    <w:rPr>
                      <w:szCs w:val="18"/>
                    </w:rPr>
                    <w:br/>
                  </w:r>
                  <w:r w:rsidRPr="00DB2B49">
                    <w:rPr>
                      <w:szCs w:val="18"/>
                    </w:rPr>
                    <w:t>± 5.0</w:t>
                  </w:r>
                </w:p>
              </w:tc>
              <w:tc>
                <w:tcPr>
                  <w:tcW w:w="803" w:type="dxa"/>
                  <w:vAlign w:val="center"/>
                </w:tcPr>
                <w:p w:rsidR="00EE27CE" w:rsidRPr="00DB2B49" w:rsidRDefault="00EE27CE" w:rsidP="00EE27CE">
                  <w:pPr>
                    <w:pStyle w:val="TableBodyText"/>
                    <w:rPr>
                      <w:szCs w:val="18"/>
                    </w:rPr>
                  </w:pPr>
                  <w:r w:rsidRPr="00DB2B49">
                    <w:rPr>
                      <w:szCs w:val="18"/>
                    </w:rPr>
                    <w:t xml:space="preserve">464.8 </w:t>
                  </w:r>
                  <w:r w:rsidR="00C32E47">
                    <w:rPr>
                      <w:szCs w:val="18"/>
                    </w:rPr>
                    <w:br/>
                  </w:r>
                  <w:r w:rsidRPr="00DB2B49">
                    <w:rPr>
                      <w:szCs w:val="18"/>
                    </w:rPr>
                    <w:t>± 6.3</w:t>
                  </w:r>
                </w:p>
              </w:tc>
              <w:tc>
                <w:tcPr>
                  <w:tcW w:w="804" w:type="dxa"/>
                  <w:vAlign w:val="center"/>
                </w:tcPr>
                <w:p w:rsidR="00EE27CE" w:rsidRPr="00DB2B49" w:rsidRDefault="00EE27CE" w:rsidP="00EE27CE">
                  <w:pPr>
                    <w:pStyle w:val="TableBodyText"/>
                    <w:rPr>
                      <w:szCs w:val="18"/>
                    </w:rPr>
                  </w:pPr>
                  <w:r w:rsidRPr="00DB2B49">
                    <w:rPr>
                      <w:szCs w:val="18"/>
                    </w:rPr>
                    <w:t xml:space="preserve">491.0 </w:t>
                  </w:r>
                  <w:r w:rsidR="00C32E47">
                    <w:rPr>
                      <w:szCs w:val="18"/>
                    </w:rPr>
                    <w:br/>
                  </w:r>
                  <w:r w:rsidRPr="00DB2B49">
                    <w:rPr>
                      <w:szCs w:val="18"/>
                    </w:rPr>
                    <w:t>± 7.3</w:t>
                  </w:r>
                </w:p>
              </w:tc>
              <w:tc>
                <w:tcPr>
                  <w:tcW w:w="803" w:type="dxa"/>
                  <w:vAlign w:val="center"/>
                </w:tcPr>
                <w:p w:rsidR="00EE27CE" w:rsidRPr="00DB2B49" w:rsidRDefault="00EE27CE" w:rsidP="00EE27CE">
                  <w:pPr>
                    <w:pStyle w:val="TableBodyText"/>
                    <w:rPr>
                      <w:szCs w:val="18"/>
                    </w:rPr>
                  </w:pPr>
                  <w:r w:rsidRPr="00DB2B49">
                    <w:rPr>
                      <w:szCs w:val="18"/>
                    </w:rPr>
                    <w:t xml:space="preserve">493.1 </w:t>
                  </w:r>
                  <w:r w:rsidR="00C32E47">
                    <w:rPr>
                      <w:szCs w:val="18"/>
                    </w:rPr>
                    <w:br/>
                  </w:r>
                  <w:r w:rsidRPr="00DB2B49">
                    <w:rPr>
                      <w:szCs w:val="18"/>
                    </w:rPr>
                    <w:t>± 12.2</w:t>
                  </w:r>
                </w:p>
              </w:tc>
              <w:tc>
                <w:tcPr>
                  <w:tcW w:w="803" w:type="dxa"/>
                  <w:vAlign w:val="center"/>
                </w:tcPr>
                <w:p w:rsidR="00EE27CE" w:rsidRPr="00DB2B49" w:rsidRDefault="00EE27CE" w:rsidP="00EE27CE">
                  <w:pPr>
                    <w:pStyle w:val="TableBodyText"/>
                    <w:rPr>
                      <w:szCs w:val="18"/>
                    </w:rPr>
                  </w:pPr>
                  <w:r w:rsidRPr="00DB2B49">
                    <w:rPr>
                      <w:szCs w:val="18"/>
                    </w:rPr>
                    <w:t xml:space="preserve">410.1 </w:t>
                  </w:r>
                  <w:r w:rsidR="00C32E47">
                    <w:rPr>
                      <w:szCs w:val="18"/>
                    </w:rPr>
                    <w:br/>
                  </w:r>
                  <w:r w:rsidRPr="00DB2B49">
                    <w:rPr>
                      <w:szCs w:val="18"/>
                    </w:rPr>
                    <w:t>± 15.0</w:t>
                  </w:r>
                </w:p>
              </w:tc>
              <w:tc>
                <w:tcPr>
                  <w:tcW w:w="804" w:type="dxa"/>
                  <w:vAlign w:val="center"/>
                </w:tcPr>
                <w:p w:rsidR="00EE27CE" w:rsidRPr="00DB2B49" w:rsidRDefault="00EE27CE" w:rsidP="00EE27CE">
                  <w:pPr>
                    <w:pStyle w:val="TableBodyText"/>
                    <w:rPr>
                      <w:szCs w:val="18"/>
                    </w:rPr>
                  </w:pPr>
                  <w:r w:rsidRPr="00DB2B49">
                    <w:rPr>
                      <w:szCs w:val="18"/>
                    </w:rPr>
                    <w:t>469.4</w:t>
                  </w:r>
                  <w:r w:rsidR="00C32E47">
                    <w:rPr>
                      <w:szCs w:val="18"/>
                    </w:rPr>
                    <w:br/>
                  </w:r>
                  <w:r w:rsidRPr="00DB2B49">
                    <w:rPr>
                      <w:szCs w:val="18"/>
                    </w:rPr>
                    <w:t xml:space="preserve"> ± 2.6</w:t>
                  </w:r>
                </w:p>
              </w:tc>
            </w:tr>
            <w:tr w:rsidR="00D774C0" w:rsidRPr="00530424" w:rsidTr="00DB2B49">
              <w:tc>
                <w:tcPr>
                  <w:tcW w:w="1560" w:type="dxa"/>
                  <w:shd w:val="clear" w:color="auto" w:fill="FFFFFF" w:themeFill="background1"/>
                </w:tcPr>
                <w:p w:rsidR="00D774C0" w:rsidRPr="00DB2B49" w:rsidRDefault="00D774C0" w:rsidP="004F0487">
                  <w:pPr>
                    <w:pStyle w:val="TableBodyText"/>
                    <w:jc w:val="left"/>
                  </w:pPr>
                  <w:r w:rsidRPr="00DB2B49">
                    <w:t>2014 Year 9</w:t>
                  </w:r>
                </w:p>
              </w:tc>
              <w:tc>
                <w:tcPr>
                  <w:tcW w:w="803" w:type="dxa"/>
                  <w:shd w:val="clear" w:color="auto" w:fill="FFFFFF" w:themeFill="background1"/>
                  <w:vAlign w:val="center"/>
                </w:tcPr>
                <w:p w:rsidR="00D774C0" w:rsidRPr="00DB2B49" w:rsidRDefault="00D774C0" w:rsidP="00DB2B49">
                  <w:pPr>
                    <w:pStyle w:val="TableBodyText"/>
                  </w:pPr>
                  <w:r w:rsidRPr="00DB2B49">
                    <w:t xml:space="preserve">531.5 </w:t>
                  </w:r>
                  <w:r w:rsidR="00C32E47">
                    <w:br/>
                  </w:r>
                  <w:r w:rsidRPr="00DB2B49">
                    <w:t>± 3.2</w:t>
                  </w:r>
                </w:p>
              </w:tc>
              <w:tc>
                <w:tcPr>
                  <w:tcW w:w="803" w:type="dxa"/>
                  <w:shd w:val="clear" w:color="auto" w:fill="FFFFFF" w:themeFill="background1"/>
                  <w:vAlign w:val="center"/>
                </w:tcPr>
                <w:p w:rsidR="00D774C0" w:rsidRPr="00DB2B49" w:rsidRDefault="00D774C0" w:rsidP="00DB2B49">
                  <w:pPr>
                    <w:pStyle w:val="TableBodyText"/>
                  </w:pPr>
                  <w:r w:rsidRPr="00DB2B49">
                    <w:t xml:space="preserve">538.3 </w:t>
                  </w:r>
                  <w:r w:rsidR="00C32E47">
                    <w:br/>
                  </w:r>
                  <w:r w:rsidRPr="00DB2B49">
                    <w:t>± 4.5</w:t>
                  </w:r>
                </w:p>
              </w:tc>
              <w:tc>
                <w:tcPr>
                  <w:tcW w:w="804" w:type="dxa"/>
                  <w:shd w:val="clear" w:color="auto" w:fill="FFFFFF" w:themeFill="background1"/>
                  <w:vAlign w:val="center"/>
                </w:tcPr>
                <w:p w:rsidR="00D774C0" w:rsidRPr="00DB2B49" w:rsidRDefault="00D774C0" w:rsidP="00DB2B49">
                  <w:pPr>
                    <w:pStyle w:val="TableBodyText"/>
                  </w:pPr>
                  <w:r w:rsidRPr="00DB2B49">
                    <w:t xml:space="preserve">525.6 </w:t>
                  </w:r>
                  <w:r w:rsidR="00C32E47">
                    <w:br/>
                  </w:r>
                  <w:r w:rsidRPr="00DB2B49">
                    <w:t>± 3.9</w:t>
                  </w:r>
                </w:p>
              </w:tc>
              <w:tc>
                <w:tcPr>
                  <w:tcW w:w="803" w:type="dxa"/>
                  <w:shd w:val="clear" w:color="auto" w:fill="FFFFFF" w:themeFill="background1"/>
                  <w:vAlign w:val="center"/>
                </w:tcPr>
                <w:p w:rsidR="00D774C0" w:rsidRPr="00DB2B49" w:rsidRDefault="00D774C0" w:rsidP="00DB2B49">
                  <w:pPr>
                    <w:pStyle w:val="TableBodyText"/>
                  </w:pPr>
                  <w:r w:rsidRPr="00DB2B49">
                    <w:t xml:space="preserve">518.0 </w:t>
                  </w:r>
                  <w:r w:rsidR="00C32E47">
                    <w:br/>
                  </w:r>
                  <w:r w:rsidRPr="00DB2B49">
                    <w:t>± 7.4</w:t>
                  </w:r>
                </w:p>
              </w:tc>
              <w:tc>
                <w:tcPr>
                  <w:tcW w:w="803" w:type="dxa"/>
                  <w:shd w:val="clear" w:color="auto" w:fill="FFFFFF" w:themeFill="background1"/>
                  <w:vAlign w:val="center"/>
                </w:tcPr>
                <w:p w:rsidR="00D774C0" w:rsidRPr="00DB2B49" w:rsidRDefault="00D774C0" w:rsidP="00DB2B49">
                  <w:pPr>
                    <w:pStyle w:val="TableBodyText"/>
                  </w:pPr>
                  <w:r w:rsidRPr="00DB2B49">
                    <w:t xml:space="preserve">513.8 </w:t>
                  </w:r>
                  <w:r w:rsidR="00C32E47">
                    <w:br/>
                  </w:r>
                  <w:r w:rsidRPr="00DB2B49">
                    <w:t>± 5.9</w:t>
                  </w:r>
                </w:p>
              </w:tc>
              <w:tc>
                <w:tcPr>
                  <w:tcW w:w="804" w:type="dxa"/>
                  <w:shd w:val="clear" w:color="auto" w:fill="FFFFFF" w:themeFill="background1"/>
                  <w:vAlign w:val="center"/>
                </w:tcPr>
                <w:p w:rsidR="00D774C0" w:rsidRPr="00DB2B49" w:rsidRDefault="00D774C0" w:rsidP="00C32E47">
                  <w:pPr>
                    <w:pStyle w:val="TableBodyText"/>
                  </w:pPr>
                  <w:r w:rsidRPr="00DB2B49">
                    <w:t>541.2</w:t>
                  </w:r>
                  <w:r w:rsidR="00C32E47">
                    <w:br/>
                  </w:r>
                  <w:r w:rsidRPr="00DB2B49">
                    <w:t>± 7.1</w:t>
                  </w:r>
                </w:p>
              </w:tc>
              <w:tc>
                <w:tcPr>
                  <w:tcW w:w="803" w:type="dxa"/>
                  <w:shd w:val="clear" w:color="auto" w:fill="FFFFFF" w:themeFill="background1"/>
                  <w:vAlign w:val="center"/>
                </w:tcPr>
                <w:p w:rsidR="00D774C0" w:rsidRPr="00DB2B49" w:rsidRDefault="00D774C0" w:rsidP="00DB2B49">
                  <w:pPr>
                    <w:pStyle w:val="TableBodyText"/>
                  </w:pPr>
                  <w:r w:rsidRPr="00DB2B49">
                    <w:t xml:space="preserve">535.6 </w:t>
                  </w:r>
                  <w:r w:rsidR="00C32E47">
                    <w:br/>
                  </w:r>
                  <w:r w:rsidRPr="00DB2B49">
                    <w:t>± 12.4</w:t>
                  </w:r>
                </w:p>
              </w:tc>
              <w:tc>
                <w:tcPr>
                  <w:tcW w:w="803" w:type="dxa"/>
                  <w:shd w:val="clear" w:color="auto" w:fill="FFFFFF" w:themeFill="background1"/>
                  <w:vAlign w:val="center"/>
                </w:tcPr>
                <w:p w:rsidR="00D774C0" w:rsidRPr="00DB2B49" w:rsidRDefault="00D774C0" w:rsidP="00DB2B49">
                  <w:pPr>
                    <w:pStyle w:val="TableBodyText"/>
                  </w:pPr>
                  <w:r w:rsidRPr="00DB2B49">
                    <w:t xml:space="preserve">467.6 </w:t>
                  </w:r>
                  <w:r w:rsidR="00C32E47">
                    <w:br/>
                  </w:r>
                  <w:r w:rsidRPr="00DB2B49">
                    <w:t>± 13.8</w:t>
                  </w:r>
                </w:p>
              </w:tc>
              <w:tc>
                <w:tcPr>
                  <w:tcW w:w="804" w:type="dxa"/>
                  <w:shd w:val="clear" w:color="auto" w:fill="FFFFFF" w:themeFill="background1"/>
                  <w:vAlign w:val="center"/>
                </w:tcPr>
                <w:p w:rsidR="00D774C0" w:rsidRPr="00DB2B49" w:rsidRDefault="00D774C0" w:rsidP="00DB2B49">
                  <w:pPr>
                    <w:pStyle w:val="TableBodyText"/>
                  </w:pPr>
                  <w:r w:rsidRPr="00DB2B49">
                    <w:t xml:space="preserve">522.8 </w:t>
                  </w:r>
                  <w:r w:rsidR="00C32E47">
                    <w:br/>
                  </w:r>
                  <w:r w:rsidRPr="00DB2B49">
                    <w:t>± 2.5</w:t>
                  </w:r>
                </w:p>
              </w:tc>
            </w:tr>
            <w:tr w:rsidR="00EE27CE" w:rsidRPr="00530424" w:rsidTr="001D0F72">
              <w:tc>
                <w:tcPr>
                  <w:tcW w:w="1560" w:type="dxa"/>
                </w:tcPr>
                <w:p w:rsidR="00EE27CE" w:rsidRPr="002A6CB1" w:rsidRDefault="00EE27CE" w:rsidP="004F0487">
                  <w:pPr>
                    <w:pStyle w:val="TableBodyText"/>
                    <w:jc w:val="left"/>
                    <w:rPr>
                      <w:b/>
                    </w:rPr>
                  </w:pPr>
                  <w:r w:rsidRPr="002A6CB1">
                    <w:rPr>
                      <w:b/>
                    </w:rPr>
                    <w:t>Gain 2008-2010</w:t>
                  </w:r>
                </w:p>
              </w:tc>
              <w:tc>
                <w:tcPr>
                  <w:tcW w:w="803" w:type="dxa"/>
                  <w:vAlign w:val="center"/>
                </w:tcPr>
                <w:p w:rsidR="00EE27CE" w:rsidRPr="002A6CB1" w:rsidRDefault="00EE27CE" w:rsidP="00EE27CE">
                  <w:pPr>
                    <w:pStyle w:val="TableBodyText"/>
                    <w:rPr>
                      <w:b/>
                      <w:szCs w:val="18"/>
                    </w:rPr>
                  </w:pPr>
                  <w:r w:rsidRPr="002A6CB1">
                    <w:rPr>
                      <w:b/>
                      <w:szCs w:val="18"/>
                    </w:rPr>
                    <w:t>85.5</w:t>
                  </w:r>
                  <w:r w:rsidR="00C32E47" w:rsidRPr="002A6CB1">
                    <w:rPr>
                      <w:b/>
                      <w:szCs w:val="18"/>
                    </w:rPr>
                    <w:br/>
                  </w:r>
                  <w:r w:rsidRPr="002A6CB1">
                    <w:rPr>
                      <w:b/>
                      <w:szCs w:val="18"/>
                    </w:rPr>
                    <w:t xml:space="preserve"> ± 9.2</w:t>
                  </w:r>
                </w:p>
              </w:tc>
              <w:tc>
                <w:tcPr>
                  <w:tcW w:w="803" w:type="dxa"/>
                  <w:vAlign w:val="center"/>
                </w:tcPr>
                <w:p w:rsidR="00EE27CE" w:rsidRPr="002A6CB1" w:rsidRDefault="00EE27CE" w:rsidP="00EE27CE">
                  <w:pPr>
                    <w:pStyle w:val="TableBodyText"/>
                    <w:rPr>
                      <w:b/>
                      <w:szCs w:val="18"/>
                    </w:rPr>
                  </w:pPr>
                  <w:r w:rsidRPr="002A6CB1">
                    <w:rPr>
                      <w:b/>
                      <w:szCs w:val="18"/>
                    </w:rPr>
                    <w:t xml:space="preserve">80.1 </w:t>
                  </w:r>
                  <w:r w:rsidR="00C32E47" w:rsidRPr="002A6CB1">
                    <w:rPr>
                      <w:b/>
                      <w:szCs w:val="18"/>
                    </w:rPr>
                    <w:br/>
                  </w:r>
                  <w:r w:rsidRPr="002A6CB1">
                    <w:rPr>
                      <w:b/>
                      <w:szCs w:val="18"/>
                    </w:rPr>
                    <w:t>± 11.4</w:t>
                  </w:r>
                </w:p>
              </w:tc>
              <w:tc>
                <w:tcPr>
                  <w:tcW w:w="804" w:type="dxa"/>
                  <w:vAlign w:val="center"/>
                </w:tcPr>
                <w:p w:rsidR="00EE27CE" w:rsidRPr="002A6CB1" w:rsidRDefault="00EE27CE" w:rsidP="00EE27CE">
                  <w:pPr>
                    <w:pStyle w:val="TableBodyText"/>
                    <w:rPr>
                      <w:b/>
                      <w:szCs w:val="18"/>
                    </w:rPr>
                  </w:pPr>
                  <w:r w:rsidRPr="002A6CB1">
                    <w:rPr>
                      <w:b/>
                      <w:szCs w:val="18"/>
                    </w:rPr>
                    <w:t xml:space="preserve">103.3 </w:t>
                  </w:r>
                  <w:r w:rsidR="00C32E47" w:rsidRPr="002A6CB1">
                    <w:rPr>
                      <w:b/>
                      <w:szCs w:val="18"/>
                    </w:rPr>
                    <w:br/>
                  </w:r>
                  <w:r w:rsidRPr="002A6CB1">
                    <w:rPr>
                      <w:b/>
                      <w:szCs w:val="18"/>
                    </w:rPr>
                    <w:t>± 11.3</w:t>
                  </w:r>
                </w:p>
              </w:tc>
              <w:tc>
                <w:tcPr>
                  <w:tcW w:w="803" w:type="dxa"/>
                  <w:vAlign w:val="center"/>
                </w:tcPr>
                <w:p w:rsidR="00EE27CE" w:rsidRPr="002A6CB1" w:rsidRDefault="00EE27CE" w:rsidP="00EE27CE">
                  <w:pPr>
                    <w:pStyle w:val="TableBodyText"/>
                    <w:rPr>
                      <w:b/>
                      <w:szCs w:val="18"/>
                    </w:rPr>
                  </w:pPr>
                  <w:r w:rsidRPr="002A6CB1">
                    <w:rPr>
                      <w:b/>
                      <w:szCs w:val="18"/>
                    </w:rPr>
                    <w:t xml:space="preserve">84.1 </w:t>
                  </w:r>
                  <w:r w:rsidR="00C32E47" w:rsidRPr="002A6CB1">
                    <w:rPr>
                      <w:b/>
                      <w:szCs w:val="18"/>
                    </w:rPr>
                    <w:br/>
                  </w:r>
                  <w:r w:rsidRPr="002A6CB1">
                    <w:rPr>
                      <w:b/>
                      <w:szCs w:val="18"/>
                    </w:rPr>
                    <w:t>± 11.3</w:t>
                  </w:r>
                </w:p>
              </w:tc>
              <w:tc>
                <w:tcPr>
                  <w:tcW w:w="803" w:type="dxa"/>
                  <w:vAlign w:val="center"/>
                </w:tcPr>
                <w:p w:rsidR="00EE27CE" w:rsidRPr="002A6CB1" w:rsidRDefault="00EE27CE" w:rsidP="00EE27CE">
                  <w:pPr>
                    <w:pStyle w:val="TableBodyText"/>
                    <w:rPr>
                      <w:b/>
                      <w:szCs w:val="18"/>
                    </w:rPr>
                  </w:pPr>
                  <w:r w:rsidRPr="002A6CB1">
                    <w:rPr>
                      <w:b/>
                      <w:szCs w:val="18"/>
                    </w:rPr>
                    <w:t xml:space="preserve">76.2 </w:t>
                  </w:r>
                  <w:r w:rsidR="00C32E47" w:rsidRPr="002A6CB1">
                    <w:rPr>
                      <w:b/>
                      <w:szCs w:val="18"/>
                    </w:rPr>
                    <w:br/>
                  </w:r>
                  <w:r w:rsidRPr="002A6CB1">
                    <w:rPr>
                      <w:b/>
                      <w:szCs w:val="18"/>
                    </w:rPr>
                    <w:t>± 12.4</w:t>
                  </w:r>
                </w:p>
              </w:tc>
              <w:tc>
                <w:tcPr>
                  <w:tcW w:w="804" w:type="dxa"/>
                  <w:vAlign w:val="center"/>
                </w:tcPr>
                <w:p w:rsidR="00EE27CE" w:rsidRPr="002A6CB1" w:rsidRDefault="00EE27CE" w:rsidP="00EE27CE">
                  <w:pPr>
                    <w:pStyle w:val="TableBodyText"/>
                    <w:rPr>
                      <w:b/>
                      <w:szCs w:val="18"/>
                    </w:rPr>
                  </w:pPr>
                  <w:r w:rsidRPr="002A6CB1">
                    <w:rPr>
                      <w:b/>
                      <w:szCs w:val="18"/>
                    </w:rPr>
                    <w:t>72.9</w:t>
                  </w:r>
                  <w:r w:rsidR="00C32E47" w:rsidRPr="002A6CB1">
                    <w:rPr>
                      <w:b/>
                      <w:szCs w:val="18"/>
                    </w:rPr>
                    <w:br/>
                  </w:r>
                  <w:r w:rsidRPr="002A6CB1">
                    <w:rPr>
                      <w:b/>
                      <w:szCs w:val="18"/>
                    </w:rPr>
                    <w:t xml:space="preserve"> ± 14.1</w:t>
                  </w:r>
                </w:p>
              </w:tc>
              <w:tc>
                <w:tcPr>
                  <w:tcW w:w="803" w:type="dxa"/>
                  <w:vAlign w:val="center"/>
                </w:tcPr>
                <w:p w:rsidR="00EE27CE" w:rsidRPr="002A6CB1" w:rsidRDefault="00EE27CE" w:rsidP="00EE27CE">
                  <w:pPr>
                    <w:pStyle w:val="TableBodyText"/>
                    <w:rPr>
                      <w:b/>
                      <w:szCs w:val="18"/>
                    </w:rPr>
                  </w:pPr>
                  <w:r w:rsidRPr="002A6CB1">
                    <w:rPr>
                      <w:b/>
                      <w:szCs w:val="18"/>
                    </w:rPr>
                    <w:t xml:space="preserve">79.6 </w:t>
                  </w:r>
                  <w:r w:rsidR="00E15065" w:rsidRPr="002A6CB1">
                    <w:rPr>
                      <w:b/>
                      <w:szCs w:val="18"/>
                    </w:rPr>
                    <w:br/>
                  </w:r>
                  <w:r w:rsidRPr="002A6CB1">
                    <w:rPr>
                      <w:b/>
                      <w:szCs w:val="18"/>
                    </w:rPr>
                    <w:t>± 22.1</w:t>
                  </w:r>
                </w:p>
              </w:tc>
              <w:tc>
                <w:tcPr>
                  <w:tcW w:w="803" w:type="dxa"/>
                  <w:vAlign w:val="center"/>
                </w:tcPr>
                <w:p w:rsidR="00EE27CE" w:rsidRPr="002A6CB1" w:rsidRDefault="00EE27CE" w:rsidP="00EE27CE">
                  <w:pPr>
                    <w:pStyle w:val="TableBodyText"/>
                    <w:rPr>
                      <w:b/>
                      <w:szCs w:val="18"/>
                    </w:rPr>
                  </w:pPr>
                  <w:r w:rsidRPr="002A6CB1">
                    <w:rPr>
                      <w:b/>
                      <w:szCs w:val="18"/>
                    </w:rPr>
                    <w:t xml:space="preserve">76.6 </w:t>
                  </w:r>
                  <w:r w:rsidR="00E15065" w:rsidRPr="002A6CB1">
                    <w:rPr>
                      <w:b/>
                      <w:szCs w:val="18"/>
                    </w:rPr>
                    <w:br/>
                  </w:r>
                  <w:r w:rsidRPr="002A6CB1">
                    <w:rPr>
                      <w:b/>
                      <w:szCs w:val="18"/>
                    </w:rPr>
                    <w:t>± 18.9</w:t>
                  </w:r>
                </w:p>
              </w:tc>
              <w:tc>
                <w:tcPr>
                  <w:tcW w:w="804" w:type="dxa"/>
                  <w:vAlign w:val="center"/>
                </w:tcPr>
                <w:p w:rsidR="00EE27CE" w:rsidRPr="002A6CB1" w:rsidRDefault="00EE27CE" w:rsidP="00EE27CE">
                  <w:pPr>
                    <w:pStyle w:val="TableBodyText"/>
                    <w:rPr>
                      <w:b/>
                      <w:szCs w:val="18"/>
                    </w:rPr>
                  </w:pPr>
                  <w:r w:rsidRPr="002A6CB1">
                    <w:rPr>
                      <w:b/>
                      <w:szCs w:val="18"/>
                    </w:rPr>
                    <w:t xml:space="preserve">89.3 </w:t>
                  </w:r>
                  <w:r w:rsidR="00E15065" w:rsidRPr="002A6CB1">
                    <w:rPr>
                      <w:b/>
                      <w:szCs w:val="18"/>
                    </w:rPr>
                    <w:br/>
                  </w:r>
                  <w:r w:rsidRPr="002A6CB1">
                    <w:rPr>
                      <w:b/>
                      <w:szCs w:val="18"/>
                    </w:rPr>
                    <w:t>± 9.3</w:t>
                  </w:r>
                </w:p>
              </w:tc>
            </w:tr>
            <w:tr w:rsidR="00EE27CE" w:rsidRPr="00530424" w:rsidTr="001D0F72">
              <w:tc>
                <w:tcPr>
                  <w:tcW w:w="1560" w:type="dxa"/>
                </w:tcPr>
                <w:p w:rsidR="00EE27CE" w:rsidRPr="002A6CB1" w:rsidRDefault="00EE27CE" w:rsidP="004F0487">
                  <w:pPr>
                    <w:pStyle w:val="TableBodyText"/>
                    <w:jc w:val="left"/>
                    <w:rPr>
                      <w:b/>
                    </w:rPr>
                  </w:pPr>
                  <w:r w:rsidRPr="002A6CB1">
                    <w:rPr>
                      <w:b/>
                    </w:rPr>
                    <w:t>Gain 2010-2012</w:t>
                  </w:r>
                </w:p>
              </w:tc>
              <w:tc>
                <w:tcPr>
                  <w:tcW w:w="803" w:type="dxa"/>
                  <w:vAlign w:val="center"/>
                </w:tcPr>
                <w:p w:rsidR="00EE27CE" w:rsidRPr="002A6CB1" w:rsidRDefault="00EE27CE" w:rsidP="00EE27CE">
                  <w:pPr>
                    <w:pStyle w:val="TableBodyText"/>
                    <w:rPr>
                      <w:b/>
                      <w:szCs w:val="18"/>
                    </w:rPr>
                  </w:pPr>
                  <w:r w:rsidRPr="002A6CB1">
                    <w:rPr>
                      <w:b/>
                      <w:szCs w:val="18"/>
                    </w:rPr>
                    <w:t xml:space="preserve">41.6 </w:t>
                  </w:r>
                  <w:r w:rsidR="00E15065" w:rsidRPr="002A6CB1">
                    <w:rPr>
                      <w:b/>
                      <w:szCs w:val="18"/>
                    </w:rPr>
                    <w:br/>
                  </w:r>
                  <w:r w:rsidRPr="002A6CB1">
                    <w:rPr>
                      <w:b/>
                      <w:szCs w:val="18"/>
                    </w:rPr>
                    <w:t>± 7.2</w:t>
                  </w:r>
                </w:p>
              </w:tc>
              <w:tc>
                <w:tcPr>
                  <w:tcW w:w="803" w:type="dxa"/>
                  <w:vAlign w:val="center"/>
                </w:tcPr>
                <w:p w:rsidR="00EE27CE" w:rsidRPr="002A6CB1" w:rsidRDefault="00EE27CE" w:rsidP="00EE27CE">
                  <w:pPr>
                    <w:pStyle w:val="TableBodyText"/>
                    <w:rPr>
                      <w:b/>
                      <w:szCs w:val="18"/>
                    </w:rPr>
                  </w:pPr>
                  <w:r w:rsidRPr="002A6CB1">
                    <w:rPr>
                      <w:b/>
                      <w:szCs w:val="18"/>
                    </w:rPr>
                    <w:t>37.6</w:t>
                  </w:r>
                  <w:r w:rsidR="00E15065" w:rsidRPr="002A6CB1">
                    <w:rPr>
                      <w:b/>
                      <w:szCs w:val="18"/>
                    </w:rPr>
                    <w:br/>
                  </w:r>
                  <w:r w:rsidRPr="002A6CB1">
                    <w:rPr>
                      <w:b/>
                      <w:szCs w:val="18"/>
                    </w:rPr>
                    <w:t xml:space="preserve"> ± 9.7</w:t>
                  </w:r>
                </w:p>
              </w:tc>
              <w:tc>
                <w:tcPr>
                  <w:tcW w:w="804" w:type="dxa"/>
                  <w:vAlign w:val="center"/>
                </w:tcPr>
                <w:p w:rsidR="00EE27CE" w:rsidRPr="002A6CB1" w:rsidRDefault="00EE27CE" w:rsidP="00EE27CE">
                  <w:pPr>
                    <w:pStyle w:val="TableBodyText"/>
                    <w:rPr>
                      <w:b/>
                      <w:szCs w:val="18"/>
                    </w:rPr>
                  </w:pPr>
                  <w:r w:rsidRPr="002A6CB1">
                    <w:rPr>
                      <w:b/>
                      <w:szCs w:val="18"/>
                    </w:rPr>
                    <w:t xml:space="preserve">56.4 </w:t>
                  </w:r>
                  <w:r w:rsidR="00E15065" w:rsidRPr="002A6CB1">
                    <w:rPr>
                      <w:b/>
                      <w:szCs w:val="18"/>
                    </w:rPr>
                    <w:br/>
                  </w:r>
                  <w:r w:rsidRPr="002A6CB1">
                    <w:rPr>
                      <w:b/>
                      <w:szCs w:val="18"/>
                    </w:rPr>
                    <w:t>± 8.2</w:t>
                  </w:r>
                </w:p>
              </w:tc>
              <w:tc>
                <w:tcPr>
                  <w:tcW w:w="803" w:type="dxa"/>
                  <w:vAlign w:val="center"/>
                </w:tcPr>
                <w:p w:rsidR="00EE27CE" w:rsidRPr="002A6CB1" w:rsidRDefault="00EE27CE" w:rsidP="00EE27CE">
                  <w:pPr>
                    <w:pStyle w:val="TableBodyText"/>
                    <w:rPr>
                      <w:b/>
                      <w:szCs w:val="18"/>
                    </w:rPr>
                  </w:pPr>
                  <w:r w:rsidRPr="002A6CB1">
                    <w:rPr>
                      <w:b/>
                      <w:szCs w:val="18"/>
                    </w:rPr>
                    <w:t xml:space="preserve">63.0 </w:t>
                  </w:r>
                  <w:r w:rsidR="00E15065" w:rsidRPr="002A6CB1">
                    <w:rPr>
                      <w:b/>
                      <w:szCs w:val="18"/>
                    </w:rPr>
                    <w:br/>
                  </w:r>
                  <w:r w:rsidRPr="002A6CB1">
                    <w:rPr>
                      <w:b/>
                      <w:szCs w:val="18"/>
                    </w:rPr>
                    <w:t>± 9.7</w:t>
                  </w:r>
                </w:p>
              </w:tc>
              <w:tc>
                <w:tcPr>
                  <w:tcW w:w="803" w:type="dxa"/>
                  <w:vAlign w:val="center"/>
                </w:tcPr>
                <w:p w:rsidR="00EE27CE" w:rsidRPr="002A6CB1" w:rsidRDefault="00EE27CE" w:rsidP="00E15065">
                  <w:pPr>
                    <w:pStyle w:val="TableBodyText"/>
                    <w:rPr>
                      <w:b/>
                      <w:szCs w:val="18"/>
                    </w:rPr>
                  </w:pPr>
                  <w:r w:rsidRPr="002A6CB1">
                    <w:rPr>
                      <w:b/>
                      <w:szCs w:val="18"/>
                    </w:rPr>
                    <w:t>57.9</w:t>
                  </w:r>
                  <w:r w:rsidR="00E15065" w:rsidRPr="002A6CB1">
                    <w:rPr>
                      <w:b/>
                      <w:szCs w:val="18"/>
                    </w:rPr>
                    <w:br/>
                  </w:r>
                  <w:r w:rsidRPr="002A6CB1">
                    <w:rPr>
                      <w:b/>
                      <w:szCs w:val="18"/>
                    </w:rPr>
                    <w:t>± 10.9</w:t>
                  </w:r>
                </w:p>
              </w:tc>
              <w:tc>
                <w:tcPr>
                  <w:tcW w:w="804" w:type="dxa"/>
                  <w:vAlign w:val="center"/>
                </w:tcPr>
                <w:p w:rsidR="00EE27CE" w:rsidRPr="002A6CB1" w:rsidRDefault="00EE27CE" w:rsidP="00EE27CE">
                  <w:pPr>
                    <w:pStyle w:val="TableBodyText"/>
                    <w:rPr>
                      <w:b/>
                      <w:szCs w:val="18"/>
                    </w:rPr>
                  </w:pPr>
                  <w:r w:rsidRPr="002A6CB1">
                    <w:rPr>
                      <w:b/>
                      <w:szCs w:val="18"/>
                    </w:rPr>
                    <w:t xml:space="preserve">41.0 </w:t>
                  </w:r>
                  <w:r w:rsidR="00E15065" w:rsidRPr="002A6CB1">
                    <w:rPr>
                      <w:b/>
                      <w:szCs w:val="18"/>
                    </w:rPr>
                    <w:br/>
                  </w:r>
                  <w:r w:rsidRPr="002A6CB1">
                    <w:rPr>
                      <w:b/>
                      <w:szCs w:val="18"/>
                    </w:rPr>
                    <w:t>± 12.3</w:t>
                  </w:r>
                </w:p>
              </w:tc>
              <w:tc>
                <w:tcPr>
                  <w:tcW w:w="803" w:type="dxa"/>
                  <w:vAlign w:val="center"/>
                </w:tcPr>
                <w:p w:rsidR="00EE27CE" w:rsidRPr="002A6CB1" w:rsidRDefault="00EE27CE" w:rsidP="00EE27CE">
                  <w:pPr>
                    <w:pStyle w:val="TableBodyText"/>
                    <w:rPr>
                      <w:b/>
                      <w:szCs w:val="18"/>
                    </w:rPr>
                  </w:pPr>
                  <w:r w:rsidRPr="002A6CB1">
                    <w:rPr>
                      <w:b/>
                      <w:szCs w:val="18"/>
                    </w:rPr>
                    <w:t xml:space="preserve">58.4 </w:t>
                  </w:r>
                  <w:r w:rsidR="00E15065" w:rsidRPr="002A6CB1">
                    <w:rPr>
                      <w:b/>
                      <w:szCs w:val="18"/>
                    </w:rPr>
                    <w:br/>
                  </w:r>
                  <w:r w:rsidRPr="002A6CB1">
                    <w:rPr>
                      <w:b/>
                      <w:szCs w:val="18"/>
                    </w:rPr>
                    <w:t>± 18.6</w:t>
                  </w:r>
                </w:p>
              </w:tc>
              <w:tc>
                <w:tcPr>
                  <w:tcW w:w="803" w:type="dxa"/>
                  <w:vAlign w:val="center"/>
                </w:tcPr>
                <w:p w:rsidR="00EE27CE" w:rsidRPr="002A6CB1" w:rsidRDefault="00EE27CE" w:rsidP="00EE27CE">
                  <w:pPr>
                    <w:pStyle w:val="TableBodyText"/>
                    <w:rPr>
                      <w:b/>
                      <w:szCs w:val="18"/>
                    </w:rPr>
                  </w:pPr>
                  <w:r w:rsidRPr="002A6CB1">
                    <w:rPr>
                      <w:b/>
                      <w:szCs w:val="18"/>
                    </w:rPr>
                    <w:t xml:space="preserve">58.5 </w:t>
                  </w:r>
                  <w:r w:rsidR="00E15065" w:rsidRPr="002A6CB1">
                    <w:rPr>
                      <w:b/>
                      <w:szCs w:val="18"/>
                    </w:rPr>
                    <w:br/>
                  </w:r>
                  <w:r w:rsidRPr="002A6CB1">
                    <w:rPr>
                      <w:b/>
                      <w:szCs w:val="18"/>
                    </w:rPr>
                    <w:t>± 20.6</w:t>
                  </w:r>
                </w:p>
              </w:tc>
              <w:tc>
                <w:tcPr>
                  <w:tcW w:w="804" w:type="dxa"/>
                  <w:vAlign w:val="center"/>
                </w:tcPr>
                <w:p w:rsidR="00EE27CE" w:rsidRPr="002A6CB1" w:rsidRDefault="00EE27CE" w:rsidP="00EE27CE">
                  <w:pPr>
                    <w:pStyle w:val="TableBodyText"/>
                    <w:rPr>
                      <w:b/>
                      <w:szCs w:val="18"/>
                    </w:rPr>
                  </w:pPr>
                  <w:r w:rsidRPr="002A6CB1">
                    <w:rPr>
                      <w:b/>
                      <w:szCs w:val="18"/>
                    </w:rPr>
                    <w:t>52.5</w:t>
                  </w:r>
                  <w:r w:rsidR="00E15065" w:rsidRPr="002A6CB1">
                    <w:rPr>
                      <w:b/>
                      <w:szCs w:val="18"/>
                    </w:rPr>
                    <w:br/>
                  </w:r>
                  <w:r w:rsidRPr="002A6CB1">
                    <w:rPr>
                      <w:b/>
                      <w:szCs w:val="18"/>
                    </w:rPr>
                    <w:t xml:space="preserve"> ± 7.1</w:t>
                  </w:r>
                </w:p>
              </w:tc>
            </w:tr>
            <w:tr w:rsidR="00D774C0" w:rsidRPr="00530424" w:rsidTr="00DB2B49">
              <w:tc>
                <w:tcPr>
                  <w:tcW w:w="1560" w:type="dxa"/>
                  <w:shd w:val="clear" w:color="auto" w:fill="FFFFFF" w:themeFill="background1"/>
                </w:tcPr>
                <w:p w:rsidR="00D774C0" w:rsidRPr="002A6CB1" w:rsidRDefault="00D774C0" w:rsidP="004F0487">
                  <w:pPr>
                    <w:pStyle w:val="TableBodyText"/>
                    <w:jc w:val="left"/>
                    <w:rPr>
                      <w:b/>
                    </w:rPr>
                  </w:pPr>
                  <w:r w:rsidRPr="002A6CB1">
                    <w:rPr>
                      <w:b/>
                    </w:rPr>
                    <w:t>Gain 2012-2014</w:t>
                  </w:r>
                </w:p>
              </w:tc>
              <w:tc>
                <w:tcPr>
                  <w:tcW w:w="803" w:type="dxa"/>
                  <w:shd w:val="clear" w:color="auto" w:fill="FFFFFF" w:themeFill="background1"/>
                  <w:vAlign w:val="center"/>
                </w:tcPr>
                <w:p w:rsidR="00D774C0" w:rsidRPr="002A6CB1" w:rsidRDefault="00D774C0" w:rsidP="00E15065">
                  <w:pPr>
                    <w:pStyle w:val="TableBodyText"/>
                    <w:rPr>
                      <w:b/>
                    </w:rPr>
                  </w:pPr>
                  <w:r w:rsidRPr="002A6CB1">
                    <w:rPr>
                      <w:b/>
                    </w:rPr>
                    <w:t xml:space="preserve">54.1 </w:t>
                  </w:r>
                  <w:r w:rsidR="00E15065" w:rsidRPr="002A6CB1">
                    <w:rPr>
                      <w:b/>
                    </w:rPr>
                    <w:br/>
                  </w:r>
                  <w:r w:rsidRPr="002A6CB1">
                    <w:rPr>
                      <w:b/>
                    </w:rPr>
                    <w:t>±</w:t>
                  </w:r>
                  <w:r w:rsidR="00E15065" w:rsidRPr="002A6CB1">
                    <w:rPr>
                      <w:b/>
                    </w:rPr>
                    <w:t xml:space="preserve"> </w:t>
                  </w:r>
                  <w:r w:rsidRPr="002A6CB1">
                    <w:rPr>
                      <w:b/>
                    </w:rPr>
                    <w:t>6.0</w:t>
                  </w:r>
                </w:p>
              </w:tc>
              <w:tc>
                <w:tcPr>
                  <w:tcW w:w="803" w:type="dxa"/>
                  <w:shd w:val="clear" w:color="auto" w:fill="FFFFFF" w:themeFill="background1"/>
                  <w:vAlign w:val="center"/>
                </w:tcPr>
                <w:p w:rsidR="00D774C0" w:rsidRPr="002A6CB1" w:rsidRDefault="00D774C0" w:rsidP="00E15065">
                  <w:pPr>
                    <w:pStyle w:val="TableBodyText"/>
                    <w:rPr>
                      <w:b/>
                    </w:rPr>
                  </w:pPr>
                  <w:r w:rsidRPr="002A6CB1">
                    <w:rPr>
                      <w:b/>
                    </w:rPr>
                    <w:t xml:space="preserve">43.7 </w:t>
                  </w:r>
                  <w:r w:rsidR="00E15065" w:rsidRPr="002A6CB1">
                    <w:rPr>
                      <w:b/>
                    </w:rPr>
                    <w:br/>
                    <w:t xml:space="preserve">± </w:t>
                  </w:r>
                  <w:r w:rsidRPr="002A6CB1">
                    <w:rPr>
                      <w:b/>
                    </w:rPr>
                    <w:t>7.9</w:t>
                  </w:r>
                </w:p>
              </w:tc>
              <w:tc>
                <w:tcPr>
                  <w:tcW w:w="804" w:type="dxa"/>
                  <w:shd w:val="clear" w:color="auto" w:fill="FFFFFF" w:themeFill="background1"/>
                  <w:vAlign w:val="center"/>
                </w:tcPr>
                <w:p w:rsidR="00D774C0" w:rsidRPr="002A6CB1" w:rsidRDefault="00D774C0" w:rsidP="00E15065">
                  <w:pPr>
                    <w:pStyle w:val="TableBodyText"/>
                    <w:rPr>
                      <w:b/>
                    </w:rPr>
                  </w:pPr>
                  <w:r w:rsidRPr="002A6CB1">
                    <w:rPr>
                      <w:b/>
                    </w:rPr>
                    <w:t xml:space="preserve">49.7 </w:t>
                  </w:r>
                  <w:r w:rsidR="00E15065" w:rsidRPr="002A6CB1">
                    <w:rPr>
                      <w:b/>
                    </w:rPr>
                    <w:br/>
                  </w:r>
                  <w:r w:rsidRPr="002A6CB1">
                    <w:rPr>
                      <w:b/>
                    </w:rPr>
                    <w:t>± 6.7</w:t>
                  </w:r>
                </w:p>
              </w:tc>
              <w:tc>
                <w:tcPr>
                  <w:tcW w:w="803" w:type="dxa"/>
                  <w:shd w:val="clear" w:color="auto" w:fill="FFFFFF" w:themeFill="background1"/>
                  <w:vAlign w:val="center"/>
                </w:tcPr>
                <w:p w:rsidR="00D774C0" w:rsidRPr="002A6CB1" w:rsidRDefault="00D774C0" w:rsidP="00E15065">
                  <w:pPr>
                    <w:pStyle w:val="TableBodyText"/>
                    <w:rPr>
                      <w:b/>
                    </w:rPr>
                  </w:pPr>
                  <w:r w:rsidRPr="002A6CB1">
                    <w:rPr>
                      <w:b/>
                    </w:rPr>
                    <w:t>57.0 ± 9.8</w:t>
                  </w:r>
                </w:p>
              </w:tc>
              <w:tc>
                <w:tcPr>
                  <w:tcW w:w="803" w:type="dxa"/>
                  <w:shd w:val="clear" w:color="auto" w:fill="FFFFFF" w:themeFill="background1"/>
                  <w:vAlign w:val="center"/>
                </w:tcPr>
                <w:p w:rsidR="00D774C0" w:rsidRPr="002A6CB1" w:rsidRDefault="00D774C0" w:rsidP="00E15065">
                  <w:pPr>
                    <w:pStyle w:val="TableBodyText"/>
                    <w:rPr>
                      <w:b/>
                    </w:rPr>
                  </w:pPr>
                  <w:r w:rsidRPr="002A6CB1">
                    <w:rPr>
                      <w:b/>
                    </w:rPr>
                    <w:t>49.0</w:t>
                  </w:r>
                  <w:r w:rsidR="00E15065" w:rsidRPr="002A6CB1">
                    <w:rPr>
                      <w:b/>
                    </w:rPr>
                    <w:br/>
                  </w:r>
                  <w:r w:rsidRPr="002A6CB1">
                    <w:rPr>
                      <w:b/>
                    </w:rPr>
                    <w:t>± 9.5</w:t>
                  </w:r>
                </w:p>
              </w:tc>
              <w:tc>
                <w:tcPr>
                  <w:tcW w:w="804" w:type="dxa"/>
                  <w:shd w:val="clear" w:color="auto" w:fill="FFFFFF" w:themeFill="background1"/>
                  <w:vAlign w:val="center"/>
                </w:tcPr>
                <w:p w:rsidR="00D774C0" w:rsidRPr="002A6CB1" w:rsidRDefault="00D774C0" w:rsidP="00D774C0">
                  <w:pPr>
                    <w:pStyle w:val="TableBodyText"/>
                    <w:rPr>
                      <w:b/>
                    </w:rPr>
                  </w:pPr>
                  <w:r w:rsidRPr="002A6CB1">
                    <w:rPr>
                      <w:b/>
                    </w:rPr>
                    <w:t>50.2</w:t>
                  </w:r>
                  <w:r w:rsidR="00E15065" w:rsidRPr="002A6CB1">
                    <w:rPr>
                      <w:b/>
                    </w:rPr>
                    <w:br/>
                  </w:r>
                  <w:r w:rsidRPr="002A6CB1">
                    <w:rPr>
                      <w:b/>
                    </w:rPr>
                    <w:t xml:space="preserve"> ± 10.9</w:t>
                  </w:r>
                </w:p>
              </w:tc>
              <w:tc>
                <w:tcPr>
                  <w:tcW w:w="803" w:type="dxa"/>
                  <w:shd w:val="clear" w:color="auto" w:fill="FFFFFF" w:themeFill="background1"/>
                  <w:vAlign w:val="center"/>
                </w:tcPr>
                <w:p w:rsidR="00D774C0" w:rsidRPr="002A6CB1" w:rsidRDefault="00D774C0" w:rsidP="00D774C0">
                  <w:pPr>
                    <w:pStyle w:val="TableBodyText"/>
                    <w:rPr>
                      <w:b/>
                    </w:rPr>
                  </w:pPr>
                  <w:r w:rsidRPr="002A6CB1">
                    <w:rPr>
                      <w:b/>
                    </w:rPr>
                    <w:t xml:space="preserve">42.5 </w:t>
                  </w:r>
                  <w:r w:rsidR="00E15065" w:rsidRPr="002A6CB1">
                    <w:rPr>
                      <w:b/>
                    </w:rPr>
                    <w:br/>
                  </w:r>
                  <w:r w:rsidRPr="002A6CB1">
                    <w:rPr>
                      <w:b/>
                    </w:rPr>
                    <w:t>± 17.8</w:t>
                  </w:r>
                </w:p>
              </w:tc>
              <w:tc>
                <w:tcPr>
                  <w:tcW w:w="803" w:type="dxa"/>
                  <w:shd w:val="clear" w:color="auto" w:fill="FFFFFF" w:themeFill="background1"/>
                  <w:vAlign w:val="center"/>
                </w:tcPr>
                <w:p w:rsidR="00D774C0" w:rsidRPr="002A6CB1" w:rsidRDefault="00D774C0" w:rsidP="00D774C0">
                  <w:pPr>
                    <w:pStyle w:val="TableBodyText"/>
                    <w:rPr>
                      <w:b/>
                    </w:rPr>
                  </w:pPr>
                  <w:r w:rsidRPr="002A6CB1">
                    <w:rPr>
                      <w:b/>
                    </w:rPr>
                    <w:t>57.5</w:t>
                  </w:r>
                  <w:r w:rsidR="00E15065" w:rsidRPr="002A6CB1">
                    <w:rPr>
                      <w:b/>
                    </w:rPr>
                    <w:br/>
                  </w:r>
                  <w:r w:rsidRPr="002A6CB1">
                    <w:rPr>
                      <w:b/>
                    </w:rPr>
                    <w:t xml:space="preserve"> ± 20.8</w:t>
                  </w:r>
                </w:p>
              </w:tc>
              <w:tc>
                <w:tcPr>
                  <w:tcW w:w="804" w:type="dxa"/>
                  <w:shd w:val="clear" w:color="auto" w:fill="FFFFFF" w:themeFill="background1"/>
                  <w:vAlign w:val="center"/>
                </w:tcPr>
                <w:p w:rsidR="00D774C0" w:rsidRPr="002A6CB1" w:rsidRDefault="00D774C0" w:rsidP="00E15065">
                  <w:pPr>
                    <w:pStyle w:val="TableBodyText"/>
                    <w:rPr>
                      <w:b/>
                    </w:rPr>
                  </w:pPr>
                  <w:r w:rsidRPr="002A6CB1">
                    <w:rPr>
                      <w:b/>
                    </w:rPr>
                    <w:t>53.4</w:t>
                  </w:r>
                  <w:r w:rsidR="00E15065" w:rsidRPr="002A6CB1">
                    <w:rPr>
                      <w:b/>
                    </w:rPr>
                    <w:br/>
                  </w:r>
                  <w:r w:rsidRPr="002A6CB1">
                    <w:rPr>
                      <w:b/>
                    </w:rPr>
                    <w:t xml:space="preserve"> ± 5.4</w:t>
                  </w:r>
                </w:p>
              </w:tc>
            </w:tr>
            <w:tr w:rsidR="001D0F72" w:rsidRPr="00530424" w:rsidTr="001D0F72">
              <w:tc>
                <w:tcPr>
                  <w:tcW w:w="8790" w:type="dxa"/>
                  <w:gridSpan w:val="10"/>
                </w:tcPr>
                <w:p w:rsidR="001D0F72" w:rsidRPr="00DB2B49" w:rsidRDefault="001D0F72" w:rsidP="00146776">
                  <w:pPr>
                    <w:pStyle w:val="TableUnitsRow"/>
                    <w:spacing w:before="0"/>
                    <w:jc w:val="left"/>
                    <w:rPr>
                      <w:b/>
                      <w:szCs w:val="18"/>
                    </w:rPr>
                  </w:pPr>
                  <w:r w:rsidRPr="00DB2B49">
                    <w:rPr>
                      <w:b/>
                      <w:szCs w:val="18"/>
                    </w:rPr>
                    <w:t>Non-Indigenous students</w:t>
                  </w:r>
                </w:p>
              </w:tc>
            </w:tr>
            <w:tr w:rsidR="00EE27CE" w:rsidRPr="00530424" w:rsidTr="001D0F72">
              <w:tc>
                <w:tcPr>
                  <w:tcW w:w="1560" w:type="dxa"/>
                </w:tcPr>
                <w:p w:rsidR="00EE27CE" w:rsidRPr="00DB2B49" w:rsidRDefault="00EE27CE" w:rsidP="004F0487">
                  <w:pPr>
                    <w:pStyle w:val="TableBodyText"/>
                    <w:jc w:val="left"/>
                  </w:pPr>
                  <w:r w:rsidRPr="00DB2B49">
                    <w:t>2008 Year 3</w:t>
                  </w:r>
                </w:p>
              </w:tc>
              <w:tc>
                <w:tcPr>
                  <w:tcW w:w="803" w:type="dxa"/>
                  <w:vAlign w:val="center"/>
                </w:tcPr>
                <w:p w:rsidR="00EE27CE" w:rsidRPr="00DB2B49" w:rsidRDefault="00EE27CE" w:rsidP="00EE27CE">
                  <w:pPr>
                    <w:pStyle w:val="TableBodyText"/>
                    <w:rPr>
                      <w:szCs w:val="18"/>
                    </w:rPr>
                  </w:pPr>
                  <w:r w:rsidRPr="00DB2B49">
                    <w:rPr>
                      <w:szCs w:val="18"/>
                    </w:rPr>
                    <w:t xml:space="preserve">411.3 </w:t>
                  </w:r>
                  <w:r w:rsidR="00E15065">
                    <w:rPr>
                      <w:szCs w:val="18"/>
                    </w:rPr>
                    <w:br/>
                  </w:r>
                  <w:r w:rsidRPr="00DB2B49">
                    <w:rPr>
                      <w:szCs w:val="18"/>
                    </w:rPr>
                    <w:t>± 1.6</w:t>
                  </w:r>
                </w:p>
              </w:tc>
              <w:tc>
                <w:tcPr>
                  <w:tcW w:w="803" w:type="dxa"/>
                  <w:vAlign w:val="center"/>
                </w:tcPr>
                <w:p w:rsidR="00EE27CE" w:rsidRPr="00DB2B49" w:rsidRDefault="00EE27CE" w:rsidP="00EE27CE">
                  <w:pPr>
                    <w:pStyle w:val="TableBodyText"/>
                    <w:rPr>
                      <w:szCs w:val="18"/>
                    </w:rPr>
                  </w:pPr>
                  <w:r w:rsidRPr="00DB2B49">
                    <w:rPr>
                      <w:szCs w:val="18"/>
                    </w:rPr>
                    <w:t xml:space="preserve">417.5 </w:t>
                  </w:r>
                  <w:r w:rsidR="00E15065">
                    <w:rPr>
                      <w:szCs w:val="18"/>
                    </w:rPr>
                    <w:br/>
                  </w:r>
                  <w:r w:rsidRPr="00DB2B49">
                    <w:rPr>
                      <w:szCs w:val="18"/>
                    </w:rPr>
                    <w:t>± 1.4</w:t>
                  </w:r>
                </w:p>
              </w:tc>
              <w:tc>
                <w:tcPr>
                  <w:tcW w:w="804" w:type="dxa"/>
                  <w:vAlign w:val="center"/>
                </w:tcPr>
                <w:p w:rsidR="00EE27CE" w:rsidRPr="00DB2B49" w:rsidRDefault="00EE27CE" w:rsidP="00EE27CE">
                  <w:pPr>
                    <w:pStyle w:val="TableBodyText"/>
                    <w:rPr>
                      <w:szCs w:val="18"/>
                    </w:rPr>
                  </w:pPr>
                  <w:r w:rsidRPr="00DB2B49">
                    <w:rPr>
                      <w:szCs w:val="18"/>
                    </w:rPr>
                    <w:t xml:space="preserve">371.9 </w:t>
                  </w:r>
                  <w:r w:rsidR="00E15065">
                    <w:rPr>
                      <w:szCs w:val="18"/>
                    </w:rPr>
                    <w:br/>
                  </w:r>
                  <w:r w:rsidRPr="00DB2B49">
                    <w:rPr>
                      <w:szCs w:val="18"/>
                    </w:rPr>
                    <w:t>± 2.1</w:t>
                  </w:r>
                </w:p>
              </w:tc>
              <w:tc>
                <w:tcPr>
                  <w:tcW w:w="803" w:type="dxa"/>
                  <w:vAlign w:val="center"/>
                </w:tcPr>
                <w:p w:rsidR="00EE27CE" w:rsidRPr="00DB2B49" w:rsidRDefault="00EE27CE" w:rsidP="00EE27CE">
                  <w:pPr>
                    <w:pStyle w:val="TableBodyText"/>
                    <w:rPr>
                      <w:szCs w:val="18"/>
                    </w:rPr>
                  </w:pPr>
                  <w:r w:rsidRPr="00DB2B49">
                    <w:rPr>
                      <w:szCs w:val="18"/>
                    </w:rPr>
                    <w:t>387.4</w:t>
                  </w:r>
                  <w:r w:rsidR="00E15065">
                    <w:rPr>
                      <w:szCs w:val="18"/>
                    </w:rPr>
                    <w:br/>
                  </w:r>
                  <w:r w:rsidRPr="00DB2B49">
                    <w:rPr>
                      <w:szCs w:val="18"/>
                    </w:rPr>
                    <w:t xml:space="preserve"> ± 2.2</w:t>
                  </w:r>
                </w:p>
              </w:tc>
              <w:tc>
                <w:tcPr>
                  <w:tcW w:w="803" w:type="dxa"/>
                  <w:vAlign w:val="center"/>
                </w:tcPr>
                <w:p w:rsidR="00EE27CE" w:rsidRPr="00DB2B49" w:rsidRDefault="00EE27CE" w:rsidP="00EE27CE">
                  <w:pPr>
                    <w:pStyle w:val="TableBodyText"/>
                    <w:rPr>
                      <w:szCs w:val="18"/>
                    </w:rPr>
                  </w:pPr>
                  <w:r w:rsidRPr="00DB2B49">
                    <w:rPr>
                      <w:szCs w:val="18"/>
                    </w:rPr>
                    <w:t xml:space="preserve">391.7 </w:t>
                  </w:r>
                  <w:r w:rsidR="00E15065">
                    <w:rPr>
                      <w:szCs w:val="18"/>
                    </w:rPr>
                    <w:br/>
                  </w:r>
                  <w:r w:rsidRPr="00DB2B49">
                    <w:rPr>
                      <w:szCs w:val="18"/>
                    </w:rPr>
                    <w:t>± 2.5</w:t>
                  </w:r>
                </w:p>
              </w:tc>
              <w:tc>
                <w:tcPr>
                  <w:tcW w:w="804" w:type="dxa"/>
                  <w:vAlign w:val="center"/>
                </w:tcPr>
                <w:p w:rsidR="00EE27CE" w:rsidRPr="00DB2B49" w:rsidRDefault="00EE27CE" w:rsidP="00EE27CE">
                  <w:pPr>
                    <w:pStyle w:val="TableBodyText"/>
                    <w:rPr>
                      <w:szCs w:val="18"/>
                    </w:rPr>
                  </w:pPr>
                  <w:r w:rsidRPr="00DB2B49">
                    <w:rPr>
                      <w:szCs w:val="18"/>
                    </w:rPr>
                    <w:t xml:space="preserve">401.6 </w:t>
                  </w:r>
                  <w:r w:rsidR="00E15065">
                    <w:rPr>
                      <w:szCs w:val="18"/>
                    </w:rPr>
                    <w:br/>
                  </w:r>
                  <w:r w:rsidRPr="00DB2B49">
                    <w:rPr>
                      <w:szCs w:val="18"/>
                    </w:rPr>
                    <w:t>± 4.5</w:t>
                  </w:r>
                </w:p>
              </w:tc>
              <w:tc>
                <w:tcPr>
                  <w:tcW w:w="803" w:type="dxa"/>
                  <w:vAlign w:val="center"/>
                </w:tcPr>
                <w:p w:rsidR="00EE27CE" w:rsidRPr="00DB2B49" w:rsidRDefault="00EE27CE" w:rsidP="00EE27CE">
                  <w:pPr>
                    <w:pStyle w:val="TableBodyText"/>
                    <w:rPr>
                      <w:szCs w:val="18"/>
                    </w:rPr>
                  </w:pPr>
                  <w:r w:rsidRPr="00DB2B49">
                    <w:rPr>
                      <w:szCs w:val="18"/>
                    </w:rPr>
                    <w:t xml:space="preserve">413.1 </w:t>
                  </w:r>
                  <w:r w:rsidR="00E15065">
                    <w:rPr>
                      <w:szCs w:val="18"/>
                    </w:rPr>
                    <w:br/>
                  </w:r>
                  <w:r w:rsidRPr="00DB2B49">
                    <w:rPr>
                      <w:szCs w:val="18"/>
                    </w:rPr>
                    <w:t>± 5.0</w:t>
                  </w:r>
                </w:p>
              </w:tc>
              <w:tc>
                <w:tcPr>
                  <w:tcW w:w="803" w:type="dxa"/>
                  <w:vAlign w:val="center"/>
                </w:tcPr>
                <w:p w:rsidR="00EE27CE" w:rsidRPr="00DB2B49" w:rsidRDefault="00EE27CE" w:rsidP="00EE27CE">
                  <w:pPr>
                    <w:pStyle w:val="TableBodyText"/>
                    <w:rPr>
                      <w:szCs w:val="18"/>
                    </w:rPr>
                  </w:pPr>
                  <w:r w:rsidRPr="00DB2B49">
                    <w:rPr>
                      <w:szCs w:val="18"/>
                    </w:rPr>
                    <w:t xml:space="preserve">386.9 </w:t>
                  </w:r>
                  <w:r w:rsidR="00E15065">
                    <w:rPr>
                      <w:szCs w:val="18"/>
                    </w:rPr>
                    <w:br/>
                  </w:r>
                  <w:r w:rsidRPr="00DB2B49">
                    <w:rPr>
                      <w:szCs w:val="18"/>
                    </w:rPr>
                    <w:t>± 5.9</w:t>
                  </w:r>
                </w:p>
              </w:tc>
              <w:tc>
                <w:tcPr>
                  <w:tcW w:w="804" w:type="dxa"/>
                  <w:vAlign w:val="center"/>
                </w:tcPr>
                <w:p w:rsidR="00EE27CE" w:rsidRPr="00DB2B49" w:rsidRDefault="00EE27CE" w:rsidP="00EE27CE">
                  <w:pPr>
                    <w:pStyle w:val="TableBodyText"/>
                    <w:rPr>
                      <w:szCs w:val="18"/>
                    </w:rPr>
                  </w:pPr>
                  <w:r w:rsidRPr="00DB2B49">
                    <w:rPr>
                      <w:szCs w:val="18"/>
                    </w:rPr>
                    <w:t xml:space="preserve">400.5 </w:t>
                  </w:r>
                  <w:r w:rsidR="00E15065">
                    <w:rPr>
                      <w:szCs w:val="18"/>
                    </w:rPr>
                    <w:br/>
                  </w:r>
                  <w:r w:rsidRPr="00DB2B49">
                    <w:rPr>
                      <w:szCs w:val="18"/>
                    </w:rPr>
                    <w:t>± 1.0</w:t>
                  </w:r>
                </w:p>
              </w:tc>
            </w:tr>
            <w:tr w:rsidR="00EE27CE" w:rsidRPr="00530424" w:rsidTr="001D0F72">
              <w:tc>
                <w:tcPr>
                  <w:tcW w:w="1560" w:type="dxa"/>
                </w:tcPr>
                <w:p w:rsidR="00EE27CE" w:rsidRPr="00DB2B49" w:rsidRDefault="00EE27CE" w:rsidP="004F0487">
                  <w:pPr>
                    <w:pStyle w:val="TableBodyText"/>
                    <w:jc w:val="left"/>
                  </w:pPr>
                  <w:r w:rsidRPr="00DB2B49">
                    <w:t>2010 Year 5</w:t>
                  </w:r>
                </w:p>
              </w:tc>
              <w:tc>
                <w:tcPr>
                  <w:tcW w:w="803" w:type="dxa"/>
                  <w:vAlign w:val="center"/>
                </w:tcPr>
                <w:p w:rsidR="00EE27CE" w:rsidRPr="00DB2B49" w:rsidRDefault="00EE27CE" w:rsidP="00EE27CE">
                  <w:pPr>
                    <w:pStyle w:val="TableBodyText"/>
                    <w:rPr>
                      <w:szCs w:val="18"/>
                    </w:rPr>
                  </w:pPr>
                  <w:r w:rsidRPr="00DB2B49">
                    <w:rPr>
                      <w:szCs w:val="18"/>
                    </w:rPr>
                    <w:t xml:space="preserve">501.0 </w:t>
                  </w:r>
                  <w:r w:rsidR="00E15065">
                    <w:rPr>
                      <w:szCs w:val="18"/>
                    </w:rPr>
                    <w:br/>
                  </w:r>
                  <w:r w:rsidRPr="00DB2B49">
                    <w:rPr>
                      <w:szCs w:val="18"/>
                    </w:rPr>
                    <w:t>± 1.9</w:t>
                  </w:r>
                </w:p>
              </w:tc>
              <w:tc>
                <w:tcPr>
                  <w:tcW w:w="803" w:type="dxa"/>
                  <w:vAlign w:val="center"/>
                </w:tcPr>
                <w:p w:rsidR="00EE27CE" w:rsidRPr="00DB2B49" w:rsidRDefault="00EE27CE" w:rsidP="00EE27CE">
                  <w:pPr>
                    <w:pStyle w:val="TableBodyText"/>
                    <w:rPr>
                      <w:szCs w:val="18"/>
                    </w:rPr>
                  </w:pPr>
                  <w:r w:rsidRPr="00DB2B49">
                    <w:rPr>
                      <w:szCs w:val="18"/>
                    </w:rPr>
                    <w:t xml:space="preserve">503.2 </w:t>
                  </w:r>
                  <w:r w:rsidR="00E15065">
                    <w:rPr>
                      <w:szCs w:val="18"/>
                    </w:rPr>
                    <w:br/>
                  </w:r>
                  <w:r w:rsidRPr="00DB2B49">
                    <w:rPr>
                      <w:szCs w:val="18"/>
                    </w:rPr>
                    <w:t>± 1.6</w:t>
                  </w:r>
                </w:p>
              </w:tc>
              <w:tc>
                <w:tcPr>
                  <w:tcW w:w="804" w:type="dxa"/>
                  <w:vAlign w:val="center"/>
                </w:tcPr>
                <w:p w:rsidR="00EE27CE" w:rsidRPr="00DB2B49" w:rsidRDefault="00EE27CE" w:rsidP="00EE27CE">
                  <w:pPr>
                    <w:pStyle w:val="TableBodyText"/>
                    <w:rPr>
                      <w:szCs w:val="18"/>
                    </w:rPr>
                  </w:pPr>
                  <w:r w:rsidRPr="00DB2B49">
                    <w:rPr>
                      <w:szCs w:val="18"/>
                    </w:rPr>
                    <w:t xml:space="preserve">478.5 </w:t>
                  </w:r>
                  <w:r w:rsidR="00E15065">
                    <w:rPr>
                      <w:szCs w:val="18"/>
                    </w:rPr>
                    <w:br/>
                  </w:r>
                  <w:r w:rsidRPr="00DB2B49">
                    <w:rPr>
                      <w:szCs w:val="18"/>
                    </w:rPr>
                    <w:t>± 1.8</w:t>
                  </w:r>
                </w:p>
              </w:tc>
              <w:tc>
                <w:tcPr>
                  <w:tcW w:w="803" w:type="dxa"/>
                  <w:vAlign w:val="center"/>
                </w:tcPr>
                <w:p w:rsidR="00EE27CE" w:rsidRPr="00DB2B49" w:rsidRDefault="00EE27CE" w:rsidP="00EE27CE">
                  <w:pPr>
                    <w:pStyle w:val="TableBodyText"/>
                    <w:rPr>
                      <w:szCs w:val="18"/>
                    </w:rPr>
                  </w:pPr>
                  <w:r w:rsidRPr="00DB2B49">
                    <w:rPr>
                      <w:szCs w:val="18"/>
                    </w:rPr>
                    <w:t xml:space="preserve">483.0 </w:t>
                  </w:r>
                  <w:r w:rsidR="00E15065">
                    <w:rPr>
                      <w:szCs w:val="18"/>
                    </w:rPr>
                    <w:br/>
                  </w:r>
                  <w:r w:rsidRPr="00DB2B49">
                    <w:rPr>
                      <w:szCs w:val="18"/>
                    </w:rPr>
                    <w:t>± 2.4</w:t>
                  </w:r>
                </w:p>
              </w:tc>
              <w:tc>
                <w:tcPr>
                  <w:tcW w:w="803" w:type="dxa"/>
                  <w:vAlign w:val="center"/>
                </w:tcPr>
                <w:p w:rsidR="00EE27CE" w:rsidRPr="00DB2B49" w:rsidRDefault="00EE27CE" w:rsidP="00EE27CE">
                  <w:pPr>
                    <w:pStyle w:val="TableBodyText"/>
                    <w:rPr>
                      <w:szCs w:val="18"/>
                    </w:rPr>
                  </w:pPr>
                  <w:r w:rsidRPr="00DB2B49">
                    <w:rPr>
                      <w:szCs w:val="18"/>
                    </w:rPr>
                    <w:t xml:space="preserve">475.2 </w:t>
                  </w:r>
                  <w:r w:rsidR="00E15065">
                    <w:rPr>
                      <w:szCs w:val="18"/>
                    </w:rPr>
                    <w:br/>
                  </w:r>
                  <w:r w:rsidRPr="00DB2B49">
                    <w:rPr>
                      <w:szCs w:val="18"/>
                    </w:rPr>
                    <w:t>± 2.7</w:t>
                  </w:r>
                </w:p>
              </w:tc>
              <w:tc>
                <w:tcPr>
                  <w:tcW w:w="804" w:type="dxa"/>
                  <w:vAlign w:val="center"/>
                </w:tcPr>
                <w:p w:rsidR="00EE27CE" w:rsidRPr="00DB2B49" w:rsidRDefault="00EE27CE" w:rsidP="00EE27CE">
                  <w:pPr>
                    <w:pStyle w:val="TableBodyText"/>
                    <w:rPr>
                      <w:szCs w:val="18"/>
                    </w:rPr>
                  </w:pPr>
                  <w:r w:rsidRPr="00DB2B49">
                    <w:rPr>
                      <w:szCs w:val="18"/>
                    </w:rPr>
                    <w:t xml:space="preserve">482.8 </w:t>
                  </w:r>
                  <w:r w:rsidR="00E15065">
                    <w:rPr>
                      <w:szCs w:val="18"/>
                    </w:rPr>
                    <w:br/>
                  </w:r>
                  <w:r w:rsidRPr="00DB2B49">
                    <w:rPr>
                      <w:szCs w:val="18"/>
                    </w:rPr>
                    <w:t>± 4.6</w:t>
                  </w:r>
                </w:p>
              </w:tc>
              <w:tc>
                <w:tcPr>
                  <w:tcW w:w="803" w:type="dxa"/>
                  <w:vAlign w:val="center"/>
                </w:tcPr>
                <w:p w:rsidR="00EE27CE" w:rsidRPr="00DB2B49" w:rsidRDefault="00EE27CE" w:rsidP="00EE27CE">
                  <w:pPr>
                    <w:pStyle w:val="TableBodyText"/>
                    <w:rPr>
                      <w:szCs w:val="18"/>
                    </w:rPr>
                  </w:pPr>
                  <w:r w:rsidRPr="00DB2B49">
                    <w:rPr>
                      <w:szCs w:val="18"/>
                    </w:rPr>
                    <w:t xml:space="preserve">500.2 </w:t>
                  </w:r>
                  <w:r w:rsidR="00E15065">
                    <w:rPr>
                      <w:szCs w:val="18"/>
                    </w:rPr>
                    <w:br/>
                  </w:r>
                  <w:r w:rsidRPr="00DB2B49">
                    <w:rPr>
                      <w:szCs w:val="18"/>
                    </w:rPr>
                    <w:t>± 5.0</w:t>
                  </w:r>
                </w:p>
              </w:tc>
              <w:tc>
                <w:tcPr>
                  <w:tcW w:w="803" w:type="dxa"/>
                  <w:vAlign w:val="center"/>
                </w:tcPr>
                <w:p w:rsidR="00EE27CE" w:rsidRPr="00DB2B49" w:rsidRDefault="00EE27CE" w:rsidP="00EE27CE">
                  <w:pPr>
                    <w:pStyle w:val="TableBodyText"/>
                    <w:rPr>
                      <w:szCs w:val="18"/>
                    </w:rPr>
                  </w:pPr>
                  <w:r w:rsidRPr="00DB2B49">
                    <w:rPr>
                      <w:szCs w:val="18"/>
                    </w:rPr>
                    <w:t xml:space="preserve">472.7 </w:t>
                  </w:r>
                  <w:r w:rsidR="00E15065">
                    <w:rPr>
                      <w:szCs w:val="18"/>
                    </w:rPr>
                    <w:br/>
                  </w:r>
                  <w:r w:rsidRPr="00DB2B49">
                    <w:rPr>
                      <w:szCs w:val="18"/>
                    </w:rPr>
                    <w:t>± 5.0</w:t>
                  </w:r>
                </w:p>
              </w:tc>
              <w:tc>
                <w:tcPr>
                  <w:tcW w:w="804" w:type="dxa"/>
                  <w:vAlign w:val="center"/>
                </w:tcPr>
                <w:p w:rsidR="00EE27CE" w:rsidRPr="00DB2B49" w:rsidRDefault="00EE27CE" w:rsidP="00EE27CE">
                  <w:pPr>
                    <w:pStyle w:val="TableBodyText"/>
                    <w:rPr>
                      <w:szCs w:val="18"/>
                    </w:rPr>
                  </w:pPr>
                  <w:r w:rsidRPr="00DB2B49">
                    <w:rPr>
                      <w:szCs w:val="18"/>
                    </w:rPr>
                    <w:t xml:space="preserve">492.6 </w:t>
                  </w:r>
                  <w:r w:rsidR="00E15065">
                    <w:rPr>
                      <w:szCs w:val="18"/>
                    </w:rPr>
                    <w:br/>
                  </w:r>
                  <w:r w:rsidRPr="00DB2B49">
                    <w:rPr>
                      <w:szCs w:val="18"/>
                    </w:rPr>
                    <w:t>± 1.0</w:t>
                  </w:r>
                </w:p>
              </w:tc>
            </w:tr>
            <w:tr w:rsidR="00EE27CE" w:rsidRPr="00530424" w:rsidTr="001D0F72">
              <w:tc>
                <w:tcPr>
                  <w:tcW w:w="1560" w:type="dxa"/>
                </w:tcPr>
                <w:p w:rsidR="00EE27CE" w:rsidRPr="00DB2B49" w:rsidRDefault="00EE27CE" w:rsidP="004F0487">
                  <w:pPr>
                    <w:pStyle w:val="TableBodyText"/>
                    <w:jc w:val="left"/>
                  </w:pPr>
                  <w:r w:rsidRPr="00DB2B49">
                    <w:t>2012 Year 7</w:t>
                  </w:r>
                </w:p>
              </w:tc>
              <w:tc>
                <w:tcPr>
                  <w:tcW w:w="803" w:type="dxa"/>
                  <w:vAlign w:val="center"/>
                </w:tcPr>
                <w:p w:rsidR="00EE27CE" w:rsidRPr="00DB2B49" w:rsidRDefault="00EE27CE" w:rsidP="00EE27CE">
                  <w:pPr>
                    <w:pStyle w:val="TableBodyText"/>
                    <w:rPr>
                      <w:szCs w:val="18"/>
                    </w:rPr>
                  </w:pPr>
                  <w:r w:rsidRPr="00DB2B49">
                    <w:rPr>
                      <w:szCs w:val="18"/>
                    </w:rPr>
                    <w:t xml:space="preserve">546.6 </w:t>
                  </w:r>
                  <w:r w:rsidR="00E15065">
                    <w:rPr>
                      <w:szCs w:val="18"/>
                    </w:rPr>
                    <w:br/>
                  </w:r>
                  <w:r w:rsidRPr="00DB2B49">
                    <w:rPr>
                      <w:szCs w:val="18"/>
                    </w:rPr>
                    <w:t>± 3.8</w:t>
                  </w:r>
                </w:p>
              </w:tc>
              <w:tc>
                <w:tcPr>
                  <w:tcW w:w="803" w:type="dxa"/>
                  <w:vAlign w:val="center"/>
                </w:tcPr>
                <w:p w:rsidR="00EE27CE" w:rsidRPr="00DB2B49" w:rsidRDefault="00EE27CE" w:rsidP="00EE27CE">
                  <w:pPr>
                    <w:pStyle w:val="TableBodyText"/>
                    <w:rPr>
                      <w:szCs w:val="18"/>
                    </w:rPr>
                  </w:pPr>
                  <w:r w:rsidRPr="00DB2B49">
                    <w:rPr>
                      <w:szCs w:val="18"/>
                    </w:rPr>
                    <w:t xml:space="preserve">545.3 </w:t>
                  </w:r>
                  <w:r w:rsidR="00E15065">
                    <w:rPr>
                      <w:szCs w:val="18"/>
                    </w:rPr>
                    <w:br/>
                  </w:r>
                  <w:r w:rsidRPr="00DB2B49">
                    <w:rPr>
                      <w:szCs w:val="18"/>
                    </w:rPr>
                    <w:t>± 3.1</w:t>
                  </w:r>
                </w:p>
              </w:tc>
              <w:tc>
                <w:tcPr>
                  <w:tcW w:w="804" w:type="dxa"/>
                  <w:vAlign w:val="center"/>
                </w:tcPr>
                <w:p w:rsidR="00EE27CE" w:rsidRPr="00DB2B49" w:rsidRDefault="00EE27CE" w:rsidP="00EE27CE">
                  <w:pPr>
                    <w:pStyle w:val="TableBodyText"/>
                    <w:rPr>
                      <w:szCs w:val="18"/>
                    </w:rPr>
                  </w:pPr>
                  <w:r w:rsidRPr="00DB2B49">
                    <w:rPr>
                      <w:szCs w:val="18"/>
                    </w:rPr>
                    <w:t xml:space="preserve">536.1 </w:t>
                  </w:r>
                  <w:r w:rsidR="00E15065">
                    <w:rPr>
                      <w:szCs w:val="18"/>
                    </w:rPr>
                    <w:br/>
                  </w:r>
                  <w:r w:rsidRPr="00DB2B49">
                    <w:rPr>
                      <w:szCs w:val="18"/>
                    </w:rPr>
                    <w:t>± 2.0</w:t>
                  </w:r>
                </w:p>
              </w:tc>
              <w:tc>
                <w:tcPr>
                  <w:tcW w:w="803" w:type="dxa"/>
                  <w:vAlign w:val="center"/>
                </w:tcPr>
                <w:p w:rsidR="00EE27CE" w:rsidRPr="00DB2B49" w:rsidRDefault="00EE27CE" w:rsidP="00EE27CE">
                  <w:pPr>
                    <w:pStyle w:val="TableBodyText"/>
                    <w:rPr>
                      <w:szCs w:val="18"/>
                    </w:rPr>
                  </w:pPr>
                  <w:r w:rsidRPr="00DB2B49">
                    <w:rPr>
                      <w:szCs w:val="18"/>
                    </w:rPr>
                    <w:t xml:space="preserve">540.3 </w:t>
                  </w:r>
                  <w:r w:rsidR="001F7ABF">
                    <w:rPr>
                      <w:szCs w:val="18"/>
                    </w:rPr>
                    <w:br/>
                  </w:r>
                  <w:r w:rsidRPr="00DB2B49">
                    <w:rPr>
                      <w:szCs w:val="18"/>
                    </w:rPr>
                    <w:t>± 3.2</w:t>
                  </w:r>
                </w:p>
              </w:tc>
              <w:tc>
                <w:tcPr>
                  <w:tcW w:w="803" w:type="dxa"/>
                  <w:vAlign w:val="center"/>
                </w:tcPr>
                <w:p w:rsidR="00EE27CE" w:rsidRPr="00DB2B49" w:rsidRDefault="00EE27CE" w:rsidP="00EE27CE">
                  <w:pPr>
                    <w:pStyle w:val="TableBodyText"/>
                    <w:rPr>
                      <w:szCs w:val="18"/>
                    </w:rPr>
                  </w:pPr>
                  <w:r w:rsidRPr="00DB2B49">
                    <w:rPr>
                      <w:szCs w:val="18"/>
                    </w:rPr>
                    <w:t xml:space="preserve">531.8 </w:t>
                  </w:r>
                  <w:r w:rsidR="001F7ABF">
                    <w:rPr>
                      <w:szCs w:val="18"/>
                    </w:rPr>
                    <w:br/>
                  </w:r>
                  <w:r w:rsidRPr="00DB2B49">
                    <w:rPr>
                      <w:szCs w:val="18"/>
                    </w:rPr>
                    <w:t>± 3.1</w:t>
                  </w:r>
                </w:p>
              </w:tc>
              <w:tc>
                <w:tcPr>
                  <w:tcW w:w="804" w:type="dxa"/>
                  <w:vAlign w:val="center"/>
                </w:tcPr>
                <w:p w:rsidR="00EE27CE" w:rsidRPr="00DB2B49" w:rsidRDefault="00EE27CE" w:rsidP="00EE27CE">
                  <w:pPr>
                    <w:pStyle w:val="TableBodyText"/>
                    <w:rPr>
                      <w:szCs w:val="18"/>
                    </w:rPr>
                  </w:pPr>
                  <w:r w:rsidRPr="00DB2B49">
                    <w:rPr>
                      <w:szCs w:val="18"/>
                    </w:rPr>
                    <w:t xml:space="preserve">528.6 </w:t>
                  </w:r>
                  <w:r w:rsidR="001F7ABF">
                    <w:rPr>
                      <w:szCs w:val="18"/>
                    </w:rPr>
                    <w:br/>
                  </w:r>
                  <w:r w:rsidRPr="00DB2B49">
                    <w:rPr>
                      <w:szCs w:val="18"/>
                    </w:rPr>
                    <w:t>± 6.6</w:t>
                  </w:r>
                </w:p>
              </w:tc>
              <w:tc>
                <w:tcPr>
                  <w:tcW w:w="803" w:type="dxa"/>
                  <w:vAlign w:val="center"/>
                </w:tcPr>
                <w:p w:rsidR="00EE27CE" w:rsidRPr="00DB2B49" w:rsidRDefault="00EE27CE" w:rsidP="00EE27CE">
                  <w:pPr>
                    <w:pStyle w:val="TableBodyText"/>
                    <w:rPr>
                      <w:szCs w:val="18"/>
                    </w:rPr>
                  </w:pPr>
                  <w:r w:rsidRPr="00DB2B49">
                    <w:rPr>
                      <w:szCs w:val="18"/>
                    </w:rPr>
                    <w:t xml:space="preserve">547.2 </w:t>
                  </w:r>
                  <w:r w:rsidR="001F7ABF">
                    <w:rPr>
                      <w:szCs w:val="18"/>
                    </w:rPr>
                    <w:br/>
                  </w:r>
                  <w:r w:rsidRPr="00DB2B49">
                    <w:rPr>
                      <w:szCs w:val="18"/>
                    </w:rPr>
                    <w:t>± 9.7</w:t>
                  </w:r>
                </w:p>
              </w:tc>
              <w:tc>
                <w:tcPr>
                  <w:tcW w:w="803" w:type="dxa"/>
                  <w:vAlign w:val="center"/>
                </w:tcPr>
                <w:p w:rsidR="00EE27CE" w:rsidRPr="00DB2B49" w:rsidRDefault="00EE27CE" w:rsidP="00EE27CE">
                  <w:pPr>
                    <w:pStyle w:val="TableBodyText"/>
                    <w:rPr>
                      <w:szCs w:val="18"/>
                    </w:rPr>
                  </w:pPr>
                  <w:r w:rsidRPr="00DB2B49">
                    <w:rPr>
                      <w:szCs w:val="18"/>
                    </w:rPr>
                    <w:t xml:space="preserve">522.7 </w:t>
                  </w:r>
                  <w:r w:rsidR="001F7ABF">
                    <w:rPr>
                      <w:szCs w:val="18"/>
                    </w:rPr>
                    <w:br/>
                  </w:r>
                  <w:r w:rsidRPr="00DB2B49">
                    <w:rPr>
                      <w:szCs w:val="18"/>
                    </w:rPr>
                    <w:t>± 13.2</w:t>
                  </w:r>
                </w:p>
              </w:tc>
              <w:tc>
                <w:tcPr>
                  <w:tcW w:w="804" w:type="dxa"/>
                  <w:vAlign w:val="center"/>
                </w:tcPr>
                <w:p w:rsidR="00EE27CE" w:rsidRPr="00DB2B49" w:rsidRDefault="00EE27CE" w:rsidP="00EE27CE">
                  <w:pPr>
                    <w:pStyle w:val="TableBodyText"/>
                    <w:rPr>
                      <w:szCs w:val="18"/>
                    </w:rPr>
                  </w:pPr>
                  <w:r w:rsidRPr="00DB2B49">
                    <w:rPr>
                      <w:szCs w:val="18"/>
                    </w:rPr>
                    <w:t xml:space="preserve">541.8 </w:t>
                  </w:r>
                  <w:r w:rsidR="001F7ABF">
                    <w:rPr>
                      <w:szCs w:val="18"/>
                    </w:rPr>
                    <w:br/>
                  </w:r>
                  <w:r w:rsidRPr="00DB2B49">
                    <w:rPr>
                      <w:szCs w:val="18"/>
                    </w:rPr>
                    <w:t>± 1.6</w:t>
                  </w:r>
                </w:p>
              </w:tc>
            </w:tr>
            <w:tr w:rsidR="00D774C0" w:rsidRPr="00530424" w:rsidTr="00DB2B49">
              <w:tc>
                <w:tcPr>
                  <w:tcW w:w="1560" w:type="dxa"/>
                  <w:shd w:val="clear" w:color="auto" w:fill="FFFFFF" w:themeFill="background1"/>
                </w:tcPr>
                <w:p w:rsidR="00D774C0" w:rsidRPr="00DB2B49" w:rsidRDefault="00D774C0" w:rsidP="004F0487">
                  <w:pPr>
                    <w:pStyle w:val="TableBodyText"/>
                    <w:jc w:val="left"/>
                  </w:pPr>
                  <w:r w:rsidRPr="00DB2B49">
                    <w:t>2014 Year 9</w:t>
                  </w:r>
                </w:p>
              </w:tc>
              <w:tc>
                <w:tcPr>
                  <w:tcW w:w="803" w:type="dxa"/>
                  <w:shd w:val="clear" w:color="auto" w:fill="FFFFFF" w:themeFill="background1"/>
                  <w:vAlign w:val="center"/>
                </w:tcPr>
                <w:p w:rsidR="00D774C0" w:rsidRPr="00DB2B49" w:rsidRDefault="00D774C0" w:rsidP="00D774C0">
                  <w:pPr>
                    <w:pStyle w:val="TableBodyText"/>
                  </w:pPr>
                  <w:r w:rsidRPr="00DB2B49">
                    <w:t xml:space="preserve">598.0 </w:t>
                  </w:r>
                  <w:r w:rsidR="001F7ABF">
                    <w:br/>
                  </w:r>
                  <w:r w:rsidRPr="00DB2B49">
                    <w:t>± 3.9</w:t>
                  </w:r>
                </w:p>
              </w:tc>
              <w:tc>
                <w:tcPr>
                  <w:tcW w:w="803" w:type="dxa"/>
                  <w:shd w:val="clear" w:color="auto" w:fill="FFFFFF" w:themeFill="background1"/>
                  <w:vAlign w:val="center"/>
                </w:tcPr>
                <w:p w:rsidR="00D774C0" w:rsidRPr="00DB2B49" w:rsidRDefault="00D774C0" w:rsidP="00D774C0">
                  <w:pPr>
                    <w:pStyle w:val="TableBodyText"/>
                  </w:pPr>
                  <w:r w:rsidRPr="00DB2B49">
                    <w:t>593.2</w:t>
                  </w:r>
                  <w:r w:rsidR="001F7ABF">
                    <w:br/>
                  </w:r>
                  <w:r w:rsidRPr="00DB2B49">
                    <w:t xml:space="preserve"> ± 3.8</w:t>
                  </w:r>
                </w:p>
              </w:tc>
              <w:tc>
                <w:tcPr>
                  <w:tcW w:w="804" w:type="dxa"/>
                  <w:shd w:val="clear" w:color="auto" w:fill="FFFFFF" w:themeFill="background1"/>
                  <w:vAlign w:val="center"/>
                </w:tcPr>
                <w:p w:rsidR="00D774C0" w:rsidRPr="00DB2B49" w:rsidRDefault="00D774C0" w:rsidP="00D774C0">
                  <w:pPr>
                    <w:pStyle w:val="TableBodyText"/>
                  </w:pPr>
                  <w:r w:rsidRPr="00DB2B49">
                    <w:t xml:space="preserve">583.7 </w:t>
                  </w:r>
                  <w:r w:rsidR="001F7ABF">
                    <w:br/>
                  </w:r>
                  <w:r w:rsidRPr="00DB2B49">
                    <w:t>± 3.3</w:t>
                  </w:r>
                </w:p>
              </w:tc>
              <w:tc>
                <w:tcPr>
                  <w:tcW w:w="803" w:type="dxa"/>
                  <w:shd w:val="clear" w:color="auto" w:fill="FFFFFF" w:themeFill="background1"/>
                  <w:vAlign w:val="center"/>
                </w:tcPr>
                <w:p w:rsidR="00D774C0" w:rsidRPr="00DB2B49" w:rsidRDefault="00D774C0" w:rsidP="00D774C0">
                  <w:pPr>
                    <w:pStyle w:val="TableBodyText"/>
                  </w:pPr>
                  <w:r w:rsidRPr="00DB2B49">
                    <w:t xml:space="preserve">596.5 </w:t>
                  </w:r>
                  <w:r w:rsidR="001F7ABF">
                    <w:br/>
                  </w:r>
                  <w:r w:rsidRPr="00DB2B49">
                    <w:t>± 5.4</w:t>
                  </w:r>
                </w:p>
              </w:tc>
              <w:tc>
                <w:tcPr>
                  <w:tcW w:w="803" w:type="dxa"/>
                  <w:shd w:val="clear" w:color="auto" w:fill="FFFFFF" w:themeFill="background1"/>
                  <w:vAlign w:val="center"/>
                </w:tcPr>
                <w:p w:rsidR="00D774C0" w:rsidRPr="00DB2B49" w:rsidRDefault="00D774C0" w:rsidP="00D774C0">
                  <w:pPr>
                    <w:pStyle w:val="TableBodyText"/>
                  </w:pPr>
                  <w:r w:rsidRPr="00DB2B49">
                    <w:t xml:space="preserve">576.3 </w:t>
                  </w:r>
                  <w:r w:rsidR="001F7ABF">
                    <w:br/>
                  </w:r>
                  <w:r w:rsidRPr="00DB2B49">
                    <w:t>± 5.0</w:t>
                  </w:r>
                </w:p>
              </w:tc>
              <w:tc>
                <w:tcPr>
                  <w:tcW w:w="804" w:type="dxa"/>
                  <w:shd w:val="clear" w:color="auto" w:fill="FFFFFF" w:themeFill="background1"/>
                  <w:vAlign w:val="center"/>
                </w:tcPr>
                <w:p w:rsidR="00D774C0" w:rsidRPr="00DB2B49" w:rsidRDefault="00D774C0" w:rsidP="00D774C0">
                  <w:pPr>
                    <w:pStyle w:val="TableBodyText"/>
                  </w:pPr>
                  <w:r w:rsidRPr="00DB2B49">
                    <w:t xml:space="preserve">575.0 </w:t>
                  </w:r>
                  <w:r w:rsidR="001F7ABF">
                    <w:br/>
                  </w:r>
                  <w:r w:rsidRPr="00DB2B49">
                    <w:t>± 6.8</w:t>
                  </w:r>
                </w:p>
              </w:tc>
              <w:tc>
                <w:tcPr>
                  <w:tcW w:w="803" w:type="dxa"/>
                  <w:shd w:val="clear" w:color="auto" w:fill="FFFFFF" w:themeFill="background1"/>
                  <w:vAlign w:val="center"/>
                </w:tcPr>
                <w:p w:rsidR="00D774C0" w:rsidRPr="00DB2B49" w:rsidRDefault="00D774C0" w:rsidP="00D774C0">
                  <w:pPr>
                    <w:pStyle w:val="TableBodyText"/>
                  </w:pPr>
                  <w:r w:rsidRPr="00DB2B49">
                    <w:t xml:space="preserve">596.2 </w:t>
                  </w:r>
                  <w:r w:rsidR="001F7ABF">
                    <w:br/>
                  </w:r>
                  <w:r w:rsidRPr="00DB2B49">
                    <w:t>± 9.6</w:t>
                  </w:r>
                </w:p>
              </w:tc>
              <w:tc>
                <w:tcPr>
                  <w:tcW w:w="803" w:type="dxa"/>
                  <w:shd w:val="clear" w:color="auto" w:fill="FFFFFF" w:themeFill="background1"/>
                  <w:vAlign w:val="center"/>
                </w:tcPr>
                <w:p w:rsidR="00D774C0" w:rsidRPr="00DB2B49" w:rsidRDefault="00D774C0" w:rsidP="00D774C0">
                  <w:pPr>
                    <w:pStyle w:val="TableBodyText"/>
                  </w:pPr>
                  <w:r w:rsidRPr="00DB2B49">
                    <w:t xml:space="preserve">569.2 </w:t>
                  </w:r>
                  <w:r w:rsidR="001F7ABF">
                    <w:br/>
                  </w:r>
                  <w:r w:rsidRPr="00DB2B49">
                    <w:t>± 11.5</w:t>
                  </w:r>
                </w:p>
              </w:tc>
              <w:tc>
                <w:tcPr>
                  <w:tcW w:w="804" w:type="dxa"/>
                  <w:shd w:val="clear" w:color="auto" w:fill="FFFFFF" w:themeFill="background1"/>
                  <w:vAlign w:val="center"/>
                </w:tcPr>
                <w:p w:rsidR="00D774C0" w:rsidRPr="00DB2B49" w:rsidRDefault="00D774C0" w:rsidP="00D774C0">
                  <w:pPr>
                    <w:pStyle w:val="TableBodyText"/>
                  </w:pPr>
                  <w:r w:rsidRPr="00DB2B49">
                    <w:t xml:space="preserve">591.4 </w:t>
                  </w:r>
                  <w:r w:rsidR="001F7ABF">
                    <w:br/>
                  </w:r>
                  <w:r w:rsidRPr="00DB2B49">
                    <w:t>± 1.9</w:t>
                  </w:r>
                </w:p>
              </w:tc>
            </w:tr>
            <w:tr w:rsidR="00EE27CE" w:rsidRPr="00530424" w:rsidTr="001D0F72">
              <w:tc>
                <w:tcPr>
                  <w:tcW w:w="1560" w:type="dxa"/>
                </w:tcPr>
                <w:p w:rsidR="00EE27CE" w:rsidRPr="002A6CB1" w:rsidRDefault="00EE27CE" w:rsidP="004F0487">
                  <w:pPr>
                    <w:pStyle w:val="TableBodyText"/>
                    <w:jc w:val="left"/>
                    <w:rPr>
                      <w:b/>
                    </w:rPr>
                  </w:pPr>
                  <w:r w:rsidRPr="002A6CB1">
                    <w:rPr>
                      <w:b/>
                    </w:rPr>
                    <w:t>Gain 2008-2010</w:t>
                  </w:r>
                </w:p>
              </w:tc>
              <w:tc>
                <w:tcPr>
                  <w:tcW w:w="803" w:type="dxa"/>
                  <w:vAlign w:val="center"/>
                </w:tcPr>
                <w:p w:rsidR="00EE27CE" w:rsidRPr="002A6CB1" w:rsidRDefault="00EE27CE" w:rsidP="00EE27CE">
                  <w:pPr>
                    <w:pStyle w:val="TableBodyText"/>
                    <w:rPr>
                      <w:b/>
                      <w:szCs w:val="18"/>
                    </w:rPr>
                  </w:pPr>
                  <w:r w:rsidRPr="002A6CB1">
                    <w:rPr>
                      <w:b/>
                      <w:szCs w:val="18"/>
                    </w:rPr>
                    <w:t xml:space="preserve">89.7 </w:t>
                  </w:r>
                  <w:r w:rsidR="001F7ABF" w:rsidRPr="002A6CB1">
                    <w:rPr>
                      <w:b/>
                      <w:szCs w:val="18"/>
                    </w:rPr>
                    <w:br/>
                  </w:r>
                  <w:r w:rsidRPr="002A6CB1">
                    <w:rPr>
                      <w:b/>
                      <w:szCs w:val="18"/>
                    </w:rPr>
                    <w:t>± 8.5</w:t>
                  </w:r>
                </w:p>
              </w:tc>
              <w:tc>
                <w:tcPr>
                  <w:tcW w:w="803" w:type="dxa"/>
                  <w:vAlign w:val="center"/>
                </w:tcPr>
                <w:p w:rsidR="00EE27CE" w:rsidRPr="002A6CB1" w:rsidRDefault="00EE27CE" w:rsidP="00EE27CE">
                  <w:pPr>
                    <w:pStyle w:val="TableBodyText"/>
                    <w:rPr>
                      <w:b/>
                      <w:szCs w:val="18"/>
                    </w:rPr>
                  </w:pPr>
                  <w:r w:rsidRPr="002A6CB1">
                    <w:rPr>
                      <w:b/>
                      <w:szCs w:val="18"/>
                    </w:rPr>
                    <w:t xml:space="preserve">85.7 </w:t>
                  </w:r>
                  <w:r w:rsidR="001F7ABF" w:rsidRPr="002A6CB1">
                    <w:rPr>
                      <w:b/>
                      <w:szCs w:val="18"/>
                    </w:rPr>
                    <w:br/>
                  </w:r>
                  <w:r w:rsidRPr="002A6CB1">
                    <w:rPr>
                      <w:b/>
                      <w:szCs w:val="18"/>
                    </w:rPr>
                    <w:t>± 8.4</w:t>
                  </w:r>
                </w:p>
              </w:tc>
              <w:tc>
                <w:tcPr>
                  <w:tcW w:w="804" w:type="dxa"/>
                  <w:vAlign w:val="center"/>
                </w:tcPr>
                <w:p w:rsidR="00EE27CE" w:rsidRPr="002A6CB1" w:rsidRDefault="00EE27CE" w:rsidP="00EE27CE">
                  <w:pPr>
                    <w:pStyle w:val="TableBodyText"/>
                    <w:rPr>
                      <w:b/>
                      <w:szCs w:val="18"/>
                    </w:rPr>
                  </w:pPr>
                  <w:r w:rsidRPr="002A6CB1">
                    <w:rPr>
                      <w:b/>
                      <w:szCs w:val="18"/>
                    </w:rPr>
                    <w:t xml:space="preserve">106.6 </w:t>
                  </w:r>
                  <w:r w:rsidR="001F7ABF" w:rsidRPr="002A6CB1">
                    <w:rPr>
                      <w:b/>
                      <w:szCs w:val="18"/>
                    </w:rPr>
                    <w:br/>
                  </w:r>
                  <w:r w:rsidRPr="002A6CB1">
                    <w:rPr>
                      <w:b/>
                      <w:szCs w:val="18"/>
                    </w:rPr>
                    <w:t>± 8.6</w:t>
                  </w:r>
                </w:p>
              </w:tc>
              <w:tc>
                <w:tcPr>
                  <w:tcW w:w="803" w:type="dxa"/>
                  <w:vAlign w:val="center"/>
                </w:tcPr>
                <w:p w:rsidR="00EE27CE" w:rsidRPr="002A6CB1" w:rsidRDefault="00EE27CE" w:rsidP="001F7ABF">
                  <w:pPr>
                    <w:pStyle w:val="TableBodyText"/>
                    <w:rPr>
                      <w:b/>
                      <w:szCs w:val="18"/>
                    </w:rPr>
                  </w:pPr>
                  <w:r w:rsidRPr="002A6CB1">
                    <w:rPr>
                      <w:b/>
                      <w:szCs w:val="18"/>
                    </w:rPr>
                    <w:t>95.6</w:t>
                  </w:r>
                  <w:r w:rsidR="001F7ABF" w:rsidRPr="002A6CB1">
                    <w:rPr>
                      <w:b/>
                      <w:szCs w:val="18"/>
                    </w:rPr>
                    <w:br/>
                  </w:r>
                  <w:r w:rsidRPr="002A6CB1">
                    <w:rPr>
                      <w:b/>
                      <w:szCs w:val="18"/>
                    </w:rPr>
                    <w:t>± 8.8</w:t>
                  </w:r>
                </w:p>
              </w:tc>
              <w:tc>
                <w:tcPr>
                  <w:tcW w:w="803" w:type="dxa"/>
                  <w:vAlign w:val="center"/>
                </w:tcPr>
                <w:p w:rsidR="00EE27CE" w:rsidRPr="002A6CB1" w:rsidRDefault="00EE27CE" w:rsidP="00EE27CE">
                  <w:pPr>
                    <w:pStyle w:val="TableBodyText"/>
                    <w:rPr>
                      <w:b/>
                      <w:szCs w:val="18"/>
                    </w:rPr>
                  </w:pPr>
                  <w:r w:rsidRPr="002A6CB1">
                    <w:rPr>
                      <w:b/>
                      <w:szCs w:val="18"/>
                    </w:rPr>
                    <w:t xml:space="preserve">83.5 </w:t>
                  </w:r>
                  <w:r w:rsidR="001F7ABF" w:rsidRPr="002A6CB1">
                    <w:rPr>
                      <w:b/>
                      <w:szCs w:val="18"/>
                    </w:rPr>
                    <w:br/>
                  </w:r>
                  <w:r w:rsidRPr="002A6CB1">
                    <w:rPr>
                      <w:b/>
                      <w:szCs w:val="18"/>
                    </w:rPr>
                    <w:t>± 9.0</w:t>
                  </w:r>
                </w:p>
              </w:tc>
              <w:tc>
                <w:tcPr>
                  <w:tcW w:w="804" w:type="dxa"/>
                  <w:vAlign w:val="center"/>
                </w:tcPr>
                <w:p w:rsidR="00EE27CE" w:rsidRPr="002A6CB1" w:rsidRDefault="00EE27CE" w:rsidP="00EE27CE">
                  <w:pPr>
                    <w:pStyle w:val="TableBodyText"/>
                    <w:rPr>
                      <w:b/>
                      <w:szCs w:val="18"/>
                    </w:rPr>
                  </w:pPr>
                  <w:r w:rsidRPr="002A6CB1">
                    <w:rPr>
                      <w:b/>
                      <w:szCs w:val="18"/>
                    </w:rPr>
                    <w:t xml:space="preserve">81.2 </w:t>
                  </w:r>
                  <w:r w:rsidR="001F7ABF" w:rsidRPr="002A6CB1">
                    <w:rPr>
                      <w:b/>
                      <w:szCs w:val="18"/>
                    </w:rPr>
                    <w:br/>
                  </w:r>
                  <w:r w:rsidRPr="002A6CB1">
                    <w:rPr>
                      <w:b/>
                      <w:szCs w:val="18"/>
                    </w:rPr>
                    <w:t>± 10.4</w:t>
                  </w:r>
                </w:p>
              </w:tc>
              <w:tc>
                <w:tcPr>
                  <w:tcW w:w="803" w:type="dxa"/>
                  <w:vAlign w:val="center"/>
                </w:tcPr>
                <w:p w:rsidR="00EE27CE" w:rsidRPr="002A6CB1" w:rsidRDefault="00EE27CE" w:rsidP="00EE27CE">
                  <w:pPr>
                    <w:pStyle w:val="TableBodyText"/>
                    <w:rPr>
                      <w:b/>
                      <w:szCs w:val="18"/>
                    </w:rPr>
                  </w:pPr>
                  <w:r w:rsidRPr="002A6CB1">
                    <w:rPr>
                      <w:b/>
                      <w:szCs w:val="18"/>
                    </w:rPr>
                    <w:t xml:space="preserve">87.1 </w:t>
                  </w:r>
                  <w:r w:rsidR="001F7ABF" w:rsidRPr="002A6CB1">
                    <w:rPr>
                      <w:b/>
                      <w:szCs w:val="18"/>
                    </w:rPr>
                    <w:br/>
                  </w:r>
                  <w:r w:rsidRPr="002A6CB1">
                    <w:rPr>
                      <w:b/>
                      <w:szCs w:val="18"/>
                    </w:rPr>
                    <w:t>± 10.7</w:t>
                  </w:r>
                </w:p>
              </w:tc>
              <w:tc>
                <w:tcPr>
                  <w:tcW w:w="803" w:type="dxa"/>
                  <w:vAlign w:val="center"/>
                </w:tcPr>
                <w:p w:rsidR="00EE27CE" w:rsidRPr="002A6CB1" w:rsidRDefault="00EE27CE" w:rsidP="00EE27CE">
                  <w:pPr>
                    <w:pStyle w:val="TableBodyText"/>
                    <w:rPr>
                      <w:b/>
                      <w:szCs w:val="18"/>
                    </w:rPr>
                  </w:pPr>
                  <w:r w:rsidRPr="002A6CB1">
                    <w:rPr>
                      <w:b/>
                      <w:szCs w:val="18"/>
                    </w:rPr>
                    <w:t xml:space="preserve">85.8 </w:t>
                  </w:r>
                  <w:r w:rsidR="001F7ABF" w:rsidRPr="002A6CB1">
                    <w:rPr>
                      <w:b/>
                      <w:szCs w:val="18"/>
                    </w:rPr>
                    <w:br/>
                  </w:r>
                  <w:r w:rsidRPr="002A6CB1">
                    <w:rPr>
                      <w:b/>
                      <w:szCs w:val="18"/>
                    </w:rPr>
                    <w:t>± 11.2</w:t>
                  </w:r>
                </w:p>
              </w:tc>
              <w:tc>
                <w:tcPr>
                  <w:tcW w:w="804" w:type="dxa"/>
                  <w:vAlign w:val="center"/>
                </w:tcPr>
                <w:p w:rsidR="00EE27CE" w:rsidRPr="002A6CB1" w:rsidRDefault="00EE27CE" w:rsidP="00EE27CE">
                  <w:pPr>
                    <w:pStyle w:val="TableBodyText"/>
                    <w:rPr>
                      <w:b/>
                      <w:szCs w:val="18"/>
                    </w:rPr>
                  </w:pPr>
                  <w:r w:rsidRPr="002A6CB1">
                    <w:rPr>
                      <w:b/>
                      <w:szCs w:val="18"/>
                    </w:rPr>
                    <w:t xml:space="preserve">92.1 </w:t>
                  </w:r>
                  <w:r w:rsidR="001F7ABF" w:rsidRPr="002A6CB1">
                    <w:rPr>
                      <w:b/>
                      <w:szCs w:val="18"/>
                    </w:rPr>
                    <w:br/>
                  </w:r>
                  <w:r w:rsidRPr="002A6CB1">
                    <w:rPr>
                      <w:b/>
                      <w:szCs w:val="18"/>
                    </w:rPr>
                    <w:t>± 8.3</w:t>
                  </w:r>
                </w:p>
              </w:tc>
            </w:tr>
            <w:tr w:rsidR="00EE27CE" w:rsidRPr="00530424" w:rsidTr="001D0F72">
              <w:tc>
                <w:tcPr>
                  <w:tcW w:w="1560" w:type="dxa"/>
                </w:tcPr>
                <w:p w:rsidR="00EE27CE" w:rsidRPr="002A6CB1" w:rsidRDefault="00EE27CE" w:rsidP="004F0487">
                  <w:pPr>
                    <w:pStyle w:val="TableBodyText"/>
                    <w:jc w:val="left"/>
                    <w:rPr>
                      <w:b/>
                    </w:rPr>
                  </w:pPr>
                  <w:r w:rsidRPr="002A6CB1">
                    <w:rPr>
                      <w:b/>
                    </w:rPr>
                    <w:t>Gain 2010-2012</w:t>
                  </w:r>
                </w:p>
              </w:tc>
              <w:tc>
                <w:tcPr>
                  <w:tcW w:w="803" w:type="dxa"/>
                  <w:vAlign w:val="center"/>
                </w:tcPr>
                <w:p w:rsidR="00EE27CE" w:rsidRPr="002A6CB1" w:rsidRDefault="00EE27CE" w:rsidP="00EE27CE">
                  <w:pPr>
                    <w:pStyle w:val="TableBodyText"/>
                    <w:rPr>
                      <w:b/>
                      <w:szCs w:val="18"/>
                    </w:rPr>
                  </w:pPr>
                  <w:r w:rsidRPr="002A6CB1">
                    <w:rPr>
                      <w:b/>
                      <w:szCs w:val="18"/>
                    </w:rPr>
                    <w:t xml:space="preserve">45.6 </w:t>
                  </w:r>
                  <w:r w:rsidR="001F7ABF" w:rsidRPr="002A6CB1">
                    <w:rPr>
                      <w:b/>
                      <w:szCs w:val="18"/>
                    </w:rPr>
                    <w:br/>
                  </w:r>
                  <w:r w:rsidRPr="002A6CB1">
                    <w:rPr>
                      <w:b/>
                      <w:szCs w:val="18"/>
                    </w:rPr>
                    <w:t>± 7.2</w:t>
                  </w:r>
                </w:p>
              </w:tc>
              <w:tc>
                <w:tcPr>
                  <w:tcW w:w="803" w:type="dxa"/>
                  <w:vAlign w:val="center"/>
                </w:tcPr>
                <w:p w:rsidR="00EE27CE" w:rsidRPr="002A6CB1" w:rsidRDefault="00EE27CE" w:rsidP="001F7ABF">
                  <w:pPr>
                    <w:pStyle w:val="TableBodyText"/>
                    <w:rPr>
                      <w:b/>
                      <w:szCs w:val="18"/>
                    </w:rPr>
                  </w:pPr>
                  <w:r w:rsidRPr="002A6CB1">
                    <w:rPr>
                      <w:b/>
                      <w:szCs w:val="18"/>
                    </w:rPr>
                    <w:t>42.1</w:t>
                  </w:r>
                  <w:r w:rsidR="001F7ABF" w:rsidRPr="002A6CB1">
                    <w:rPr>
                      <w:b/>
                      <w:szCs w:val="18"/>
                    </w:rPr>
                    <w:br/>
                  </w:r>
                  <w:r w:rsidRPr="002A6CB1">
                    <w:rPr>
                      <w:b/>
                      <w:szCs w:val="18"/>
                    </w:rPr>
                    <w:t>± 6.7</w:t>
                  </w:r>
                </w:p>
              </w:tc>
              <w:tc>
                <w:tcPr>
                  <w:tcW w:w="804" w:type="dxa"/>
                  <w:vAlign w:val="center"/>
                </w:tcPr>
                <w:p w:rsidR="00EE27CE" w:rsidRPr="002A6CB1" w:rsidRDefault="00EE27CE" w:rsidP="00EE27CE">
                  <w:pPr>
                    <w:pStyle w:val="TableBodyText"/>
                    <w:rPr>
                      <w:b/>
                      <w:szCs w:val="18"/>
                    </w:rPr>
                  </w:pPr>
                  <w:r w:rsidRPr="002A6CB1">
                    <w:rPr>
                      <w:b/>
                      <w:szCs w:val="18"/>
                    </w:rPr>
                    <w:t xml:space="preserve">57.6 </w:t>
                  </w:r>
                  <w:r w:rsidR="001F7ABF" w:rsidRPr="002A6CB1">
                    <w:rPr>
                      <w:b/>
                      <w:szCs w:val="18"/>
                    </w:rPr>
                    <w:br/>
                  </w:r>
                  <w:r w:rsidRPr="002A6CB1">
                    <w:rPr>
                      <w:b/>
                      <w:szCs w:val="18"/>
                    </w:rPr>
                    <w:t>± 6.3</w:t>
                  </w:r>
                </w:p>
              </w:tc>
              <w:tc>
                <w:tcPr>
                  <w:tcW w:w="803" w:type="dxa"/>
                  <w:vAlign w:val="center"/>
                </w:tcPr>
                <w:p w:rsidR="00EE27CE" w:rsidRPr="002A6CB1" w:rsidRDefault="00EE27CE" w:rsidP="00EE27CE">
                  <w:pPr>
                    <w:pStyle w:val="TableBodyText"/>
                    <w:rPr>
                      <w:b/>
                      <w:szCs w:val="18"/>
                    </w:rPr>
                  </w:pPr>
                  <w:r w:rsidRPr="002A6CB1">
                    <w:rPr>
                      <w:b/>
                      <w:szCs w:val="18"/>
                    </w:rPr>
                    <w:t xml:space="preserve">57.3 </w:t>
                  </w:r>
                  <w:r w:rsidR="001F7ABF" w:rsidRPr="002A6CB1">
                    <w:rPr>
                      <w:b/>
                      <w:szCs w:val="18"/>
                    </w:rPr>
                    <w:br/>
                  </w:r>
                  <w:r w:rsidRPr="002A6CB1">
                    <w:rPr>
                      <w:b/>
                      <w:szCs w:val="18"/>
                    </w:rPr>
                    <w:t>± 7.0</w:t>
                  </w:r>
                </w:p>
              </w:tc>
              <w:tc>
                <w:tcPr>
                  <w:tcW w:w="803" w:type="dxa"/>
                  <w:vAlign w:val="center"/>
                </w:tcPr>
                <w:p w:rsidR="00EE27CE" w:rsidRPr="002A6CB1" w:rsidRDefault="00EE27CE" w:rsidP="00EE27CE">
                  <w:pPr>
                    <w:pStyle w:val="TableBodyText"/>
                    <w:rPr>
                      <w:b/>
                      <w:szCs w:val="18"/>
                    </w:rPr>
                  </w:pPr>
                  <w:r w:rsidRPr="002A6CB1">
                    <w:rPr>
                      <w:b/>
                      <w:szCs w:val="18"/>
                    </w:rPr>
                    <w:t xml:space="preserve">56.6 </w:t>
                  </w:r>
                  <w:r w:rsidR="001F7ABF" w:rsidRPr="002A6CB1">
                    <w:rPr>
                      <w:b/>
                      <w:szCs w:val="18"/>
                    </w:rPr>
                    <w:br/>
                  </w:r>
                  <w:r w:rsidRPr="002A6CB1">
                    <w:rPr>
                      <w:b/>
                      <w:szCs w:val="18"/>
                    </w:rPr>
                    <w:t>± 7.1</w:t>
                  </w:r>
                </w:p>
              </w:tc>
              <w:tc>
                <w:tcPr>
                  <w:tcW w:w="804" w:type="dxa"/>
                  <w:vAlign w:val="center"/>
                </w:tcPr>
                <w:p w:rsidR="00EE27CE" w:rsidRPr="002A6CB1" w:rsidRDefault="00EE27CE" w:rsidP="00EE27CE">
                  <w:pPr>
                    <w:pStyle w:val="TableBodyText"/>
                    <w:rPr>
                      <w:b/>
                      <w:szCs w:val="18"/>
                    </w:rPr>
                  </w:pPr>
                  <w:r w:rsidRPr="002A6CB1">
                    <w:rPr>
                      <w:b/>
                      <w:szCs w:val="18"/>
                    </w:rPr>
                    <w:t xml:space="preserve">45.8 </w:t>
                  </w:r>
                  <w:r w:rsidR="001F7ABF" w:rsidRPr="002A6CB1">
                    <w:rPr>
                      <w:b/>
                      <w:szCs w:val="18"/>
                    </w:rPr>
                    <w:br/>
                  </w:r>
                  <w:r w:rsidRPr="002A6CB1">
                    <w:rPr>
                      <w:b/>
                      <w:szCs w:val="18"/>
                    </w:rPr>
                    <w:t>± 9.9</w:t>
                  </w:r>
                </w:p>
              </w:tc>
              <w:tc>
                <w:tcPr>
                  <w:tcW w:w="803" w:type="dxa"/>
                  <w:vAlign w:val="center"/>
                </w:tcPr>
                <w:p w:rsidR="00EE27CE" w:rsidRPr="002A6CB1" w:rsidRDefault="00EE27CE" w:rsidP="00EE27CE">
                  <w:pPr>
                    <w:pStyle w:val="TableBodyText"/>
                    <w:rPr>
                      <w:b/>
                      <w:szCs w:val="18"/>
                    </w:rPr>
                  </w:pPr>
                  <w:r w:rsidRPr="002A6CB1">
                    <w:rPr>
                      <w:b/>
                      <w:szCs w:val="18"/>
                    </w:rPr>
                    <w:t xml:space="preserve">47.0 </w:t>
                  </w:r>
                  <w:r w:rsidR="001F7ABF" w:rsidRPr="002A6CB1">
                    <w:rPr>
                      <w:b/>
                      <w:szCs w:val="18"/>
                    </w:rPr>
                    <w:br/>
                  </w:r>
                  <w:r w:rsidRPr="002A6CB1">
                    <w:rPr>
                      <w:b/>
                      <w:szCs w:val="18"/>
                    </w:rPr>
                    <w:t>± 12.3</w:t>
                  </w:r>
                </w:p>
              </w:tc>
              <w:tc>
                <w:tcPr>
                  <w:tcW w:w="803" w:type="dxa"/>
                  <w:vAlign w:val="center"/>
                </w:tcPr>
                <w:p w:rsidR="00EE27CE" w:rsidRPr="002A6CB1" w:rsidRDefault="00EE27CE" w:rsidP="00EE27CE">
                  <w:pPr>
                    <w:pStyle w:val="TableBodyText"/>
                    <w:rPr>
                      <w:b/>
                      <w:szCs w:val="18"/>
                    </w:rPr>
                  </w:pPr>
                  <w:r w:rsidRPr="002A6CB1">
                    <w:rPr>
                      <w:b/>
                      <w:szCs w:val="18"/>
                    </w:rPr>
                    <w:t xml:space="preserve">50.0 </w:t>
                  </w:r>
                  <w:r w:rsidR="001F7ABF" w:rsidRPr="002A6CB1">
                    <w:rPr>
                      <w:b/>
                      <w:szCs w:val="18"/>
                    </w:rPr>
                    <w:br/>
                  </w:r>
                  <w:r w:rsidRPr="002A6CB1">
                    <w:rPr>
                      <w:b/>
                      <w:szCs w:val="18"/>
                    </w:rPr>
                    <w:t>± 15.2</w:t>
                  </w:r>
                </w:p>
              </w:tc>
              <w:tc>
                <w:tcPr>
                  <w:tcW w:w="804" w:type="dxa"/>
                  <w:vAlign w:val="center"/>
                </w:tcPr>
                <w:p w:rsidR="00EE27CE" w:rsidRPr="002A6CB1" w:rsidRDefault="00EE27CE" w:rsidP="00EE27CE">
                  <w:pPr>
                    <w:pStyle w:val="TableBodyText"/>
                    <w:rPr>
                      <w:b/>
                      <w:szCs w:val="18"/>
                    </w:rPr>
                  </w:pPr>
                  <w:r w:rsidRPr="002A6CB1">
                    <w:rPr>
                      <w:b/>
                      <w:szCs w:val="18"/>
                    </w:rPr>
                    <w:t xml:space="preserve">49.2 </w:t>
                  </w:r>
                  <w:r w:rsidR="001F7ABF" w:rsidRPr="002A6CB1">
                    <w:rPr>
                      <w:b/>
                      <w:szCs w:val="18"/>
                    </w:rPr>
                    <w:br/>
                  </w:r>
                  <w:r w:rsidRPr="002A6CB1">
                    <w:rPr>
                      <w:b/>
                      <w:szCs w:val="18"/>
                    </w:rPr>
                    <w:t>± 6.0</w:t>
                  </w:r>
                </w:p>
              </w:tc>
            </w:tr>
            <w:tr w:rsidR="00D774C0" w:rsidRPr="00530424" w:rsidTr="00DB2B49">
              <w:tc>
                <w:tcPr>
                  <w:tcW w:w="1560" w:type="dxa"/>
                  <w:shd w:val="clear" w:color="auto" w:fill="FFFFFF" w:themeFill="background1"/>
                </w:tcPr>
                <w:p w:rsidR="00D774C0" w:rsidRPr="002A6CB1" w:rsidRDefault="00D774C0" w:rsidP="004F0487">
                  <w:pPr>
                    <w:pStyle w:val="TableBodyText"/>
                    <w:jc w:val="left"/>
                    <w:rPr>
                      <w:b/>
                    </w:rPr>
                  </w:pPr>
                  <w:r w:rsidRPr="002A6CB1">
                    <w:rPr>
                      <w:b/>
                    </w:rPr>
                    <w:t>Gain 2012-2014</w:t>
                  </w:r>
                </w:p>
              </w:tc>
              <w:tc>
                <w:tcPr>
                  <w:tcW w:w="803" w:type="dxa"/>
                  <w:shd w:val="clear" w:color="auto" w:fill="FFFFFF" w:themeFill="background1"/>
                  <w:vAlign w:val="center"/>
                </w:tcPr>
                <w:p w:rsidR="00D774C0" w:rsidRPr="002A6CB1" w:rsidRDefault="00D774C0" w:rsidP="00D774C0">
                  <w:pPr>
                    <w:pStyle w:val="TableBodyText"/>
                    <w:rPr>
                      <w:b/>
                    </w:rPr>
                  </w:pPr>
                  <w:r w:rsidRPr="002A6CB1">
                    <w:rPr>
                      <w:b/>
                    </w:rPr>
                    <w:t xml:space="preserve">51.4 </w:t>
                  </w:r>
                  <w:r w:rsidR="001F7ABF" w:rsidRPr="002A6CB1">
                    <w:rPr>
                      <w:b/>
                    </w:rPr>
                    <w:br/>
                  </w:r>
                  <w:r w:rsidRPr="002A6CB1">
                    <w:rPr>
                      <w:b/>
                    </w:rPr>
                    <w:t>± 6.7</w:t>
                  </w:r>
                </w:p>
              </w:tc>
              <w:tc>
                <w:tcPr>
                  <w:tcW w:w="803" w:type="dxa"/>
                  <w:shd w:val="clear" w:color="auto" w:fill="FFFFFF" w:themeFill="background1"/>
                  <w:vAlign w:val="center"/>
                </w:tcPr>
                <w:p w:rsidR="00D774C0" w:rsidRPr="002A6CB1" w:rsidRDefault="00D774C0" w:rsidP="00D774C0">
                  <w:pPr>
                    <w:pStyle w:val="TableBodyText"/>
                    <w:rPr>
                      <w:b/>
                    </w:rPr>
                  </w:pPr>
                  <w:r w:rsidRPr="002A6CB1">
                    <w:rPr>
                      <w:b/>
                    </w:rPr>
                    <w:t xml:space="preserve">47.9 </w:t>
                  </w:r>
                  <w:r w:rsidR="001F7ABF" w:rsidRPr="002A6CB1">
                    <w:rPr>
                      <w:b/>
                    </w:rPr>
                    <w:br/>
                  </w:r>
                  <w:r w:rsidRPr="002A6CB1">
                    <w:rPr>
                      <w:b/>
                    </w:rPr>
                    <w:t>± 6.3</w:t>
                  </w:r>
                </w:p>
              </w:tc>
              <w:tc>
                <w:tcPr>
                  <w:tcW w:w="804" w:type="dxa"/>
                  <w:shd w:val="clear" w:color="auto" w:fill="FFFFFF" w:themeFill="background1"/>
                  <w:vAlign w:val="center"/>
                </w:tcPr>
                <w:p w:rsidR="00D774C0" w:rsidRPr="002A6CB1" w:rsidRDefault="00D774C0" w:rsidP="00D774C0">
                  <w:pPr>
                    <w:pStyle w:val="TableBodyText"/>
                    <w:rPr>
                      <w:b/>
                    </w:rPr>
                  </w:pPr>
                  <w:r w:rsidRPr="002A6CB1">
                    <w:rPr>
                      <w:b/>
                    </w:rPr>
                    <w:t xml:space="preserve">47.6 </w:t>
                  </w:r>
                  <w:r w:rsidR="001F7ABF" w:rsidRPr="002A6CB1">
                    <w:rPr>
                      <w:b/>
                    </w:rPr>
                    <w:br/>
                  </w:r>
                  <w:r w:rsidRPr="002A6CB1">
                    <w:rPr>
                      <w:b/>
                    </w:rPr>
                    <w:t>± 5.5</w:t>
                  </w:r>
                </w:p>
              </w:tc>
              <w:tc>
                <w:tcPr>
                  <w:tcW w:w="803" w:type="dxa"/>
                  <w:shd w:val="clear" w:color="auto" w:fill="FFFFFF" w:themeFill="background1"/>
                  <w:vAlign w:val="center"/>
                </w:tcPr>
                <w:p w:rsidR="00D774C0" w:rsidRPr="002A6CB1" w:rsidRDefault="00D774C0" w:rsidP="00D774C0">
                  <w:pPr>
                    <w:pStyle w:val="TableBodyText"/>
                    <w:rPr>
                      <w:b/>
                    </w:rPr>
                  </w:pPr>
                  <w:r w:rsidRPr="002A6CB1">
                    <w:rPr>
                      <w:b/>
                    </w:rPr>
                    <w:t xml:space="preserve">56.2 </w:t>
                  </w:r>
                  <w:r w:rsidR="001F7ABF" w:rsidRPr="002A6CB1">
                    <w:rPr>
                      <w:b/>
                    </w:rPr>
                    <w:br/>
                  </w:r>
                  <w:r w:rsidRPr="002A6CB1">
                    <w:rPr>
                      <w:b/>
                    </w:rPr>
                    <w:t>± 7.4</w:t>
                  </w:r>
                </w:p>
              </w:tc>
              <w:tc>
                <w:tcPr>
                  <w:tcW w:w="803" w:type="dxa"/>
                  <w:shd w:val="clear" w:color="auto" w:fill="FFFFFF" w:themeFill="background1"/>
                  <w:vAlign w:val="center"/>
                </w:tcPr>
                <w:p w:rsidR="00D774C0" w:rsidRPr="002A6CB1" w:rsidRDefault="00D774C0" w:rsidP="00D774C0">
                  <w:pPr>
                    <w:pStyle w:val="TableBodyText"/>
                    <w:rPr>
                      <w:b/>
                    </w:rPr>
                  </w:pPr>
                  <w:r w:rsidRPr="002A6CB1">
                    <w:rPr>
                      <w:b/>
                    </w:rPr>
                    <w:t>44.5</w:t>
                  </w:r>
                  <w:r w:rsidR="001F7ABF" w:rsidRPr="002A6CB1">
                    <w:rPr>
                      <w:b/>
                    </w:rPr>
                    <w:br/>
                  </w:r>
                  <w:r w:rsidRPr="002A6CB1">
                    <w:rPr>
                      <w:b/>
                    </w:rPr>
                    <w:t xml:space="preserve"> ± 7.1</w:t>
                  </w:r>
                </w:p>
              </w:tc>
              <w:tc>
                <w:tcPr>
                  <w:tcW w:w="804" w:type="dxa"/>
                  <w:shd w:val="clear" w:color="auto" w:fill="FFFFFF" w:themeFill="background1"/>
                  <w:vAlign w:val="center"/>
                </w:tcPr>
                <w:p w:rsidR="00D774C0" w:rsidRPr="002A6CB1" w:rsidRDefault="00D774C0" w:rsidP="00D774C0">
                  <w:pPr>
                    <w:pStyle w:val="TableBodyText"/>
                    <w:rPr>
                      <w:b/>
                    </w:rPr>
                  </w:pPr>
                  <w:r w:rsidRPr="002A6CB1">
                    <w:rPr>
                      <w:b/>
                    </w:rPr>
                    <w:t xml:space="preserve">46.4 </w:t>
                  </w:r>
                  <w:r w:rsidR="001F7ABF" w:rsidRPr="002A6CB1">
                    <w:rPr>
                      <w:b/>
                    </w:rPr>
                    <w:br/>
                  </w:r>
                  <w:r w:rsidRPr="002A6CB1">
                    <w:rPr>
                      <w:b/>
                    </w:rPr>
                    <w:t>± 10.3</w:t>
                  </w:r>
                </w:p>
              </w:tc>
              <w:tc>
                <w:tcPr>
                  <w:tcW w:w="803" w:type="dxa"/>
                  <w:shd w:val="clear" w:color="auto" w:fill="FFFFFF" w:themeFill="background1"/>
                  <w:vAlign w:val="center"/>
                </w:tcPr>
                <w:p w:rsidR="00D774C0" w:rsidRPr="002A6CB1" w:rsidRDefault="00D774C0" w:rsidP="00D774C0">
                  <w:pPr>
                    <w:pStyle w:val="TableBodyText"/>
                    <w:rPr>
                      <w:b/>
                    </w:rPr>
                  </w:pPr>
                  <w:r w:rsidRPr="002A6CB1">
                    <w:rPr>
                      <w:b/>
                    </w:rPr>
                    <w:t xml:space="preserve">49.0 </w:t>
                  </w:r>
                  <w:r w:rsidR="001F7ABF" w:rsidRPr="002A6CB1">
                    <w:rPr>
                      <w:b/>
                    </w:rPr>
                    <w:br/>
                  </w:r>
                  <w:r w:rsidRPr="002A6CB1">
                    <w:rPr>
                      <w:b/>
                    </w:rPr>
                    <w:t>± 14.2</w:t>
                  </w:r>
                </w:p>
              </w:tc>
              <w:tc>
                <w:tcPr>
                  <w:tcW w:w="803" w:type="dxa"/>
                  <w:shd w:val="clear" w:color="auto" w:fill="FFFFFF" w:themeFill="background1"/>
                  <w:vAlign w:val="center"/>
                </w:tcPr>
                <w:p w:rsidR="00D774C0" w:rsidRPr="002A6CB1" w:rsidRDefault="00D774C0" w:rsidP="00D774C0">
                  <w:pPr>
                    <w:pStyle w:val="TableBodyText"/>
                    <w:rPr>
                      <w:b/>
                    </w:rPr>
                  </w:pPr>
                  <w:r w:rsidRPr="002A6CB1">
                    <w:rPr>
                      <w:b/>
                    </w:rPr>
                    <w:t>46.5</w:t>
                  </w:r>
                  <w:r w:rsidR="001F7ABF" w:rsidRPr="002A6CB1">
                    <w:rPr>
                      <w:b/>
                    </w:rPr>
                    <w:br/>
                  </w:r>
                  <w:r w:rsidRPr="002A6CB1">
                    <w:rPr>
                      <w:b/>
                    </w:rPr>
                    <w:t xml:space="preserve"> ± 17.9</w:t>
                  </w:r>
                </w:p>
              </w:tc>
              <w:tc>
                <w:tcPr>
                  <w:tcW w:w="804" w:type="dxa"/>
                  <w:shd w:val="clear" w:color="auto" w:fill="FFFFFF" w:themeFill="background1"/>
                  <w:vAlign w:val="center"/>
                </w:tcPr>
                <w:p w:rsidR="00D774C0" w:rsidRPr="002A6CB1" w:rsidRDefault="00D774C0" w:rsidP="00D774C0">
                  <w:pPr>
                    <w:pStyle w:val="TableBodyText"/>
                    <w:rPr>
                      <w:b/>
                    </w:rPr>
                  </w:pPr>
                  <w:r w:rsidRPr="002A6CB1">
                    <w:rPr>
                      <w:b/>
                    </w:rPr>
                    <w:t xml:space="preserve">49.6 </w:t>
                  </w:r>
                  <w:r w:rsidR="001F7ABF" w:rsidRPr="002A6CB1">
                    <w:rPr>
                      <w:b/>
                    </w:rPr>
                    <w:br/>
                  </w:r>
                  <w:r w:rsidRPr="002A6CB1">
                    <w:rPr>
                      <w:b/>
                    </w:rPr>
                    <w:t>± 4.7</w:t>
                  </w:r>
                </w:p>
              </w:tc>
            </w:tr>
            <w:tr w:rsidR="001D0F72" w:rsidRPr="00530424" w:rsidTr="001D0F72">
              <w:tc>
                <w:tcPr>
                  <w:tcW w:w="8790" w:type="dxa"/>
                  <w:gridSpan w:val="10"/>
                </w:tcPr>
                <w:p w:rsidR="001D0F72" w:rsidRPr="00DB2B49" w:rsidRDefault="001D0F72" w:rsidP="00146776">
                  <w:pPr>
                    <w:pStyle w:val="TableUnitsRow"/>
                    <w:spacing w:before="0"/>
                    <w:jc w:val="left"/>
                    <w:rPr>
                      <w:b/>
                      <w:szCs w:val="18"/>
                    </w:rPr>
                  </w:pPr>
                  <w:r w:rsidRPr="00DB2B49">
                    <w:rPr>
                      <w:b/>
                      <w:szCs w:val="18"/>
                    </w:rPr>
                    <w:t>All students</w:t>
                  </w:r>
                </w:p>
              </w:tc>
            </w:tr>
            <w:tr w:rsidR="00EE27CE" w:rsidRPr="00530424" w:rsidTr="001D0F72">
              <w:tc>
                <w:tcPr>
                  <w:tcW w:w="1560" w:type="dxa"/>
                </w:tcPr>
                <w:p w:rsidR="00EE27CE" w:rsidRPr="00DB2B49" w:rsidRDefault="00EE27CE" w:rsidP="004F0487">
                  <w:pPr>
                    <w:pStyle w:val="TableBodyText"/>
                    <w:jc w:val="left"/>
                  </w:pPr>
                  <w:r w:rsidRPr="00DB2B49">
                    <w:t>2008 Year 3</w:t>
                  </w:r>
                </w:p>
              </w:tc>
              <w:tc>
                <w:tcPr>
                  <w:tcW w:w="803" w:type="dxa"/>
                  <w:vAlign w:val="center"/>
                </w:tcPr>
                <w:p w:rsidR="00EE27CE" w:rsidRPr="00DB2B49" w:rsidRDefault="00EE27CE" w:rsidP="00EE27CE">
                  <w:pPr>
                    <w:pStyle w:val="TableBodyText"/>
                    <w:rPr>
                      <w:szCs w:val="18"/>
                    </w:rPr>
                  </w:pPr>
                  <w:r w:rsidRPr="00DB2B49">
                    <w:rPr>
                      <w:szCs w:val="18"/>
                    </w:rPr>
                    <w:t xml:space="preserve">408.9 </w:t>
                  </w:r>
                  <w:r w:rsidR="00FF07ED">
                    <w:rPr>
                      <w:szCs w:val="18"/>
                    </w:rPr>
                    <w:br/>
                  </w:r>
                  <w:r w:rsidRPr="00DB2B49">
                    <w:rPr>
                      <w:szCs w:val="18"/>
                    </w:rPr>
                    <w:t>± 1.6</w:t>
                  </w:r>
                </w:p>
              </w:tc>
              <w:tc>
                <w:tcPr>
                  <w:tcW w:w="803" w:type="dxa"/>
                  <w:vAlign w:val="center"/>
                </w:tcPr>
                <w:p w:rsidR="00EE27CE" w:rsidRPr="00DB2B49" w:rsidRDefault="00EE27CE" w:rsidP="00EE27CE">
                  <w:pPr>
                    <w:pStyle w:val="TableBodyText"/>
                    <w:rPr>
                      <w:szCs w:val="18"/>
                    </w:rPr>
                  </w:pPr>
                  <w:r w:rsidRPr="00DB2B49">
                    <w:rPr>
                      <w:szCs w:val="18"/>
                    </w:rPr>
                    <w:t xml:space="preserve">416.9 </w:t>
                  </w:r>
                  <w:r w:rsidR="00FF07ED">
                    <w:rPr>
                      <w:szCs w:val="18"/>
                    </w:rPr>
                    <w:br/>
                  </w:r>
                  <w:r w:rsidRPr="00DB2B49">
                    <w:rPr>
                      <w:szCs w:val="18"/>
                    </w:rPr>
                    <w:t>± 1.4</w:t>
                  </w:r>
                </w:p>
              </w:tc>
              <w:tc>
                <w:tcPr>
                  <w:tcW w:w="804" w:type="dxa"/>
                  <w:vAlign w:val="center"/>
                </w:tcPr>
                <w:p w:rsidR="00EE27CE" w:rsidRPr="00DB2B49" w:rsidRDefault="00EE27CE" w:rsidP="00EE27CE">
                  <w:pPr>
                    <w:pStyle w:val="TableBodyText"/>
                    <w:rPr>
                      <w:szCs w:val="18"/>
                    </w:rPr>
                  </w:pPr>
                  <w:r w:rsidRPr="00DB2B49">
                    <w:rPr>
                      <w:szCs w:val="18"/>
                    </w:rPr>
                    <w:t xml:space="preserve">367.9 </w:t>
                  </w:r>
                  <w:r w:rsidR="00FF07ED">
                    <w:rPr>
                      <w:szCs w:val="18"/>
                    </w:rPr>
                    <w:br/>
                  </w:r>
                  <w:r w:rsidRPr="00DB2B49">
                    <w:rPr>
                      <w:szCs w:val="18"/>
                    </w:rPr>
                    <w:t>± 2.2</w:t>
                  </w:r>
                </w:p>
              </w:tc>
              <w:tc>
                <w:tcPr>
                  <w:tcW w:w="803" w:type="dxa"/>
                  <w:vAlign w:val="center"/>
                </w:tcPr>
                <w:p w:rsidR="00EE27CE" w:rsidRPr="00DB2B49" w:rsidRDefault="00EE27CE" w:rsidP="00EE27CE">
                  <w:pPr>
                    <w:pStyle w:val="TableBodyText"/>
                    <w:rPr>
                      <w:szCs w:val="18"/>
                    </w:rPr>
                  </w:pPr>
                  <w:r w:rsidRPr="00DB2B49">
                    <w:rPr>
                      <w:szCs w:val="18"/>
                    </w:rPr>
                    <w:t xml:space="preserve">381.9 </w:t>
                  </w:r>
                  <w:r w:rsidR="00FF07ED">
                    <w:rPr>
                      <w:szCs w:val="18"/>
                    </w:rPr>
                    <w:br/>
                  </w:r>
                  <w:r w:rsidRPr="00DB2B49">
                    <w:rPr>
                      <w:szCs w:val="18"/>
                    </w:rPr>
                    <w:t>± 2.4</w:t>
                  </w:r>
                </w:p>
              </w:tc>
              <w:tc>
                <w:tcPr>
                  <w:tcW w:w="803" w:type="dxa"/>
                  <w:vAlign w:val="center"/>
                </w:tcPr>
                <w:p w:rsidR="00EE27CE" w:rsidRPr="00DB2B49" w:rsidRDefault="00EE27CE" w:rsidP="00EE27CE">
                  <w:pPr>
                    <w:pStyle w:val="TableBodyText"/>
                    <w:rPr>
                      <w:szCs w:val="18"/>
                    </w:rPr>
                  </w:pPr>
                  <w:r w:rsidRPr="00DB2B49">
                    <w:rPr>
                      <w:szCs w:val="18"/>
                    </w:rPr>
                    <w:t xml:space="preserve">388.8 </w:t>
                  </w:r>
                  <w:r w:rsidR="00FF07ED">
                    <w:rPr>
                      <w:szCs w:val="18"/>
                    </w:rPr>
                    <w:br/>
                  </w:r>
                  <w:r w:rsidRPr="00DB2B49">
                    <w:rPr>
                      <w:szCs w:val="18"/>
                    </w:rPr>
                    <w:t>± 2.7</w:t>
                  </w:r>
                </w:p>
              </w:tc>
              <w:tc>
                <w:tcPr>
                  <w:tcW w:w="804" w:type="dxa"/>
                  <w:vAlign w:val="center"/>
                </w:tcPr>
                <w:p w:rsidR="00EE27CE" w:rsidRPr="00DB2B49" w:rsidRDefault="00EE27CE" w:rsidP="00EE27CE">
                  <w:pPr>
                    <w:pStyle w:val="TableBodyText"/>
                    <w:rPr>
                      <w:szCs w:val="18"/>
                    </w:rPr>
                  </w:pPr>
                  <w:r w:rsidRPr="00DB2B49">
                    <w:rPr>
                      <w:szCs w:val="18"/>
                    </w:rPr>
                    <w:t xml:space="preserve">399.9 </w:t>
                  </w:r>
                  <w:r w:rsidR="00FF07ED">
                    <w:rPr>
                      <w:szCs w:val="18"/>
                    </w:rPr>
                    <w:br/>
                  </w:r>
                  <w:r w:rsidRPr="00DB2B49">
                    <w:rPr>
                      <w:szCs w:val="18"/>
                    </w:rPr>
                    <w:t>± 4.2</w:t>
                  </w:r>
                </w:p>
              </w:tc>
              <w:tc>
                <w:tcPr>
                  <w:tcW w:w="803" w:type="dxa"/>
                  <w:vAlign w:val="center"/>
                </w:tcPr>
                <w:p w:rsidR="00EE27CE" w:rsidRPr="00DB2B49" w:rsidRDefault="00EE27CE" w:rsidP="00EE27CE">
                  <w:pPr>
                    <w:pStyle w:val="TableBodyText"/>
                    <w:rPr>
                      <w:szCs w:val="18"/>
                    </w:rPr>
                  </w:pPr>
                  <w:r w:rsidRPr="00DB2B49">
                    <w:rPr>
                      <w:szCs w:val="18"/>
                    </w:rPr>
                    <w:t xml:space="preserve">411.5 </w:t>
                  </w:r>
                  <w:r w:rsidR="00FF07ED">
                    <w:rPr>
                      <w:szCs w:val="18"/>
                    </w:rPr>
                    <w:br/>
                  </w:r>
                  <w:r w:rsidRPr="00DB2B49">
                    <w:rPr>
                      <w:szCs w:val="18"/>
                    </w:rPr>
                    <w:t>± 5.1</w:t>
                  </w:r>
                </w:p>
              </w:tc>
              <w:tc>
                <w:tcPr>
                  <w:tcW w:w="803" w:type="dxa"/>
                  <w:vAlign w:val="center"/>
                </w:tcPr>
                <w:p w:rsidR="00EE27CE" w:rsidRPr="00DB2B49" w:rsidRDefault="00EE27CE" w:rsidP="00EE27CE">
                  <w:pPr>
                    <w:pStyle w:val="TableBodyText"/>
                    <w:rPr>
                      <w:szCs w:val="18"/>
                    </w:rPr>
                  </w:pPr>
                  <w:r w:rsidRPr="00DB2B49">
                    <w:rPr>
                      <w:szCs w:val="18"/>
                    </w:rPr>
                    <w:t xml:space="preserve">338.4 </w:t>
                  </w:r>
                  <w:r w:rsidR="00FF07ED">
                    <w:rPr>
                      <w:szCs w:val="18"/>
                    </w:rPr>
                    <w:br/>
                  </w:r>
                  <w:r w:rsidRPr="00DB2B49">
                    <w:rPr>
                      <w:szCs w:val="18"/>
                    </w:rPr>
                    <w:t>± 12.4</w:t>
                  </w:r>
                </w:p>
              </w:tc>
              <w:tc>
                <w:tcPr>
                  <w:tcW w:w="804" w:type="dxa"/>
                  <w:vAlign w:val="center"/>
                </w:tcPr>
                <w:p w:rsidR="00EE27CE" w:rsidRPr="00DB2B49" w:rsidRDefault="00EE27CE" w:rsidP="00EE27CE">
                  <w:pPr>
                    <w:pStyle w:val="TableBodyText"/>
                    <w:rPr>
                      <w:szCs w:val="18"/>
                    </w:rPr>
                  </w:pPr>
                  <w:r w:rsidRPr="00DB2B49">
                    <w:rPr>
                      <w:szCs w:val="18"/>
                    </w:rPr>
                    <w:t xml:space="preserve">396.9 </w:t>
                  </w:r>
                  <w:r w:rsidR="00FF07ED">
                    <w:rPr>
                      <w:szCs w:val="18"/>
                    </w:rPr>
                    <w:br/>
                  </w:r>
                  <w:r w:rsidRPr="00DB2B49">
                    <w:rPr>
                      <w:szCs w:val="18"/>
                    </w:rPr>
                    <w:t>± 1.0</w:t>
                  </w:r>
                </w:p>
              </w:tc>
            </w:tr>
            <w:tr w:rsidR="00EE27CE" w:rsidRPr="00530424" w:rsidTr="001D0F72">
              <w:tc>
                <w:tcPr>
                  <w:tcW w:w="1560" w:type="dxa"/>
                  <w:shd w:val="clear" w:color="auto" w:fill="auto"/>
                </w:tcPr>
                <w:p w:rsidR="00EE27CE" w:rsidRPr="00DB2B49" w:rsidRDefault="00EE27CE" w:rsidP="004F0487">
                  <w:pPr>
                    <w:pStyle w:val="TableBodyText"/>
                    <w:jc w:val="left"/>
                  </w:pPr>
                  <w:r w:rsidRPr="00DB2B49">
                    <w:t>2010 Year 5</w:t>
                  </w:r>
                </w:p>
              </w:tc>
              <w:tc>
                <w:tcPr>
                  <w:tcW w:w="803" w:type="dxa"/>
                  <w:shd w:val="clear" w:color="auto" w:fill="auto"/>
                  <w:vAlign w:val="center"/>
                </w:tcPr>
                <w:p w:rsidR="00EE27CE" w:rsidRPr="00DB2B49" w:rsidRDefault="00EE27CE" w:rsidP="00EE27CE">
                  <w:pPr>
                    <w:pStyle w:val="TableBodyText"/>
                    <w:rPr>
                      <w:szCs w:val="18"/>
                    </w:rPr>
                  </w:pPr>
                  <w:r w:rsidRPr="00DB2B49">
                    <w:rPr>
                      <w:szCs w:val="18"/>
                    </w:rPr>
                    <w:t xml:space="preserve">498.4 </w:t>
                  </w:r>
                  <w:r w:rsidR="00FF07ED">
                    <w:rPr>
                      <w:szCs w:val="18"/>
                    </w:rPr>
                    <w:br/>
                  </w:r>
                  <w:r w:rsidRPr="00DB2B49">
                    <w:rPr>
                      <w:szCs w:val="18"/>
                    </w:rPr>
                    <w:t>± 2.0</w:t>
                  </w:r>
                </w:p>
              </w:tc>
              <w:tc>
                <w:tcPr>
                  <w:tcW w:w="803" w:type="dxa"/>
                  <w:shd w:val="clear" w:color="auto" w:fill="auto"/>
                  <w:vAlign w:val="center"/>
                </w:tcPr>
                <w:p w:rsidR="00EE27CE" w:rsidRPr="00DB2B49" w:rsidRDefault="00EE27CE" w:rsidP="00EE27CE">
                  <w:pPr>
                    <w:pStyle w:val="TableBodyText"/>
                    <w:rPr>
                      <w:szCs w:val="18"/>
                    </w:rPr>
                  </w:pPr>
                  <w:r w:rsidRPr="00DB2B49">
                    <w:rPr>
                      <w:szCs w:val="18"/>
                    </w:rPr>
                    <w:t xml:space="preserve">502.7 </w:t>
                  </w:r>
                  <w:r w:rsidR="00FF07ED">
                    <w:rPr>
                      <w:szCs w:val="18"/>
                    </w:rPr>
                    <w:br/>
                  </w:r>
                  <w:r w:rsidRPr="00DB2B49">
                    <w:rPr>
                      <w:szCs w:val="18"/>
                    </w:rPr>
                    <w:t>± 1.6</w:t>
                  </w:r>
                </w:p>
              </w:tc>
              <w:tc>
                <w:tcPr>
                  <w:tcW w:w="804" w:type="dxa"/>
                  <w:shd w:val="clear" w:color="auto" w:fill="auto"/>
                  <w:vAlign w:val="center"/>
                </w:tcPr>
                <w:p w:rsidR="00EE27CE" w:rsidRPr="00DB2B49" w:rsidRDefault="00EE27CE" w:rsidP="00EE27CE">
                  <w:pPr>
                    <w:pStyle w:val="TableBodyText"/>
                    <w:rPr>
                      <w:szCs w:val="18"/>
                    </w:rPr>
                  </w:pPr>
                  <w:r w:rsidRPr="00DB2B49">
                    <w:rPr>
                      <w:szCs w:val="18"/>
                    </w:rPr>
                    <w:t xml:space="preserve">474.1 </w:t>
                  </w:r>
                  <w:r w:rsidR="00FF07ED">
                    <w:rPr>
                      <w:szCs w:val="18"/>
                    </w:rPr>
                    <w:br/>
                  </w:r>
                  <w:r w:rsidRPr="00DB2B49">
                    <w:rPr>
                      <w:szCs w:val="18"/>
                    </w:rPr>
                    <w:t>± 1.9</w:t>
                  </w:r>
                </w:p>
              </w:tc>
              <w:tc>
                <w:tcPr>
                  <w:tcW w:w="803" w:type="dxa"/>
                  <w:shd w:val="clear" w:color="auto" w:fill="auto"/>
                  <w:vAlign w:val="center"/>
                </w:tcPr>
                <w:p w:rsidR="00EE27CE" w:rsidRPr="00DB2B49" w:rsidRDefault="00EE27CE" w:rsidP="00EE27CE">
                  <w:pPr>
                    <w:pStyle w:val="TableBodyText"/>
                    <w:rPr>
                      <w:szCs w:val="18"/>
                    </w:rPr>
                  </w:pPr>
                  <w:r w:rsidRPr="00DB2B49">
                    <w:rPr>
                      <w:szCs w:val="18"/>
                    </w:rPr>
                    <w:t xml:space="preserve">476.8 </w:t>
                  </w:r>
                  <w:r w:rsidR="00FF07ED">
                    <w:rPr>
                      <w:szCs w:val="18"/>
                    </w:rPr>
                    <w:br/>
                  </w:r>
                  <w:r w:rsidRPr="00DB2B49">
                    <w:rPr>
                      <w:szCs w:val="18"/>
                    </w:rPr>
                    <w:t>± 2.6</w:t>
                  </w:r>
                </w:p>
              </w:tc>
              <w:tc>
                <w:tcPr>
                  <w:tcW w:w="803" w:type="dxa"/>
                  <w:shd w:val="clear" w:color="auto" w:fill="auto"/>
                  <w:vAlign w:val="center"/>
                </w:tcPr>
                <w:p w:rsidR="00EE27CE" w:rsidRPr="00DB2B49" w:rsidRDefault="00EE27CE" w:rsidP="00EE27CE">
                  <w:pPr>
                    <w:pStyle w:val="TableBodyText"/>
                    <w:rPr>
                      <w:szCs w:val="18"/>
                    </w:rPr>
                  </w:pPr>
                  <w:r w:rsidRPr="00DB2B49">
                    <w:rPr>
                      <w:szCs w:val="18"/>
                    </w:rPr>
                    <w:t xml:space="preserve">472.6 </w:t>
                  </w:r>
                  <w:r w:rsidR="00FF07ED">
                    <w:rPr>
                      <w:szCs w:val="18"/>
                    </w:rPr>
                    <w:br/>
                  </w:r>
                  <w:r w:rsidRPr="00DB2B49">
                    <w:rPr>
                      <w:szCs w:val="18"/>
                    </w:rPr>
                    <w:t>± 2.8</w:t>
                  </w:r>
                </w:p>
              </w:tc>
              <w:tc>
                <w:tcPr>
                  <w:tcW w:w="804" w:type="dxa"/>
                  <w:shd w:val="clear" w:color="auto" w:fill="auto"/>
                  <w:vAlign w:val="center"/>
                </w:tcPr>
                <w:p w:rsidR="00EE27CE" w:rsidRPr="00DB2B49" w:rsidRDefault="00EE27CE" w:rsidP="00EE27CE">
                  <w:pPr>
                    <w:pStyle w:val="TableBodyText"/>
                    <w:rPr>
                      <w:szCs w:val="18"/>
                    </w:rPr>
                  </w:pPr>
                  <w:r w:rsidRPr="00DB2B49">
                    <w:rPr>
                      <w:szCs w:val="18"/>
                    </w:rPr>
                    <w:t>479.4</w:t>
                  </w:r>
                  <w:r w:rsidR="00FF07ED">
                    <w:rPr>
                      <w:szCs w:val="18"/>
                    </w:rPr>
                    <w:br/>
                  </w:r>
                  <w:r w:rsidRPr="00DB2B49">
                    <w:rPr>
                      <w:szCs w:val="18"/>
                    </w:rPr>
                    <w:t xml:space="preserve"> ± 4.8</w:t>
                  </w:r>
                </w:p>
              </w:tc>
              <w:tc>
                <w:tcPr>
                  <w:tcW w:w="803" w:type="dxa"/>
                  <w:shd w:val="clear" w:color="auto" w:fill="auto"/>
                  <w:vAlign w:val="center"/>
                </w:tcPr>
                <w:p w:rsidR="00EE27CE" w:rsidRPr="00DB2B49" w:rsidRDefault="00EE27CE" w:rsidP="00EE27CE">
                  <w:pPr>
                    <w:pStyle w:val="TableBodyText"/>
                    <w:rPr>
                      <w:szCs w:val="18"/>
                    </w:rPr>
                  </w:pPr>
                  <w:r w:rsidRPr="00DB2B49">
                    <w:rPr>
                      <w:szCs w:val="18"/>
                    </w:rPr>
                    <w:t xml:space="preserve">498.7 </w:t>
                  </w:r>
                  <w:r w:rsidR="00FF07ED">
                    <w:rPr>
                      <w:szCs w:val="18"/>
                    </w:rPr>
                    <w:br/>
                  </w:r>
                  <w:r w:rsidRPr="00DB2B49">
                    <w:rPr>
                      <w:szCs w:val="18"/>
                    </w:rPr>
                    <w:t>± 5.1</w:t>
                  </w:r>
                </w:p>
              </w:tc>
              <w:tc>
                <w:tcPr>
                  <w:tcW w:w="803" w:type="dxa"/>
                  <w:shd w:val="clear" w:color="auto" w:fill="auto"/>
                  <w:vAlign w:val="center"/>
                </w:tcPr>
                <w:p w:rsidR="00EE27CE" w:rsidRPr="00DB2B49" w:rsidRDefault="00EE27CE" w:rsidP="00EE27CE">
                  <w:pPr>
                    <w:pStyle w:val="TableBodyText"/>
                    <w:rPr>
                      <w:szCs w:val="18"/>
                    </w:rPr>
                  </w:pPr>
                  <w:r w:rsidRPr="00DB2B49">
                    <w:rPr>
                      <w:szCs w:val="18"/>
                    </w:rPr>
                    <w:t xml:space="preserve">421.5 </w:t>
                  </w:r>
                  <w:r w:rsidR="00FF07ED">
                    <w:rPr>
                      <w:szCs w:val="18"/>
                    </w:rPr>
                    <w:br/>
                  </w:r>
                  <w:r w:rsidRPr="00DB2B49">
                    <w:rPr>
                      <w:szCs w:val="18"/>
                    </w:rPr>
                    <w:t>± 14.4</w:t>
                  </w:r>
                </w:p>
              </w:tc>
              <w:tc>
                <w:tcPr>
                  <w:tcW w:w="804" w:type="dxa"/>
                  <w:shd w:val="clear" w:color="auto" w:fill="auto"/>
                  <w:vAlign w:val="center"/>
                </w:tcPr>
                <w:p w:rsidR="00EE27CE" w:rsidRPr="00DB2B49" w:rsidRDefault="00EE27CE" w:rsidP="00EE27CE">
                  <w:pPr>
                    <w:pStyle w:val="TableBodyText"/>
                    <w:rPr>
                      <w:szCs w:val="18"/>
                    </w:rPr>
                  </w:pPr>
                  <w:r w:rsidRPr="00DB2B49">
                    <w:rPr>
                      <w:szCs w:val="18"/>
                    </w:rPr>
                    <w:t xml:space="preserve">488.8 </w:t>
                  </w:r>
                  <w:r w:rsidR="00FF07ED">
                    <w:rPr>
                      <w:szCs w:val="18"/>
                    </w:rPr>
                    <w:br/>
                  </w:r>
                  <w:r w:rsidRPr="00DB2B49">
                    <w:rPr>
                      <w:szCs w:val="18"/>
                    </w:rPr>
                    <w:t>± 1.0</w:t>
                  </w:r>
                </w:p>
              </w:tc>
            </w:tr>
            <w:tr w:rsidR="00EE27CE" w:rsidRPr="00530424" w:rsidTr="001D0F72">
              <w:tc>
                <w:tcPr>
                  <w:tcW w:w="1560" w:type="dxa"/>
                  <w:shd w:val="clear" w:color="auto" w:fill="auto"/>
                </w:tcPr>
                <w:p w:rsidR="00EE27CE" w:rsidRPr="00DB2B49" w:rsidRDefault="00EE27CE" w:rsidP="004F0487">
                  <w:pPr>
                    <w:pStyle w:val="TableBodyText"/>
                    <w:jc w:val="left"/>
                  </w:pPr>
                  <w:r w:rsidRPr="00DB2B49">
                    <w:t>2012 Year 7</w:t>
                  </w:r>
                </w:p>
              </w:tc>
              <w:tc>
                <w:tcPr>
                  <w:tcW w:w="803" w:type="dxa"/>
                  <w:shd w:val="clear" w:color="auto" w:fill="auto"/>
                  <w:vAlign w:val="center"/>
                </w:tcPr>
                <w:p w:rsidR="00EE27CE" w:rsidRPr="00DB2B49" w:rsidRDefault="00EE27CE" w:rsidP="00EE27CE">
                  <w:pPr>
                    <w:pStyle w:val="TableBodyText"/>
                    <w:rPr>
                      <w:szCs w:val="18"/>
                    </w:rPr>
                  </w:pPr>
                  <w:r w:rsidRPr="00DB2B49">
                    <w:rPr>
                      <w:szCs w:val="18"/>
                    </w:rPr>
                    <w:t xml:space="preserve">543.4 </w:t>
                  </w:r>
                  <w:r w:rsidR="00535EC9">
                    <w:rPr>
                      <w:szCs w:val="18"/>
                    </w:rPr>
                    <w:br/>
                  </w:r>
                  <w:r w:rsidRPr="00DB2B49">
                    <w:rPr>
                      <w:szCs w:val="18"/>
                    </w:rPr>
                    <w:t>± 3.8</w:t>
                  </w:r>
                </w:p>
              </w:tc>
              <w:tc>
                <w:tcPr>
                  <w:tcW w:w="803" w:type="dxa"/>
                  <w:shd w:val="clear" w:color="auto" w:fill="auto"/>
                  <w:vAlign w:val="center"/>
                </w:tcPr>
                <w:p w:rsidR="00EE27CE" w:rsidRPr="00DB2B49" w:rsidRDefault="00EE27CE" w:rsidP="00EE27CE">
                  <w:pPr>
                    <w:pStyle w:val="TableBodyText"/>
                    <w:rPr>
                      <w:szCs w:val="18"/>
                    </w:rPr>
                  </w:pPr>
                  <w:r w:rsidRPr="00DB2B49">
                    <w:rPr>
                      <w:szCs w:val="18"/>
                    </w:rPr>
                    <w:t xml:space="preserve">544.3 </w:t>
                  </w:r>
                  <w:r w:rsidR="00535EC9">
                    <w:rPr>
                      <w:szCs w:val="18"/>
                    </w:rPr>
                    <w:br/>
                  </w:r>
                  <w:r w:rsidRPr="00DB2B49">
                    <w:rPr>
                      <w:szCs w:val="18"/>
                    </w:rPr>
                    <w:t>± 3.1</w:t>
                  </w:r>
                </w:p>
              </w:tc>
              <w:tc>
                <w:tcPr>
                  <w:tcW w:w="804" w:type="dxa"/>
                  <w:shd w:val="clear" w:color="auto" w:fill="auto"/>
                  <w:vAlign w:val="center"/>
                </w:tcPr>
                <w:p w:rsidR="00EE27CE" w:rsidRPr="00DB2B49" w:rsidRDefault="00EE27CE" w:rsidP="00EE27CE">
                  <w:pPr>
                    <w:pStyle w:val="TableBodyText"/>
                    <w:rPr>
                      <w:szCs w:val="18"/>
                    </w:rPr>
                  </w:pPr>
                  <w:r w:rsidRPr="00DB2B49">
                    <w:rPr>
                      <w:szCs w:val="18"/>
                    </w:rPr>
                    <w:t>532.0</w:t>
                  </w:r>
                  <w:r w:rsidR="00535EC9">
                    <w:rPr>
                      <w:szCs w:val="18"/>
                    </w:rPr>
                    <w:br/>
                  </w:r>
                  <w:r w:rsidRPr="00DB2B49">
                    <w:rPr>
                      <w:szCs w:val="18"/>
                    </w:rPr>
                    <w:t xml:space="preserve"> ± 2.1</w:t>
                  </w:r>
                </w:p>
              </w:tc>
              <w:tc>
                <w:tcPr>
                  <w:tcW w:w="803" w:type="dxa"/>
                  <w:shd w:val="clear" w:color="auto" w:fill="auto"/>
                  <w:vAlign w:val="center"/>
                </w:tcPr>
                <w:p w:rsidR="00EE27CE" w:rsidRPr="00DB2B49" w:rsidRDefault="00EE27CE" w:rsidP="00EE27CE">
                  <w:pPr>
                    <w:pStyle w:val="TableBodyText"/>
                    <w:rPr>
                      <w:szCs w:val="18"/>
                    </w:rPr>
                  </w:pPr>
                  <w:r w:rsidRPr="00DB2B49">
                    <w:rPr>
                      <w:szCs w:val="18"/>
                    </w:rPr>
                    <w:t xml:space="preserve">534.9 </w:t>
                  </w:r>
                  <w:r w:rsidR="00535EC9">
                    <w:rPr>
                      <w:szCs w:val="18"/>
                    </w:rPr>
                    <w:br/>
                  </w:r>
                  <w:r w:rsidRPr="00DB2B49">
                    <w:rPr>
                      <w:szCs w:val="18"/>
                    </w:rPr>
                    <w:t>± 3.3</w:t>
                  </w:r>
                </w:p>
              </w:tc>
              <w:tc>
                <w:tcPr>
                  <w:tcW w:w="803" w:type="dxa"/>
                  <w:shd w:val="clear" w:color="auto" w:fill="auto"/>
                  <w:vAlign w:val="center"/>
                </w:tcPr>
                <w:p w:rsidR="00EE27CE" w:rsidRPr="00DB2B49" w:rsidRDefault="00EE27CE" w:rsidP="00EE27CE">
                  <w:pPr>
                    <w:pStyle w:val="TableBodyText"/>
                    <w:rPr>
                      <w:szCs w:val="18"/>
                    </w:rPr>
                  </w:pPr>
                  <w:r w:rsidRPr="00DB2B49">
                    <w:rPr>
                      <w:szCs w:val="18"/>
                    </w:rPr>
                    <w:t xml:space="preserve">529.1 </w:t>
                  </w:r>
                  <w:r w:rsidR="00535EC9">
                    <w:rPr>
                      <w:szCs w:val="18"/>
                    </w:rPr>
                    <w:br/>
                  </w:r>
                  <w:r w:rsidRPr="00DB2B49">
                    <w:rPr>
                      <w:szCs w:val="18"/>
                    </w:rPr>
                    <w:t>± 3.1</w:t>
                  </w:r>
                </w:p>
              </w:tc>
              <w:tc>
                <w:tcPr>
                  <w:tcW w:w="804" w:type="dxa"/>
                  <w:shd w:val="clear" w:color="auto" w:fill="auto"/>
                  <w:vAlign w:val="center"/>
                </w:tcPr>
                <w:p w:rsidR="00EE27CE" w:rsidRPr="00DB2B49" w:rsidRDefault="00EE27CE" w:rsidP="00EE27CE">
                  <w:pPr>
                    <w:pStyle w:val="TableBodyText"/>
                    <w:rPr>
                      <w:szCs w:val="18"/>
                    </w:rPr>
                  </w:pPr>
                  <w:r w:rsidRPr="00DB2B49">
                    <w:rPr>
                      <w:szCs w:val="18"/>
                    </w:rPr>
                    <w:t xml:space="preserve">526.0 </w:t>
                  </w:r>
                  <w:r w:rsidR="00535EC9">
                    <w:rPr>
                      <w:szCs w:val="18"/>
                    </w:rPr>
                    <w:br/>
                  </w:r>
                  <w:r w:rsidRPr="00DB2B49">
                    <w:rPr>
                      <w:szCs w:val="18"/>
                    </w:rPr>
                    <w:t>± 7.1</w:t>
                  </w:r>
                </w:p>
              </w:tc>
              <w:tc>
                <w:tcPr>
                  <w:tcW w:w="803" w:type="dxa"/>
                  <w:shd w:val="clear" w:color="auto" w:fill="auto"/>
                  <w:vAlign w:val="center"/>
                </w:tcPr>
                <w:p w:rsidR="00EE27CE" w:rsidRPr="00DB2B49" w:rsidRDefault="00EE27CE" w:rsidP="00EE27CE">
                  <w:pPr>
                    <w:pStyle w:val="TableBodyText"/>
                    <w:rPr>
                      <w:szCs w:val="18"/>
                    </w:rPr>
                  </w:pPr>
                  <w:r w:rsidRPr="00DB2B49">
                    <w:rPr>
                      <w:szCs w:val="18"/>
                    </w:rPr>
                    <w:t xml:space="preserve">545.9 </w:t>
                  </w:r>
                  <w:r w:rsidR="00535EC9">
                    <w:rPr>
                      <w:szCs w:val="18"/>
                    </w:rPr>
                    <w:br/>
                  </w:r>
                  <w:r w:rsidRPr="00DB2B49">
                    <w:rPr>
                      <w:szCs w:val="18"/>
                    </w:rPr>
                    <w:t>± 9.7</w:t>
                  </w:r>
                </w:p>
              </w:tc>
              <w:tc>
                <w:tcPr>
                  <w:tcW w:w="803" w:type="dxa"/>
                  <w:shd w:val="clear" w:color="auto" w:fill="auto"/>
                  <w:vAlign w:val="center"/>
                </w:tcPr>
                <w:p w:rsidR="00EE27CE" w:rsidRPr="00DB2B49" w:rsidRDefault="00EE27CE" w:rsidP="00EE27CE">
                  <w:pPr>
                    <w:pStyle w:val="TableBodyText"/>
                    <w:rPr>
                      <w:szCs w:val="18"/>
                    </w:rPr>
                  </w:pPr>
                  <w:r w:rsidRPr="00DB2B49">
                    <w:rPr>
                      <w:szCs w:val="18"/>
                    </w:rPr>
                    <w:t xml:space="preserve">474.7 </w:t>
                  </w:r>
                  <w:r w:rsidR="00535EC9">
                    <w:rPr>
                      <w:szCs w:val="18"/>
                    </w:rPr>
                    <w:br/>
                  </w:r>
                  <w:r w:rsidRPr="00DB2B49">
                    <w:rPr>
                      <w:szCs w:val="18"/>
                    </w:rPr>
                    <w:t>± 18.4</w:t>
                  </w:r>
                </w:p>
              </w:tc>
              <w:tc>
                <w:tcPr>
                  <w:tcW w:w="804" w:type="dxa"/>
                  <w:shd w:val="clear" w:color="auto" w:fill="auto"/>
                  <w:vAlign w:val="center"/>
                </w:tcPr>
                <w:p w:rsidR="00EE27CE" w:rsidRPr="00DB2B49" w:rsidRDefault="00EE27CE" w:rsidP="00EE27CE">
                  <w:pPr>
                    <w:pStyle w:val="TableBodyText"/>
                    <w:rPr>
                      <w:szCs w:val="18"/>
                    </w:rPr>
                  </w:pPr>
                  <w:r w:rsidRPr="00DB2B49">
                    <w:rPr>
                      <w:szCs w:val="18"/>
                    </w:rPr>
                    <w:t xml:space="preserve">538.1 </w:t>
                  </w:r>
                  <w:r w:rsidR="00535EC9">
                    <w:rPr>
                      <w:szCs w:val="18"/>
                    </w:rPr>
                    <w:br/>
                  </w:r>
                  <w:r w:rsidRPr="00DB2B49">
                    <w:rPr>
                      <w:szCs w:val="18"/>
                    </w:rPr>
                    <w:t>± 1.6</w:t>
                  </w:r>
                </w:p>
              </w:tc>
            </w:tr>
            <w:tr w:rsidR="00D774C0" w:rsidRPr="00530424" w:rsidTr="00DB2B49">
              <w:tc>
                <w:tcPr>
                  <w:tcW w:w="1560" w:type="dxa"/>
                  <w:shd w:val="clear" w:color="auto" w:fill="FFFFFF" w:themeFill="background1"/>
                </w:tcPr>
                <w:p w:rsidR="00D774C0" w:rsidRPr="00DB2B49" w:rsidRDefault="00D774C0" w:rsidP="004F0487">
                  <w:pPr>
                    <w:pStyle w:val="TableBodyText"/>
                    <w:jc w:val="left"/>
                  </w:pPr>
                  <w:r w:rsidRPr="00DB2B49">
                    <w:t>2014 Year 9</w:t>
                  </w:r>
                </w:p>
              </w:tc>
              <w:tc>
                <w:tcPr>
                  <w:tcW w:w="803" w:type="dxa"/>
                  <w:shd w:val="clear" w:color="auto" w:fill="FFFFFF" w:themeFill="background1"/>
                  <w:vAlign w:val="center"/>
                </w:tcPr>
                <w:p w:rsidR="00D774C0" w:rsidRPr="00DB2B49" w:rsidRDefault="00D774C0" w:rsidP="00DB2B49">
                  <w:pPr>
                    <w:pStyle w:val="TableBodyText"/>
                    <w:rPr>
                      <w:rFonts w:cs="Arial"/>
                    </w:rPr>
                  </w:pPr>
                  <w:r w:rsidRPr="00DB2B49">
                    <w:rPr>
                      <w:rFonts w:cs="Arial"/>
                    </w:rPr>
                    <w:t xml:space="preserve">594.3 </w:t>
                  </w:r>
                  <w:r w:rsidR="00535EC9">
                    <w:rPr>
                      <w:rFonts w:cs="Arial"/>
                    </w:rPr>
                    <w:br/>
                  </w:r>
                  <w:r w:rsidRPr="00DB2B49">
                    <w:rPr>
                      <w:rFonts w:cs="Arial"/>
                    </w:rPr>
                    <w:t>± 3.8</w:t>
                  </w:r>
                </w:p>
              </w:tc>
              <w:tc>
                <w:tcPr>
                  <w:tcW w:w="803" w:type="dxa"/>
                  <w:shd w:val="clear" w:color="auto" w:fill="FFFFFF" w:themeFill="background1"/>
                  <w:vAlign w:val="center"/>
                </w:tcPr>
                <w:p w:rsidR="00D774C0" w:rsidRPr="00DB2B49" w:rsidRDefault="00D774C0" w:rsidP="00DB2B49">
                  <w:pPr>
                    <w:pStyle w:val="TableBodyText"/>
                    <w:rPr>
                      <w:rFonts w:cs="Arial"/>
                    </w:rPr>
                  </w:pPr>
                  <w:r w:rsidRPr="00DB2B49">
                    <w:rPr>
                      <w:rFonts w:cs="Arial"/>
                    </w:rPr>
                    <w:t xml:space="preserve">592.3 </w:t>
                  </w:r>
                  <w:r w:rsidR="00535EC9">
                    <w:rPr>
                      <w:rFonts w:cs="Arial"/>
                    </w:rPr>
                    <w:br/>
                  </w:r>
                  <w:r w:rsidRPr="00DB2B49">
                    <w:rPr>
                      <w:rFonts w:cs="Arial"/>
                    </w:rPr>
                    <w:t>± 3.8</w:t>
                  </w:r>
                </w:p>
              </w:tc>
              <w:tc>
                <w:tcPr>
                  <w:tcW w:w="804" w:type="dxa"/>
                  <w:shd w:val="clear" w:color="auto" w:fill="FFFFFF" w:themeFill="background1"/>
                  <w:vAlign w:val="center"/>
                </w:tcPr>
                <w:p w:rsidR="00D774C0" w:rsidRPr="00DB2B49" w:rsidRDefault="00D774C0" w:rsidP="00DB2B49">
                  <w:pPr>
                    <w:pStyle w:val="TableBodyText"/>
                    <w:rPr>
                      <w:rFonts w:cs="Arial"/>
                    </w:rPr>
                  </w:pPr>
                  <w:r w:rsidRPr="00DB2B49">
                    <w:rPr>
                      <w:rFonts w:cs="Arial"/>
                    </w:rPr>
                    <w:t xml:space="preserve">579.8 </w:t>
                  </w:r>
                  <w:r w:rsidR="00535EC9">
                    <w:rPr>
                      <w:rFonts w:cs="Arial"/>
                    </w:rPr>
                    <w:br/>
                  </w:r>
                  <w:r w:rsidRPr="00DB2B49">
                    <w:rPr>
                      <w:rFonts w:cs="Arial"/>
                    </w:rPr>
                    <w:t>± 3.4</w:t>
                  </w:r>
                </w:p>
              </w:tc>
              <w:tc>
                <w:tcPr>
                  <w:tcW w:w="803" w:type="dxa"/>
                  <w:shd w:val="clear" w:color="auto" w:fill="FFFFFF" w:themeFill="background1"/>
                  <w:vAlign w:val="center"/>
                </w:tcPr>
                <w:p w:rsidR="00D774C0" w:rsidRPr="00DB2B49" w:rsidRDefault="00D774C0" w:rsidP="00DB2B49">
                  <w:pPr>
                    <w:pStyle w:val="TableBodyText"/>
                    <w:rPr>
                      <w:rFonts w:cs="Arial"/>
                    </w:rPr>
                  </w:pPr>
                  <w:r w:rsidRPr="00DB2B49">
                    <w:rPr>
                      <w:rFonts w:cs="Arial"/>
                    </w:rPr>
                    <w:t xml:space="preserve">591.1 </w:t>
                  </w:r>
                  <w:r w:rsidR="00535EC9">
                    <w:rPr>
                      <w:rFonts w:cs="Arial"/>
                    </w:rPr>
                    <w:br/>
                  </w:r>
                  <w:r w:rsidRPr="00DB2B49">
                    <w:rPr>
                      <w:rFonts w:cs="Arial"/>
                    </w:rPr>
                    <w:t>± 5.5</w:t>
                  </w:r>
                </w:p>
              </w:tc>
              <w:tc>
                <w:tcPr>
                  <w:tcW w:w="803" w:type="dxa"/>
                  <w:shd w:val="clear" w:color="auto" w:fill="FFFFFF" w:themeFill="background1"/>
                  <w:vAlign w:val="center"/>
                </w:tcPr>
                <w:p w:rsidR="00D774C0" w:rsidRPr="00DB2B49" w:rsidRDefault="00D774C0" w:rsidP="00DB2B49">
                  <w:pPr>
                    <w:pStyle w:val="TableBodyText"/>
                    <w:rPr>
                      <w:rFonts w:cs="Arial"/>
                    </w:rPr>
                  </w:pPr>
                  <w:r w:rsidRPr="00DB2B49">
                    <w:rPr>
                      <w:rFonts w:cs="Arial"/>
                    </w:rPr>
                    <w:t>573.6</w:t>
                  </w:r>
                  <w:r w:rsidR="00535EC9">
                    <w:rPr>
                      <w:rFonts w:cs="Arial"/>
                    </w:rPr>
                    <w:br/>
                  </w:r>
                  <w:r w:rsidRPr="00DB2B49">
                    <w:rPr>
                      <w:rFonts w:cs="Arial"/>
                    </w:rPr>
                    <w:t xml:space="preserve"> ± 5.3</w:t>
                  </w:r>
                </w:p>
              </w:tc>
              <w:tc>
                <w:tcPr>
                  <w:tcW w:w="804" w:type="dxa"/>
                  <w:shd w:val="clear" w:color="auto" w:fill="FFFFFF" w:themeFill="background1"/>
                  <w:vAlign w:val="center"/>
                </w:tcPr>
                <w:p w:rsidR="00D774C0" w:rsidRPr="00DB2B49" w:rsidRDefault="00D774C0" w:rsidP="00DB2B49">
                  <w:pPr>
                    <w:pStyle w:val="TableBodyText"/>
                    <w:rPr>
                      <w:rFonts w:cs="Arial"/>
                    </w:rPr>
                  </w:pPr>
                  <w:r w:rsidRPr="00DB2B49">
                    <w:rPr>
                      <w:rFonts w:cs="Arial"/>
                    </w:rPr>
                    <w:t xml:space="preserve">572.8 </w:t>
                  </w:r>
                  <w:r w:rsidR="00535EC9">
                    <w:rPr>
                      <w:rFonts w:cs="Arial"/>
                    </w:rPr>
                    <w:br/>
                  </w:r>
                  <w:r w:rsidRPr="00DB2B49">
                    <w:rPr>
                      <w:rFonts w:cs="Arial"/>
                    </w:rPr>
                    <w:t>± 7.0</w:t>
                  </w:r>
                </w:p>
              </w:tc>
              <w:tc>
                <w:tcPr>
                  <w:tcW w:w="803" w:type="dxa"/>
                  <w:shd w:val="clear" w:color="auto" w:fill="FFFFFF" w:themeFill="background1"/>
                  <w:vAlign w:val="center"/>
                </w:tcPr>
                <w:p w:rsidR="00D774C0" w:rsidRPr="00DB2B49" w:rsidRDefault="00D774C0" w:rsidP="00DB2B49">
                  <w:pPr>
                    <w:pStyle w:val="TableBodyText"/>
                    <w:rPr>
                      <w:rFonts w:cs="Arial"/>
                    </w:rPr>
                  </w:pPr>
                  <w:r w:rsidRPr="00DB2B49">
                    <w:rPr>
                      <w:rFonts w:cs="Arial"/>
                    </w:rPr>
                    <w:t xml:space="preserve">594.4 </w:t>
                  </w:r>
                  <w:r w:rsidR="00535EC9">
                    <w:rPr>
                      <w:rFonts w:cs="Arial"/>
                    </w:rPr>
                    <w:br/>
                  </w:r>
                  <w:r w:rsidRPr="00DB2B49">
                    <w:rPr>
                      <w:rFonts w:cs="Arial"/>
                    </w:rPr>
                    <w:t>± 9.7</w:t>
                  </w:r>
                </w:p>
              </w:tc>
              <w:tc>
                <w:tcPr>
                  <w:tcW w:w="803" w:type="dxa"/>
                  <w:shd w:val="clear" w:color="auto" w:fill="FFFFFF" w:themeFill="background1"/>
                  <w:vAlign w:val="center"/>
                </w:tcPr>
                <w:p w:rsidR="00D774C0" w:rsidRPr="00DB2B49" w:rsidRDefault="00D774C0" w:rsidP="00DB2B49">
                  <w:pPr>
                    <w:pStyle w:val="TableBodyText"/>
                    <w:rPr>
                      <w:rFonts w:cs="Arial"/>
                    </w:rPr>
                  </w:pPr>
                  <w:r w:rsidRPr="00DB2B49">
                    <w:rPr>
                      <w:rFonts w:cs="Arial"/>
                    </w:rPr>
                    <w:t xml:space="preserve">532.0 </w:t>
                  </w:r>
                  <w:r w:rsidR="00535EC9">
                    <w:rPr>
                      <w:rFonts w:cs="Arial"/>
                    </w:rPr>
                    <w:br/>
                  </w:r>
                  <w:r w:rsidRPr="00DB2B49">
                    <w:rPr>
                      <w:rFonts w:cs="Arial"/>
                    </w:rPr>
                    <w:t>± 17.2</w:t>
                  </w:r>
                </w:p>
              </w:tc>
              <w:tc>
                <w:tcPr>
                  <w:tcW w:w="804" w:type="dxa"/>
                  <w:shd w:val="clear" w:color="auto" w:fill="FFFFFF" w:themeFill="background1"/>
                  <w:vAlign w:val="center"/>
                </w:tcPr>
                <w:p w:rsidR="00D774C0" w:rsidRPr="00DB2B49" w:rsidRDefault="00D774C0" w:rsidP="00DB2B49">
                  <w:pPr>
                    <w:pStyle w:val="TableBodyText"/>
                    <w:rPr>
                      <w:rFonts w:cs="Arial"/>
                    </w:rPr>
                  </w:pPr>
                  <w:r w:rsidRPr="00DB2B49">
                    <w:rPr>
                      <w:rFonts w:cs="Arial"/>
                    </w:rPr>
                    <w:t xml:space="preserve">587.8 </w:t>
                  </w:r>
                  <w:r w:rsidR="00535EC9">
                    <w:rPr>
                      <w:rFonts w:cs="Arial"/>
                    </w:rPr>
                    <w:br/>
                  </w:r>
                  <w:r w:rsidRPr="00DB2B49">
                    <w:rPr>
                      <w:rFonts w:cs="Arial"/>
                    </w:rPr>
                    <w:t>± 1.9</w:t>
                  </w:r>
                </w:p>
              </w:tc>
            </w:tr>
            <w:tr w:rsidR="00EE27CE" w:rsidRPr="00530424" w:rsidTr="001D0F72">
              <w:tc>
                <w:tcPr>
                  <w:tcW w:w="1560" w:type="dxa"/>
                  <w:shd w:val="clear" w:color="auto" w:fill="auto"/>
                </w:tcPr>
                <w:p w:rsidR="00EE27CE" w:rsidRPr="002A6CB1" w:rsidRDefault="00EE27CE" w:rsidP="004F0487">
                  <w:pPr>
                    <w:pStyle w:val="TableBodyText"/>
                    <w:jc w:val="left"/>
                    <w:rPr>
                      <w:b/>
                    </w:rPr>
                  </w:pPr>
                  <w:r w:rsidRPr="002A6CB1">
                    <w:rPr>
                      <w:b/>
                    </w:rPr>
                    <w:t>Gain 2008-2010</w:t>
                  </w:r>
                </w:p>
              </w:tc>
              <w:tc>
                <w:tcPr>
                  <w:tcW w:w="803" w:type="dxa"/>
                  <w:shd w:val="clear" w:color="auto" w:fill="auto"/>
                  <w:vAlign w:val="center"/>
                </w:tcPr>
                <w:p w:rsidR="00EE27CE" w:rsidRPr="002A6CB1" w:rsidRDefault="00EE27CE" w:rsidP="00EE27CE">
                  <w:pPr>
                    <w:pStyle w:val="TableBodyText"/>
                    <w:rPr>
                      <w:b/>
                      <w:szCs w:val="18"/>
                    </w:rPr>
                  </w:pPr>
                  <w:r w:rsidRPr="002A6CB1">
                    <w:rPr>
                      <w:b/>
                      <w:szCs w:val="18"/>
                    </w:rPr>
                    <w:t>89.5</w:t>
                  </w:r>
                  <w:r w:rsidR="00535EC9" w:rsidRPr="002A6CB1">
                    <w:rPr>
                      <w:b/>
                      <w:szCs w:val="18"/>
                    </w:rPr>
                    <w:br/>
                  </w:r>
                  <w:r w:rsidRPr="002A6CB1">
                    <w:rPr>
                      <w:b/>
                      <w:szCs w:val="18"/>
                    </w:rPr>
                    <w:t xml:space="preserve"> ± 8.5</w:t>
                  </w:r>
                </w:p>
              </w:tc>
              <w:tc>
                <w:tcPr>
                  <w:tcW w:w="803" w:type="dxa"/>
                  <w:shd w:val="clear" w:color="auto" w:fill="auto"/>
                  <w:vAlign w:val="center"/>
                </w:tcPr>
                <w:p w:rsidR="00EE27CE" w:rsidRPr="002A6CB1" w:rsidRDefault="00EE27CE" w:rsidP="00EE27CE">
                  <w:pPr>
                    <w:pStyle w:val="TableBodyText"/>
                    <w:rPr>
                      <w:b/>
                      <w:szCs w:val="18"/>
                    </w:rPr>
                  </w:pPr>
                  <w:r w:rsidRPr="002A6CB1">
                    <w:rPr>
                      <w:b/>
                      <w:szCs w:val="18"/>
                    </w:rPr>
                    <w:t xml:space="preserve">85.8 </w:t>
                  </w:r>
                  <w:r w:rsidR="00535EC9" w:rsidRPr="002A6CB1">
                    <w:rPr>
                      <w:b/>
                      <w:szCs w:val="18"/>
                    </w:rPr>
                    <w:br/>
                  </w:r>
                  <w:r w:rsidRPr="002A6CB1">
                    <w:rPr>
                      <w:b/>
                      <w:szCs w:val="18"/>
                    </w:rPr>
                    <w:t>± 8.4</w:t>
                  </w:r>
                </w:p>
              </w:tc>
              <w:tc>
                <w:tcPr>
                  <w:tcW w:w="804" w:type="dxa"/>
                  <w:shd w:val="clear" w:color="auto" w:fill="auto"/>
                  <w:vAlign w:val="center"/>
                </w:tcPr>
                <w:p w:rsidR="00EE27CE" w:rsidRPr="002A6CB1" w:rsidRDefault="00EE27CE" w:rsidP="00EE27CE">
                  <w:pPr>
                    <w:pStyle w:val="TableBodyText"/>
                    <w:rPr>
                      <w:b/>
                      <w:szCs w:val="18"/>
                    </w:rPr>
                  </w:pPr>
                  <w:r w:rsidRPr="002A6CB1">
                    <w:rPr>
                      <w:b/>
                      <w:szCs w:val="18"/>
                    </w:rPr>
                    <w:t xml:space="preserve">106.2 </w:t>
                  </w:r>
                  <w:r w:rsidR="00535EC9" w:rsidRPr="002A6CB1">
                    <w:rPr>
                      <w:b/>
                      <w:szCs w:val="18"/>
                    </w:rPr>
                    <w:br/>
                  </w:r>
                  <w:r w:rsidRPr="002A6CB1">
                    <w:rPr>
                      <w:b/>
                      <w:szCs w:val="18"/>
                    </w:rPr>
                    <w:t>± 8.6</w:t>
                  </w:r>
                </w:p>
              </w:tc>
              <w:tc>
                <w:tcPr>
                  <w:tcW w:w="803" w:type="dxa"/>
                  <w:shd w:val="clear" w:color="auto" w:fill="auto"/>
                  <w:vAlign w:val="center"/>
                </w:tcPr>
                <w:p w:rsidR="00EE27CE" w:rsidRPr="002A6CB1" w:rsidRDefault="00EE27CE" w:rsidP="00EE27CE">
                  <w:pPr>
                    <w:pStyle w:val="TableBodyText"/>
                    <w:rPr>
                      <w:b/>
                      <w:szCs w:val="18"/>
                    </w:rPr>
                  </w:pPr>
                  <w:r w:rsidRPr="002A6CB1">
                    <w:rPr>
                      <w:b/>
                      <w:szCs w:val="18"/>
                    </w:rPr>
                    <w:t xml:space="preserve">94.9 </w:t>
                  </w:r>
                  <w:r w:rsidR="00535EC9" w:rsidRPr="002A6CB1">
                    <w:rPr>
                      <w:b/>
                      <w:szCs w:val="18"/>
                    </w:rPr>
                    <w:br/>
                  </w:r>
                  <w:r w:rsidRPr="002A6CB1">
                    <w:rPr>
                      <w:b/>
                      <w:szCs w:val="18"/>
                    </w:rPr>
                    <w:t>± 8.9</w:t>
                  </w:r>
                </w:p>
              </w:tc>
              <w:tc>
                <w:tcPr>
                  <w:tcW w:w="803" w:type="dxa"/>
                  <w:shd w:val="clear" w:color="auto" w:fill="auto"/>
                  <w:vAlign w:val="center"/>
                </w:tcPr>
                <w:p w:rsidR="00EE27CE" w:rsidRPr="002A6CB1" w:rsidRDefault="00EE27CE" w:rsidP="00EE27CE">
                  <w:pPr>
                    <w:pStyle w:val="TableBodyText"/>
                    <w:rPr>
                      <w:b/>
                      <w:szCs w:val="18"/>
                    </w:rPr>
                  </w:pPr>
                  <w:r w:rsidRPr="002A6CB1">
                    <w:rPr>
                      <w:b/>
                      <w:szCs w:val="18"/>
                    </w:rPr>
                    <w:t xml:space="preserve">83.8 </w:t>
                  </w:r>
                  <w:r w:rsidR="00535EC9" w:rsidRPr="002A6CB1">
                    <w:rPr>
                      <w:b/>
                      <w:szCs w:val="18"/>
                    </w:rPr>
                    <w:br/>
                  </w:r>
                  <w:r w:rsidRPr="002A6CB1">
                    <w:rPr>
                      <w:b/>
                      <w:szCs w:val="18"/>
                    </w:rPr>
                    <w:t>± 9.0</w:t>
                  </w:r>
                </w:p>
              </w:tc>
              <w:tc>
                <w:tcPr>
                  <w:tcW w:w="804" w:type="dxa"/>
                  <w:shd w:val="clear" w:color="auto" w:fill="auto"/>
                  <w:vAlign w:val="center"/>
                </w:tcPr>
                <w:p w:rsidR="00EE27CE" w:rsidRPr="002A6CB1" w:rsidRDefault="00EE27CE" w:rsidP="00EE27CE">
                  <w:pPr>
                    <w:pStyle w:val="TableBodyText"/>
                    <w:rPr>
                      <w:b/>
                      <w:szCs w:val="18"/>
                    </w:rPr>
                  </w:pPr>
                  <w:r w:rsidRPr="002A6CB1">
                    <w:rPr>
                      <w:b/>
                      <w:szCs w:val="18"/>
                    </w:rPr>
                    <w:t xml:space="preserve">79.5 </w:t>
                  </w:r>
                  <w:r w:rsidR="00535EC9" w:rsidRPr="002A6CB1">
                    <w:rPr>
                      <w:b/>
                      <w:szCs w:val="18"/>
                    </w:rPr>
                    <w:br/>
                  </w:r>
                  <w:r w:rsidRPr="002A6CB1">
                    <w:rPr>
                      <w:b/>
                      <w:szCs w:val="18"/>
                    </w:rPr>
                    <w:t>± 10.3</w:t>
                  </w:r>
                </w:p>
              </w:tc>
              <w:tc>
                <w:tcPr>
                  <w:tcW w:w="803" w:type="dxa"/>
                  <w:shd w:val="clear" w:color="auto" w:fill="auto"/>
                  <w:vAlign w:val="center"/>
                </w:tcPr>
                <w:p w:rsidR="00EE27CE" w:rsidRPr="002A6CB1" w:rsidRDefault="00EE27CE" w:rsidP="00EE27CE">
                  <w:pPr>
                    <w:pStyle w:val="TableBodyText"/>
                    <w:rPr>
                      <w:b/>
                      <w:szCs w:val="18"/>
                    </w:rPr>
                  </w:pPr>
                  <w:r w:rsidRPr="002A6CB1">
                    <w:rPr>
                      <w:b/>
                      <w:szCs w:val="18"/>
                    </w:rPr>
                    <w:t xml:space="preserve">87.2 </w:t>
                  </w:r>
                  <w:r w:rsidR="00535EC9" w:rsidRPr="002A6CB1">
                    <w:rPr>
                      <w:b/>
                      <w:szCs w:val="18"/>
                    </w:rPr>
                    <w:br/>
                  </w:r>
                  <w:r w:rsidRPr="002A6CB1">
                    <w:rPr>
                      <w:b/>
                      <w:szCs w:val="18"/>
                    </w:rPr>
                    <w:t>± 10.8</w:t>
                  </w:r>
                </w:p>
              </w:tc>
              <w:tc>
                <w:tcPr>
                  <w:tcW w:w="803" w:type="dxa"/>
                  <w:shd w:val="clear" w:color="auto" w:fill="auto"/>
                  <w:vAlign w:val="center"/>
                </w:tcPr>
                <w:p w:rsidR="00EE27CE" w:rsidRPr="002A6CB1" w:rsidRDefault="00EE27CE" w:rsidP="00EE27CE">
                  <w:pPr>
                    <w:pStyle w:val="TableBodyText"/>
                    <w:rPr>
                      <w:b/>
                      <w:szCs w:val="18"/>
                    </w:rPr>
                  </w:pPr>
                  <w:r w:rsidRPr="002A6CB1">
                    <w:rPr>
                      <w:b/>
                      <w:szCs w:val="18"/>
                    </w:rPr>
                    <w:t xml:space="preserve">83.1 </w:t>
                  </w:r>
                  <w:r w:rsidR="00535EC9" w:rsidRPr="002A6CB1">
                    <w:rPr>
                      <w:b/>
                      <w:szCs w:val="18"/>
                    </w:rPr>
                    <w:br/>
                  </w:r>
                  <w:r w:rsidRPr="002A6CB1">
                    <w:rPr>
                      <w:b/>
                      <w:szCs w:val="18"/>
                    </w:rPr>
                    <w:t>± 20.5</w:t>
                  </w:r>
                </w:p>
              </w:tc>
              <w:tc>
                <w:tcPr>
                  <w:tcW w:w="804" w:type="dxa"/>
                  <w:shd w:val="clear" w:color="auto" w:fill="auto"/>
                  <w:vAlign w:val="center"/>
                </w:tcPr>
                <w:p w:rsidR="00EE27CE" w:rsidRPr="002A6CB1" w:rsidRDefault="00EE27CE" w:rsidP="00EE27CE">
                  <w:pPr>
                    <w:pStyle w:val="TableBodyText"/>
                    <w:rPr>
                      <w:b/>
                      <w:szCs w:val="18"/>
                    </w:rPr>
                  </w:pPr>
                  <w:r w:rsidRPr="002A6CB1">
                    <w:rPr>
                      <w:b/>
                      <w:szCs w:val="18"/>
                    </w:rPr>
                    <w:t xml:space="preserve">91.9 </w:t>
                  </w:r>
                  <w:r w:rsidR="00535EC9" w:rsidRPr="002A6CB1">
                    <w:rPr>
                      <w:b/>
                      <w:szCs w:val="18"/>
                    </w:rPr>
                    <w:br/>
                  </w:r>
                  <w:r w:rsidRPr="002A6CB1">
                    <w:rPr>
                      <w:b/>
                      <w:szCs w:val="18"/>
                    </w:rPr>
                    <w:t>± 8.3</w:t>
                  </w:r>
                </w:p>
              </w:tc>
            </w:tr>
            <w:tr w:rsidR="00EE27CE" w:rsidRPr="00530424" w:rsidTr="001D0F72">
              <w:tc>
                <w:tcPr>
                  <w:tcW w:w="1560" w:type="dxa"/>
                  <w:shd w:val="clear" w:color="auto" w:fill="auto"/>
                </w:tcPr>
                <w:p w:rsidR="00EE27CE" w:rsidRPr="002A6CB1" w:rsidRDefault="00EE27CE" w:rsidP="004F0487">
                  <w:pPr>
                    <w:pStyle w:val="TableBodyText"/>
                    <w:jc w:val="left"/>
                    <w:rPr>
                      <w:b/>
                    </w:rPr>
                  </w:pPr>
                  <w:r w:rsidRPr="002A6CB1">
                    <w:rPr>
                      <w:b/>
                    </w:rPr>
                    <w:t>Gain 2010-2012</w:t>
                  </w:r>
                </w:p>
              </w:tc>
              <w:tc>
                <w:tcPr>
                  <w:tcW w:w="803" w:type="dxa"/>
                  <w:shd w:val="clear" w:color="auto" w:fill="auto"/>
                  <w:vAlign w:val="center"/>
                </w:tcPr>
                <w:p w:rsidR="00EE27CE" w:rsidRPr="002A6CB1" w:rsidRDefault="00EE27CE" w:rsidP="00EE27CE">
                  <w:pPr>
                    <w:pStyle w:val="TableBodyText"/>
                    <w:rPr>
                      <w:b/>
                      <w:szCs w:val="18"/>
                    </w:rPr>
                  </w:pPr>
                  <w:r w:rsidRPr="002A6CB1">
                    <w:rPr>
                      <w:b/>
                      <w:szCs w:val="18"/>
                    </w:rPr>
                    <w:t xml:space="preserve">45.0 </w:t>
                  </w:r>
                  <w:r w:rsidR="00535EC9" w:rsidRPr="002A6CB1">
                    <w:rPr>
                      <w:b/>
                      <w:szCs w:val="18"/>
                    </w:rPr>
                    <w:br/>
                  </w:r>
                  <w:r w:rsidRPr="002A6CB1">
                    <w:rPr>
                      <w:b/>
                      <w:szCs w:val="18"/>
                    </w:rPr>
                    <w:t>± 7.2</w:t>
                  </w:r>
                </w:p>
              </w:tc>
              <w:tc>
                <w:tcPr>
                  <w:tcW w:w="803" w:type="dxa"/>
                  <w:shd w:val="clear" w:color="auto" w:fill="auto"/>
                  <w:vAlign w:val="center"/>
                </w:tcPr>
                <w:p w:rsidR="00EE27CE" w:rsidRPr="002A6CB1" w:rsidRDefault="00EE27CE" w:rsidP="00EE27CE">
                  <w:pPr>
                    <w:pStyle w:val="TableBodyText"/>
                    <w:rPr>
                      <w:b/>
                      <w:szCs w:val="18"/>
                    </w:rPr>
                  </w:pPr>
                  <w:r w:rsidRPr="002A6CB1">
                    <w:rPr>
                      <w:b/>
                      <w:szCs w:val="18"/>
                    </w:rPr>
                    <w:t xml:space="preserve">41.6 </w:t>
                  </w:r>
                  <w:r w:rsidR="00535EC9" w:rsidRPr="002A6CB1">
                    <w:rPr>
                      <w:b/>
                      <w:szCs w:val="18"/>
                    </w:rPr>
                    <w:br/>
                  </w:r>
                  <w:r w:rsidRPr="002A6CB1">
                    <w:rPr>
                      <w:b/>
                      <w:szCs w:val="18"/>
                    </w:rPr>
                    <w:t>± 6.7</w:t>
                  </w:r>
                </w:p>
              </w:tc>
              <w:tc>
                <w:tcPr>
                  <w:tcW w:w="804" w:type="dxa"/>
                  <w:shd w:val="clear" w:color="auto" w:fill="auto"/>
                  <w:vAlign w:val="center"/>
                </w:tcPr>
                <w:p w:rsidR="00EE27CE" w:rsidRPr="002A6CB1" w:rsidRDefault="00EE27CE" w:rsidP="00EE27CE">
                  <w:pPr>
                    <w:pStyle w:val="TableBodyText"/>
                    <w:rPr>
                      <w:b/>
                      <w:szCs w:val="18"/>
                    </w:rPr>
                  </w:pPr>
                  <w:r w:rsidRPr="002A6CB1">
                    <w:rPr>
                      <w:b/>
                      <w:szCs w:val="18"/>
                    </w:rPr>
                    <w:t xml:space="preserve">57.9 </w:t>
                  </w:r>
                  <w:r w:rsidR="00535EC9" w:rsidRPr="002A6CB1">
                    <w:rPr>
                      <w:b/>
                      <w:szCs w:val="18"/>
                    </w:rPr>
                    <w:br/>
                  </w:r>
                  <w:r w:rsidRPr="002A6CB1">
                    <w:rPr>
                      <w:b/>
                      <w:szCs w:val="18"/>
                    </w:rPr>
                    <w:t>± 6.4</w:t>
                  </w:r>
                </w:p>
              </w:tc>
              <w:tc>
                <w:tcPr>
                  <w:tcW w:w="803" w:type="dxa"/>
                  <w:shd w:val="clear" w:color="auto" w:fill="auto"/>
                  <w:vAlign w:val="center"/>
                </w:tcPr>
                <w:p w:rsidR="00EE27CE" w:rsidRPr="002A6CB1" w:rsidRDefault="00EE27CE" w:rsidP="00EE27CE">
                  <w:pPr>
                    <w:pStyle w:val="TableBodyText"/>
                    <w:rPr>
                      <w:b/>
                      <w:szCs w:val="18"/>
                    </w:rPr>
                  </w:pPr>
                  <w:r w:rsidRPr="002A6CB1">
                    <w:rPr>
                      <w:b/>
                      <w:szCs w:val="18"/>
                    </w:rPr>
                    <w:t xml:space="preserve">58.1 </w:t>
                  </w:r>
                  <w:r w:rsidR="00535EC9" w:rsidRPr="002A6CB1">
                    <w:rPr>
                      <w:b/>
                      <w:szCs w:val="18"/>
                    </w:rPr>
                    <w:br/>
                  </w:r>
                  <w:r w:rsidRPr="002A6CB1">
                    <w:rPr>
                      <w:b/>
                      <w:szCs w:val="18"/>
                    </w:rPr>
                    <w:t>± 7.1</w:t>
                  </w:r>
                </w:p>
              </w:tc>
              <w:tc>
                <w:tcPr>
                  <w:tcW w:w="803" w:type="dxa"/>
                  <w:shd w:val="clear" w:color="auto" w:fill="auto"/>
                  <w:vAlign w:val="center"/>
                </w:tcPr>
                <w:p w:rsidR="00EE27CE" w:rsidRPr="002A6CB1" w:rsidRDefault="00EE27CE" w:rsidP="00EE27CE">
                  <w:pPr>
                    <w:pStyle w:val="TableBodyText"/>
                    <w:rPr>
                      <w:b/>
                      <w:szCs w:val="18"/>
                    </w:rPr>
                  </w:pPr>
                  <w:r w:rsidRPr="002A6CB1">
                    <w:rPr>
                      <w:b/>
                      <w:szCs w:val="18"/>
                    </w:rPr>
                    <w:t xml:space="preserve">56.5 </w:t>
                  </w:r>
                  <w:r w:rsidR="00535EC9" w:rsidRPr="002A6CB1">
                    <w:rPr>
                      <w:b/>
                      <w:szCs w:val="18"/>
                    </w:rPr>
                    <w:br/>
                  </w:r>
                  <w:r w:rsidRPr="002A6CB1">
                    <w:rPr>
                      <w:b/>
                      <w:szCs w:val="18"/>
                    </w:rPr>
                    <w:t>± 7.1</w:t>
                  </w:r>
                </w:p>
              </w:tc>
              <w:tc>
                <w:tcPr>
                  <w:tcW w:w="804" w:type="dxa"/>
                  <w:shd w:val="clear" w:color="auto" w:fill="auto"/>
                  <w:vAlign w:val="center"/>
                </w:tcPr>
                <w:p w:rsidR="00EE27CE" w:rsidRPr="002A6CB1" w:rsidRDefault="00EE27CE" w:rsidP="00EE27CE">
                  <w:pPr>
                    <w:pStyle w:val="TableBodyText"/>
                    <w:rPr>
                      <w:b/>
                      <w:szCs w:val="18"/>
                    </w:rPr>
                  </w:pPr>
                  <w:r w:rsidRPr="002A6CB1">
                    <w:rPr>
                      <w:b/>
                      <w:szCs w:val="18"/>
                    </w:rPr>
                    <w:t xml:space="preserve">46.6 </w:t>
                  </w:r>
                  <w:r w:rsidR="00535EC9" w:rsidRPr="002A6CB1">
                    <w:rPr>
                      <w:b/>
                      <w:szCs w:val="18"/>
                    </w:rPr>
                    <w:br/>
                  </w:r>
                  <w:r w:rsidRPr="002A6CB1">
                    <w:rPr>
                      <w:b/>
                      <w:szCs w:val="18"/>
                    </w:rPr>
                    <w:t>± 10.3</w:t>
                  </w:r>
                </w:p>
              </w:tc>
              <w:tc>
                <w:tcPr>
                  <w:tcW w:w="803" w:type="dxa"/>
                  <w:shd w:val="clear" w:color="auto" w:fill="auto"/>
                  <w:vAlign w:val="center"/>
                </w:tcPr>
                <w:p w:rsidR="00EE27CE" w:rsidRPr="002A6CB1" w:rsidRDefault="00EE27CE" w:rsidP="00EE27CE">
                  <w:pPr>
                    <w:pStyle w:val="TableBodyText"/>
                    <w:rPr>
                      <w:b/>
                      <w:szCs w:val="18"/>
                    </w:rPr>
                  </w:pPr>
                  <w:r w:rsidRPr="002A6CB1">
                    <w:rPr>
                      <w:b/>
                      <w:szCs w:val="18"/>
                    </w:rPr>
                    <w:t xml:space="preserve">47.2 </w:t>
                  </w:r>
                  <w:r w:rsidR="00535EC9" w:rsidRPr="002A6CB1">
                    <w:rPr>
                      <w:b/>
                      <w:szCs w:val="18"/>
                    </w:rPr>
                    <w:br/>
                  </w:r>
                  <w:r w:rsidRPr="002A6CB1">
                    <w:rPr>
                      <w:b/>
                      <w:szCs w:val="18"/>
                    </w:rPr>
                    <w:t>± 12.4</w:t>
                  </w:r>
                </w:p>
              </w:tc>
              <w:tc>
                <w:tcPr>
                  <w:tcW w:w="803" w:type="dxa"/>
                  <w:shd w:val="clear" w:color="auto" w:fill="auto"/>
                  <w:vAlign w:val="center"/>
                </w:tcPr>
                <w:p w:rsidR="00EE27CE" w:rsidRPr="002A6CB1" w:rsidRDefault="00EE27CE" w:rsidP="00EE27CE">
                  <w:pPr>
                    <w:pStyle w:val="TableBodyText"/>
                    <w:rPr>
                      <w:b/>
                      <w:szCs w:val="18"/>
                    </w:rPr>
                  </w:pPr>
                  <w:r w:rsidRPr="002A6CB1">
                    <w:rPr>
                      <w:b/>
                      <w:szCs w:val="18"/>
                    </w:rPr>
                    <w:t xml:space="preserve">53.2 </w:t>
                  </w:r>
                  <w:r w:rsidR="00535EC9" w:rsidRPr="002A6CB1">
                    <w:rPr>
                      <w:b/>
                      <w:szCs w:val="18"/>
                    </w:rPr>
                    <w:br/>
                  </w:r>
                  <w:r w:rsidRPr="002A6CB1">
                    <w:rPr>
                      <w:b/>
                      <w:szCs w:val="18"/>
                    </w:rPr>
                    <w:t>± 24.1</w:t>
                  </w:r>
                </w:p>
              </w:tc>
              <w:tc>
                <w:tcPr>
                  <w:tcW w:w="804" w:type="dxa"/>
                  <w:shd w:val="clear" w:color="auto" w:fill="auto"/>
                  <w:vAlign w:val="center"/>
                </w:tcPr>
                <w:p w:rsidR="00EE27CE" w:rsidRPr="002A6CB1" w:rsidRDefault="00EE27CE" w:rsidP="00EE27CE">
                  <w:pPr>
                    <w:pStyle w:val="TableBodyText"/>
                    <w:rPr>
                      <w:b/>
                      <w:szCs w:val="18"/>
                    </w:rPr>
                  </w:pPr>
                  <w:r w:rsidRPr="002A6CB1">
                    <w:rPr>
                      <w:b/>
                      <w:szCs w:val="18"/>
                    </w:rPr>
                    <w:t xml:space="preserve">49.3 </w:t>
                  </w:r>
                  <w:r w:rsidR="00535EC9" w:rsidRPr="002A6CB1">
                    <w:rPr>
                      <w:b/>
                      <w:szCs w:val="18"/>
                    </w:rPr>
                    <w:br/>
                  </w:r>
                  <w:r w:rsidRPr="002A6CB1">
                    <w:rPr>
                      <w:b/>
                      <w:szCs w:val="18"/>
                    </w:rPr>
                    <w:t>± 6.0</w:t>
                  </w:r>
                </w:p>
              </w:tc>
            </w:tr>
            <w:tr w:rsidR="00D774C0" w:rsidRPr="00530424" w:rsidTr="00DB2B49">
              <w:tc>
                <w:tcPr>
                  <w:tcW w:w="1560" w:type="dxa"/>
                  <w:tcBorders>
                    <w:bottom w:val="single" w:sz="6" w:space="0" w:color="auto"/>
                  </w:tcBorders>
                  <w:shd w:val="clear" w:color="auto" w:fill="FFFFFF" w:themeFill="background1"/>
                </w:tcPr>
                <w:p w:rsidR="00D774C0" w:rsidRPr="002A6CB1" w:rsidRDefault="00D774C0" w:rsidP="004F0487">
                  <w:pPr>
                    <w:pStyle w:val="TableBodyText"/>
                    <w:jc w:val="left"/>
                    <w:rPr>
                      <w:b/>
                    </w:rPr>
                  </w:pPr>
                  <w:r w:rsidRPr="002A6CB1">
                    <w:rPr>
                      <w:b/>
                    </w:rPr>
                    <w:t>Gain 2012-2014</w:t>
                  </w:r>
                </w:p>
              </w:tc>
              <w:tc>
                <w:tcPr>
                  <w:tcW w:w="803" w:type="dxa"/>
                  <w:tcBorders>
                    <w:bottom w:val="single" w:sz="6" w:space="0" w:color="auto"/>
                  </w:tcBorders>
                  <w:shd w:val="clear" w:color="auto" w:fill="FFFFFF" w:themeFill="background1"/>
                  <w:vAlign w:val="center"/>
                </w:tcPr>
                <w:p w:rsidR="00D774C0" w:rsidRPr="002A6CB1" w:rsidRDefault="00D774C0" w:rsidP="00D774C0">
                  <w:pPr>
                    <w:pStyle w:val="TableBodyText"/>
                    <w:rPr>
                      <w:b/>
                    </w:rPr>
                  </w:pPr>
                  <w:r w:rsidRPr="002A6CB1">
                    <w:rPr>
                      <w:b/>
                    </w:rPr>
                    <w:t xml:space="preserve">50.9 </w:t>
                  </w:r>
                  <w:r w:rsidR="00535EC9" w:rsidRPr="002A6CB1">
                    <w:rPr>
                      <w:b/>
                    </w:rPr>
                    <w:br/>
                  </w:r>
                  <w:r w:rsidRPr="002A6CB1">
                    <w:rPr>
                      <w:b/>
                    </w:rPr>
                    <w:t>± 6.7</w:t>
                  </w:r>
                </w:p>
              </w:tc>
              <w:tc>
                <w:tcPr>
                  <w:tcW w:w="803" w:type="dxa"/>
                  <w:tcBorders>
                    <w:bottom w:val="single" w:sz="6" w:space="0" w:color="auto"/>
                  </w:tcBorders>
                  <w:shd w:val="clear" w:color="auto" w:fill="FFFFFF" w:themeFill="background1"/>
                  <w:vAlign w:val="center"/>
                </w:tcPr>
                <w:p w:rsidR="00D774C0" w:rsidRPr="002A6CB1" w:rsidRDefault="00D774C0" w:rsidP="00D774C0">
                  <w:pPr>
                    <w:pStyle w:val="TableBodyText"/>
                    <w:rPr>
                      <w:b/>
                    </w:rPr>
                  </w:pPr>
                  <w:r w:rsidRPr="002A6CB1">
                    <w:rPr>
                      <w:b/>
                    </w:rPr>
                    <w:t xml:space="preserve">48.0 </w:t>
                  </w:r>
                  <w:r w:rsidR="00535EC9" w:rsidRPr="002A6CB1">
                    <w:rPr>
                      <w:b/>
                    </w:rPr>
                    <w:br/>
                  </w:r>
                  <w:r w:rsidRPr="002A6CB1">
                    <w:rPr>
                      <w:b/>
                    </w:rPr>
                    <w:t>± 6.3</w:t>
                  </w:r>
                </w:p>
              </w:tc>
              <w:tc>
                <w:tcPr>
                  <w:tcW w:w="804" w:type="dxa"/>
                  <w:tcBorders>
                    <w:bottom w:val="single" w:sz="6" w:space="0" w:color="auto"/>
                  </w:tcBorders>
                  <w:shd w:val="clear" w:color="auto" w:fill="FFFFFF" w:themeFill="background1"/>
                  <w:vAlign w:val="center"/>
                </w:tcPr>
                <w:p w:rsidR="00D774C0" w:rsidRPr="002A6CB1" w:rsidRDefault="00D774C0" w:rsidP="00D774C0">
                  <w:pPr>
                    <w:pStyle w:val="TableBodyText"/>
                    <w:rPr>
                      <w:b/>
                    </w:rPr>
                  </w:pPr>
                  <w:r w:rsidRPr="002A6CB1">
                    <w:rPr>
                      <w:b/>
                    </w:rPr>
                    <w:t xml:space="preserve">47.8 </w:t>
                  </w:r>
                  <w:r w:rsidR="00535EC9" w:rsidRPr="002A6CB1">
                    <w:rPr>
                      <w:b/>
                    </w:rPr>
                    <w:br/>
                  </w:r>
                  <w:r w:rsidRPr="002A6CB1">
                    <w:rPr>
                      <w:b/>
                    </w:rPr>
                    <w:t>± 5.6</w:t>
                  </w:r>
                </w:p>
              </w:tc>
              <w:tc>
                <w:tcPr>
                  <w:tcW w:w="803" w:type="dxa"/>
                  <w:tcBorders>
                    <w:bottom w:val="single" w:sz="6" w:space="0" w:color="auto"/>
                  </w:tcBorders>
                  <w:shd w:val="clear" w:color="auto" w:fill="FFFFFF" w:themeFill="background1"/>
                  <w:vAlign w:val="center"/>
                </w:tcPr>
                <w:p w:rsidR="00D774C0" w:rsidRPr="002A6CB1" w:rsidRDefault="00D774C0" w:rsidP="00D774C0">
                  <w:pPr>
                    <w:pStyle w:val="TableBodyText"/>
                    <w:rPr>
                      <w:b/>
                    </w:rPr>
                  </w:pPr>
                  <w:r w:rsidRPr="002A6CB1">
                    <w:rPr>
                      <w:b/>
                    </w:rPr>
                    <w:t xml:space="preserve">56.2 </w:t>
                  </w:r>
                  <w:r w:rsidR="00535EC9" w:rsidRPr="002A6CB1">
                    <w:rPr>
                      <w:b/>
                    </w:rPr>
                    <w:br/>
                  </w:r>
                  <w:r w:rsidRPr="002A6CB1">
                    <w:rPr>
                      <w:b/>
                    </w:rPr>
                    <w:t>± 7.6</w:t>
                  </w:r>
                </w:p>
              </w:tc>
              <w:tc>
                <w:tcPr>
                  <w:tcW w:w="803" w:type="dxa"/>
                  <w:tcBorders>
                    <w:bottom w:val="single" w:sz="6" w:space="0" w:color="auto"/>
                  </w:tcBorders>
                  <w:shd w:val="clear" w:color="auto" w:fill="FFFFFF" w:themeFill="background1"/>
                  <w:vAlign w:val="center"/>
                </w:tcPr>
                <w:p w:rsidR="00D774C0" w:rsidRPr="002A6CB1" w:rsidRDefault="00D774C0" w:rsidP="00D774C0">
                  <w:pPr>
                    <w:pStyle w:val="TableBodyText"/>
                    <w:rPr>
                      <w:b/>
                    </w:rPr>
                  </w:pPr>
                  <w:r w:rsidRPr="002A6CB1">
                    <w:rPr>
                      <w:b/>
                    </w:rPr>
                    <w:t xml:space="preserve">44.5 </w:t>
                  </w:r>
                  <w:r w:rsidR="00535EC9" w:rsidRPr="002A6CB1">
                    <w:rPr>
                      <w:b/>
                    </w:rPr>
                    <w:br/>
                  </w:r>
                  <w:r w:rsidRPr="002A6CB1">
                    <w:rPr>
                      <w:b/>
                    </w:rPr>
                    <w:t>± 7.3</w:t>
                  </w:r>
                </w:p>
              </w:tc>
              <w:tc>
                <w:tcPr>
                  <w:tcW w:w="804" w:type="dxa"/>
                  <w:tcBorders>
                    <w:bottom w:val="single" w:sz="6" w:space="0" w:color="auto"/>
                  </w:tcBorders>
                  <w:shd w:val="clear" w:color="auto" w:fill="FFFFFF" w:themeFill="background1"/>
                  <w:vAlign w:val="center"/>
                </w:tcPr>
                <w:p w:rsidR="00D774C0" w:rsidRPr="002A6CB1" w:rsidRDefault="00D774C0" w:rsidP="00D774C0">
                  <w:pPr>
                    <w:pStyle w:val="TableBodyText"/>
                    <w:rPr>
                      <w:b/>
                    </w:rPr>
                  </w:pPr>
                  <w:r w:rsidRPr="002A6CB1">
                    <w:rPr>
                      <w:b/>
                    </w:rPr>
                    <w:t xml:space="preserve">46.8 </w:t>
                  </w:r>
                  <w:r w:rsidR="00535EC9" w:rsidRPr="002A6CB1">
                    <w:rPr>
                      <w:b/>
                    </w:rPr>
                    <w:br/>
                  </w:r>
                  <w:r w:rsidRPr="002A6CB1">
                    <w:rPr>
                      <w:b/>
                    </w:rPr>
                    <w:t>± 10.8</w:t>
                  </w:r>
                </w:p>
              </w:tc>
              <w:tc>
                <w:tcPr>
                  <w:tcW w:w="803" w:type="dxa"/>
                  <w:tcBorders>
                    <w:bottom w:val="single" w:sz="6" w:space="0" w:color="auto"/>
                  </w:tcBorders>
                  <w:shd w:val="clear" w:color="auto" w:fill="FFFFFF" w:themeFill="background1"/>
                  <w:vAlign w:val="center"/>
                </w:tcPr>
                <w:p w:rsidR="00D774C0" w:rsidRPr="002A6CB1" w:rsidRDefault="00D774C0" w:rsidP="00D774C0">
                  <w:pPr>
                    <w:pStyle w:val="TableBodyText"/>
                    <w:rPr>
                      <w:b/>
                    </w:rPr>
                  </w:pPr>
                  <w:r w:rsidRPr="002A6CB1">
                    <w:rPr>
                      <w:b/>
                    </w:rPr>
                    <w:t xml:space="preserve">48.5 </w:t>
                  </w:r>
                  <w:r w:rsidR="00535EC9" w:rsidRPr="002A6CB1">
                    <w:rPr>
                      <w:b/>
                    </w:rPr>
                    <w:br/>
                  </w:r>
                  <w:r w:rsidRPr="002A6CB1">
                    <w:rPr>
                      <w:b/>
                    </w:rPr>
                    <w:t>± 14.3</w:t>
                  </w:r>
                </w:p>
              </w:tc>
              <w:tc>
                <w:tcPr>
                  <w:tcW w:w="803" w:type="dxa"/>
                  <w:tcBorders>
                    <w:bottom w:val="single" w:sz="6" w:space="0" w:color="auto"/>
                  </w:tcBorders>
                  <w:shd w:val="clear" w:color="auto" w:fill="FFFFFF" w:themeFill="background1"/>
                  <w:vAlign w:val="center"/>
                </w:tcPr>
                <w:p w:rsidR="00D774C0" w:rsidRPr="002A6CB1" w:rsidRDefault="00D774C0" w:rsidP="00D774C0">
                  <w:pPr>
                    <w:pStyle w:val="TableBodyText"/>
                    <w:rPr>
                      <w:b/>
                    </w:rPr>
                  </w:pPr>
                  <w:r w:rsidRPr="002A6CB1">
                    <w:rPr>
                      <w:b/>
                    </w:rPr>
                    <w:t xml:space="preserve">57.3 </w:t>
                  </w:r>
                  <w:r w:rsidR="00535EC9" w:rsidRPr="002A6CB1">
                    <w:rPr>
                      <w:b/>
                    </w:rPr>
                    <w:br/>
                  </w:r>
                  <w:r w:rsidRPr="002A6CB1">
                    <w:rPr>
                      <w:b/>
                    </w:rPr>
                    <w:t>± 25.5</w:t>
                  </w:r>
                </w:p>
              </w:tc>
              <w:tc>
                <w:tcPr>
                  <w:tcW w:w="804" w:type="dxa"/>
                  <w:tcBorders>
                    <w:bottom w:val="single" w:sz="6" w:space="0" w:color="auto"/>
                  </w:tcBorders>
                  <w:shd w:val="clear" w:color="auto" w:fill="FFFFFF" w:themeFill="background1"/>
                  <w:vAlign w:val="center"/>
                </w:tcPr>
                <w:p w:rsidR="00D774C0" w:rsidRPr="002A6CB1" w:rsidRDefault="00D774C0" w:rsidP="00D774C0">
                  <w:pPr>
                    <w:pStyle w:val="TableBodyText"/>
                    <w:rPr>
                      <w:b/>
                    </w:rPr>
                  </w:pPr>
                  <w:r w:rsidRPr="002A6CB1">
                    <w:rPr>
                      <w:b/>
                    </w:rPr>
                    <w:t xml:space="preserve">49.7 </w:t>
                  </w:r>
                  <w:r w:rsidR="00535EC9" w:rsidRPr="002A6CB1">
                    <w:rPr>
                      <w:b/>
                    </w:rPr>
                    <w:br/>
                  </w:r>
                  <w:r w:rsidRPr="002A6CB1">
                    <w:rPr>
                      <w:b/>
                    </w:rPr>
                    <w:t>± 4.7</w:t>
                  </w:r>
                </w:p>
              </w:tc>
            </w:tr>
          </w:tbl>
          <w:p w:rsidR="001D0F72" w:rsidRDefault="001D0F72" w:rsidP="001D0F72">
            <w:pPr>
              <w:pStyle w:val="Box"/>
            </w:pPr>
          </w:p>
        </w:tc>
      </w:tr>
      <w:tr w:rsidR="001D0F72" w:rsidRPr="000A7A95" w:rsidTr="001748FA">
        <w:trPr>
          <w:cantSplit/>
        </w:trPr>
        <w:tc>
          <w:tcPr>
            <w:tcW w:w="8909" w:type="dxa"/>
            <w:tcBorders>
              <w:top w:val="nil"/>
              <w:left w:val="nil"/>
              <w:bottom w:val="nil"/>
              <w:right w:val="nil"/>
            </w:tcBorders>
            <w:shd w:val="clear" w:color="auto" w:fill="auto"/>
          </w:tcPr>
          <w:p w:rsidR="001D0F72" w:rsidRPr="000A7A95" w:rsidRDefault="001D0F72" w:rsidP="001D0F72">
            <w:pPr>
              <w:pStyle w:val="Note"/>
            </w:pPr>
            <w:r w:rsidRPr="008E77FE">
              <w:rPr>
                <w:rStyle w:val="NoteLabel"/>
              </w:rPr>
              <w:t>a</w:t>
            </w:r>
            <w:r>
              <w:t xml:space="preserve"> </w:t>
            </w:r>
            <w:r w:rsidRPr="000A7A95">
              <w:t>The mean scale scores for 2008, 2010</w:t>
            </w:r>
            <w:r>
              <w:t>, 2012</w:t>
            </w:r>
            <w:r w:rsidRPr="000A7A95">
              <w:t xml:space="preserve"> and 201</w:t>
            </w:r>
            <w:r>
              <w:t>4</w:t>
            </w:r>
            <w:r w:rsidRPr="000A7A95">
              <w:t xml:space="preserve"> reported in this table include 95 per cent confidence intervals (for example, a mean scale score of 400.0 ± 2.7, or a gain from 2010 to 2012 of </w:t>
            </w:r>
            <w:r>
              <w:br/>
            </w:r>
            <w:r w:rsidRPr="000A7A95">
              <w:t xml:space="preserve">80.1 ± 2.7). Confidence intervals for the gain provide an indication of the level of uncertainty of the gain over the two year period. </w:t>
            </w:r>
            <w:r w:rsidRPr="007E78CB">
              <w:rPr>
                <w:rStyle w:val="NoteLabel"/>
              </w:rPr>
              <w:t>b</w:t>
            </w:r>
            <w:r w:rsidRPr="000A7A95">
              <w:t xml:space="preserve"> The confidence interval provided is for the specific jurisdictional gain and should not be used for comparisons between jurisdictions or between subgroups</w:t>
            </w:r>
            <w:r>
              <w:t>.</w:t>
            </w:r>
          </w:p>
        </w:tc>
      </w:tr>
      <w:tr w:rsidR="001D0F72" w:rsidTr="001748FA">
        <w:trPr>
          <w:cantSplit/>
        </w:trPr>
        <w:tc>
          <w:tcPr>
            <w:tcW w:w="8909" w:type="dxa"/>
            <w:tcBorders>
              <w:top w:val="nil"/>
              <w:left w:val="nil"/>
              <w:bottom w:val="nil"/>
              <w:right w:val="nil"/>
            </w:tcBorders>
            <w:shd w:val="clear" w:color="auto" w:fill="auto"/>
          </w:tcPr>
          <w:p w:rsidR="001D0F72" w:rsidRDefault="001D0F72" w:rsidP="00146776">
            <w:pPr>
              <w:pStyle w:val="Source"/>
              <w:spacing w:before="40"/>
            </w:pPr>
            <w:r>
              <w:rPr>
                <w:i/>
              </w:rPr>
              <w:t>Source</w:t>
            </w:r>
            <w:r w:rsidRPr="00167F06">
              <w:t xml:space="preserve">: </w:t>
            </w:r>
            <w:r w:rsidRPr="000A7A95">
              <w:t>ACARA (201</w:t>
            </w:r>
            <w:r w:rsidR="00CE6853">
              <w:t>4</w:t>
            </w:r>
            <w:r w:rsidRPr="000A7A95">
              <w:t xml:space="preserve"> and unpublished) </w:t>
            </w:r>
            <w:r w:rsidRPr="000A7A95">
              <w:rPr>
                <w:i/>
              </w:rPr>
              <w:t>201</w:t>
            </w:r>
            <w:r>
              <w:rPr>
                <w:i/>
              </w:rPr>
              <w:t>4</w:t>
            </w:r>
            <w:r w:rsidRPr="000A7A95">
              <w:rPr>
                <w:i/>
              </w:rPr>
              <w:t xml:space="preserve"> National Assessment Program — Literacy and Numeracy: Achievement in Numeracy, Writing, Language Conventions and Numeracy</w:t>
            </w:r>
            <w:r w:rsidRPr="000A7A95">
              <w:t>; table 4A.</w:t>
            </w:r>
            <w:r w:rsidR="00E372EE">
              <w:t>125</w:t>
            </w:r>
            <w:r>
              <w:t>.</w:t>
            </w:r>
          </w:p>
        </w:tc>
      </w:tr>
      <w:tr w:rsidR="001D0F72" w:rsidTr="001748FA">
        <w:trPr>
          <w:cantSplit/>
        </w:trPr>
        <w:tc>
          <w:tcPr>
            <w:tcW w:w="8909" w:type="dxa"/>
            <w:tcBorders>
              <w:top w:val="nil"/>
              <w:left w:val="nil"/>
              <w:bottom w:val="single" w:sz="6" w:space="0" w:color="78A22F"/>
              <w:right w:val="nil"/>
            </w:tcBorders>
            <w:shd w:val="clear" w:color="auto" w:fill="auto"/>
          </w:tcPr>
          <w:p w:rsidR="001D0F72" w:rsidRDefault="001D0F72" w:rsidP="001D0F72">
            <w:pPr>
              <w:pStyle w:val="Box"/>
              <w:spacing w:before="0" w:line="120" w:lineRule="exact"/>
            </w:pPr>
          </w:p>
        </w:tc>
      </w:tr>
      <w:tr w:rsidR="001D0F72" w:rsidRPr="00626D32" w:rsidTr="001748FA">
        <w:tc>
          <w:tcPr>
            <w:tcW w:w="8909" w:type="dxa"/>
            <w:tcBorders>
              <w:top w:val="single" w:sz="6" w:space="0" w:color="78A22F"/>
              <w:left w:val="nil"/>
              <w:bottom w:val="nil"/>
              <w:right w:val="nil"/>
            </w:tcBorders>
          </w:tcPr>
          <w:p w:rsidR="001D0F72" w:rsidRPr="00626D32" w:rsidRDefault="001D0F72" w:rsidP="001D0F72">
            <w:pPr>
              <w:pStyle w:val="BoxSpaceBelow"/>
            </w:pPr>
          </w:p>
        </w:tc>
      </w:tr>
    </w:tbl>
    <w:p w:rsidR="00666ECE" w:rsidRPr="00666ECE" w:rsidRDefault="00666ECE" w:rsidP="007B0AE2">
      <w:pPr>
        <w:pStyle w:val="Heading5"/>
      </w:pPr>
      <w:r w:rsidRPr="00666ECE">
        <w:lastRenderedPageBreak/>
        <w:t xml:space="preserve">NAPLAN </w:t>
      </w:r>
      <w:r w:rsidR="007425CD">
        <w:t xml:space="preserve">Persuasive </w:t>
      </w:r>
      <w:r w:rsidRPr="00666ECE">
        <w:t>Writing</w:t>
      </w:r>
    </w:p>
    <w:p w:rsidR="00953C11" w:rsidRDefault="00D62FAA" w:rsidP="006C72B4">
      <w:pPr>
        <w:pStyle w:val="BodyText"/>
      </w:pPr>
      <w:r>
        <w:t>This section of the learning outcomes</w:t>
      </w:r>
      <w:r w:rsidR="00666ECE" w:rsidRPr="00666ECE">
        <w:t xml:space="preserve"> indicator provides key outcomes for NAPLAN testing (years 3, 5, 7 and 9) in the </w:t>
      </w:r>
      <w:r w:rsidR="00D948AA">
        <w:t xml:space="preserve">persuasive </w:t>
      </w:r>
      <w:r w:rsidR="00666ECE" w:rsidRPr="00666ECE">
        <w:t xml:space="preserve">writing domain. </w:t>
      </w:r>
      <w:r w:rsidR="007267E2">
        <w:t xml:space="preserve">Outcomes by </w:t>
      </w:r>
      <w:r w:rsidR="00666ECE" w:rsidRPr="00666ECE">
        <w:t xml:space="preserve">Indigenous </w:t>
      </w:r>
      <w:r w:rsidR="007267E2">
        <w:t>statu</w:t>
      </w:r>
      <w:r w:rsidR="00666ECE" w:rsidRPr="00666ECE">
        <w:t xml:space="preserve">s are highlighted, but outcomes for a range of other equity groups including male, female, LBOTE, geolocation and socio-economic status (parental education and parental occupation) </w:t>
      </w:r>
      <w:r w:rsidR="003E2CB5">
        <w:t>for 201</w:t>
      </w:r>
      <w:r w:rsidR="004C0D14">
        <w:t>4</w:t>
      </w:r>
      <w:r w:rsidR="003E2CB5">
        <w:t xml:space="preserve"> </w:t>
      </w:r>
      <w:r w:rsidR="00666ECE" w:rsidRPr="00666ECE">
        <w:t>are included in</w:t>
      </w:r>
      <w:r w:rsidR="00746562">
        <w:t xml:space="preserve"> </w:t>
      </w:r>
      <w:r w:rsidR="00666ECE" w:rsidRPr="00666ECE">
        <w:t>tables</w:t>
      </w:r>
      <w:r w:rsidR="00746562">
        <w:t xml:space="preserve"> </w:t>
      </w:r>
      <w:r w:rsidR="00666ECE" w:rsidRPr="00666ECE">
        <w:t>4A.</w:t>
      </w:r>
      <w:r w:rsidR="005450F5">
        <w:t>72–89.</w:t>
      </w:r>
    </w:p>
    <w:p w:rsidR="005450F5" w:rsidRPr="00666ECE" w:rsidRDefault="005450F5" w:rsidP="005450F5">
      <w:pPr>
        <w:pStyle w:val="BodyText"/>
      </w:pPr>
      <w:r>
        <w:t>This chapter reports on 2014 NAPLAN outcomes. NAPLAN persuasive writing outcomes for 2013 (not included in earlier reports) are in attachment tables 4A.90–107.</w:t>
      </w:r>
    </w:p>
    <w:p w:rsidR="00666ECE" w:rsidRPr="00004B66" w:rsidRDefault="00666ECE" w:rsidP="00DB2B49">
      <w:pPr>
        <w:pStyle w:val="BodyText"/>
      </w:pPr>
      <w:r w:rsidRPr="00666ECE">
        <w:t xml:space="preserve">The proportion of year </w:t>
      </w:r>
      <w:r w:rsidR="00454CF4">
        <w:t>5</w:t>
      </w:r>
      <w:r w:rsidRPr="00666ECE">
        <w:t xml:space="preserve"> students who achieved </w:t>
      </w:r>
      <w:r w:rsidRPr="00004B66">
        <w:t xml:space="preserve">at or above the </w:t>
      </w:r>
      <w:r w:rsidR="00FC486F" w:rsidRPr="00004B66">
        <w:t xml:space="preserve">persuasive </w:t>
      </w:r>
      <w:r w:rsidRPr="00004B66">
        <w:t>writing national minimum standard in 201</w:t>
      </w:r>
      <w:r w:rsidR="004C0D14">
        <w:t>4</w:t>
      </w:r>
      <w:r w:rsidRPr="00004B66">
        <w:t xml:space="preserve"> was </w:t>
      </w:r>
      <w:r w:rsidR="00C91E23" w:rsidRPr="00DB2B49">
        <w:rPr>
          <w:shd w:val="clear" w:color="auto" w:fill="FFFFFF" w:themeFill="background1"/>
        </w:rPr>
        <w:t>89.9–90.5</w:t>
      </w:r>
      <w:r w:rsidRPr="00004B66">
        <w:t xml:space="preserve"> per cent nationally. The proportion of </w:t>
      </w:r>
      <w:r w:rsidR="007267E2" w:rsidRPr="00BE4E82">
        <w:t>Aboriginal and Torres Strait Islander</w:t>
      </w:r>
      <w:r w:rsidRPr="00004B66">
        <w:t xml:space="preserve"> students (</w:t>
      </w:r>
      <w:r w:rsidR="00C91E23" w:rsidRPr="00DB2B49">
        <w:rPr>
          <w:shd w:val="clear" w:color="auto" w:fill="FFFFFF" w:themeFill="background1"/>
        </w:rPr>
        <w:t>61.7–64.9</w:t>
      </w:r>
      <w:r w:rsidR="004C0D14" w:rsidRPr="004C0D14">
        <w:t xml:space="preserve"> </w:t>
      </w:r>
      <w:r w:rsidRPr="00004B66">
        <w:t>per cent) was significantly lower than for non</w:t>
      </w:r>
      <w:r w:rsidRPr="00004B66">
        <w:noBreakHyphen/>
        <w:t>Indigenous students (</w:t>
      </w:r>
      <w:r w:rsidR="00C91E23" w:rsidRPr="00DB2B49">
        <w:rPr>
          <w:shd w:val="clear" w:color="auto" w:fill="FFFFFF" w:themeFill="background1"/>
        </w:rPr>
        <w:t>91.6–92.3</w:t>
      </w:r>
      <w:r w:rsidR="007E6BD3" w:rsidRPr="00004B66">
        <w:t xml:space="preserve"> </w:t>
      </w:r>
      <w:r w:rsidRPr="00004B66">
        <w:t>per cent). These proportions varied across jurisdictions (figure 4.</w:t>
      </w:r>
      <w:r w:rsidR="00A37418">
        <w:t>3</w:t>
      </w:r>
      <w:r w:rsidR="00FF2AB3">
        <w:t>4</w:t>
      </w:r>
      <w:r w:rsidRPr="00004B66">
        <w:t>).</w:t>
      </w:r>
    </w:p>
    <w:p w:rsidR="0099541F" w:rsidRDefault="0099541F" w:rsidP="0058556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9541F" w:rsidTr="0058556B">
        <w:tc>
          <w:tcPr>
            <w:tcW w:w="8771" w:type="dxa"/>
            <w:tcBorders>
              <w:top w:val="single" w:sz="6" w:space="0" w:color="78A22F"/>
              <w:left w:val="nil"/>
              <w:bottom w:val="nil"/>
              <w:right w:val="nil"/>
            </w:tcBorders>
            <w:shd w:val="clear" w:color="auto" w:fill="auto"/>
          </w:tcPr>
          <w:p w:rsidR="0099541F" w:rsidRPr="00176D3F" w:rsidRDefault="0099541F" w:rsidP="00454CF4">
            <w:pPr>
              <w:pStyle w:val="FigureTitle"/>
            </w:pPr>
            <w:r w:rsidRPr="00784A05">
              <w:rPr>
                <w:b w:val="0"/>
              </w:rPr>
              <w:t xml:space="preserve">Figure </w:t>
            </w:r>
            <w:r w:rsidR="00B70781">
              <w:rPr>
                <w:b w:val="0"/>
              </w:rPr>
              <w:t>4.</w:t>
            </w:r>
            <w:r w:rsidR="005953B6">
              <w:rPr>
                <w:b w:val="0"/>
                <w:noProof/>
              </w:rPr>
              <w:t>34</w:t>
            </w:r>
            <w:r>
              <w:tab/>
            </w:r>
            <w:r w:rsidRPr="0099541F">
              <w:t xml:space="preserve">Proportion of year </w:t>
            </w:r>
            <w:r w:rsidR="00454CF4">
              <w:t>5</w:t>
            </w:r>
            <w:r w:rsidRPr="0099541F">
              <w:t xml:space="preserve"> students achieving at or above the persuasive writing national minimum standard, 201</w:t>
            </w:r>
            <w:r>
              <w:t>4</w:t>
            </w:r>
            <w:r w:rsidRPr="0099541F">
              <w:rPr>
                <w:rStyle w:val="NoteLabel"/>
                <w:b/>
              </w:rPr>
              <w:t>a</w:t>
            </w:r>
            <w:r>
              <w:rPr>
                <w:rStyle w:val="NoteLabel"/>
                <w:b/>
              </w:rPr>
              <w:t>,</w:t>
            </w:r>
            <w:r w:rsidR="007E78CB">
              <w:rPr>
                <w:rStyle w:val="NoteLabel"/>
                <w:b/>
              </w:rPr>
              <w:t xml:space="preserve"> </w:t>
            </w:r>
            <w:r>
              <w:rPr>
                <w:rStyle w:val="NoteLabel"/>
                <w:b/>
              </w:rPr>
              <w:t>b</w:t>
            </w:r>
          </w:p>
        </w:tc>
      </w:tr>
      <w:tr w:rsidR="0099541F" w:rsidTr="00DB2B49">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9541F" w:rsidTr="0058556B">
              <w:trPr>
                <w:jc w:val="center"/>
              </w:trPr>
              <w:tc>
                <w:tcPr>
                  <w:tcW w:w="5000" w:type="pct"/>
                  <w:tcBorders>
                    <w:top w:val="nil"/>
                    <w:bottom w:val="nil"/>
                  </w:tcBorders>
                </w:tcPr>
                <w:p w:rsidR="0099541F" w:rsidRDefault="00290E1D" w:rsidP="0058556B">
                  <w:pPr>
                    <w:pStyle w:val="Figure"/>
                    <w:spacing w:before="60" w:after="60"/>
                  </w:pPr>
                  <w:r>
                    <w:rPr>
                      <w:noProof/>
                    </w:rPr>
                    <w:drawing>
                      <wp:inline distT="0" distB="0" distL="0" distR="0">
                        <wp:extent cx="5391150" cy="2695575"/>
                        <wp:effectExtent l="0" t="0" r="0" b="9525"/>
                        <wp:docPr id="34" name="Picture 34" descr="Figure 4.34 Proportion of year 5 students achieving at or above the persuasive writing national minimum standard,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99541F" w:rsidRDefault="0099541F" w:rsidP="0058556B">
            <w:pPr>
              <w:pStyle w:val="Figure"/>
            </w:pPr>
          </w:p>
        </w:tc>
      </w:tr>
      <w:tr w:rsidR="0099541F" w:rsidRPr="00176D3F" w:rsidTr="0058556B">
        <w:tc>
          <w:tcPr>
            <w:tcW w:w="8771" w:type="dxa"/>
            <w:tcBorders>
              <w:top w:val="nil"/>
              <w:left w:val="nil"/>
              <w:bottom w:val="nil"/>
              <w:right w:val="nil"/>
            </w:tcBorders>
            <w:shd w:val="clear" w:color="auto" w:fill="auto"/>
          </w:tcPr>
          <w:p w:rsidR="0099541F" w:rsidRPr="00176D3F" w:rsidRDefault="0099541F" w:rsidP="00C76C22">
            <w:pPr>
              <w:pStyle w:val="Note"/>
            </w:pPr>
            <w:r>
              <w:rPr>
                <w:rStyle w:val="NoteLabel"/>
              </w:rPr>
              <w:t>a</w:t>
            </w:r>
            <w:r>
              <w:t xml:space="preserve"> </w:t>
            </w:r>
            <w:r w:rsidRPr="0099541F">
              <w:t xml:space="preserve">Error bars represent the 95 per cent confidence interval associated with each point estimate. </w:t>
            </w:r>
            <w:r w:rsidRPr="007E78CB">
              <w:rPr>
                <w:rStyle w:val="NoteLabel"/>
              </w:rPr>
              <w:t>b</w:t>
            </w:r>
            <w:r w:rsidRPr="0099541F">
              <w:t> For further information and caveats see table 4A.</w:t>
            </w:r>
            <w:r w:rsidR="00C76C22">
              <w:t>72</w:t>
            </w:r>
            <w:r>
              <w:t>.</w:t>
            </w:r>
          </w:p>
        </w:tc>
      </w:tr>
      <w:tr w:rsidR="0099541F" w:rsidRPr="00176D3F" w:rsidTr="0058556B">
        <w:tc>
          <w:tcPr>
            <w:tcW w:w="8771" w:type="dxa"/>
            <w:tcBorders>
              <w:top w:val="nil"/>
              <w:left w:val="nil"/>
              <w:bottom w:val="nil"/>
              <w:right w:val="nil"/>
            </w:tcBorders>
            <w:shd w:val="clear" w:color="auto" w:fill="auto"/>
          </w:tcPr>
          <w:p w:rsidR="0099541F" w:rsidRPr="00176D3F" w:rsidRDefault="0099541F" w:rsidP="00C76C22">
            <w:pPr>
              <w:pStyle w:val="Source"/>
            </w:pPr>
            <w:r w:rsidRPr="0099541F">
              <w:rPr>
                <w:i/>
              </w:rPr>
              <w:t>Source</w:t>
            </w:r>
            <w:r w:rsidRPr="0099541F">
              <w:t>: ACARA (201</w:t>
            </w:r>
            <w:r w:rsidR="00CE6853">
              <w:t>4</w:t>
            </w:r>
            <w:r w:rsidRPr="0099541F">
              <w:t xml:space="preserve"> and unpublished) </w:t>
            </w:r>
            <w:r w:rsidRPr="0099541F">
              <w:rPr>
                <w:i/>
              </w:rPr>
              <w:t>NAPLAN Achievement in Reading, Writing, Language Conventions and Numeracy: National Report for 201</w:t>
            </w:r>
            <w:r w:rsidR="00CE6853">
              <w:rPr>
                <w:i/>
              </w:rPr>
              <w:t>4</w:t>
            </w:r>
            <w:r w:rsidRPr="0099541F">
              <w:t>; table 4A.</w:t>
            </w:r>
            <w:r w:rsidR="00C76C22">
              <w:t>72</w:t>
            </w:r>
            <w:r>
              <w:t>.</w:t>
            </w:r>
          </w:p>
        </w:tc>
      </w:tr>
      <w:tr w:rsidR="0099541F" w:rsidTr="0058556B">
        <w:tc>
          <w:tcPr>
            <w:tcW w:w="8771" w:type="dxa"/>
            <w:tcBorders>
              <w:top w:val="nil"/>
              <w:left w:val="nil"/>
              <w:bottom w:val="single" w:sz="6" w:space="0" w:color="78A22F"/>
              <w:right w:val="nil"/>
            </w:tcBorders>
            <w:shd w:val="clear" w:color="auto" w:fill="auto"/>
          </w:tcPr>
          <w:p w:rsidR="0099541F" w:rsidRDefault="0099541F" w:rsidP="0058556B">
            <w:pPr>
              <w:pStyle w:val="Figurespace"/>
            </w:pPr>
          </w:p>
        </w:tc>
      </w:tr>
      <w:tr w:rsidR="0099541F" w:rsidRPr="000863A5" w:rsidTr="0058556B">
        <w:tc>
          <w:tcPr>
            <w:tcW w:w="8771" w:type="dxa"/>
            <w:tcBorders>
              <w:top w:val="single" w:sz="6" w:space="0" w:color="78A22F"/>
              <w:left w:val="nil"/>
              <w:bottom w:val="nil"/>
              <w:right w:val="nil"/>
            </w:tcBorders>
          </w:tcPr>
          <w:p w:rsidR="0099541F" w:rsidRPr="00626D32" w:rsidRDefault="0099541F" w:rsidP="0058556B">
            <w:pPr>
              <w:pStyle w:val="BoxSpaceBelow"/>
            </w:pPr>
          </w:p>
        </w:tc>
      </w:tr>
    </w:tbl>
    <w:p w:rsidR="00FA0AEA" w:rsidRPr="0089766B" w:rsidRDefault="00FA0AEA" w:rsidP="00FA0AEA">
      <w:pPr>
        <w:pStyle w:val="BodyText"/>
      </w:pPr>
      <w:r w:rsidRPr="0089766B">
        <w:t xml:space="preserve">Statistical significance of differences across states and territories between proportions of year </w:t>
      </w:r>
      <w:r w:rsidR="00454CF4">
        <w:t>5</w:t>
      </w:r>
      <w:r w:rsidRPr="0089766B">
        <w:t xml:space="preserve"> students who achieved at or above the national minimum standard for </w:t>
      </w:r>
      <w:r w:rsidR="00A37418">
        <w:t>persuasive writing</w:t>
      </w:r>
      <w:r w:rsidRPr="0089766B">
        <w:t xml:space="preserve"> in 2014 are provided in table 4A.</w:t>
      </w:r>
      <w:r w:rsidR="00C76C22">
        <w:t>72</w:t>
      </w:r>
      <w:r w:rsidRPr="0089766B">
        <w:t>.</w:t>
      </w:r>
    </w:p>
    <w:p w:rsidR="00FA0AEA" w:rsidRPr="0089766B" w:rsidRDefault="00FA0AEA" w:rsidP="00DB2B49">
      <w:pPr>
        <w:pStyle w:val="BodyText"/>
      </w:pPr>
      <w:r w:rsidRPr="0089766B">
        <w:lastRenderedPageBreak/>
        <w:t xml:space="preserve">The mean scale score for year </w:t>
      </w:r>
      <w:r w:rsidR="00454CF4">
        <w:t>5</w:t>
      </w:r>
      <w:r w:rsidRPr="0089766B">
        <w:t xml:space="preserve"> </w:t>
      </w:r>
      <w:r w:rsidR="00A37418">
        <w:t>persuasive writing</w:t>
      </w:r>
      <w:r w:rsidRPr="0089766B">
        <w:t xml:space="preserve"> in 2014 for all students was </w:t>
      </w:r>
      <w:r w:rsidR="00C91E23">
        <w:br/>
      </w:r>
      <w:r w:rsidR="00C91E23" w:rsidRPr="00DB2B49">
        <w:rPr>
          <w:shd w:val="clear" w:color="auto" w:fill="FFFFFF" w:themeFill="background1"/>
        </w:rPr>
        <w:t>467.4–469.2</w:t>
      </w:r>
      <w:r w:rsidR="00C91E23" w:rsidRPr="00DB2B49">
        <w:t xml:space="preserve"> </w:t>
      </w:r>
      <w:r w:rsidRPr="00DB2B49">
        <w:t>nationally. The mean scale score for Aboriginal and Torres Strait Islander students (</w:t>
      </w:r>
      <w:r w:rsidR="00C91E23" w:rsidRPr="00DB2B49">
        <w:rPr>
          <w:shd w:val="clear" w:color="auto" w:fill="FFFFFF" w:themeFill="background1"/>
        </w:rPr>
        <w:t>387.5–396.1</w:t>
      </w:r>
      <w:r w:rsidRPr="00DB2B49">
        <w:t xml:space="preserve">) was significantly lower than for non-Indigenous students </w:t>
      </w:r>
      <w:r w:rsidR="00C91E23" w:rsidRPr="00DB2B49">
        <w:br/>
      </w:r>
      <w:r w:rsidRPr="00DB2B49">
        <w:t>(</w:t>
      </w:r>
      <w:r w:rsidR="00C91E23" w:rsidRPr="00DB2B49">
        <w:rPr>
          <w:shd w:val="clear" w:color="auto" w:fill="FFFFFF" w:themeFill="background1"/>
        </w:rPr>
        <w:t>471.9–473.5</w:t>
      </w:r>
      <w:r w:rsidRPr="00DB2B49">
        <w:rPr>
          <w:shd w:val="clear" w:color="auto" w:fill="FFFFFF" w:themeFill="background1"/>
        </w:rPr>
        <w:t>).</w:t>
      </w:r>
      <w:r w:rsidRPr="0089766B">
        <w:t xml:space="preserve"> Mean scale scores varied across jurisdictions (table 4A.</w:t>
      </w:r>
      <w:r w:rsidR="00C76C22">
        <w:t>75</w:t>
      </w:r>
      <w:r w:rsidRPr="0089766B">
        <w:t>).</w:t>
      </w:r>
    </w:p>
    <w:p w:rsidR="00FA0AEA" w:rsidRDefault="00FA0AEA" w:rsidP="00FA0AEA">
      <w:pPr>
        <w:pStyle w:val="BodyText"/>
      </w:pPr>
      <w:r w:rsidRPr="0089766B">
        <w:t>Table 4.</w:t>
      </w:r>
      <w:r w:rsidR="00A37418">
        <w:t>19</w:t>
      </w:r>
      <w:r w:rsidRPr="0089766B">
        <w:t xml:space="preserve"> identifies statistical significance of differences between mean scale scores for year </w:t>
      </w:r>
      <w:r w:rsidR="00454CF4">
        <w:t>5</w:t>
      </w:r>
      <w:r w:rsidRPr="0089766B">
        <w:t xml:space="preserve"> </w:t>
      </w:r>
      <w:r w:rsidR="00A37418">
        <w:t>persuasive writing</w:t>
      </w:r>
      <w:r w:rsidRPr="0089766B">
        <w:t xml:space="preserve"> outcomes across states and territories in 2014. </w:t>
      </w:r>
    </w:p>
    <w:p w:rsidR="006F2A4E" w:rsidRDefault="006F2A4E" w:rsidP="006F2A4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gridCol w:w="138"/>
      </w:tblGrid>
      <w:tr w:rsidR="006F2A4E" w:rsidTr="00A97042">
        <w:tc>
          <w:tcPr>
            <w:tcW w:w="8909" w:type="dxa"/>
            <w:gridSpan w:val="2"/>
            <w:tcBorders>
              <w:top w:val="single" w:sz="6" w:space="0" w:color="78A22F"/>
              <w:left w:val="nil"/>
              <w:bottom w:val="nil"/>
              <w:right w:val="nil"/>
            </w:tcBorders>
            <w:shd w:val="clear" w:color="auto" w:fill="auto"/>
          </w:tcPr>
          <w:p w:rsidR="006F2A4E" w:rsidRPr="00784A05" w:rsidRDefault="006F2A4E" w:rsidP="00454CF4">
            <w:pPr>
              <w:pStyle w:val="TableTitle"/>
            </w:pPr>
            <w:r>
              <w:rPr>
                <w:b w:val="0"/>
              </w:rPr>
              <w:t>Table 4.</w:t>
            </w:r>
            <w:r w:rsidR="005953B6">
              <w:rPr>
                <w:b w:val="0"/>
                <w:noProof/>
              </w:rPr>
              <w:t>19</w:t>
            </w:r>
            <w:r>
              <w:tab/>
            </w:r>
            <w:r w:rsidRPr="006F2A4E">
              <w:t xml:space="preserve">Significance of differences for year </w:t>
            </w:r>
            <w:r w:rsidR="00454CF4">
              <w:t>5</w:t>
            </w:r>
            <w:r w:rsidRPr="006F2A4E">
              <w:t xml:space="preserve"> students, mean scale scores, </w:t>
            </w:r>
            <w:r>
              <w:t>persuasive writ</w:t>
            </w:r>
            <w:r w:rsidRPr="006F2A4E">
              <w:t>ing, 2014</w:t>
            </w:r>
            <w:r w:rsidRPr="006F2A4E">
              <w:rPr>
                <w:rStyle w:val="NoteLabel"/>
                <w:b/>
              </w:rPr>
              <w:t>a</w:t>
            </w:r>
          </w:p>
        </w:tc>
      </w:tr>
      <w:tr w:rsidR="003C17D3" w:rsidTr="005C0D49">
        <w:trPr>
          <w:gridAfter w:val="1"/>
          <w:wAfter w:w="138" w:type="dxa"/>
          <w:cantSplit/>
        </w:trPr>
        <w:tc>
          <w:tcPr>
            <w:tcW w:w="8771" w:type="dxa"/>
            <w:tcBorders>
              <w:top w:val="nil"/>
              <w:left w:val="nil"/>
              <w:bottom w:val="nil"/>
              <w:right w:val="nil"/>
            </w:tcBorders>
            <w:shd w:val="clear" w:color="auto" w:fill="auto"/>
          </w:tcPr>
          <w:tbl>
            <w:tblPr>
              <w:tblW w:w="8477" w:type="dxa"/>
              <w:tblInd w:w="10" w:type="dxa"/>
              <w:tblCellMar>
                <w:left w:w="0" w:type="dxa"/>
                <w:right w:w="0" w:type="dxa"/>
              </w:tblCellMar>
              <w:tblLook w:val="0000" w:firstRow="0" w:lastRow="0" w:firstColumn="0" w:lastColumn="0" w:noHBand="0" w:noVBand="0"/>
            </w:tblPr>
            <w:tblGrid>
              <w:gridCol w:w="865"/>
              <w:gridCol w:w="710"/>
              <w:gridCol w:w="766"/>
              <w:gridCol w:w="767"/>
              <w:gridCol w:w="767"/>
              <w:gridCol w:w="767"/>
              <w:gridCol w:w="767"/>
              <w:gridCol w:w="767"/>
              <w:gridCol w:w="767"/>
              <w:gridCol w:w="767"/>
              <w:gridCol w:w="767"/>
            </w:tblGrid>
            <w:tr w:rsidR="003C17D3" w:rsidRPr="0034666A" w:rsidTr="005C0D49">
              <w:tc>
                <w:tcPr>
                  <w:tcW w:w="865" w:type="dxa"/>
                  <w:tcBorders>
                    <w:top w:val="single" w:sz="6" w:space="0" w:color="auto"/>
                  </w:tcBorders>
                  <w:shd w:val="clear" w:color="auto" w:fill="auto"/>
                </w:tcPr>
                <w:p w:rsidR="003C17D3" w:rsidRPr="004708E3" w:rsidRDefault="003C17D3" w:rsidP="005C0D49">
                  <w:pPr>
                    <w:keepNext/>
                    <w:keepLines/>
                    <w:spacing w:before="80" w:after="80" w:line="220" w:lineRule="atLeast"/>
                    <w:ind w:left="6" w:right="113"/>
                    <w:rPr>
                      <w:rFonts w:ascii="Arial" w:hAnsi="Arial"/>
                      <w:i/>
                      <w:sz w:val="20"/>
                      <w:szCs w:val="20"/>
                    </w:rPr>
                  </w:pPr>
                </w:p>
              </w:tc>
              <w:tc>
                <w:tcPr>
                  <w:tcW w:w="710" w:type="dxa"/>
                  <w:tcBorders>
                    <w:top w:val="single" w:sz="6" w:space="0" w:color="auto"/>
                  </w:tcBorders>
                </w:tcPr>
                <w:p w:rsidR="003C17D3" w:rsidRPr="0034666A" w:rsidRDefault="003C17D3" w:rsidP="005C0D49">
                  <w:pPr>
                    <w:keepNext/>
                    <w:keepLines/>
                    <w:spacing w:before="80" w:after="80" w:line="220" w:lineRule="atLeast"/>
                    <w:ind w:left="6" w:right="113"/>
                    <w:jc w:val="right"/>
                    <w:rPr>
                      <w:rFonts w:ascii="Arial" w:hAnsi="Arial"/>
                      <w:i/>
                      <w:sz w:val="20"/>
                      <w:szCs w:val="20"/>
                    </w:rPr>
                  </w:pPr>
                </w:p>
              </w:tc>
              <w:tc>
                <w:tcPr>
                  <w:tcW w:w="6902" w:type="dxa"/>
                  <w:gridSpan w:val="9"/>
                  <w:tcBorders>
                    <w:top w:val="single" w:sz="6" w:space="0" w:color="auto"/>
                  </w:tcBorders>
                  <w:shd w:val="clear" w:color="auto" w:fill="auto"/>
                  <w:vAlign w:val="center"/>
                </w:tcPr>
                <w:p w:rsidR="003C17D3" w:rsidRPr="0034666A" w:rsidRDefault="003C17D3" w:rsidP="005C0D49">
                  <w:pPr>
                    <w:pStyle w:val="TableColumnHeading"/>
                    <w:jc w:val="center"/>
                  </w:pPr>
                  <w:r w:rsidRPr="001552DE">
                    <w:t>Comparison jurisdiction</w:t>
                  </w:r>
                </w:p>
              </w:tc>
            </w:tr>
            <w:tr w:rsidR="003C17D3" w:rsidRPr="0034666A" w:rsidTr="005C0D49">
              <w:tc>
                <w:tcPr>
                  <w:tcW w:w="865" w:type="dxa"/>
                  <w:tcBorders>
                    <w:bottom w:val="single" w:sz="4" w:space="0" w:color="auto"/>
                  </w:tcBorders>
                  <w:shd w:val="clear" w:color="auto" w:fill="auto"/>
                </w:tcPr>
                <w:p w:rsidR="003C17D3" w:rsidRPr="004708E3" w:rsidRDefault="003C17D3" w:rsidP="005C0D49">
                  <w:pPr>
                    <w:keepNext/>
                    <w:keepLines/>
                    <w:spacing w:before="80" w:after="80" w:line="220" w:lineRule="atLeast"/>
                    <w:ind w:left="6" w:right="113"/>
                    <w:rPr>
                      <w:rFonts w:ascii="Arial" w:hAnsi="Arial"/>
                      <w:i/>
                      <w:sz w:val="20"/>
                      <w:szCs w:val="20"/>
                    </w:rPr>
                  </w:pPr>
                </w:p>
              </w:tc>
              <w:tc>
                <w:tcPr>
                  <w:tcW w:w="710" w:type="dxa"/>
                  <w:tcBorders>
                    <w:bottom w:val="single" w:sz="4" w:space="0" w:color="auto"/>
                  </w:tcBorders>
                </w:tcPr>
                <w:p w:rsidR="003C17D3" w:rsidRPr="0034666A" w:rsidRDefault="003C17D3" w:rsidP="005C0D49">
                  <w:pPr>
                    <w:keepNext/>
                    <w:keepLines/>
                    <w:spacing w:before="80" w:after="80" w:line="220" w:lineRule="atLeast"/>
                    <w:ind w:left="6" w:right="113"/>
                    <w:jc w:val="right"/>
                    <w:rPr>
                      <w:rFonts w:ascii="Arial" w:hAnsi="Arial"/>
                      <w:i/>
                      <w:sz w:val="20"/>
                      <w:szCs w:val="20"/>
                    </w:rPr>
                  </w:pPr>
                </w:p>
              </w:tc>
              <w:tc>
                <w:tcPr>
                  <w:tcW w:w="766" w:type="dxa"/>
                  <w:tcBorders>
                    <w:bottom w:val="single" w:sz="4" w:space="0" w:color="auto"/>
                  </w:tcBorders>
                  <w:shd w:val="clear" w:color="auto" w:fill="auto"/>
                </w:tcPr>
                <w:p w:rsidR="003C17D3" w:rsidRPr="0034666A" w:rsidRDefault="003C17D3" w:rsidP="005C0D49">
                  <w:pPr>
                    <w:pStyle w:val="TableColumnHeading"/>
                  </w:pPr>
                  <w:r w:rsidRPr="0034666A">
                    <w:t>NSW</w:t>
                  </w:r>
                </w:p>
              </w:tc>
              <w:tc>
                <w:tcPr>
                  <w:tcW w:w="767" w:type="dxa"/>
                  <w:tcBorders>
                    <w:bottom w:val="single" w:sz="4" w:space="0" w:color="auto"/>
                  </w:tcBorders>
                  <w:shd w:val="clear" w:color="auto" w:fill="auto"/>
                </w:tcPr>
                <w:p w:rsidR="003C17D3" w:rsidRPr="0034666A" w:rsidRDefault="003C17D3" w:rsidP="005C0D49">
                  <w:pPr>
                    <w:pStyle w:val="TableColumnHeading"/>
                  </w:pPr>
                  <w:r w:rsidRPr="0034666A">
                    <w:t>Vic</w:t>
                  </w:r>
                </w:p>
              </w:tc>
              <w:tc>
                <w:tcPr>
                  <w:tcW w:w="767" w:type="dxa"/>
                  <w:tcBorders>
                    <w:bottom w:val="single" w:sz="4" w:space="0" w:color="auto"/>
                  </w:tcBorders>
                  <w:shd w:val="clear" w:color="auto" w:fill="auto"/>
                </w:tcPr>
                <w:p w:rsidR="003C17D3" w:rsidRPr="0034666A" w:rsidRDefault="003C17D3" w:rsidP="005C0D49">
                  <w:pPr>
                    <w:pStyle w:val="TableColumnHeading"/>
                  </w:pPr>
                  <w:r w:rsidRPr="0034666A">
                    <w:t>Qld</w:t>
                  </w:r>
                </w:p>
              </w:tc>
              <w:tc>
                <w:tcPr>
                  <w:tcW w:w="767" w:type="dxa"/>
                  <w:tcBorders>
                    <w:bottom w:val="single" w:sz="4" w:space="0" w:color="auto"/>
                  </w:tcBorders>
                  <w:shd w:val="clear" w:color="auto" w:fill="auto"/>
                </w:tcPr>
                <w:p w:rsidR="003C17D3" w:rsidRPr="0034666A" w:rsidRDefault="003C17D3" w:rsidP="005C0D49">
                  <w:pPr>
                    <w:pStyle w:val="TableColumnHeading"/>
                  </w:pPr>
                  <w:r w:rsidRPr="0034666A">
                    <w:t>WA</w:t>
                  </w:r>
                </w:p>
              </w:tc>
              <w:tc>
                <w:tcPr>
                  <w:tcW w:w="767" w:type="dxa"/>
                  <w:tcBorders>
                    <w:bottom w:val="single" w:sz="4" w:space="0" w:color="auto"/>
                  </w:tcBorders>
                  <w:shd w:val="clear" w:color="auto" w:fill="auto"/>
                </w:tcPr>
                <w:p w:rsidR="003C17D3" w:rsidRPr="0034666A" w:rsidRDefault="003C17D3" w:rsidP="005C0D49">
                  <w:pPr>
                    <w:pStyle w:val="TableColumnHeading"/>
                  </w:pPr>
                  <w:r w:rsidRPr="0034666A">
                    <w:t>SA</w:t>
                  </w:r>
                </w:p>
              </w:tc>
              <w:tc>
                <w:tcPr>
                  <w:tcW w:w="767" w:type="dxa"/>
                  <w:tcBorders>
                    <w:bottom w:val="single" w:sz="4" w:space="0" w:color="auto"/>
                  </w:tcBorders>
                  <w:shd w:val="clear" w:color="auto" w:fill="auto"/>
                </w:tcPr>
                <w:p w:rsidR="003C17D3" w:rsidRPr="0034666A" w:rsidRDefault="003C17D3" w:rsidP="005C0D49">
                  <w:pPr>
                    <w:pStyle w:val="TableColumnHeading"/>
                  </w:pPr>
                  <w:r w:rsidRPr="0034666A">
                    <w:t>Tas</w:t>
                  </w:r>
                </w:p>
              </w:tc>
              <w:tc>
                <w:tcPr>
                  <w:tcW w:w="767" w:type="dxa"/>
                  <w:tcBorders>
                    <w:bottom w:val="single" w:sz="4" w:space="0" w:color="auto"/>
                  </w:tcBorders>
                  <w:shd w:val="clear" w:color="auto" w:fill="auto"/>
                </w:tcPr>
                <w:p w:rsidR="003C17D3" w:rsidRPr="0034666A" w:rsidRDefault="003C17D3" w:rsidP="005C0D49">
                  <w:pPr>
                    <w:pStyle w:val="TableColumnHeading"/>
                  </w:pPr>
                  <w:r w:rsidRPr="0034666A">
                    <w:t>ACT</w:t>
                  </w:r>
                </w:p>
              </w:tc>
              <w:tc>
                <w:tcPr>
                  <w:tcW w:w="767" w:type="dxa"/>
                  <w:tcBorders>
                    <w:bottom w:val="single" w:sz="4" w:space="0" w:color="auto"/>
                  </w:tcBorders>
                  <w:shd w:val="clear" w:color="auto" w:fill="auto"/>
                </w:tcPr>
                <w:p w:rsidR="003C17D3" w:rsidRPr="0034666A" w:rsidRDefault="003C17D3" w:rsidP="005C0D49">
                  <w:pPr>
                    <w:pStyle w:val="TableColumnHeading"/>
                  </w:pPr>
                  <w:r w:rsidRPr="0034666A">
                    <w:t>NT</w:t>
                  </w:r>
                </w:p>
              </w:tc>
              <w:tc>
                <w:tcPr>
                  <w:tcW w:w="767" w:type="dxa"/>
                  <w:tcBorders>
                    <w:bottom w:val="single" w:sz="4" w:space="0" w:color="auto"/>
                  </w:tcBorders>
                  <w:shd w:val="clear" w:color="auto" w:fill="auto"/>
                </w:tcPr>
                <w:p w:rsidR="003C17D3" w:rsidRPr="0034666A" w:rsidRDefault="003C17D3" w:rsidP="005C0D49">
                  <w:pPr>
                    <w:pStyle w:val="TableColumnHeading"/>
                  </w:pPr>
                  <w:r w:rsidRPr="0034666A">
                    <w:t>Aust</w:t>
                  </w:r>
                </w:p>
              </w:tc>
            </w:tr>
            <w:tr w:rsidR="0096040E" w:rsidRPr="0034666A" w:rsidTr="00DB2B49">
              <w:tc>
                <w:tcPr>
                  <w:tcW w:w="865" w:type="dxa"/>
                  <w:tcBorders>
                    <w:top w:val="dotted" w:sz="4" w:space="0" w:color="auto"/>
                    <w:left w:val="dotted" w:sz="4" w:space="0" w:color="auto"/>
                    <w:bottom w:val="dotted" w:sz="4" w:space="0" w:color="auto"/>
                    <w:right w:val="dotted" w:sz="4" w:space="0" w:color="auto"/>
                  </w:tcBorders>
                  <w:shd w:val="clear" w:color="auto" w:fill="auto"/>
                </w:tcPr>
                <w:p w:rsidR="0096040E" w:rsidRPr="0034666A" w:rsidRDefault="0096040E" w:rsidP="005C0D49">
                  <w:pPr>
                    <w:pStyle w:val="TableUnitsRow"/>
                  </w:pP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tcPr>
                <w:p w:rsidR="0096040E" w:rsidRDefault="0096040E" w:rsidP="005C0D49">
                  <w:pPr>
                    <w:pStyle w:val="TableUnitsRow"/>
                  </w:pP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 xml:space="preserve">473.7 </w:t>
                  </w:r>
                  <w:r w:rsidR="00D514E0">
                    <w:br/>
                  </w:r>
                  <w:r>
                    <w:t>± 1.6</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 xml:space="preserve">480.8 </w:t>
                  </w:r>
                  <w:r w:rsidR="00D514E0">
                    <w:br/>
                  </w:r>
                  <w:r>
                    <w:t>± 1.3</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 xml:space="preserve">457.3 </w:t>
                  </w:r>
                  <w:r w:rsidR="00D514E0">
                    <w:br/>
                  </w:r>
                  <w:r>
                    <w:t>± 2.1</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 xml:space="preserve">464.4 </w:t>
                  </w:r>
                  <w:r w:rsidR="00D514E0">
                    <w:br/>
                  </w:r>
                  <w:r>
                    <w:t>± 2.7</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455.4</w:t>
                  </w:r>
                  <w:r w:rsidR="00D514E0">
                    <w:br/>
                  </w:r>
                  <w:r>
                    <w:t xml:space="preserve"> ± 3.1</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 xml:space="preserve">461.0 </w:t>
                  </w:r>
                  <w:r w:rsidR="00D514E0">
                    <w:br/>
                  </w:r>
                  <w:r>
                    <w:t>± 4.8</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 xml:space="preserve">473.0 </w:t>
                  </w:r>
                  <w:r w:rsidR="00D514E0">
                    <w:br/>
                  </w:r>
                  <w:r>
                    <w:t>± 5.2</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 xml:space="preserve">379.5 </w:t>
                  </w:r>
                  <w:r w:rsidR="00D514E0">
                    <w:br/>
                  </w:r>
                  <w:r>
                    <w:t>± 20.5</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 xml:space="preserve">468.3 </w:t>
                  </w:r>
                  <w:r w:rsidR="00D514E0">
                    <w:br/>
                  </w:r>
                  <w:r>
                    <w:t>± 0.9</w:t>
                  </w:r>
                </w:p>
              </w:tc>
            </w:tr>
            <w:tr w:rsidR="0096040E" w:rsidRPr="0034666A" w:rsidTr="00DB2B49">
              <w:tc>
                <w:tcPr>
                  <w:tcW w:w="865" w:type="dxa"/>
                  <w:tcBorders>
                    <w:top w:val="dotted" w:sz="4" w:space="0" w:color="auto"/>
                    <w:left w:val="dotted" w:sz="4" w:space="0" w:color="auto"/>
                    <w:bottom w:val="dotted" w:sz="4" w:space="0" w:color="auto"/>
                    <w:right w:val="dotted" w:sz="4" w:space="0" w:color="auto"/>
                  </w:tcBorders>
                  <w:shd w:val="clear" w:color="auto" w:fill="auto"/>
                </w:tcPr>
                <w:p w:rsidR="0096040E" w:rsidRPr="001552DE" w:rsidRDefault="0096040E" w:rsidP="005C0D49">
                  <w:pPr>
                    <w:pStyle w:val="TableColumnHeading"/>
                  </w:pPr>
                  <w:r w:rsidRPr="001552DE">
                    <w:t>NSW</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96040E" w:rsidRDefault="0096040E" w:rsidP="0096040E">
                  <w:pPr>
                    <w:pStyle w:val="TableBodyText"/>
                  </w:pPr>
                  <w:r>
                    <w:t>473.7 ± 1.6</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r>
            <w:tr w:rsidR="0096040E" w:rsidRPr="0034666A" w:rsidTr="00DB2B49">
              <w:tc>
                <w:tcPr>
                  <w:tcW w:w="865" w:type="dxa"/>
                  <w:tcBorders>
                    <w:top w:val="dotted" w:sz="4" w:space="0" w:color="auto"/>
                    <w:left w:val="dotted" w:sz="4" w:space="0" w:color="auto"/>
                    <w:bottom w:val="dotted" w:sz="4" w:space="0" w:color="auto"/>
                    <w:right w:val="dotted" w:sz="4" w:space="0" w:color="auto"/>
                  </w:tcBorders>
                  <w:shd w:val="clear" w:color="auto" w:fill="auto"/>
                </w:tcPr>
                <w:p w:rsidR="0096040E" w:rsidRPr="001552DE" w:rsidRDefault="0096040E" w:rsidP="005C0D49">
                  <w:pPr>
                    <w:pStyle w:val="TableColumnHeading"/>
                  </w:pPr>
                  <w:r w:rsidRPr="001552DE">
                    <w:t>Vic</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96040E" w:rsidRDefault="0096040E" w:rsidP="0096040E">
                  <w:pPr>
                    <w:pStyle w:val="TableBodyText"/>
                  </w:pPr>
                  <w:r>
                    <w:t>480.8 ± 1.3</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r>
            <w:tr w:rsidR="0096040E" w:rsidRPr="0034666A" w:rsidTr="00DB2B49">
              <w:tc>
                <w:tcPr>
                  <w:tcW w:w="865" w:type="dxa"/>
                  <w:tcBorders>
                    <w:top w:val="dotted" w:sz="4" w:space="0" w:color="auto"/>
                    <w:left w:val="dotted" w:sz="4" w:space="0" w:color="auto"/>
                    <w:bottom w:val="dotted" w:sz="4" w:space="0" w:color="auto"/>
                    <w:right w:val="dotted" w:sz="4" w:space="0" w:color="auto"/>
                  </w:tcBorders>
                  <w:shd w:val="clear" w:color="auto" w:fill="auto"/>
                </w:tcPr>
                <w:p w:rsidR="0096040E" w:rsidRPr="001552DE" w:rsidRDefault="0096040E" w:rsidP="005C0D49">
                  <w:pPr>
                    <w:pStyle w:val="TableColumnHeading"/>
                  </w:pPr>
                  <w:r w:rsidRPr="001552DE">
                    <w:t>Qld</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96040E" w:rsidRDefault="0096040E" w:rsidP="0096040E">
                  <w:pPr>
                    <w:pStyle w:val="TableBodyText"/>
                  </w:pPr>
                  <w:r>
                    <w:t>457.3 ± 2.1</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r>
            <w:tr w:rsidR="0096040E" w:rsidRPr="0034666A" w:rsidTr="00DB2B49">
              <w:tc>
                <w:tcPr>
                  <w:tcW w:w="865" w:type="dxa"/>
                  <w:tcBorders>
                    <w:top w:val="dotted" w:sz="4" w:space="0" w:color="auto"/>
                    <w:left w:val="dotted" w:sz="4" w:space="0" w:color="auto"/>
                    <w:bottom w:val="dotted" w:sz="4" w:space="0" w:color="auto"/>
                    <w:right w:val="dotted" w:sz="4" w:space="0" w:color="auto"/>
                  </w:tcBorders>
                  <w:shd w:val="clear" w:color="auto" w:fill="auto"/>
                </w:tcPr>
                <w:p w:rsidR="0096040E" w:rsidRPr="001552DE" w:rsidRDefault="0096040E" w:rsidP="005C0D49">
                  <w:pPr>
                    <w:pStyle w:val="TableColumnHeading"/>
                  </w:pPr>
                  <w:r w:rsidRPr="001552DE">
                    <w:t>WA</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96040E" w:rsidRDefault="0096040E" w:rsidP="0096040E">
                  <w:pPr>
                    <w:pStyle w:val="TableBodyText"/>
                  </w:pPr>
                  <w:r>
                    <w:t>464.4 ± 2.7</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r>
            <w:tr w:rsidR="0096040E" w:rsidRPr="0034666A" w:rsidTr="00DB2B49">
              <w:tc>
                <w:tcPr>
                  <w:tcW w:w="865" w:type="dxa"/>
                  <w:tcBorders>
                    <w:top w:val="dotted" w:sz="4" w:space="0" w:color="auto"/>
                    <w:left w:val="dotted" w:sz="4" w:space="0" w:color="auto"/>
                    <w:bottom w:val="dotted" w:sz="4" w:space="0" w:color="auto"/>
                    <w:right w:val="dotted" w:sz="4" w:space="0" w:color="auto"/>
                  </w:tcBorders>
                  <w:shd w:val="clear" w:color="auto" w:fill="auto"/>
                </w:tcPr>
                <w:p w:rsidR="0096040E" w:rsidRPr="001552DE" w:rsidRDefault="0096040E" w:rsidP="005C0D49">
                  <w:pPr>
                    <w:pStyle w:val="TableColumnHeading"/>
                  </w:pPr>
                  <w:r w:rsidRPr="001552DE">
                    <w:t>SA</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96040E" w:rsidRDefault="0096040E" w:rsidP="0096040E">
                  <w:pPr>
                    <w:pStyle w:val="TableBodyText"/>
                  </w:pPr>
                  <w:r>
                    <w:t>455.4 ± 3.1</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r>
            <w:tr w:rsidR="0096040E" w:rsidRPr="0034666A" w:rsidTr="00DB2B49">
              <w:tc>
                <w:tcPr>
                  <w:tcW w:w="865" w:type="dxa"/>
                  <w:tcBorders>
                    <w:top w:val="dotted" w:sz="4" w:space="0" w:color="auto"/>
                    <w:left w:val="dotted" w:sz="4" w:space="0" w:color="auto"/>
                    <w:bottom w:val="dotted" w:sz="4" w:space="0" w:color="auto"/>
                    <w:right w:val="dotted" w:sz="4" w:space="0" w:color="auto"/>
                  </w:tcBorders>
                  <w:shd w:val="clear" w:color="auto" w:fill="auto"/>
                </w:tcPr>
                <w:p w:rsidR="0096040E" w:rsidRPr="001552DE" w:rsidRDefault="0096040E" w:rsidP="005C0D49">
                  <w:pPr>
                    <w:pStyle w:val="TableColumnHeading"/>
                  </w:pPr>
                  <w:r w:rsidRPr="001552DE">
                    <w:t>Tas</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96040E" w:rsidRDefault="0096040E" w:rsidP="0096040E">
                  <w:pPr>
                    <w:pStyle w:val="TableBodyText"/>
                  </w:pPr>
                  <w:r>
                    <w:t>461.0 ± 4.8</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rPr>
                      <w:rFonts w:ascii="MS Gothic" w:eastAsia="MS Gothic" w:hAnsi="MS Gothic" w:cs="MS Gothic" w:hint="eastAsia"/>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r>
            <w:tr w:rsidR="0096040E" w:rsidRPr="0034666A" w:rsidTr="00DB2B49">
              <w:tc>
                <w:tcPr>
                  <w:tcW w:w="865" w:type="dxa"/>
                  <w:tcBorders>
                    <w:top w:val="dotted" w:sz="4" w:space="0" w:color="auto"/>
                    <w:left w:val="dotted" w:sz="4" w:space="0" w:color="auto"/>
                    <w:bottom w:val="dotted" w:sz="4" w:space="0" w:color="auto"/>
                    <w:right w:val="dotted" w:sz="4" w:space="0" w:color="auto"/>
                  </w:tcBorders>
                  <w:shd w:val="clear" w:color="auto" w:fill="auto"/>
                </w:tcPr>
                <w:p w:rsidR="0096040E" w:rsidRPr="001552DE" w:rsidRDefault="0096040E" w:rsidP="005C0D49">
                  <w:pPr>
                    <w:pStyle w:val="TableColumnHeading"/>
                  </w:pPr>
                  <w:r w:rsidRPr="001552DE">
                    <w:t>ACT</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96040E" w:rsidRDefault="0096040E" w:rsidP="0096040E">
                  <w:pPr>
                    <w:pStyle w:val="TableBodyText"/>
                  </w:pPr>
                  <w:r>
                    <w:t>473.0 ± 5.2</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rPr>
                      <w:rFonts w:ascii="Cambria Math" w:hAnsi="Cambria Math" w:cs="Cambria Math"/>
                    </w:rP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r>
            <w:tr w:rsidR="0096040E" w:rsidRPr="0034666A" w:rsidTr="00DB2B49">
              <w:tc>
                <w:tcPr>
                  <w:tcW w:w="865" w:type="dxa"/>
                  <w:tcBorders>
                    <w:top w:val="dotted" w:sz="4" w:space="0" w:color="auto"/>
                    <w:left w:val="dotted" w:sz="4" w:space="0" w:color="auto"/>
                    <w:bottom w:val="dotted" w:sz="4" w:space="0" w:color="auto"/>
                    <w:right w:val="dotted" w:sz="4" w:space="0" w:color="auto"/>
                  </w:tcBorders>
                  <w:shd w:val="clear" w:color="auto" w:fill="auto"/>
                </w:tcPr>
                <w:p w:rsidR="0096040E" w:rsidRPr="001552DE" w:rsidRDefault="0096040E" w:rsidP="005C0D49">
                  <w:pPr>
                    <w:pStyle w:val="TableColumnHeading"/>
                  </w:pPr>
                  <w:r w:rsidRPr="001552DE">
                    <w:t>NT</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96040E" w:rsidRDefault="0096040E" w:rsidP="0096040E">
                  <w:pPr>
                    <w:pStyle w:val="TableBodyText"/>
                  </w:pPr>
                  <w:r>
                    <w:t>379.5 ± 20.5</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 </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r>
            <w:tr w:rsidR="0096040E" w:rsidRPr="00895A13" w:rsidTr="00DB2B49">
              <w:tc>
                <w:tcPr>
                  <w:tcW w:w="865" w:type="dxa"/>
                  <w:tcBorders>
                    <w:top w:val="dotted" w:sz="4" w:space="0" w:color="auto"/>
                    <w:left w:val="dotted" w:sz="4" w:space="0" w:color="auto"/>
                    <w:bottom w:val="dotted" w:sz="4" w:space="0" w:color="auto"/>
                    <w:right w:val="dotted" w:sz="4" w:space="0" w:color="auto"/>
                  </w:tcBorders>
                  <w:shd w:val="clear" w:color="auto" w:fill="auto"/>
                </w:tcPr>
                <w:p w:rsidR="0096040E" w:rsidRPr="001552DE" w:rsidRDefault="0096040E" w:rsidP="005C0D49">
                  <w:pPr>
                    <w:pStyle w:val="TableColumnHeading"/>
                  </w:pPr>
                  <w:r w:rsidRPr="001552DE">
                    <w:t>Aust</w:t>
                  </w:r>
                </w:p>
              </w:tc>
              <w:tc>
                <w:tcPr>
                  <w:tcW w:w="710" w:type="dxa"/>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96040E" w:rsidRDefault="0096040E" w:rsidP="0096040E">
                  <w:pPr>
                    <w:pStyle w:val="TableBodyText"/>
                  </w:pPr>
                  <w:r>
                    <w:t>468.3 ± 0.9</w:t>
                  </w:r>
                </w:p>
              </w:tc>
              <w:tc>
                <w:tcPr>
                  <w:tcW w:w="766"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w:t>
                  </w:r>
                </w:p>
              </w:tc>
              <w:tc>
                <w:tcPr>
                  <w:tcW w:w="767" w:type="dxa"/>
                  <w:tcBorders>
                    <w:top w:val="dotted" w:sz="4" w:space="0" w:color="auto"/>
                    <w:left w:val="dotted" w:sz="4" w:space="0" w:color="auto"/>
                    <w:bottom w:val="dotted" w:sz="4" w:space="0" w:color="auto"/>
                    <w:right w:val="dotted" w:sz="4" w:space="0" w:color="auto"/>
                  </w:tcBorders>
                  <w:shd w:val="clear" w:color="auto" w:fill="FFFFFF" w:themeFill="background1"/>
                  <w:vAlign w:val="bottom"/>
                </w:tcPr>
                <w:p w:rsidR="0096040E" w:rsidRDefault="0096040E" w:rsidP="0096040E">
                  <w:pPr>
                    <w:pStyle w:val="TableBodyText"/>
                  </w:pPr>
                  <w:r>
                    <w:t>.. </w:t>
                  </w:r>
                </w:p>
              </w:tc>
            </w:tr>
          </w:tbl>
          <w:p w:rsidR="003C17D3" w:rsidRDefault="003C17D3" w:rsidP="005C0D49">
            <w:pPr>
              <w:pStyle w:val="Box"/>
            </w:pPr>
          </w:p>
        </w:tc>
      </w:tr>
      <w:tr w:rsidR="006F2A4E" w:rsidTr="00A97042">
        <w:trPr>
          <w:cantSplit/>
        </w:trPr>
        <w:tc>
          <w:tcPr>
            <w:tcW w:w="8909" w:type="dxa"/>
            <w:gridSpan w:val="2"/>
            <w:tcBorders>
              <w:top w:val="nil"/>
              <w:left w:val="nil"/>
              <w:bottom w:val="nil"/>
              <w:right w:val="nil"/>
            </w:tcBorders>
            <w:shd w:val="clear" w:color="auto" w:fill="auto"/>
          </w:tcPr>
          <w:p w:rsidR="006F2A4E" w:rsidRPr="009F0531" w:rsidRDefault="006F2A4E" w:rsidP="007A42E5">
            <w:pPr>
              <w:pStyle w:val="Note"/>
            </w:pPr>
            <w:r w:rsidRPr="009F0531">
              <w:rPr>
                <w:rStyle w:val="NoteLabel"/>
                <w:b w:val="0"/>
                <w:position w:val="0"/>
              </w:rPr>
              <w:t>▲</w:t>
            </w:r>
            <w:r>
              <w:t xml:space="preserve"> </w:t>
            </w:r>
            <w:r w:rsidRPr="009F0531">
              <w:t xml:space="preserve">Average achievement is substantially above and is statistically significantly different from the comparison State/Territory. </w:t>
            </w:r>
            <w:r w:rsidRPr="009F0531">
              <w:rPr>
                <w:rFonts w:ascii="Cambria Math" w:hAnsi="Cambria Math" w:cs="Cambria Math"/>
              </w:rPr>
              <w:t>△</w:t>
            </w:r>
            <w:r w:rsidRPr="009F0531">
              <w:t xml:space="preserve"> Average achievement is above and is statistically significantly different from the comparison State/Territory. ■ Average achievement is close to or not statistically different from the comparison State/Territory. </w:t>
            </w:r>
            <w:r w:rsidRPr="009F0531">
              <w:rPr>
                <w:rFonts w:ascii="MS Gothic" w:eastAsia="MS Gothic" w:hAnsi="MS Gothic" w:cs="MS Gothic" w:hint="eastAsia"/>
              </w:rPr>
              <w:t>▽</w:t>
            </w:r>
            <w:r w:rsidR="00D514E0">
              <w:rPr>
                <w:rFonts w:ascii="MS Gothic" w:eastAsia="MS Gothic" w:hAnsi="MS Gothic" w:cs="MS Gothic"/>
              </w:rPr>
              <w:t xml:space="preserve"> </w:t>
            </w:r>
            <w:r w:rsidRPr="009F0531">
              <w:t>Average achievement is below and is statistically significantly different from the comparison State/Territory. ▼ Average achievement is substantially below and is statistically significantly different from the comparison State/Territory.</w:t>
            </w:r>
          </w:p>
          <w:p w:rsidR="006F2A4E" w:rsidRDefault="006F2A4E" w:rsidP="00C76C22">
            <w:pPr>
              <w:pStyle w:val="Note"/>
              <w:rPr>
                <w:i/>
              </w:rPr>
            </w:pPr>
            <w:r w:rsidRPr="008E77FE">
              <w:rPr>
                <w:rStyle w:val="NoteLabel"/>
              </w:rPr>
              <w:t>a</w:t>
            </w:r>
            <w:r w:rsidRPr="009F0531">
              <w:t> For further information and caveats see table 4A.</w:t>
            </w:r>
            <w:r w:rsidR="00C76C22">
              <w:t>75</w:t>
            </w:r>
            <w:r w:rsidRPr="009F0531">
              <w:t>.</w:t>
            </w:r>
            <w:r>
              <w:t xml:space="preserve"> .. not applicable.</w:t>
            </w:r>
          </w:p>
        </w:tc>
      </w:tr>
      <w:tr w:rsidR="006F2A4E" w:rsidTr="00A97042">
        <w:trPr>
          <w:cantSplit/>
        </w:trPr>
        <w:tc>
          <w:tcPr>
            <w:tcW w:w="8909" w:type="dxa"/>
            <w:gridSpan w:val="2"/>
            <w:tcBorders>
              <w:top w:val="nil"/>
              <w:left w:val="nil"/>
              <w:bottom w:val="nil"/>
              <w:right w:val="nil"/>
            </w:tcBorders>
            <w:shd w:val="clear" w:color="auto" w:fill="auto"/>
          </w:tcPr>
          <w:p w:rsidR="006F2A4E" w:rsidRDefault="006F2A4E" w:rsidP="00C76C22">
            <w:pPr>
              <w:pStyle w:val="Source"/>
            </w:pPr>
            <w:r>
              <w:rPr>
                <w:i/>
              </w:rPr>
              <w:t>Source</w:t>
            </w:r>
            <w:r w:rsidRPr="00167F06">
              <w:t xml:space="preserve">: </w:t>
            </w:r>
            <w:r w:rsidRPr="006F2A4E">
              <w:t>ACARA (2014</w:t>
            </w:r>
            <w:r w:rsidR="00592D0D" w:rsidRPr="00BE4E82">
              <w:t xml:space="preserve"> and unpublished</w:t>
            </w:r>
            <w:r w:rsidRPr="006F2A4E">
              <w:t xml:space="preserve">) </w:t>
            </w:r>
            <w:r w:rsidRPr="006F2A4E">
              <w:rPr>
                <w:i/>
              </w:rPr>
              <w:t>NAPLAN Achievement in Reading, Writing, Language Conventions and Numeracy: National Report for 2014</w:t>
            </w:r>
            <w:r w:rsidRPr="006F2A4E">
              <w:t>; table 4A.</w:t>
            </w:r>
            <w:r w:rsidR="00C76C22">
              <w:t>75</w:t>
            </w:r>
            <w:r w:rsidRPr="006F2A4E">
              <w:t>.</w:t>
            </w:r>
          </w:p>
        </w:tc>
      </w:tr>
      <w:tr w:rsidR="006F2A4E" w:rsidTr="00A97042">
        <w:trPr>
          <w:cantSplit/>
        </w:trPr>
        <w:tc>
          <w:tcPr>
            <w:tcW w:w="8909" w:type="dxa"/>
            <w:gridSpan w:val="2"/>
            <w:tcBorders>
              <w:top w:val="nil"/>
              <w:left w:val="nil"/>
              <w:bottom w:val="single" w:sz="6" w:space="0" w:color="78A22F"/>
              <w:right w:val="nil"/>
            </w:tcBorders>
            <w:shd w:val="clear" w:color="auto" w:fill="auto"/>
          </w:tcPr>
          <w:p w:rsidR="006F2A4E" w:rsidRDefault="006F2A4E" w:rsidP="007A42E5">
            <w:pPr>
              <w:pStyle w:val="Box"/>
              <w:spacing w:before="0" w:line="120" w:lineRule="exact"/>
            </w:pPr>
          </w:p>
        </w:tc>
      </w:tr>
      <w:tr w:rsidR="006F2A4E" w:rsidRPr="000863A5" w:rsidTr="00A97042">
        <w:tc>
          <w:tcPr>
            <w:tcW w:w="8909" w:type="dxa"/>
            <w:gridSpan w:val="2"/>
            <w:tcBorders>
              <w:top w:val="single" w:sz="6" w:space="0" w:color="78A22F"/>
              <w:left w:val="nil"/>
              <w:bottom w:val="nil"/>
              <w:right w:val="nil"/>
            </w:tcBorders>
          </w:tcPr>
          <w:p w:rsidR="006F2A4E" w:rsidRPr="00626D32" w:rsidRDefault="006F2A4E" w:rsidP="007A42E5">
            <w:pPr>
              <w:pStyle w:val="BoxSpaceBelow"/>
            </w:pPr>
          </w:p>
        </w:tc>
      </w:tr>
    </w:tbl>
    <w:p w:rsidR="009223BC" w:rsidRPr="00666ECE" w:rsidRDefault="009223BC" w:rsidP="007B0AE2">
      <w:pPr>
        <w:pStyle w:val="Heading6"/>
      </w:pPr>
      <w:r w:rsidRPr="00666ECE">
        <w:t>Geolocation</w:t>
      </w:r>
    </w:p>
    <w:p w:rsidR="009223BC" w:rsidRPr="000A554E" w:rsidRDefault="009223BC" w:rsidP="006C72B4">
      <w:pPr>
        <w:pStyle w:val="BodyText"/>
      </w:pPr>
      <w:r w:rsidRPr="00666ECE">
        <w:t xml:space="preserve">Across all year levels, </w:t>
      </w:r>
      <w:r>
        <w:t>persuasive writing</w:t>
      </w:r>
      <w:r w:rsidRPr="00891EF6">
        <w:t xml:space="preserve"> outcomes tended to decline with remoteness. For year </w:t>
      </w:r>
      <w:r w:rsidR="00454CF4">
        <w:t>5</w:t>
      </w:r>
      <w:r w:rsidRPr="00891EF6">
        <w:t xml:space="preserve">, for </w:t>
      </w:r>
      <w:r w:rsidRPr="000A554E">
        <w:t xml:space="preserve">example, </w:t>
      </w:r>
      <w:r w:rsidR="00345249" w:rsidRPr="00DB2B49">
        <w:rPr>
          <w:shd w:val="clear" w:color="auto" w:fill="FFFFFF" w:themeFill="background1"/>
        </w:rPr>
        <w:t>91.8–92.4</w:t>
      </w:r>
      <w:r w:rsidR="004E52C6" w:rsidRPr="00DB2B49">
        <w:t xml:space="preserve"> </w:t>
      </w:r>
      <w:r w:rsidRPr="000A554E">
        <w:t xml:space="preserve">per cent of students in metropolitan areas achieved at or above the national minimum standard, higher than the proportion for provincial students </w:t>
      </w:r>
      <w:r w:rsidR="00E161F4">
        <w:t>(</w:t>
      </w:r>
      <w:r w:rsidR="00345249" w:rsidRPr="00DB2B49">
        <w:rPr>
          <w:shd w:val="clear" w:color="auto" w:fill="FFFFFF" w:themeFill="background1"/>
        </w:rPr>
        <w:t>86.9–87.9</w:t>
      </w:r>
      <w:r w:rsidR="004E52C6" w:rsidRPr="00DB2B49">
        <w:t xml:space="preserve"> </w:t>
      </w:r>
      <w:r w:rsidRPr="000A554E">
        <w:t xml:space="preserve">per cent), remote students </w:t>
      </w:r>
      <w:r w:rsidR="00345249">
        <w:t>(</w:t>
      </w:r>
      <w:r w:rsidR="00345249" w:rsidRPr="00DB2B49">
        <w:rPr>
          <w:shd w:val="clear" w:color="auto" w:fill="FFFFFF" w:themeFill="background1"/>
        </w:rPr>
        <w:t>74.3–80.9</w:t>
      </w:r>
      <w:r w:rsidRPr="00DB2B49">
        <w:t> </w:t>
      </w:r>
      <w:r w:rsidRPr="000A554E">
        <w:t xml:space="preserve">per cent) and very remote students </w:t>
      </w:r>
      <w:r w:rsidR="001B73AB">
        <w:br/>
      </w:r>
      <w:r w:rsidRPr="000A554E">
        <w:t>(</w:t>
      </w:r>
      <w:r w:rsidR="00345249" w:rsidRPr="00DB2B49">
        <w:rPr>
          <w:shd w:val="clear" w:color="auto" w:fill="FFFFFF" w:themeFill="background1"/>
        </w:rPr>
        <w:t>39.4–52.2</w:t>
      </w:r>
      <w:r w:rsidRPr="00DB2B49">
        <w:t xml:space="preserve"> </w:t>
      </w:r>
      <w:r w:rsidRPr="000A554E">
        <w:t>per cent) (</w:t>
      </w:r>
      <w:r w:rsidRPr="00945F46">
        <w:t>figure 4.</w:t>
      </w:r>
      <w:r w:rsidR="00FF2AB3">
        <w:t>35</w:t>
      </w:r>
      <w:r w:rsidRPr="000A554E">
        <w:t>).</w:t>
      </w:r>
    </w:p>
    <w:p w:rsidR="009223BC" w:rsidRPr="00666ECE" w:rsidRDefault="009223BC" w:rsidP="006C72B4">
      <w:pPr>
        <w:pStyle w:val="BodyText"/>
      </w:pPr>
      <w:r w:rsidRPr="00666ECE">
        <w:lastRenderedPageBreak/>
        <w:t xml:space="preserve">For all geolocation categories across years 3, 5, 7 and 9, the </w:t>
      </w:r>
      <w:r w:rsidR="00945F46">
        <w:t>persuasive writing</w:t>
      </w:r>
      <w:r w:rsidRPr="00666ECE">
        <w:t xml:space="preserve"> outcomes nationally for </w:t>
      </w:r>
      <w:r w:rsidR="006C72B4">
        <w:t>Aboriginal and Torres Strait Islander</w:t>
      </w:r>
      <w:r w:rsidRPr="00666ECE">
        <w:t xml:space="preserve"> students were lower than those for non</w:t>
      </w:r>
      <w:r w:rsidR="00E161F4">
        <w:noBreakHyphen/>
      </w:r>
      <w:r w:rsidRPr="00666ECE">
        <w:t xml:space="preserve">Indigenous students. Nationally, outcomes for </w:t>
      </w:r>
      <w:r w:rsidR="00701AD6" w:rsidRPr="006C72B4">
        <w:rPr>
          <w:szCs w:val="26"/>
        </w:rPr>
        <w:t>Aboriginal and Torres Strait Islander</w:t>
      </w:r>
      <w:r w:rsidRPr="00666ECE">
        <w:t xml:space="preserve"> students generally declined as remoteness increased, and </w:t>
      </w:r>
      <w:r w:rsidRPr="00666ECE">
        <w:rPr>
          <w:szCs w:val="26"/>
        </w:rPr>
        <w:t xml:space="preserve">the gap in learning outcomes between </w:t>
      </w:r>
      <w:r w:rsidR="006C72B4" w:rsidRPr="006C72B4">
        <w:rPr>
          <w:szCs w:val="26"/>
        </w:rPr>
        <w:t>Aboriginal and Torres Strait Islander</w:t>
      </w:r>
      <w:r w:rsidRPr="00666ECE">
        <w:rPr>
          <w:szCs w:val="26"/>
        </w:rPr>
        <w:t xml:space="preserve"> studen</w:t>
      </w:r>
      <w:r>
        <w:rPr>
          <w:szCs w:val="26"/>
        </w:rPr>
        <w:t xml:space="preserve">ts and non-Indigenous students </w:t>
      </w:r>
      <w:r w:rsidRPr="00666ECE">
        <w:rPr>
          <w:szCs w:val="26"/>
        </w:rPr>
        <w:t>was generally greater in remote and very remote areas than in metropolitan and provincial areas.</w:t>
      </w:r>
    </w:p>
    <w:p w:rsidR="009223BC" w:rsidRPr="00666ECE" w:rsidRDefault="009223BC" w:rsidP="006C72B4">
      <w:pPr>
        <w:pStyle w:val="BodyText"/>
      </w:pPr>
      <w:r w:rsidRPr="00666ECE">
        <w:t xml:space="preserve">State and Territory results by Indigenous status and geolocation for years 3, 5, 7 </w:t>
      </w:r>
      <w:r w:rsidR="00E161F4">
        <w:br/>
      </w:r>
      <w:r w:rsidRPr="00666ECE">
        <w:t>and 9 numeracy literacy are in table 4A.</w:t>
      </w:r>
      <w:r w:rsidR="00C76C22">
        <w:t>73</w:t>
      </w:r>
      <w:r w:rsidRPr="00666ECE">
        <w:t>. The general pattern in jurisdictions appears similar to the national results. However, due to relatively large confidence intervals, caution should be exercised when making comparisons for some data. Mean scale score results by Indigenous status and geolocation are provided in table</w:t>
      </w:r>
      <w:r w:rsidR="00E161F4">
        <w:t> </w:t>
      </w:r>
      <w:r w:rsidRPr="00666ECE">
        <w:t>4A.</w:t>
      </w:r>
      <w:r w:rsidR="00C76C22">
        <w:t>76</w:t>
      </w:r>
      <w:r w:rsidRPr="00666ECE">
        <w:t>.</w:t>
      </w:r>
    </w:p>
    <w:p w:rsidR="006C72B4" w:rsidRDefault="006C72B4" w:rsidP="00B4549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C72B4" w:rsidTr="00B45495">
        <w:tc>
          <w:tcPr>
            <w:tcW w:w="8771" w:type="dxa"/>
            <w:tcBorders>
              <w:top w:val="single" w:sz="6" w:space="0" w:color="78A22F"/>
              <w:left w:val="nil"/>
              <w:bottom w:val="nil"/>
              <w:right w:val="nil"/>
            </w:tcBorders>
            <w:shd w:val="clear" w:color="auto" w:fill="auto"/>
          </w:tcPr>
          <w:p w:rsidR="006C72B4" w:rsidRPr="00176D3F" w:rsidRDefault="006C72B4" w:rsidP="00454CF4">
            <w:pPr>
              <w:pStyle w:val="FigureTitle"/>
            </w:pPr>
            <w:r w:rsidRPr="00784A05">
              <w:rPr>
                <w:b w:val="0"/>
              </w:rPr>
              <w:t xml:space="preserve">Figure </w:t>
            </w:r>
            <w:r w:rsidR="00B70781">
              <w:rPr>
                <w:b w:val="0"/>
              </w:rPr>
              <w:t>4.</w:t>
            </w:r>
            <w:r w:rsidR="005953B6">
              <w:rPr>
                <w:b w:val="0"/>
                <w:noProof/>
              </w:rPr>
              <w:t>35</w:t>
            </w:r>
            <w:r>
              <w:tab/>
            </w:r>
            <w:r w:rsidRPr="006C72B4">
              <w:t xml:space="preserve">National proportion of year </w:t>
            </w:r>
            <w:r w:rsidR="00454CF4">
              <w:t>5</w:t>
            </w:r>
            <w:r w:rsidRPr="006C72B4">
              <w:t xml:space="preserve"> students achieving at or above the </w:t>
            </w:r>
            <w:r w:rsidR="004C0D14">
              <w:t>persuasive writing</w:t>
            </w:r>
            <w:r w:rsidRPr="006C72B4">
              <w:t xml:space="preserve"> national minimum standard, by Indigenous status and geolocation, 201</w:t>
            </w:r>
            <w:r w:rsidR="008612A7">
              <w:t>4</w:t>
            </w:r>
            <w:r w:rsidRPr="006C72B4">
              <w:t xml:space="preserve"> </w:t>
            </w:r>
            <w:r w:rsidRPr="006C72B4">
              <w:rPr>
                <w:rStyle w:val="NoteLabel"/>
                <w:b/>
              </w:rPr>
              <w:t>a, b</w:t>
            </w:r>
          </w:p>
        </w:tc>
      </w:tr>
      <w:tr w:rsidR="006C72B4" w:rsidTr="00DB2B49">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6C72B4" w:rsidTr="00B45495">
              <w:trPr>
                <w:jc w:val="center"/>
              </w:trPr>
              <w:tc>
                <w:tcPr>
                  <w:tcW w:w="5000" w:type="pct"/>
                  <w:tcBorders>
                    <w:top w:val="nil"/>
                    <w:bottom w:val="nil"/>
                  </w:tcBorders>
                </w:tcPr>
                <w:p w:rsidR="006C72B4" w:rsidRDefault="00F06596" w:rsidP="00B45495">
                  <w:pPr>
                    <w:pStyle w:val="Figure"/>
                    <w:spacing w:before="60" w:after="60"/>
                  </w:pPr>
                  <w:r>
                    <w:rPr>
                      <w:noProof/>
                    </w:rPr>
                    <w:drawing>
                      <wp:inline distT="0" distB="0" distL="0" distR="0" wp14:anchorId="200FC1F2" wp14:editId="17902062">
                        <wp:extent cx="5391150" cy="2695575"/>
                        <wp:effectExtent l="0" t="0" r="0" b="9525"/>
                        <wp:docPr id="35" name="Picture 35" descr="Figure 4.35 National proportion of year 5 students achieving at or above the persuasive writing national minimum standard, by Indigenous status and geolocation,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6C72B4" w:rsidRDefault="006C72B4" w:rsidP="00B45495">
            <w:pPr>
              <w:pStyle w:val="Figure"/>
            </w:pPr>
          </w:p>
        </w:tc>
      </w:tr>
      <w:tr w:rsidR="006C72B4" w:rsidRPr="00176D3F" w:rsidTr="00B45495">
        <w:tc>
          <w:tcPr>
            <w:tcW w:w="8771" w:type="dxa"/>
            <w:tcBorders>
              <w:top w:val="nil"/>
              <w:left w:val="nil"/>
              <w:bottom w:val="nil"/>
              <w:right w:val="nil"/>
            </w:tcBorders>
            <w:shd w:val="clear" w:color="auto" w:fill="auto"/>
          </w:tcPr>
          <w:p w:rsidR="006C72B4" w:rsidRPr="006C72B4" w:rsidRDefault="006C72B4" w:rsidP="00454CF4">
            <w:pPr>
              <w:keepLines/>
              <w:shd w:val="clear" w:color="auto" w:fill="FFFFFF" w:themeFill="background1"/>
              <w:spacing w:before="80" w:line="220" w:lineRule="exact"/>
              <w:jc w:val="both"/>
              <w:rPr>
                <w:rFonts w:ascii="Arial" w:hAnsi="Arial"/>
                <w:sz w:val="18"/>
                <w:szCs w:val="20"/>
              </w:rPr>
            </w:pPr>
            <w:r>
              <w:rPr>
                <w:rStyle w:val="NoteLabel"/>
              </w:rPr>
              <w:t>a</w:t>
            </w:r>
            <w:r w:rsidRPr="00666ECE">
              <w:rPr>
                <w:rFonts w:ascii="Arial" w:hAnsi="Arial"/>
                <w:sz w:val="18"/>
                <w:szCs w:val="20"/>
              </w:rPr>
              <w:sym w:font="Symbol" w:char="F020"/>
            </w:r>
            <w:r w:rsidRPr="00666ECE">
              <w:rPr>
                <w:rFonts w:ascii="Arial" w:hAnsi="Arial"/>
                <w:sz w:val="18"/>
                <w:szCs w:val="20"/>
              </w:rPr>
              <w:t xml:space="preserve"> Error bars represent the 95 per cent confidence interval associated with each point estimate. </w:t>
            </w:r>
            <w:r w:rsidRPr="00666ECE">
              <w:rPr>
                <w:rFonts w:ascii="Arial" w:hAnsi="Arial"/>
                <w:b/>
                <w:position w:val="6"/>
                <w:sz w:val="18"/>
                <w:szCs w:val="20"/>
              </w:rPr>
              <w:t>b</w:t>
            </w:r>
            <w:r w:rsidRPr="00666ECE">
              <w:rPr>
                <w:rFonts w:ascii="Arial" w:hAnsi="Arial"/>
                <w:sz w:val="18"/>
                <w:szCs w:val="20"/>
              </w:rPr>
              <w:t xml:space="preserve"> Data for year </w:t>
            </w:r>
            <w:r>
              <w:rPr>
                <w:rFonts w:ascii="Arial" w:hAnsi="Arial"/>
                <w:sz w:val="18"/>
                <w:szCs w:val="20"/>
              </w:rPr>
              <w:t>3</w:t>
            </w:r>
            <w:r w:rsidRPr="00666ECE">
              <w:rPr>
                <w:rFonts w:ascii="Arial" w:hAnsi="Arial"/>
                <w:sz w:val="18"/>
                <w:szCs w:val="20"/>
              </w:rPr>
              <w:t xml:space="preserve"> students are shown and may not be representative of students in years </w:t>
            </w:r>
            <w:r w:rsidR="00454CF4">
              <w:rPr>
                <w:rFonts w:ascii="Arial" w:hAnsi="Arial"/>
                <w:sz w:val="18"/>
                <w:szCs w:val="20"/>
              </w:rPr>
              <w:t>3</w:t>
            </w:r>
            <w:r w:rsidRPr="00666ECE">
              <w:rPr>
                <w:rFonts w:ascii="Arial" w:hAnsi="Arial"/>
                <w:sz w:val="18"/>
                <w:szCs w:val="20"/>
              </w:rPr>
              <w:t>, 7 and 9 which are detailed in table 4A.</w:t>
            </w:r>
            <w:r w:rsidR="00C76C22">
              <w:rPr>
                <w:rFonts w:ascii="Arial" w:hAnsi="Arial"/>
                <w:sz w:val="18"/>
                <w:szCs w:val="20"/>
              </w:rPr>
              <w:t>73</w:t>
            </w:r>
            <w:r>
              <w:rPr>
                <w:rFonts w:ascii="Arial" w:hAnsi="Arial"/>
                <w:sz w:val="18"/>
                <w:szCs w:val="20"/>
              </w:rPr>
              <w:t xml:space="preserve">. </w:t>
            </w:r>
          </w:p>
        </w:tc>
      </w:tr>
      <w:tr w:rsidR="006C72B4" w:rsidRPr="00176D3F" w:rsidTr="00B45495">
        <w:tc>
          <w:tcPr>
            <w:tcW w:w="8771" w:type="dxa"/>
            <w:tcBorders>
              <w:top w:val="nil"/>
              <w:left w:val="nil"/>
              <w:bottom w:val="nil"/>
              <w:right w:val="nil"/>
            </w:tcBorders>
            <w:shd w:val="clear" w:color="auto" w:fill="auto"/>
          </w:tcPr>
          <w:p w:rsidR="006C72B4" w:rsidRPr="00176D3F" w:rsidRDefault="00E33100" w:rsidP="00C76C22">
            <w:pPr>
              <w:pStyle w:val="Source"/>
            </w:pPr>
            <w:r>
              <w:rPr>
                <w:i/>
              </w:rPr>
              <w:t>S</w:t>
            </w:r>
            <w:r w:rsidR="006C72B4" w:rsidRPr="00784A05">
              <w:rPr>
                <w:i/>
              </w:rPr>
              <w:t>ource</w:t>
            </w:r>
            <w:r w:rsidR="006C72B4" w:rsidRPr="00176D3F">
              <w:t xml:space="preserve">: </w:t>
            </w:r>
            <w:r w:rsidRPr="00E33100">
              <w:t>ACARA (201</w:t>
            </w:r>
            <w:r w:rsidR="00CE6853">
              <w:t>4</w:t>
            </w:r>
            <w:r w:rsidRPr="00E33100">
              <w:t xml:space="preserve"> and unpublished) </w:t>
            </w:r>
            <w:r w:rsidRPr="00E33100">
              <w:rPr>
                <w:i/>
              </w:rPr>
              <w:t>NAPLAN Achievement in Reading, Writing, Language Conventions and Numeracy: National Report for 201</w:t>
            </w:r>
            <w:r w:rsidR="00CE6853">
              <w:rPr>
                <w:i/>
              </w:rPr>
              <w:t>4</w:t>
            </w:r>
            <w:r w:rsidRPr="00E33100">
              <w:t>; table 4A.</w:t>
            </w:r>
            <w:r w:rsidR="00C76C22">
              <w:t>73</w:t>
            </w:r>
            <w:r>
              <w:t>.</w:t>
            </w:r>
          </w:p>
        </w:tc>
      </w:tr>
      <w:tr w:rsidR="006C72B4" w:rsidTr="00B45495">
        <w:tc>
          <w:tcPr>
            <w:tcW w:w="8771" w:type="dxa"/>
            <w:tcBorders>
              <w:top w:val="nil"/>
              <w:left w:val="nil"/>
              <w:bottom w:val="single" w:sz="6" w:space="0" w:color="78A22F"/>
              <w:right w:val="nil"/>
            </w:tcBorders>
            <w:shd w:val="clear" w:color="auto" w:fill="auto"/>
          </w:tcPr>
          <w:p w:rsidR="006C72B4" w:rsidRDefault="006C72B4" w:rsidP="00B45495">
            <w:pPr>
              <w:pStyle w:val="Figurespace"/>
            </w:pPr>
          </w:p>
        </w:tc>
      </w:tr>
      <w:tr w:rsidR="006C72B4" w:rsidRPr="000863A5" w:rsidTr="00B45495">
        <w:tc>
          <w:tcPr>
            <w:tcW w:w="8771" w:type="dxa"/>
            <w:tcBorders>
              <w:top w:val="single" w:sz="6" w:space="0" w:color="78A22F"/>
              <w:left w:val="nil"/>
              <w:bottom w:val="nil"/>
              <w:right w:val="nil"/>
            </w:tcBorders>
          </w:tcPr>
          <w:p w:rsidR="006C72B4" w:rsidRPr="00626D32" w:rsidRDefault="006C72B4" w:rsidP="00B45495">
            <w:pPr>
              <w:pStyle w:val="BoxSpaceBelow"/>
            </w:pPr>
          </w:p>
        </w:tc>
      </w:tr>
    </w:tbl>
    <w:p w:rsidR="00D948AA" w:rsidRPr="004E52C6" w:rsidRDefault="00D948AA" w:rsidP="00E33100">
      <w:pPr>
        <w:pStyle w:val="BodyText"/>
      </w:pPr>
      <w:r w:rsidRPr="004E52C6">
        <w:t xml:space="preserve">Data for years </w:t>
      </w:r>
      <w:r w:rsidR="00454CF4">
        <w:t>3</w:t>
      </w:r>
      <w:r w:rsidRPr="004E52C6">
        <w:t>, 7 and 9, and outcomes by equity group, parental education and parental occupation</w:t>
      </w:r>
      <w:r w:rsidR="00004B66" w:rsidRPr="004E52C6">
        <w:t xml:space="preserve"> for 201</w:t>
      </w:r>
      <w:r w:rsidR="004C0D14" w:rsidRPr="004E52C6">
        <w:t>4</w:t>
      </w:r>
      <w:r w:rsidRPr="004E52C6">
        <w:t xml:space="preserve"> are in tables 4A.</w:t>
      </w:r>
      <w:r w:rsidR="00C76C22" w:rsidRPr="004E52C6">
        <w:t>72</w:t>
      </w:r>
      <w:r w:rsidR="008A0EEB" w:rsidRPr="004E52C6">
        <w:t>–</w:t>
      </w:r>
      <w:r w:rsidR="00C76C22" w:rsidRPr="004E52C6">
        <w:t>7</w:t>
      </w:r>
      <w:r w:rsidR="00E34421" w:rsidRPr="004E52C6">
        <w:t>9</w:t>
      </w:r>
      <w:r w:rsidRPr="004E52C6">
        <w:t>.</w:t>
      </w:r>
    </w:p>
    <w:p w:rsidR="00004B66" w:rsidRPr="004E52C6" w:rsidRDefault="00004B66" w:rsidP="00E33100">
      <w:pPr>
        <w:pStyle w:val="BodyText"/>
        <w:rPr>
          <w:shd w:val="clear" w:color="auto" w:fill="FFFFFF" w:themeFill="background1"/>
        </w:rPr>
      </w:pPr>
      <w:r w:rsidRPr="004E52C6">
        <w:t xml:space="preserve">Statistical significance of differences </w:t>
      </w:r>
      <w:r w:rsidR="00CC62BF" w:rsidRPr="004E52C6">
        <w:t xml:space="preserve">for persuasive writing </w:t>
      </w:r>
      <w:r w:rsidRPr="004E52C6">
        <w:t>between 2011</w:t>
      </w:r>
      <w:r w:rsidR="00C76C22" w:rsidRPr="004E52C6">
        <w:t>, 2013 and 2014</w:t>
      </w:r>
      <w:r w:rsidRPr="004E52C6">
        <w:t xml:space="preserve"> for years 3, 5, 7 and 9 for mean scale scores and proportions at and above national minimum standard are</w:t>
      </w:r>
      <w:r w:rsidR="00CC62BF" w:rsidRPr="004E52C6">
        <w:t xml:space="preserve"> included separately for each state and </w:t>
      </w:r>
      <w:r w:rsidR="00CC62BF" w:rsidRPr="004E52C6">
        <w:rPr>
          <w:shd w:val="clear" w:color="auto" w:fill="FFFFFF" w:themeFill="background1"/>
        </w:rPr>
        <w:t xml:space="preserve">territory and nationally in </w:t>
      </w:r>
      <w:r w:rsidR="00CC62BF" w:rsidRPr="004E52C6">
        <w:rPr>
          <w:shd w:val="clear" w:color="auto" w:fill="FFFFFF" w:themeFill="background1"/>
        </w:rPr>
        <w:lastRenderedPageBreak/>
        <w:t>tables</w:t>
      </w:r>
      <w:r w:rsidRPr="004E52C6">
        <w:t xml:space="preserve"> 4A.</w:t>
      </w:r>
      <w:r w:rsidR="00B54118" w:rsidRPr="004E52C6">
        <w:t>80</w:t>
      </w:r>
      <w:r w:rsidRPr="004E52C6">
        <w:t>–</w:t>
      </w:r>
      <w:r w:rsidR="00B54118" w:rsidRPr="004E52C6">
        <w:t>88</w:t>
      </w:r>
      <w:r w:rsidRPr="004E52C6">
        <w:t>. These tables also include proportions at or above national minimum standar</w:t>
      </w:r>
      <w:r w:rsidR="00CC62BF" w:rsidRPr="004E52C6">
        <w:t>d for LBOTE students and by sex</w:t>
      </w:r>
      <w:r w:rsidRPr="004E52C6">
        <w:rPr>
          <w:shd w:val="clear" w:color="auto" w:fill="FFFFFF" w:themeFill="background1"/>
        </w:rPr>
        <w:t xml:space="preserve">. </w:t>
      </w:r>
    </w:p>
    <w:p w:rsidR="000B654D" w:rsidRPr="00C73899" w:rsidRDefault="0012436B" w:rsidP="007B0AE2">
      <w:pPr>
        <w:pStyle w:val="Heading5"/>
        <w:rPr>
          <w:b/>
          <w:u w:val="dotted"/>
        </w:rPr>
      </w:pPr>
      <w:r w:rsidRPr="0012436B">
        <w:t xml:space="preserve">National Assessment Program </w:t>
      </w:r>
      <w:r w:rsidR="00C35FD6">
        <w:t>—</w:t>
      </w:r>
      <w:r w:rsidRPr="0012436B">
        <w:t xml:space="preserve"> </w:t>
      </w:r>
      <w:r w:rsidR="0069451F">
        <w:t>Civics and citizenship</w:t>
      </w:r>
      <w:r w:rsidR="00E33100">
        <w:t xml:space="preserve"> performance</w:t>
      </w:r>
    </w:p>
    <w:p w:rsidR="0012436B" w:rsidRPr="00660DFA" w:rsidRDefault="0012436B" w:rsidP="00E33100">
      <w:pPr>
        <w:pStyle w:val="BodyText"/>
      </w:pPr>
      <w:r w:rsidRPr="00660DFA">
        <w:t>The National Year</w:t>
      </w:r>
      <w:r w:rsidR="00560DE1">
        <w:t>s</w:t>
      </w:r>
      <w:r w:rsidRPr="00660DFA">
        <w:t xml:space="preserve"> 6 </w:t>
      </w:r>
      <w:r w:rsidR="00560DE1">
        <w:t xml:space="preserve">and 10 Civics </w:t>
      </w:r>
      <w:r w:rsidR="00560DE1" w:rsidRPr="00435927">
        <w:rPr>
          <w:shd w:val="clear" w:color="auto" w:fill="FFFFFF" w:themeFill="background1"/>
        </w:rPr>
        <w:t>and citizenship</w:t>
      </w:r>
      <w:r w:rsidRPr="00435927">
        <w:rPr>
          <w:shd w:val="clear" w:color="auto" w:fill="FFFFFF" w:themeFill="background1"/>
        </w:rPr>
        <w:t xml:space="preserve"> assessment was conducted for the first time in 200</w:t>
      </w:r>
      <w:r w:rsidR="00560DE1" w:rsidRPr="00435927">
        <w:rPr>
          <w:shd w:val="clear" w:color="auto" w:fill="FFFFFF" w:themeFill="background1"/>
        </w:rPr>
        <w:t>4</w:t>
      </w:r>
      <w:r w:rsidR="00535E89" w:rsidRPr="00435927">
        <w:rPr>
          <w:shd w:val="clear" w:color="auto" w:fill="FFFFFF" w:themeFill="background1"/>
        </w:rPr>
        <w:t xml:space="preserve"> and </w:t>
      </w:r>
      <w:r w:rsidR="0022542B" w:rsidRPr="00435927">
        <w:rPr>
          <w:shd w:val="clear" w:color="auto" w:fill="FFFFFF" w:themeFill="background1"/>
        </w:rPr>
        <w:t xml:space="preserve">is </w:t>
      </w:r>
      <w:r w:rsidR="00535E89" w:rsidRPr="00435927">
        <w:rPr>
          <w:shd w:val="clear" w:color="auto" w:fill="FFFFFF" w:themeFill="background1"/>
        </w:rPr>
        <w:t xml:space="preserve">repeated </w:t>
      </w:r>
      <w:r w:rsidR="0022542B" w:rsidRPr="00435927">
        <w:rPr>
          <w:shd w:val="clear" w:color="auto" w:fill="FFFFFF" w:themeFill="background1"/>
        </w:rPr>
        <w:t>triennially</w:t>
      </w:r>
      <w:r w:rsidRPr="00435927">
        <w:rPr>
          <w:shd w:val="clear" w:color="auto" w:fill="FFFFFF" w:themeFill="background1"/>
        </w:rPr>
        <w:t>. In 201</w:t>
      </w:r>
      <w:r w:rsidR="00560DE1" w:rsidRPr="00435927">
        <w:rPr>
          <w:shd w:val="clear" w:color="auto" w:fill="FFFFFF" w:themeFill="background1"/>
        </w:rPr>
        <w:t>3</w:t>
      </w:r>
      <w:r w:rsidRPr="00435927">
        <w:rPr>
          <w:shd w:val="clear" w:color="auto" w:fill="FFFFFF" w:themeFill="background1"/>
        </w:rPr>
        <w:t xml:space="preserve">, </w:t>
      </w:r>
      <w:r w:rsidR="00BE72C6" w:rsidRPr="00435927">
        <w:rPr>
          <w:shd w:val="clear" w:color="auto" w:fill="FFFFFF" w:themeFill="background1"/>
        </w:rPr>
        <w:t>5777</w:t>
      </w:r>
      <w:r w:rsidRPr="00435927">
        <w:rPr>
          <w:shd w:val="clear" w:color="auto" w:fill="FFFFFF" w:themeFill="background1"/>
        </w:rPr>
        <w:t xml:space="preserve"> year</w:t>
      </w:r>
      <w:r w:rsidR="003B4524" w:rsidRPr="00435927">
        <w:rPr>
          <w:shd w:val="clear" w:color="auto" w:fill="FFFFFF" w:themeFill="background1"/>
        </w:rPr>
        <w:t xml:space="preserve"> </w:t>
      </w:r>
      <w:r w:rsidRPr="00435927">
        <w:rPr>
          <w:shd w:val="clear" w:color="auto" w:fill="FFFFFF" w:themeFill="background1"/>
        </w:rPr>
        <w:t xml:space="preserve">6 students </w:t>
      </w:r>
      <w:r w:rsidR="00BE72C6" w:rsidRPr="00435927">
        <w:rPr>
          <w:shd w:val="clear" w:color="auto" w:fill="FFFFFF" w:themeFill="background1"/>
        </w:rPr>
        <w:t>from 342</w:t>
      </w:r>
      <w:r w:rsidR="007B5845">
        <w:rPr>
          <w:shd w:val="clear" w:color="auto" w:fill="FFFFFF" w:themeFill="background1"/>
        </w:rPr>
        <w:t> </w:t>
      </w:r>
      <w:r w:rsidR="00BE72C6" w:rsidRPr="00435927">
        <w:rPr>
          <w:shd w:val="clear" w:color="auto" w:fill="FFFFFF" w:themeFill="background1"/>
        </w:rPr>
        <w:t xml:space="preserve">government and non-government schools </w:t>
      </w:r>
      <w:r w:rsidR="00560DE1" w:rsidRPr="00435927">
        <w:rPr>
          <w:shd w:val="clear" w:color="auto" w:fill="FFFFFF" w:themeFill="background1"/>
        </w:rPr>
        <w:t xml:space="preserve">and </w:t>
      </w:r>
      <w:r w:rsidR="00BE72C6" w:rsidRPr="00435927">
        <w:rPr>
          <w:shd w:val="clear" w:color="auto" w:fill="FFFFFF" w:themeFill="background1"/>
        </w:rPr>
        <w:t>5478</w:t>
      </w:r>
      <w:r w:rsidR="00560DE1" w:rsidRPr="00435927">
        <w:rPr>
          <w:shd w:val="clear" w:color="auto" w:fill="FFFFFF" w:themeFill="background1"/>
        </w:rPr>
        <w:t xml:space="preserve"> year 10</w:t>
      </w:r>
      <w:r w:rsidR="00560DE1" w:rsidRPr="00B40709">
        <w:t xml:space="preserve"> students </w:t>
      </w:r>
      <w:r w:rsidRPr="00B40709">
        <w:t xml:space="preserve">from </w:t>
      </w:r>
      <w:r w:rsidR="006A1D05">
        <w:rPr>
          <w:shd w:val="clear" w:color="auto" w:fill="FFFFFF" w:themeFill="background1"/>
        </w:rPr>
        <w:t>329</w:t>
      </w:r>
      <w:r w:rsidR="00BE72C6">
        <w:t xml:space="preserve"> </w:t>
      </w:r>
      <w:r w:rsidRPr="00660DFA">
        <w:t>government and non</w:t>
      </w:r>
      <w:r w:rsidRPr="00660DFA">
        <w:noBreakHyphen/>
        <w:t xml:space="preserve">government schools from all states and territories participated in the </w:t>
      </w:r>
      <w:r w:rsidR="00D948AA">
        <w:t>assessment (</w:t>
      </w:r>
      <w:r w:rsidR="00D948AA" w:rsidRPr="0083461E">
        <w:t>ACARA 201</w:t>
      </w:r>
      <w:r w:rsidR="00560DE1">
        <w:t>4b</w:t>
      </w:r>
      <w:r w:rsidRPr="0083461E">
        <w:t xml:space="preserve">). </w:t>
      </w:r>
    </w:p>
    <w:p w:rsidR="0012436B" w:rsidRDefault="0012436B" w:rsidP="00E33100">
      <w:pPr>
        <w:pStyle w:val="BodyText"/>
      </w:pPr>
      <w:r w:rsidRPr="00660DFA">
        <w:t>Nationally</w:t>
      </w:r>
      <w:r w:rsidR="00535E89">
        <w:t xml:space="preserve"> in 201</w:t>
      </w:r>
      <w:r w:rsidR="00560DE1">
        <w:t>3</w:t>
      </w:r>
      <w:r w:rsidRPr="00660DFA">
        <w:t xml:space="preserve">, the proportion of participating </w:t>
      </w:r>
      <w:r w:rsidR="00DA1812">
        <w:t xml:space="preserve">year 6 </w:t>
      </w:r>
      <w:r w:rsidRPr="00660DFA">
        <w:t xml:space="preserve">students who achieved at </w:t>
      </w:r>
      <w:r w:rsidR="000B7ACD">
        <w:t xml:space="preserve">or above </w:t>
      </w:r>
      <w:r w:rsidRPr="00660DFA">
        <w:t xml:space="preserve">the proficient standard in </w:t>
      </w:r>
      <w:r w:rsidR="004F5114">
        <w:t>civics and citizenship</w:t>
      </w:r>
      <w:r w:rsidRPr="00660DFA">
        <w:t xml:space="preserve"> </w:t>
      </w:r>
      <w:r w:rsidRPr="007346CF">
        <w:rPr>
          <w:shd w:val="clear" w:color="auto" w:fill="FFFFFF" w:themeFill="background1"/>
        </w:rPr>
        <w:t xml:space="preserve">performance was </w:t>
      </w:r>
      <w:r w:rsidR="007346CF" w:rsidRPr="007346CF">
        <w:rPr>
          <w:shd w:val="clear" w:color="auto" w:fill="FFFFFF" w:themeFill="background1"/>
        </w:rPr>
        <w:t>4</w:t>
      </w:r>
      <w:r w:rsidR="00D56886">
        <w:rPr>
          <w:shd w:val="clear" w:color="auto" w:fill="FFFFFF" w:themeFill="background1"/>
        </w:rPr>
        <w:t>9</w:t>
      </w:r>
      <w:r w:rsidR="007346CF" w:rsidRPr="007346CF">
        <w:rPr>
          <w:shd w:val="clear" w:color="auto" w:fill="FFFFFF" w:themeFill="background1"/>
        </w:rPr>
        <w:t>.6</w:t>
      </w:r>
      <w:r w:rsidR="00700F6C" w:rsidRPr="007346CF">
        <w:rPr>
          <w:shd w:val="clear" w:color="auto" w:fill="FFFFFF" w:themeFill="background1"/>
        </w:rPr>
        <w:t>–</w:t>
      </w:r>
      <w:r w:rsidR="007346CF" w:rsidRPr="007346CF">
        <w:rPr>
          <w:shd w:val="clear" w:color="auto" w:fill="FFFFFF" w:themeFill="background1"/>
        </w:rPr>
        <w:t>54.</w:t>
      </w:r>
      <w:r w:rsidR="00B40709" w:rsidRPr="007346CF">
        <w:rPr>
          <w:shd w:val="clear" w:color="auto" w:fill="FFFFFF" w:themeFill="background1"/>
        </w:rPr>
        <w:t>4 </w:t>
      </w:r>
      <w:r w:rsidRPr="007346CF">
        <w:rPr>
          <w:shd w:val="clear" w:color="auto" w:fill="FFFFFF" w:themeFill="background1"/>
        </w:rPr>
        <w:t>per</w:t>
      </w:r>
      <w:r w:rsidR="00B40709" w:rsidRPr="007346CF">
        <w:rPr>
          <w:shd w:val="clear" w:color="auto" w:fill="FFFFFF" w:themeFill="background1"/>
        </w:rPr>
        <w:t> </w:t>
      </w:r>
      <w:r w:rsidRPr="007346CF">
        <w:rPr>
          <w:shd w:val="clear" w:color="auto" w:fill="FFFFFF" w:themeFill="background1"/>
        </w:rPr>
        <w:t>cent</w:t>
      </w:r>
      <w:r w:rsidR="007B5845">
        <w:rPr>
          <w:shd w:val="clear" w:color="auto" w:fill="FFFFFF" w:themeFill="background1"/>
        </w:rPr>
        <w:t xml:space="preserve">, not </w:t>
      </w:r>
      <w:r w:rsidR="006A7764" w:rsidRPr="007346CF">
        <w:rPr>
          <w:shd w:val="clear" w:color="auto" w:fill="FFFFFF" w:themeFill="background1"/>
        </w:rPr>
        <w:t>significant</w:t>
      </w:r>
      <w:r w:rsidR="007B5845">
        <w:rPr>
          <w:shd w:val="clear" w:color="auto" w:fill="FFFFFF" w:themeFill="background1"/>
        </w:rPr>
        <w:t>ly different</w:t>
      </w:r>
      <w:r w:rsidR="006A7764" w:rsidRPr="007346CF">
        <w:rPr>
          <w:shd w:val="clear" w:color="auto" w:fill="FFFFFF" w:themeFill="background1"/>
        </w:rPr>
        <w:t xml:space="preserve"> from </w:t>
      </w:r>
      <w:r w:rsidR="007346CF" w:rsidRPr="007346CF">
        <w:rPr>
          <w:shd w:val="clear" w:color="auto" w:fill="FFFFFF" w:themeFill="background1"/>
        </w:rPr>
        <w:t xml:space="preserve">2004, </w:t>
      </w:r>
      <w:r w:rsidR="006A7764" w:rsidRPr="007346CF">
        <w:rPr>
          <w:shd w:val="clear" w:color="auto" w:fill="FFFFFF" w:themeFill="background1"/>
        </w:rPr>
        <w:t>200</w:t>
      </w:r>
      <w:r w:rsidR="00560DE1" w:rsidRPr="007346CF">
        <w:rPr>
          <w:shd w:val="clear" w:color="auto" w:fill="FFFFFF" w:themeFill="background1"/>
        </w:rPr>
        <w:t>7</w:t>
      </w:r>
      <w:r w:rsidR="006A7764" w:rsidRPr="007346CF">
        <w:rPr>
          <w:shd w:val="clear" w:color="auto" w:fill="FFFFFF" w:themeFill="background1"/>
        </w:rPr>
        <w:t xml:space="preserve"> or 20</w:t>
      </w:r>
      <w:r w:rsidR="00560DE1" w:rsidRPr="007346CF">
        <w:rPr>
          <w:shd w:val="clear" w:color="auto" w:fill="FFFFFF" w:themeFill="background1"/>
        </w:rPr>
        <w:t>10</w:t>
      </w:r>
      <w:r w:rsidRPr="007346CF">
        <w:rPr>
          <w:shd w:val="clear" w:color="auto" w:fill="FFFFFF" w:themeFill="background1"/>
        </w:rPr>
        <w:t>.</w:t>
      </w:r>
      <w:r w:rsidRPr="00660DFA">
        <w:t xml:space="preserve"> These proportions vari</w:t>
      </w:r>
      <w:r w:rsidR="00F54DD0">
        <w:t>ed across jurisdictions (figure</w:t>
      </w:r>
      <w:r w:rsidRPr="00660DFA">
        <w:t xml:space="preserve"> 4.</w:t>
      </w:r>
      <w:r w:rsidR="007346CF">
        <w:t>3</w:t>
      </w:r>
      <w:r w:rsidR="00FF2AB3">
        <w:t>6</w:t>
      </w:r>
      <w:r w:rsidRPr="00660DFA">
        <w:t xml:space="preserve">). </w:t>
      </w:r>
    </w:p>
    <w:p w:rsidR="00E33100" w:rsidRDefault="00E33100" w:rsidP="00B4549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33100" w:rsidTr="00B45495">
        <w:tc>
          <w:tcPr>
            <w:tcW w:w="8771" w:type="dxa"/>
            <w:tcBorders>
              <w:top w:val="single" w:sz="6" w:space="0" w:color="78A22F"/>
              <w:left w:val="nil"/>
              <w:bottom w:val="nil"/>
              <w:right w:val="nil"/>
            </w:tcBorders>
            <w:shd w:val="clear" w:color="auto" w:fill="auto"/>
          </w:tcPr>
          <w:p w:rsidR="00E33100" w:rsidRPr="00176D3F" w:rsidRDefault="00E33100" w:rsidP="00E33100">
            <w:pPr>
              <w:pStyle w:val="FigureTitle"/>
            </w:pPr>
            <w:r w:rsidRPr="00784A05">
              <w:rPr>
                <w:b w:val="0"/>
              </w:rPr>
              <w:t xml:space="preserve">Figure </w:t>
            </w:r>
            <w:r w:rsidR="00B70781">
              <w:rPr>
                <w:b w:val="0"/>
              </w:rPr>
              <w:t>4.</w:t>
            </w:r>
            <w:r w:rsidR="005953B6">
              <w:rPr>
                <w:b w:val="0"/>
                <w:noProof/>
              </w:rPr>
              <w:t>36</w:t>
            </w:r>
            <w:r>
              <w:tab/>
            </w:r>
            <w:r w:rsidRPr="00E33100">
              <w:t xml:space="preserve">Proportion of year 6 students achieving at or above the proficient standard, civics and citizenship performance </w:t>
            </w:r>
            <w:r w:rsidRPr="00E33100">
              <w:rPr>
                <w:rStyle w:val="NoteLabel"/>
                <w:b/>
              </w:rPr>
              <w:t>a, b</w:t>
            </w:r>
          </w:p>
        </w:tc>
      </w:tr>
      <w:tr w:rsidR="00E33100" w:rsidTr="00B45495">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E33100" w:rsidTr="00B45495">
              <w:trPr>
                <w:jc w:val="center"/>
              </w:trPr>
              <w:tc>
                <w:tcPr>
                  <w:tcW w:w="5000" w:type="pct"/>
                  <w:tcBorders>
                    <w:top w:val="nil"/>
                    <w:bottom w:val="nil"/>
                  </w:tcBorders>
                </w:tcPr>
                <w:p w:rsidR="00E33100" w:rsidRDefault="00F06596" w:rsidP="00B45495">
                  <w:pPr>
                    <w:pStyle w:val="Figure"/>
                    <w:spacing w:before="60" w:after="60"/>
                  </w:pPr>
                  <w:r>
                    <w:rPr>
                      <w:noProof/>
                    </w:rPr>
                    <w:drawing>
                      <wp:inline distT="0" distB="0" distL="0" distR="0" wp14:anchorId="0F36FD50" wp14:editId="4BA091E5">
                        <wp:extent cx="5391150" cy="2686050"/>
                        <wp:effectExtent l="0" t="0" r="0" b="0"/>
                        <wp:docPr id="36" name="Picture 36" descr="Figure 4.36 Proportion of year 6 students achieving at or above the proficient standard, civics and citizenship performanc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E33100" w:rsidRDefault="00E33100" w:rsidP="00B45495">
            <w:pPr>
              <w:pStyle w:val="Figure"/>
            </w:pPr>
          </w:p>
        </w:tc>
      </w:tr>
      <w:tr w:rsidR="00E33100" w:rsidRPr="00176D3F" w:rsidTr="00B45495">
        <w:tc>
          <w:tcPr>
            <w:tcW w:w="8771" w:type="dxa"/>
            <w:tcBorders>
              <w:top w:val="nil"/>
              <w:left w:val="nil"/>
              <w:bottom w:val="nil"/>
              <w:right w:val="nil"/>
            </w:tcBorders>
            <w:shd w:val="clear" w:color="auto" w:fill="auto"/>
          </w:tcPr>
          <w:p w:rsidR="00E33100" w:rsidRPr="00176D3F" w:rsidRDefault="00E33100" w:rsidP="00556429">
            <w:pPr>
              <w:pStyle w:val="Note"/>
            </w:pPr>
            <w:r>
              <w:rPr>
                <w:rStyle w:val="NoteLabel"/>
              </w:rPr>
              <w:t>a</w:t>
            </w:r>
            <w:r>
              <w:t xml:space="preserve"> </w:t>
            </w:r>
            <w:r w:rsidR="0036251F" w:rsidRPr="0036251F">
              <w:t xml:space="preserve">Error bars represent the 95 per cent confidence intervals associated with each point estimate. </w:t>
            </w:r>
            <w:r w:rsidR="0036251F" w:rsidRPr="007E78CB">
              <w:rPr>
                <w:rStyle w:val="NoteLabel"/>
              </w:rPr>
              <w:t>b</w:t>
            </w:r>
            <w:r w:rsidR="0036251F" w:rsidRPr="0036251F">
              <w:rPr>
                <w:b/>
              </w:rPr>
              <w:t> </w:t>
            </w:r>
            <w:r w:rsidR="0036251F" w:rsidRPr="0036251F">
              <w:t>National minimum standards such as those set in literacy and numeracy have not been set for civics and citizenship performance. The proficient standard for year 6 civics and citizenship performance is set at proficiency level</w:t>
            </w:r>
            <w:r w:rsidR="00556429">
              <w:t xml:space="preserve"> </w:t>
            </w:r>
            <w:r w:rsidR="0036251F" w:rsidRPr="0036251F">
              <w:t>2, a challenging but reasonable level of performance, with students needing to demonstrate more than minimal or elementary skills expected at that year level to be regarded as reaching it. Data represent the proportion of students at or above the proficient standard.</w:t>
            </w:r>
            <w:r>
              <w:t>.</w:t>
            </w:r>
          </w:p>
        </w:tc>
      </w:tr>
      <w:tr w:rsidR="00E33100" w:rsidRPr="00176D3F" w:rsidTr="00B45495">
        <w:tc>
          <w:tcPr>
            <w:tcW w:w="8771" w:type="dxa"/>
            <w:tcBorders>
              <w:top w:val="nil"/>
              <w:left w:val="nil"/>
              <w:bottom w:val="nil"/>
              <w:right w:val="nil"/>
            </w:tcBorders>
            <w:shd w:val="clear" w:color="auto" w:fill="auto"/>
          </w:tcPr>
          <w:p w:rsidR="00E33100" w:rsidRPr="00176D3F" w:rsidRDefault="0036251F" w:rsidP="002A20D1">
            <w:pPr>
              <w:pStyle w:val="Source"/>
            </w:pPr>
            <w:r>
              <w:rPr>
                <w:i/>
              </w:rPr>
              <w:t>S</w:t>
            </w:r>
            <w:r w:rsidR="00E33100" w:rsidRPr="00784A05">
              <w:rPr>
                <w:i/>
              </w:rPr>
              <w:t>ource</w:t>
            </w:r>
            <w:r w:rsidR="00E33100" w:rsidRPr="00176D3F">
              <w:t xml:space="preserve">: </w:t>
            </w:r>
            <w:r w:rsidRPr="0036251F">
              <w:t>ACARA (201</w:t>
            </w:r>
            <w:r w:rsidR="00C464C0">
              <w:t>4</w:t>
            </w:r>
            <w:r w:rsidRPr="0036251F">
              <w:t xml:space="preserve">), </w:t>
            </w:r>
            <w:r w:rsidRPr="0036251F">
              <w:rPr>
                <w:i/>
                <w:iCs/>
              </w:rPr>
              <w:t xml:space="preserve">National Assessment Program </w:t>
            </w:r>
            <w:r w:rsidR="00C464C0">
              <w:rPr>
                <w:i/>
                <w:iCs/>
              </w:rPr>
              <w:t xml:space="preserve">Civics and </w:t>
            </w:r>
            <w:r w:rsidR="002A20D1">
              <w:rPr>
                <w:i/>
                <w:iCs/>
              </w:rPr>
              <w:t>C</w:t>
            </w:r>
            <w:r w:rsidR="00C464C0">
              <w:rPr>
                <w:i/>
                <w:iCs/>
              </w:rPr>
              <w:t>itizenship</w:t>
            </w:r>
            <w:r w:rsidRPr="0036251F">
              <w:rPr>
                <w:i/>
                <w:iCs/>
              </w:rPr>
              <w:t xml:space="preserve"> Year</w:t>
            </w:r>
            <w:r w:rsidR="00C464C0">
              <w:rPr>
                <w:i/>
                <w:iCs/>
              </w:rPr>
              <w:t>s</w:t>
            </w:r>
            <w:r w:rsidRPr="0036251F">
              <w:rPr>
                <w:i/>
                <w:iCs/>
              </w:rPr>
              <w:t xml:space="preserve"> 6 </w:t>
            </w:r>
            <w:r w:rsidR="00C464C0">
              <w:rPr>
                <w:i/>
                <w:iCs/>
              </w:rPr>
              <w:t xml:space="preserve">and 10 </w:t>
            </w:r>
            <w:r w:rsidRPr="0036251F">
              <w:rPr>
                <w:i/>
                <w:iCs/>
              </w:rPr>
              <w:t>Report 201</w:t>
            </w:r>
            <w:r w:rsidR="00C464C0">
              <w:rPr>
                <w:i/>
                <w:iCs/>
              </w:rPr>
              <w:t>3</w:t>
            </w:r>
            <w:r w:rsidRPr="0036251F">
              <w:rPr>
                <w:i/>
                <w:iCs/>
              </w:rPr>
              <w:t>,</w:t>
            </w:r>
            <w:r w:rsidRPr="0036251F">
              <w:t xml:space="preserve"> Sydney; table 4A.</w:t>
            </w:r>
            <w:r w:rsidR="00D95B84">
              <w:t>14</w:t>
            </w:r>
            <w:r w:rsidRPr="0036251F">
              <w:t>9.</w:t>
            </w:r>
          </w:p>
        </w:tc>
      </w:tr>
      <w:tr w:rsidR="00E33100" w:rsidTr="00B45495">
        <w:tc>
          <w:tcPr>
            <w:tcW w:w="8771" w:type="dxa"/>
            <w:tcBorders>
              <w:top w:val="nil"/>
              <w:left w:val="nil"/>
              <w:bottom w:val="single" w:sz="6" w:space="0" w:color="78A22F"/>
              <w:right w:val="nil"/>
            </w:tcBorders>
            <w:shd w:val="clear" w:color="auto" w:fill="auto"/>
          </w:tcPr>
          <w:p w:rsidR="00E33100" w:rsidRDefault="00E33100" w:rsidP="00B45495">
            <w:pPr>
              <w:pStyle w:val="Figurespace"/>
            </w:pPr>
          </w:p>
        </w:tc>
      </w:tr>
      <w:tr w:rsidR="00E33100" w:rsidRPr="000863A5" w:rsidTr="00B45495">
        <w:tc>
          <w:tcPr>
            <w:tcW w:w="8771" w:type="dxa"/>
            <w:tcBorders>
              <w:top w:val="single" w:sz="6" w:space="0" w:color="78A22F"/>
              <w:left w:val="nil"/>
              <w:bottom w:val="nil"/>
              <w:right w:val="nil"/>
            </w:tcBorders>
          </w:tcPr>
          <w:p w:rsidR="00E33100" w:rsidRPr="00626D32" w:rsidRDefault="00E33100" w:rsidP="00B45495">
            <w:pPr>
              <w:pStyle w:val="BoxSpaceBelow"/>
            </w:pPr>
          </w:p>
        </w:tc>
      </w:tr>
    </w:tbl>
    <w:p w:rsidR="004F5114" w:rsidRDefault="004F5114" w:rsidP="002A20D1">
      <w:pPr>
        <w:pStyle w:val="BodyText"/>
      </w:pPr>
      <w:r w:rsidRPr="002B51C1">
        <w:lastRenderedPageBreak/>
        <w:t xml:space="preserve">Nationally in </w:t>
      </w:r>
      <w:r w:rsidRPr="00104AF2">
        <w:t>201</w:t>
      </w:r>
      <w:r>
        <w:t>3</w:t>
      </w:r>
      <w:r w:rsidRPr="00104AF2">
        <w:t xml:space="preserve">, </w:t>
      </w:r>
      <w:r w:rsidR="00F92C44" w:rsidRPr="00DB2B49">
        <w:rPr>
          <w:shd w:val="clear" w:color="auto" w:fill="FFFFFF" w:themeFill="background1"/>
        </w:rPr>
        <w:t>13.9</w:t>
      </w:r>
      <w:r w:rsidRPr="00DB2B49">
        <w:rPr>
          <w:shd w:val="clear" w:color="auto" w:fill="FFFFFF" w:themeFill="background1"/>
        </w:rPr>
        <w:t>–</w:t>
      </w:r>
      <w:r w:rsidR="00F92C44" w:rsidRPr="00DB2B49">
        <w:rPr>
          <w:shd w:val="clear" w:color="auto" w:fill="FFFFFF" w:themeFill="background1"/>
        </w:rPr>
        <w:t>30.1</w:t>
      </w:r>
      <w:r w:rsidRPr="00104AF2">
        <w:t xml:space="preserve"> per cent of </w:t>
      </w:r>
      <w:r>
        <w:t>Aboriginal and Torres Strait Islander</w:t>
      </w:r>
      <w:r w:rsidRPr="00104AF2">
        <w:t xml:space="preserve"> year 6 students achieved at the proficient standard or above in </w:t>
      </w:r>
      <w:r>
        <w:t>civics and citizenship</w:t>
      </w:r>
      <w:r w:rsidRPr="00104AF2">
        <w:t>, significantly lower than the proportion for non</w:t>
      </w:r>
      <w:r w:rsidRPr="00104AF2">
        <w:noBreakHyphen/>
        <w:t>Indigenous students (</w:t>
      </w:r>
      <w:r>
        <w:t>48.4</w:t>
      </w:r>
      <w:r w:rsidRPr="00104AF2">
        <w:t>–</w:t>
      </w:r>
      <w:r>
        <w:t>53.6</w:t>
      </w:r>
      <w:r w:rsidRPr="00104AF2">
        <w:t xml:space="preserve"> per</w:t>
      </w:r>
      <w:r w:rsidRPr="006A7764">
        <w:t xml:space="preserve"> </w:t>
      </w:r>
      <w:r w:rsidRPr="002B51C1">
        <w:t xml:space="preserve">cent) </w:t>
      </w:r>
      <w:r w:rsidRPr="006C1AC6">
        <w:t>(table 4A.</w:t>
      </w:r>
      <w:r w:rsidR="00D95B84">
        <w:t>151</w:t>
      </w:r>
      <w:r w:rsidRPr="006C1AC6">
        <w:t>)</w:t>
      </w:r>
      <w:r>
        <w:t>.</w:t>
      </w:r>
    </w:p>
    <w:p w:rsidR="003D0E85" w:rsidRDefault="003D0E85" w:rsidP="004F5114">
      <w:pPr>
        <w:pStyle w:val="BodyText"/>
      </w:pPr>
      <w:r>
        <w:t xml:space="preserve">Nationally in 2013, 52.3–57.7 per cent of female year 6 students </w:t>
      </w:r>
      <w:r w:rsidRPr="00104AF2">
        <w:t xml:space="preserve">achieved at the proficient standard or above in </w:t>
      </w:r>
      <w:r>
        <w:t>civics and citizenship</w:t>
      </w:r>
      <w:r w:rsidRPr="00104AF2">
        <w:t xml:space="preserve">, significantly </w:t>
      </w:r>
      <w:r>
        <w:t>highe</w:t>
      </w:r>
      <w:r w:rsidRPr="00104AF2">
        <w:t>r than the proportion for</w:t>
      </w:r>
      <w:r>
        <w:t xml:space="preserve"> male students (44.6–51.4 per cent) (table 4A.</w:t>
      </w:r>
      <w:r w:rsidR="00D95B84">
        <w:t>151</w:t>
      </w:r>
      <w:r>
        <w:t>). Data by geolocation and for students who speak languages other than English at home are included in tables 4A.</w:t>
      </w:r>
      <w:r w:rsidR="00D95B84">
        <w:t>150-151</w:t>
      </w:r>
      <w:r w:rsidR="00AF6FB4">
        <w:t>.</w:t>
      </w:r>
    </w:p>
    <w:p w:rsidR="004F5114" w:rsidRDefault="004F5114" w:rsidP="004F5114">
      <w:pPr>
        <w:pStyle w:val="BodyText"/>
      </w:pPr>
      <w:r>
        <w:t>In 2013, the mean scale score for year 6 students in civics and citizenship proficiency was 396.9–409.1, not significantly different from 2004, 2007 or 2010</w:t>
      </w:r>
      <w:r w:rsidR="003D0E85">
        <w:t xml:space="preserve"> (table 4A.1</w:t>
      </w:r>
      <w:r w:rsidR="00D95B84">
        <w:t>52</w:t>
      </w:r>
      <w:r w:rsidR="003D0E85">
        <w:t>). Mean scale scores varied across jurisdictions.</w:t>
      </w:r>
    </w:p>
    <w:p w:rsidR="003D0E85" w:rsidRPr="006C1AC6" w:rsidRDefault="003D0E85" w:rsidP="004F5114">
      <w:pPr>
        <w:pStyle w:val="BodyText"/>
      </w:pPr>
      <w:r>
        <w:t>Table 4.</w:t>
      </w:r>
      <w:r w:rsidR="00842FBF">
        <w:t>20</w:t>
      </w:r>
      <w:r>
        <w:t xml:space="preserve"> identifies significance of differences in mean scale scores between states and territories for year 6 civics and citizenship performance in 2013.</w:t>
      </w:r>
    </w:p>
    <w:p w:rsidR="00FB23D7" w:rsidRDefault="00FB23D7" w:rsidP="00FB23D7">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909"/>
      </w:tblGrid>
      <w:tr w:rsidR="00FB23D7" w:rsidRPr="00784A05" w:rsidTr="00B45495">
        <w:tc>
          <w:tcPr>
            <w:tcW w:w="8909" w:type="dxa"/>
            <w:tcBorders>
              <w:top w:val="single" w:sz="6" w:space="0" w:color="78A22F"/>
              <w:left w:val="nil"/>
              <w:bottom w:val="nil"/>
              <w:right w:val="nil"/>
            </w:tcBorders>
            <w:shd w:val="clear" w:color="auto" w:fill="auto"/>
          </w:tcPr>
          <w:p w:rsidR="00FB23D7" w:rsidRPr="00784A05" w:rsidRDefault="00FB23D7" w:rsidP="00BA5714">
            <w:pPr>
              <w:pStyle w:val="TableTitle"/>
            </w:pPr>
            <w:r>
              <w:rPr>
                <w:b w:val="0"/>
              </w:rPr>
              <w:t xml:space="preserve">Table </w:t>
            </w:r>
            <w:r w:rsidR="00B70781">
              <w:rPr>
                <w:b w:val="0"/>
              </w:rPr>
              <w:t>4.</w:t>
            </w:r>
            <w:r w:rsidR="005953B6">
              <w:rPr>
                <w:b w:val="0"/>
                <w:noProof/>
              </w:rPr>
              <w:t>20</w:t>
            </w:r>
            <w:r>
              <w:tab/>
            </w:r>
            <w:r w:rsidR="00BA5714" w:rsidRPr="00BA5714">
              <w:t xml:space="preserve">Significance of differences for year </w:t>
            </w:r>
            <w:r w:rsidR="00BA5714">
              <w:t>6</w:t>
            </w:r>
            <w:r w:rsidR="00BA5714" w:rsidRPr="00BA5714">
              <w:t xml:space="preserve"> students, mean scale scores, civics and citizenship performance, 2013</w:t>
            </w:r>
            <w:r w:rsidR="00BA5714" w:rsidRPr="00850402">
              <w:rPr>
                <w:rStyle w:val="NoteLabel"/>
                <w:b/>
              </w:rPr>
              <w:t>a</w:t>
            </w:r>
          </w:p>
        </w:tc>
      </w:tr>
      <w:tr w:rsidR="00FB23D7" w:rsidTr="00B45495">
        <w:trPr>
          <w:cantSplit/>
        </w:trPr>
        <w:tc>
          <w:tcPr>
            <w:tcW w:w="8909" w:type="dxa"/>
            <w:tcBorders>
              <w:top w:val="nil"/>
              <w:left w:val="nil"/>
              <w:bottom w:val="nil"/>
              <w:right w:val="nil"/>
            </w:tcBorders>
            <w:shd w:val="clear" w:color="auto" w:fill="auto"/>
          </w:tcPr>
          <w:tbl>
            <w:tblPr>
              <w:tblW w:w="8615" w:type="dxa"/>
              <w:tblInd w:w="10" w:type="dxa"/>
              <w:tblCellMar>
                <w:left w:w="0" w:type="dxa"/>
                <w:right w:w="0" w:type="dxa"/>
              </w:tblCellMar>
              <w:tblLook w:val="0000" w:firstRow="0" w:lastRow="0" w:firstColumn="0" w:lastColumn="0" w:noHBand="0" w:noVBand="0"/>
            </w:tblPr>
            <w:tblGrid>
              <w:gridCol w:w="992"/>
              <w:gridCol w:w="1107"/>
              <w:gridCol w:w="814"/>
              <w:gridCol w:w="815"/>
              <w:gridCol w:w="814"/>
              <w:gridCol w:w="815"/>
              <w:gridCol w:w="814"/>
              <w:gridCol w:w="815"/>
              <w:gridCol w:w="814"/>
              <w:gridCol w:w="815"/>
            </w:tblGrid>
            <w:tr w:rsidR="00D514E0" w:rsidRPr="004708E3" w:rsidTr="00D514E0">
              <w:tc>
                <w:tcPr>
                  <w:tcW w:w="992" w:type="dxa"/>
                  <w:tcBorders>
                    <w:top w:val="single" w:sz="6" w:space="0" w:color="auto"/>
                  </w:tcBorders>
                  <w:shd w:val="clear" w:color="auto" w:fill="auto"/>
                </w:tcPr>
                <w:p w:rsidR="00D514E0" w:rsidRPr="004708E3" w:rsidRDefault="00D514E0" w:rsidP="00B45495">
                  <w:pPr>
                    <w:keepNext/>
                    <w:keepLines/>
                    <w:spacing w:before="80" w:after="80" w:line="220" w:lineRule="atLeast"/>
                    <w:ind w:left="6" w:right="113"/>
                    <w:rPr>
                      <w:rFonts w:ascii="Arial" w:hAnsi="Arial"/>
                      <w:i/>
                      <w:sz w:val="20"/>
                      <w:szCs w:val="20"/>
                    </w:rPr>
                  </w:pPr>
                </w:p>
              </w:tc>
              <w:tc>
                <w:tcPr>
                  <w:tcW w:w="1107" w:type="dxa"/>
                  <w:tcBorders>
                    <w:top w:val="single" w:sz="6" w:space="0" w:color="auto"/>
                  </w:tcBorders>
                </w:tcPr>
                <w:p w:rsidR="00D514E0" w:rsidRPr="004708E3" w:rsidRDefault="00D514E0" w:rsidP="00B45495">
                  <w:pPr>
                    <w:keepNext/>
                    <w:keepLines/>
                    <w:spacing w:before="80" w:after="80" w:line="220" w:lineRule="atLeast"/>
                    <w:ind w:left="6" w:right="113"/>
                    <w:jc w:val="right"/>
                    <w:rPr>
                      <w:rFonts w:ascii="Arial" w:hAnsi="Arial"/>
                      <w:i/>
                      <w:sz w:val="20"/>
                      <w:szCs w:val="20"/>
                    </w:rPr>
                  </w:pPr>
                </w:p>
              </w:tc>
              <w:tc>
                <w:tcPr>
                  <w:tcW w:w="6516" w:type="dxa"/>
                  <w:gridSpan w:val="8"/>
                  <w:tcBorders>
                    <w:top w:val="single" w:sz="6" w:space="0" w:color="auto"/>
                  </w:tcBorders>
                  <w:shd w:val="clear" w:color="auto" w:fill="auto"/>
                  <w:vAlign w:val="center"/>
                </w:tcPr>
                <w:p w:rsidR="00D514E0" w:rsidRPr="004708E3" w:rsidRDefault="00D514E0" w:rsidP="00D514E0">
                  <w:pPr>
                    <w:keepNext/>
                    <w:keepLines/>
                    <w:spacing w:before="80" w:after="80" w:line="220" w:lineRule="atLeast"/>
                    <w:ind w:left="6" w:right="113"/>
                    <w:jc w:val="center"/>
                    <w:rPr>
                      <w:rFonts w:ascii="Arial" w:hAnsi="Arial"/>
                      <w:i/>
                      <w:sz w:val="20"/>
                      <w:szCs w:val="20"/>
                    </w:rPr>
                  </w:pPr>
                  <w:r w:rsidRPr="00D514E0">
                    <w:rPr>
                      <w:rFonts w:ascii="Arial" w:hAnsi="Arial"/>
                      <w:i/>
                      <w:sz w:val="20"/>
                      <w:szCs w:val="20"/>
                    </w:rPr>
                    <w:t>Comparison jurisdiction</w:t>
                  </w:r>
                </w:p>
              </w:tc>
            </w:tr>
            <w:tr w:rsidR="00850402" w:rsidRPr="004708E3" w:rsidTr="00D514E0">
              <w:tc>
                <w:tcPr>
                  <w:tcW w:w="992" w:type="dxa"/>
                  <w:tcBorders>
                    <w:bottom w:val="single" w:sz="4" w:space="0" w:color="auto"/>
                  </w:tcBorders>
                  <w:shd w:val="clear" w:color="auto" w:fill="auto"/>
                </w:tcPr>
                <w:p w:rsidR="00850402" w:rsidRPr="004708E3" w:rsidRDefault="00850402" w:rsidP="00B45495">
                  <w:pPr>
                    <w:keepNext/>
                    <w:keepLines/>
                    <w:spacing w:before="80" w:after="80" w:line="220" w:lineRule="atLeast"/>
                    <w:ind w:left="6" w:right="113"/>
                    <w:rPr>
                      <w:rFonts w:ascii="Arial" w:hAnsi="Arial"/>
                      <w:i/>
                      <w:sz w:val="20"/>
                      <w:szCs w:val="20"/>
                    </w:rPr>
                  </w:pPr>
                </w:p>
              </w:tc>
              <w:tc>
                <w:tcPr>
                  <w:tcW w:w="1107" w:type="dxa"/>
                  <w:tcBorders>
                    <w:bottom w:val="single" w:sz="4" w:space="0" w:color="auto"/>
                  </w:tcBorders>
                </w:tcPr>
                <w:p w:rsidR="00850402" w:rsidRPr="004708E3" w:rsidRDefault="00850402" w:rsidP="00B45495">
                  <w:pPr>
                    <w:keepNext/>
                    <w:keepLines/>
                    <w:spacing w:before="80" w:after="80" w:line="220" w:lineRule="atLeast"/>
                    <w:ind w:left="6" w:right="113"/>
                    <w:jc w:val="right"/>
                    <w:rPr>
                      <w:rFonts w:ascii="Arial" w:hAnsi="Arial"/>
                      <w:i/>
                      <w:sz w:val="20"/>
                      <w:szCs w:val="20"/>
                    </w:rPr>
                  </w:pPr>
                </w:p>
              </w:tc>
              <w:tc>
                <w:tcPr>
                  <w:tcW w:w="814" w:type="dxa"/>
                  <w:tcBorders>
                    <w:bottom w:val="single" w:sz="4" w:space="0" w:color="auto"/>
                  </w:tcBorders>
                  <w:shd w:val="clear" w:color="auto" w:fill="auto"/>
                </w:tcPr>
                <w:p w:rsidR="00850402" w:rsidRPr="004708E3" w:rsidRDefault="00850402" w:rsidP="00B45495">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NSW</w:t>
                  </w:r>
                </w:p>
              </w:tc>
              <w:tc>
                <w:tcPr>
                  <w:tcW w:w="815" w:type="dxa"/>
                  <w:tcBorders>
                    <w:bottom w:val="single" w:sz="4" w:space="0" w:color="auto"/>
                  </w:tcBorders>
                  <w:shd w:val="clear" w:color="auto" w:fill="auto"/>
                </w:tcPr>
                <w:p w:rsidR="00850402" w:rsidRPr="004708E3" w:rsidRDefault="00850402" w:rsidP="00B45495">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Vic</w:t>
                  </w:r>
                </w:p>
              </w:tc>
              <w:tc>
                <w:tcPr>
                  <w:tcW w:w="814" w:type="dxa"/>
                  <w:tcBorders>
                    <w:bottom w:val="single" w:sz="4" w:space="0" w:color="auto"/>
                  </w:tcBorders>
                  <w:shd w:val="clear" w:color="auto" w:fill="auto"/>
                </w:tcPr>
                <w:p w:rsidR="00850402" w:rsidRPr="004708E3" w:rsidRDefault="00850402" w:rsidP="00B45495">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Qld</w:t>
                  </w:r>
                </w:p>
              </w:tc>
              <w:tc>
                <w:tcPr>
                  <w:tcW w:w="815" w:type="dxa"/>
                  <w:tcBorders>
                    <w:bottom w:val="single" w:sz="4" w:space="0" w:color="auto"/>
                  </w:tcBorders>
                  <w:shd w:val="clear" w:color="auto" w:fill="auto"/>
                </w:tcPr>
                <w:p w:rsidR="00850402" w:rsidRPr="004708E3" w:rsidRDefault="00850402" w:rsidP="00B45495">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WA</w:t>
                  </w:r>
                </w:p>
              </w:tc>
              <w:tc>
                <w:tcPr>
                  <w:tcW w:w="814" w:type="dxa"/>
                  <w:tcBorders>
                    <w:bottom w:val="single" w:sz="4" w:space="0" w:color="auto"/>
                  </w:tcBorders>
                  <w:shd w:val="clear" w:color="auto" w:fill="auto"/>
                </w:tcPr>
                <w:p w:rsidR="00850402" w:rsidRPr="004708E3" w:rsidRDefault="00850402" w:rsidP="00B45495">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SA</w:t>
                  </w:r>
                </w:p>
              </w:tc>
              <w:tc>
                <w:tcPr>
                  <w:tcW w:w="815" w:type="dxa"/>
                  <w:tcBorders>
                    <w:bottom w:val="single" w:sz="4" w:space="0" w:color="auto"/>
                  </w:tcBorders>
                  <w:shd w:val="clear" w:color="auto" w:fill="auto"/>
                </w:tcPr>
                <w:p w:rsidR="00850402" w:rsidRPr="004708E3" w:rsidRDefault="00850402" w:rsidP="00B45495">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Tas</w:t>
                  </w:r>
                </w:p>
              </w:tc>
              <w:tc>
                <w:tcPr>
                  <w:tcW w:w="814" w:type="dxa"/>
                  <w:tcBorders>
                    <w:bottom w:val="single" w:sz="4" w:space="0" w:color="auto"/>
                  </w:tcBorders>
                  <w:shd w:val="clear" w:color="auto" w:fill="auto"/>
                </w:tcPr>
                <w:p w:rsidR="00850402" w:rsidRPr="004708E3" w:rsidRDefault="00850402" w:rsidP="00B45495">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ACT</w:t>
                  </w:r>
                </w:p>
              </w:tc>
              <w:tc>
                <w:tcPr>
                  <w:tcW w:w="815" w:type="dxa"/>
                  <w:tcBorders>
                    <w:bottom w:val="single" w:sz="4" w:space="0" w:color="auto"/>
                  </w:tcBorders>
                  <w:shd w:val="clear" w:color="auto" w:fill="auto"/>
                </w:tcPr>
                <w:p w:rsidR="00850402" w:rsidRPr="004708E3" w:rsidRDefault="00850402" w:rsidP="00B45495">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NT</w:t>
                  </w:r>
                </w:p>
              </w:tc>
            </w:tr>
            <w:tr w:rsidR="00850402" w:rsidRPr="004708E3" w:rsidTr="00D514E0">
              <w:tc>
                <w:tcPr>
                  <w:tcW w:w="992" w:type="dxa"/>
                  <w:tcBorders>
                    <w:top w:val="single" w:sz="4" w:space="0" w:color="auto"/>
                    <w:bottom w:val="dotted" w:sz="4" w:space="0" w:color="auto"/>
                    <w:right w:val="dotted" w:sz="4" w:space="0" w:color="auto"/>
                  </w:tcBorders>
                  <w:shd w:val="clear" w:color="auto" w:fill="auto"/>
                </w:tcPr>
                <w:p w:rsidR="00850402" w:rsidRPr="006A703E" w:rsidRDefault="00850402" w:rsidP="00B45495">
                  <w:pPr>
                    <w:keepNext/>
                    <w:keepLines/>
                    <w:spacing w:before="80" w:after="80" w:line="220" w:lineRule="atLeast"/>
                    <w:ind w:left="6" w:right="113"/>
                    <w:rPr>
                      <w:rFonts w:ascii="Arial" w:hAnsi="Arial"/>
                      <w:i/>
                      <w:sz w:val="20"/>
                      <w:szCs w:val="20"/>
                    </w:rPr>
                  </w:pPr>
                </w:p>
              </w:tc>
              <w:tc>
                <w:tcPr>
                  <w:tcW w:w="1107" w:type="dxa"/>
                  <w:tcBorders>
                    <w:top w:val="single" w:sz="4" w:space="0" w:color="auto"/>
                    <w:left w:val="dotted" w:sz="4" w:space="0" w:color="auto"/>
                    <w:bottom w:val="dotted" w:sz="4" w:space="0" w:color="auto"/>
                    <w:right w:val="dotted" w:sz="4" w:space="0" w:color="auto"/>
                  </w:tcBorders>
                </w:tcPr>
                <w:p w:rsidR="00850402" w:rsidRPr="004708E3" w:rsidRDefault="00850402" w:rsidP="00B45495">
                  <w:pPr>
                    <w:keepNext/>
                    <w:keepLines/>
                    <w:spacing w:before="80" w:after="80" w:line="220" w:lineRule="atLeast"/>
                    <w:ind w:left="6" w:right="113"/>
                    <w:jc w:val="right"/>
                    <w:rPr>
                      <w:rFonts w:ascii="Arial" w:hAnsi="Arial"/>
                      <w:i/>
                      <w:sz w:val="20"/>
                      <w:szCs w:val="20"/>
                    </w:rPr>
                  </w:pPr>
                  <w:r>
                    <w:rPr>
                      <w:rFonts w:ascii="Arial" w:hAnsi="Arial"/>
                      <w:i/>
                      <w:sz w:val="20"/>
                      <w:szCs w:val="20"/>
                    </w:rPr>
                    <w:t>Mean scale score</w:t>
                  </w:r>
                </w:p>
              </w:tc>
              <w:tc>
                <w:tcPr>
                  <w:tcW w:w="814" w:type="dxa"/>
                  <w:tcBorders>
                    <w:top w:val="single" w:sz="4" w:space="0" w:color="auto"/>
                    <w:left w:val="dotted" w:sz="4" w:space="0" w:color="auto"/>
                    <w:bottom w:val="dotted" w:sz="4" w:space="0" w:color="auto"/>
                    <w:right w:val="dotted" w:sz="4" w:space="0" w:color="auto"/>
                  </w:tcBorders>
                  <w:shd w:val="clear" w:color="auto" w:fill="auto"/>
                  <w:vAlign w:val="bottom"/>
                </w:tcPr>
                <w:p w:rsidR="00850402" w:rsidRDefault="00850402" w:rsidP="00625234">
                  <w:pPr>
                    <w:pStyle w:val="TableBodyText"/>
                  </w:pPr>
                  <w:r>
                    <w:t>418</w:t>
                  </w:r>
                  <w:r w:rsidR="005E6C64">
                    <w:t xml:space="preserve"> </w:t>
                  </w:r>
                  <w:r w:rsidR="00D514E0">
                    <w:br/>
                  </w:r>
                  <w:r w:rsidR="005E6C64">
                    <w:t xml:space="preserve">± </w:t>
                  </w:r>
                  <w:r w:rsidR="00625234">
                    <w:t>14.0</w:t>
                  </w:r>
                </w:p>
              </w:tc>
              <w:tc>
                <w:tcPr>
                  <w:tcW w:w="815" w:type="dxa"/>
                  <w:tcBorders>
                    <w:top w:val="single" w:sz="4" w:space="0" w:color="auto"/>
                    <w:left w:val="dotted" w:sz="4" w:space="0" w:color="auto"/>
                    <w:bottom w:val="dotted" w:sz="4" w:space="0" w:color="auto"/>
                    <w:right w:val="dotted" w:sz="4" w:space="0" w:color="auto"/>
                  </w:tcBorders>
                  <w:shd w:val="clear" w:color="auto" w:fill="auto"/>
                  <w:vAlign w:val="bottom"/>
                </w:tcPr>
                <w:p w:rsidR="00850402" w:rsidRDefault="00850402" w:rsidP="00625234">
                  <w:pPr>
                    <w:pStyle w:val="TableBodyText"/>
                  </w:pPr>
                  <w:r>
                    <w:t>421</w:t>
                  </w:r>
                  <w:r w:rsidR="005E6C64">
                    <w:t xml:space="preserve"> </w:t>
                  </w:r>
                  <w:r w:rsidR="00D514E0">
                    <w:br/>
                  </w:r>
                  <w:r w:rsidR="005E6C64">
                    <w:t xml:space="preserve">± </w:t>
                  </w:r>
                  <w:r w:rsidR="00625234">
                    <w:t>10.6</w:t>
                  </w:r>
                </w:p>
              </w:tc>
              <w:tc>
                <w:tcPr>
                  <w:tcW w:w="814" w:type="dxa"/>
                  <w:tcBorders>
                    <w:top w:val="single" w:sz="4" w:space="0" w:color="auto"/>
                    <w:left w:val="dotted" w:sz="4" w:space="0" w:color="auto"/>
                    <w:bottom w:val="dotted" w:sz="4" w:space="0" w:color="auto"/>
                    <w:right w:val="dotted" w:sz="4" w:space="0" w:color="auto"/>
                  </w:tcBorders>
                  <w:shd w:val="clear" w:color="auto" w:fill="auto"/>
                  <w:vAlign w:val="bottom"/>
                </w:tcPr>
                <w:p w:rsidR="00850402" w:rsidRDefault="00850402" w:rsidP="00625234">
                  <w:pPr>
                    <w:pStyle w:val="TableBodyText"/>
                  </w:pPr>
                  <w:r>
                    <w:t>384</w:t>
                  </w:r>
                  <w:r w:rsidR="005E6C64">
                    <w:t xml:space="preserve"> </w:t>
                  </w:r>
                  <w:r w:rsidR="00D514E0">
                    <w:br/>
                  </w:r>
                  <w:r w:rsidR="005E6C64">
                    <w:t xml:space="preserve">± </w:t>
                  </w:r>
                  <w:r w:rsidR="00625234">
                    <w:t>13.0</w:t>
                  </w:r>
                </w:p>
              </w:tc>
              <w:tc>
                <w:tcPr>
                  <w:tcW w:w="815" w:type="dxa"/>
                  <w:tcBorders>
                    <w:top w:val="single" w:sz="4" w:space="0" w:color="auto"/>
                    <w:left w:val="dotted" w:sz="4" w:space="0" w:color="auto"/>
                    <w:bottom w:val="dotted" w:sz="4" w:space="0" w:color="auto"/>
                    <w:right w:val="dotted" w:sz="4" w:space="0" w:color="auto"/>
                  </w:tcBorders>
                  <w:shd w:val="clear" w:color="auto" w:fill="auto"/>
                  <w:vAlign w:val="bottom"/>
                </w:tcPr>
                <w:p w:rsidR="00850402" w:rsidRDefault="00850402" w:rsidP="00625234">
                  <w:pPr>
                    <w:pStyle w:val="TableBodyText"/>
                  </w:pPr>
                  <w:r>
                    <w:t>383</w:t>
                  </w:r>
                  <w:r w:rsidR="005E6C64">
                    <w:t xml:space="preserve"> </w:t>
                  </w:r>
                  <w:r w:rsidR="00D514E0">
                    <w:br/>
                  </w:r>
                  <w:r w:rsidR="005E6C64">
                    <w:t xml:space="preserve">± </w:t>
                  </w:r>
                  <w:r w:rsidR="00625234">
                    <w:t>16</w:t>
                  </w:r>
                  <w:r w:rsidR="005E6C64">
                    <w:t>.2</w:t>
                  </w:r>
                </w:p>
              </w:tc>
              <w:tc>
                <w:tcPr>
                  <w:tcW w:w="814" w:type="dxa"/>
                  <w:tcBorders>
                    <w:top w:val="single" w:sz="4" w:space="0" w:color="auto"/>
                    <w:left w:val="dotted" w:sz="4" w:space="0" w:color="auto"/>
                    <w:bottom w:val="dotted" w:sz="4" w:space="0" w:color="auto"/>
                    <w:right w:val="dotted" w:sz="4" w:space="0" w:color="auto"/>
                  </w:tcBorders>
                  <w:shd w:val="clear" w:color="auto" w:fill="auto"/>
                  <w:vAlign w:val="bottom"/>
                </w:tcPr>
                <w:p w:rsidR="00850402" w:rsidRDefault="00850402" w:rsidP="00625234">
                  <w:pPr>
                    <w:pStyle w:val="TableBodyText"/>
                  </w:pPr>
                  <w:r>
                    <w:t>379</w:t>
                  </w:r>
                  <w:r w:rsidR="005E6C64">
                    <w:t xml:space="preserve"> </w:t>
                  </w:r>
                  <w:r w:rsidR="00D514E0">
                    <w:br/>
                  </w:r>
                  <w:r w:rsidR="005E6C64">
                    <w:t xml:space="preserve">± </w:t>
                  </w:r>
                  <w:r w:rsidR="00625234">
                    <w:t>14.3</w:t>
                  </w:r>
                </w:p>
              </w:tc>
              <w:tc>
                <w:tcPr>
                  <w:tcW w:w="815" w:type="dxa"/>
                  <w:tcBorders>
                    <w:top w:val="single" w:sz="4" w:space="0" w:color="auto"/>
                    <w:left w:val="dotted" w:sz="4" w:space="0" w:color="auto"/>
                    <w:bottom w:val="dotted" w:sz="4" w:space="0" w:color="auto"/>
                    <w:right w:val="dotted" w:sz="4" w:space="0" w:color="auto"/>
                  </w:tcBorders>
                  <w:shd w:val="clear" w:color="auto" w:fill="auto"/>
                  <w:vAlign w:val="bottom"/>
                </w:tcPr>
                <w:p w:rsidR="00850402" w:rsidRDefault="00850402" w:rsidP="00625234">
                  <w:pPr>
                    <w:pStyle w:val="TableBodyText"/>
                  </w:pPr>
                  <w:r>
                    <w:t>383</w:t>
                  </w:r>
                  <w:r w:rsidR="005E6C64">
                    <w:t xml:space="preserve"> </w:t>
                  </w:r>
                  <w:r w:rsidR="00D514E0">
                    <w:br/>
                  </w:r>
                  <w:r w:rsidR="005E6C64">
                    <w:t xml:space="preserve">± </w:t>
                  </w:r>
                  <w:r w:rsidR="00625234">
                    <w:t>13.1</w:t>
                  </w:r>
                </w:p>
              </w:tc>
              <w:tc>
                <w:tcPr>
                  <w:tcW w:w="814" w:type="dxa"/>
                  <w:tcBorders>
                    <w:top w:val="single" w:sz="4" w:space="0" w:color="auto"/>
                    <w:left w:val="dotted" w:sz="4" w:space="0" w:color="auto"/>
                    <w:bottom w:val="dotted" w:sz="4" w:space="0" w:color="auto"/>
                    <w:right w:val="dotted" w:sz="4" w:space="0" w:color="auto"/>
                  </w:tcBorders>
                  <w:shd w:val="clear" w:color="auto" w:fill="auto"/>
                  <w:vAlign w:val="bottom"/>
                </w:tcPr>
                <w:p w:rsidR="00850402" w:rsidRDefault="00850402" w:rsidP="00625234">
                  <w:pPr>
                    <w:pStyle w:val="TableBodyText"/>
                  </w:pPr>
                  <w:r>
                    <w:t>433</w:t>
                  </w:r>
                  <w:r w:rsidR="005E6C64">
                    <w:t xml:space="preserve"> </w:t>
                  </w:r>
                  <w:r w:rsidR="00D514E0">
                    <w:br/>
                  </w:r>
                  <w:r w:rsidR="005E6C64">
                    <w:t xml:space="preserve">± </w:t>
                  </w:r>
                  <w:r w:rsidR="00625234">
                    <w:t>14.5</w:t>
                  </w:r>
                </w:p>
              </w:tc>
              <w:tc>
                <w:tcPr>
                  <w:tcW w:w="815" w:type="dxa"/>
                  <w:tcBorders>
                    <w:top w:val="single" w:sz="4" w:space="0" w:color="auto"/>
                    <w:left w:val="dotted" w:sz="4" w:space="0" w:color="auto"/>
                    <w:bottom w:val="dotted" w:sz="4" w:space="0" w:color="auto"/>
                  </w:tcBorders>
                  <w:shd w:val="clear" w:color="auto" w:fill="auto"/>
                  <w:vAlign w:val="bottom"/>
                </w:tcPr>
                <w:p w:rsidR="00850402" w:rsidRDefault="00850402" w:rsidP="00625234">
                  <w:pPr>
                    <w:pStyle w:val="TableBodyText"/>
                  </w:pPr>
                  <w:r>
                    <w:t>314</w:t>
                  </w:r>
                  <w:r w:rsidR="005E6C64">
                    <w:t xml:space="preserve"> </w:t>
                  </w:r>
                  <w:r w:rsidR="00D514E0">
                    <w:br/>
                  </w:r>
                  <w:r w:rsidR="005E6C64">
                    <w:t xml:space="preserve">± </w:t>
                  </w:r>
                  <w:r w:rsidR="00625234">
                    <w:t>26.9</w:t>
                  </w:r>
                </w:p>
              </w:tc>
            </w:tr>
            <w:tr w:rsidR="004F5114" w:rsidRPr="004708E3" w:rsidTr="00D514E0">
              <w:tc>
                <w:tcPr>
                  <w:tcW w:w="992" w:type="dxa"/>
                  <w:tcBorders>
                    <w:top w:val="dotted" w:sz="4" w:space="0" w:color="auto"/>
                    <w:bottom w:val="dotted" w:sz="4" w:space="0" w:color="auto"/>
                    <w:right w:val="dotted" w:sz="4" w:space="0" w:color="auto"/>
                  </w:tcBorders>
                  <w:shd w:val="clear" w:color="auto" w:fill="auto"/>
                </w:tcPr>
                <w:p w:rsidR="004F5114" w:rsidRPr="005E6C64" w:rsidRDefault="004F5114" w:rsidP="00B45495">
                  <w:pPr>
                    <w:pStyle w:val="TableUnitsRow"/>
                  </w:pPr>
                  <w:r w:rsidRPr="005E6C64">
                    <w:t>NSW</w:t>
                  </w:r>
                </w:p>
              </w:tc>
              <w:tc>
                <w:tcPr>
                  <w:tcW w:w="1107" w:type="dxa"/>
                  <w:tcBorders>
                    <w:top w:val="dotted" w:sz="4" w:space="0" w:color="auto"/>
                    <w:left w:val="dotted" w:sz="4" w:space="0" w:color="auto"/>
                    <w:bottom w:val="dotted" w:sz="4" w:space="0" w:color="auto"/>
                    <w:right w:val="dotted" w:sz="4" w:space="0" w:color="auto"/>
                  </w:tcBorders>
                  <w:vAlign w:val="bottom"/>
                </w:tcPr>
                <w:p w:rsidR="004F5114" w:rsidRPr="005E6C64" w:rsidRDefault="004F5114" w:rsidP="00625234">
                  <w:pPr>
                    <w:pStyle w:val="TableBodyText"/>
                  </w:pPr>
                  <w:r w:rsidRPr="005E6C64">
                    <w:t>418</w:t>
                  </w:r>
                  <w:r>
                    <w:t xml:space="preserve"> ± 14.0</w:t>
                  </w:r>
                </w:p>
              </w:tc>
              <w:tc>
                <w:tcPr>
                  <w:tcW w:w="814" w:type="dxa"/>
                  <w:tcBorders>
                    <w:top w:val="dotted" w:sz="4" w:space="0" w:color="auto"/>
                    <w:left w:val="dotted" w:sz="4" w:space="0" w:color="auto"/>
                    <w:bottom w:val="dotted" w:sz="4" w:space="0" w:color="auto"/>
                    <w:right w:val="dotted" w:sz="4" w:space="0" w:color="auto"/>
                  </w:tcBorders>
                  <w:shd w:val="clear" w:color="auto" w:fill="auto"/>
                  <w:vAlign w:val="center"/>
                </w:tcPr>
                <w:p w:rsidR="004F5114" w:rsidRPr="004F5114" w:rsidRDefault="004F5114" w:rsidP="004F5114">
                  <w:pPr>
                    <w:pStyle w:val="TableBodyText"/>
                  </w:pPr>
                  <w:r w:rsidRPr="004F5114">
                    <w:t>..</w:t>
                  </w:r>
                </w:p>
              </w:tc>
              <w:tc>
                <w:tcPr>
                  <w:tcW w:w="815"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FD2CB6" w:rsidP="004F5114">
                  <w:pPr>
                    <w:pStyle w:val="TableBodyText"/>
                    <w:rPr>
                      <w:color w:val="000000"/>
                    </w:rPr>
                  </w:pPr>
                  <w:r w:rsidRPr="009F0531">
                    <w:t>■</w:t>
                  </w:r>
                </w:p>
              </w:tc>
              <w:tc>
                <w:tcPr>
                  <w:tcW w:w="814" w:type="dxa"/>
                  <w:tcBorders>
                    <w:top w:val="dotted" w:sz="4" w:space="0" w:color="auto"/>
                    <w:left w:val="dotted" w:sz="4" w:space="0" w:color="auto"/>
                    <w:bottom w:val="dotted" w:sz="4" w:space="0" w:color="auto"/>
                    <w:right w:val="dotted" w:sz="4" w:space="0" w:color="auto"/>
                  </w:tcBorders>
                  <w:shd w:val="clear" w:color="auto" w:fill="auto"/>
                  <w:vAlign w:val="center"/>
                </w:tcPr>
                <w:p w:rsidR="004F5114" w:rsidRPr="004F5114" w:rsidRDefault="004F5114" w:rsidP="004F5114">
                  <w:pPr>
                    <w:pStyle w:val="TableBodyText"/>
                  </w:pPr>
                  <w:r w:rsidRPr="004F5114">
                    <w:t>▲</w:t>
                  </w:r>
                </w:p>
              </w:tc>
              <w:tc>
                <w:tcPr>
                  <w:tcW w:w="815" w:type="dxa"/>
                  <w:tcBorders>
                    <w:top w:val="dotted" w:sz="4" w:space="0" w:color="auto"/>
                    <w:left w:val="dotted" w:sz="4" w:space="0" w:color="auto"/>
                    <w:bottom w:val="dotted" w:sz="4" w:space="0" w:color="auto"/>
                    <w:right w:val="dotted" w:sz="4" w:space="0" w:color="auto"/>
                  </w:tcBorders>
                  <w:shd w:val="clear" w:color="auto" w:fill="auto"/>
                  <w:vAlign w:val="center"/>
                </w:tcPr>
                <w:p w:rsidR="004F5114" w:rsidRPr="004F5114" w:rsidRDefault="004F5114" w:rsidP="004F5114">
                  <w:pPr>
                    <w:pStyle w:val="TableBodyText"/>
                  </w:pPr>
                  <w:r w:rsidRPr="004F5114">
                    <w:t>▲</w:t>
                  </w:r>
                </w:p>
              </w:tc>
              <w:tc>
                <w:tcPr>
                  <w:tcW w:w="814" w:type="dxa"/>
                  <w:tcBorders>
                    <w:top w:val="dotted" w:sz="4" w:space="0" w:color="auto"/>
                    <w:left w:val="dotted" w:sz="4" w:space="0" w:color="auto"/>
                    <w:bottom w:val="dotted" w:sz="4" w:space="0" w:color="auto"/>
                    <w:right w:val="dotted" w:sz="4" w:space="0" w:color="auto"/>
                  </w:tcBorders>
                  <w:shd w:val="clear" w:color="auto" w:fill="auto"/>
                  <w:vAlign w:val="center"/>
                </w:tcPr>
                <w:p w:rsidR="004F5114" w:rsidRPr="004F5114" w:rsidRDefault="004F5114" w:rsidP="004F5114">
                  <w:pPr>
                    <w:pStyle w:val="TableBodyText"/>
                  </w:pPr>
                  <w:r w:rsidRPr="004F5114">
                    <w:t>▲</w:t>
                  </w:r>
                </w:p>
              </w:tc>
              <w:tc>
                <w:tcPr>
                  <w:tcW w:w="815" w:type="dxa"/>
                  <w:tcBorders>
                    <w:top w:val="dotted" w:sz="4" w:space="0" w:color="auto"/>
                    <w:left w:val="dotted" w:sz="4" w:space="0" w:color="auto"/>
                    <w:bottom w:val="dotted" w:sz="4" w:space="0" w:color="auto"/>
                    <w:right w:val="dotted" w:sz="4" w:space="0" w:color="auto"/>
                  </w:tcBorders>
                  <w:shd w:val="clear" w:color="auto" w:fill="auto"/>
                  <w:vAlign w:val="center"/>
                </w:tcPr>
                <w:p w:rsidR="004F5114" w:rsidRPr="004F5114" w:rsidRDefault="004F5114" w:rsidP="004F5114">
                  <w:pPr>
                    <w:pStyle w:val="TableBodyText"/>
                  </w:pPr>
                  <w:r w:rsidRPr="004F5114">
                    <w:t>▲</w:t>
                  </w:r>
                </w:p>
              </w:tc>
              <w:tc>
                <w:tcPr>
                  <w:tcW w:w="814"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4F5114">
                  <w:pPr>
                    <w:pStyle w:val="TableBodyText"/>
                    <w:rPr>
                      <w:color w:val="000000"/>
                    </w:rPr>
                  </w:pPr>
                  <w:r w:rsidRPr="004F5114">
                    <w:rPr>
                      <w:color w:val="000000"/>
                    </w:rPr>
                    <w:t xml:space="preserve"> </w:t>
                  </w:r>
                  <w:r w:rsidR="00FD2CB6" w:rsidRPr="009F0531">
                    <w:t>■</w:t>
                  </w:r>
                </w:p>
              </w:tc>
              <w:tc>
                <w:tcPr>
                  <w:tcW w:w="815" w:type="dxa"/>
                  <w:tcBorders>
                    <w:top w:val="dotted" w:sz="4" w:space="0" w:color="auto"/>
                    <w:left w:val="dotted" w:sz="4" w:space="0" w:color="auto"/>
                    <w:bottom w:val="dotted" w:sz="4" w:space="0" w:color="auto"/>
                  </w:tcBorders>
                  <w:shd w:val="clear" w:color="auto" w:fill="auto"/>
                  <w:vAlign w:val="center"/>
                </w:tcPr>
                <w:p w:rsidR="004F5114" w:rsidRPr="004F5114" w:rsidRDefault="004F5114" w:rsidP="004F5114">
                  <w:pPr>
                    <w:pStyle w:val="TableBodyText"/>
                  </w:pPr>
                  <w:r w:rsidRPr="004F5114">
                    <w:t>▲</w:t>
                  </w:r>
                </w:p>
              </w:tc>
            </w:tr>
            <w:tr w:rsidR="004F5114" w:rsidRPr="004708E3" w:rsidTr="00D514E0">
              <w:tc>
                <w:tcPr>
                  <w:tcW w:w="992" w:type="dxa"/>
                  <w:tcBorders>
                    <w:top w:val="dotted" w:sz="4" w:space="0" w:color="auto"/>
                    <w:bottom w:val="dotted" w:sz="4" w:space="0" w:color="auto"/>
                    <w:right w:val="dotted" w:sz="4" w:space="0" w:color="auto"/>
                  </w:tcBorders>
                  <w:shd w:val="clear" w:color="auto" w:fill="auto"/>
                </w:tcPr>
                <w:p w:rsidR="004F5114" w:rsidRPr="004708E3" w:rsidRDefault="004F5114" w:rsidP="00B45495">
                  <w:pPr>
                    <w:pStyle w:val="TableUnitsRow"/>
                  </w:pPr>
                  <w:r w:rsidRPr="006A703E">
                    <w:t>Vic</w:t>
                  </w:r>
                </w:p>
              </w:tc>
              <w:tc>
                <w:tcPr>
                  <w:tcW w:w="1107" w:type="dxa"/>
                  <w:tcBorders>
                    <w:top w:val="dotted" w:sz="4" w:space="0" w:color="auto"/>
                    <w:left w:val="dotted" w:sz="4" w:space="0" w:color="auto"/>
                    <w:bottom w:val="dotted" w:sz="4" w:space="0" w:color="auto"/>
                    <w:right w:val="dotted" w:sz="4" w:space="0" w:color="auto"/>
                  </w:tcBorders>
                  <w:vAlign w:val="bottom"/>
                </w:tcPr>
                <w:p w:rsidR="004F5114" w:rsidRDefault="004F5114" w:rsidP="00625234">
                  <w:pPr>
                    <w:pStyle w:val="TableBodyText"/>
                  </w:pPr>
                  <w:r>
                    <w:t>421 ± 10.6</w:t>
                  </w:r>
                </w:p>
              </w:tc>
              <w:tc>
                <w:tcPr>
                  <w:tcW w:w="814" w:type="dxa"/>
                  <w:tcBorders>
                    <w:top w:val="dotted" w:sz="4" w:space="0" w:color="auto"/>
                    <w:left w:val="dotted" w:sz="4" w:space="0" w:color="auto"/>
                    <w:bottom w:val="dotted" w:sz="4" w:space="0" w:color="auto"/>
                    <w:right w:val="dotted" w:sz="4" w:space="0" w:color="auto"/>
                  </w:tcBorders>
                  <w:shd w:val="clear" w:color="auto" w:fill="auto"/>
                  <w:vAlign w:val="center"/>
                </w:tcPr>
                <w:p w:rsidR="004F5114" w:rsidRPr="004F5114" w:rsidRDefault="004F5114" w:rsidP="004F5114">
                  <w:pPr>
                    <w:pStyle w:val="TableBodyText"/>
                  </w:pPr>
                  <w:r w:rsidRPr="004F5114">
                    <w:t> </w:t>
                  </w:r>
                </w:p>
              </w:tc>
              <w:tc>
                <w:tcPr>
                  <w:tcW w:w="815" w:type="dxa"/>
                  <w:tcBorders>
                    <w:top w:val="dotted" w:sz="4" w:space="0" w:color="auto"/>
                    <w:left w:val="dotted" w:sz="4" w:space="0" w:color="auto"/>
                    <w:bottom w:val="dotted" w:sz="4" w:space="0" w:color="auto"/>
                    <w:right w:val="dotted" w:sz="4" w:space="0" w:color="auto"/>
                  </w:tcBorders>
                  <w:shd w:val="clear" w:color="auto" w:fill="auto"/>
                  <w:vAlign w:val="center"/>
                </w:tcPr>
                <w:p w:rsidR="004F5114" w:rsidRPr="004F5114" w:rsidRDefault="004F5114" w:rsidP="004F5114">
                  <w:pPr>
                    <w:pStyle w:val="TableBodyText"/>
                  </w:pPr>
                  <w:r w:rsidRPr="004F5114">
                    <w:t>..</w:t>
                  </w:r>
                </w:p>
              </w:tc>
              <w:tc>
                <w:tcPr>
                  <w:tcW w:w="814" w:type="dxa"/>
                  <w:tcBorders>
                    <w:top w:val="dotted" w:sz="4" w:space="0" w:color="auto"/>
                    <w:left w:val="dotted" w:sz="4" w:space="0" w:color="auto"/>
                    <w:bottom w:val="dotted" w:sz="4" w:space="0" w:color="auto"/>
                    <w:right w:val="dotted" w:sz="4" w:space="0" w:color="auto"/>
                  </w:tcBorders>
                  <w:shd w:val="clear" w:color="auto" w:fill="auto"/>
                  <w:vAlign w:val="center"/>
                </w:tcPr>
                <w:p w:rsidR="004F5114" w:rsidRPr="004F5114" w:rsidRDefault="004F5114" w:rsidP="004F5114">
                  <w:pPr>
                    <w:pStyle w:val="TableBodyText"/>
                  </w:pPr>
                  <w:r w:rsidRPr="004F5114">
                    <w:t>▲</w:t>
                  </w:r>
                </w:p>
              </w:tc>
              <w:tc>
                <w:tcPr>
                  <w:tcW w:w="815" w:type="dxa"/>
                  <w:tcBorders>
                    <w:top w:val="dotted" w:sz="4" w:space="0" w:color="auto"/>
                    <w:left w:val="dotted" w:sz="4" w:space="0" w:color="auto"/>
                    <w:bottom w:val="dotted" w:sz="4" w:space="0" w:color="auto"/>
                    <w:right w:val="dotted" w:sz="4" w:space="0" w:color="auto"/>
                  </w:tcBorders>
                  <w:shd w:val="clear" w:color="auto" w:fill="auto"/>
                  <w:vAlign w:val="center"/>
                </w:tcPr>
                <w:p w:rsidR="004F5114" w:rsidRPr="004F5114" w:rsidRDefault="004F5114" w:rsidP="004F5114">
                  <w:pPr>
                    <w:pStyle w:val="TableBodyText"/>
                  </w:pPr>
                  <w:r w:rsidRPr="004F5114">
                    <w:t>▲</w:t>
                  </w:r>
                </w:p>
              </w:tc>
              <w:tc>
                <w:tcPr>
                  <w:tcW w:w="814" w:type="dxa"/>
                  <w:tcBorders>
                    <w:top w:val="dotted" w:sz="4" w:space="0" w:color="auto"/>
                    <w:left w:val="dotted" w:sz="4" w:space="0" w:color="auto"/>
                    <w:bottom w:val="dotted" w:sz="4" w:space="0" w:color="auto"/>
                    <w:right w:val="dotted" w:sz="4" w:space="0" w:color="auto"/>
                  </w:tcBorders>
                  <w:shd w:val="clear" w:color="auto" w:fill="auto"/>
                  <w:vAlign w:val="center"/>
                </w:tcPr>
                <w:p w:rsidR="004F5114" w:rsidRPr="004F5114" w:rsidRDefault="004F5114" w:rsidP="004F5114">
                  <w:pPr>
                    <w:pStyle w:val="TableBodyText"/>
                  </w:pPr>
                  <w:r w:rsidRPr="004F5114">
                    <w:t>▲</w:t>
                  </w:r>
                </w:p>
              </w:tc>
              <w:tc>
                <w:tcPr>
                  <w:tcW w:w="815" w:type="dxa"/>
                  <w:tcBorders>
                    <w:top w:val="dotted" w:sz="4" w:space="0" w:color="auto"/>
                    <w:left w:val="dotted" w:sz="4" w:space="0" w:color="auto"/>
                    <w:bottom w:val="dotted" w:sz="4" w:space="0" w:color="auto"/>
                    <w:right w:val="dotted" w:sz="4" w:space="0" w:color="auto"/>
                  </w:tcBorders>
                  <w:shd w:val="clear" w:color="auto" w:fill="auto"/>
                  <w:vAlign w:val="center"/>
                </w:tcPr>
                <w:p w:rsidR="004F5114" w:rsidRPr="004F5114" w:rsidRDefault="004F5114" w:rsidP="004F5114">
                  <w:pPr>
                    <w:pStyle w:val="TableBodyText"/>
                  </w:pPr>
                  <w:r w:rsidRPr="004F5114">
                    <w:t>▲</w:t>
                  </w:r>
                </w:p>
              </w:tc>
              <w:tc>
                <w:tcPr>
                  <w:tcW w:w="814"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FD2CB6" w:rsidP="004F5114">
                  <w:pPr>
                    <w:pStyle w:val="TableBodyText"/>
                    <w:rPr>
                      <w:color w:val="000000"/>
                    </w:rPr>
                  </w:pPr>
                  <w:r w:rsidRPr="009F0531">
                    <w:t>■</w:t>
                  </w:r>
                </w:p>
              </w:tc>
              <w:tc>
                <w:tcPr>
                  <w:tcW w:w="815" w:type="dxa"/>
                  <w:tcBorders>
                    <w:top w:val="dotted" w:sz="4" w:space="0" w:color="auto"/>
                    <w:left w:val="dotted" w:sz="4" w:space="0" w:color="auto"/>
                    <w:bottom w:val="dotted" w:sz="4" w:space="0" w:color="auto"/>
                  </w:tcBorders>
                  <w:shd w:val="clear" w:color="auto" w:fill="auto"/>
                  <w:vAlign w:val="center"/>
                </w:tcPr>
                <w:p w:rsidR="004F5114" w:rsidRPr="004F5114" w:rsidRDefault="004F5114" w:rsidP="004F5114">
                  <w:pPr>
                    <w:pStyle w:val="TableBodyText"/>
                  </w:pPr>
                  <w:r w:rsidRPr="004F5114">
                    <w:t>▲</w:t>
                  </w:r>
                </w:p>
              </w:tc>
            </w:tr>
            <w:tr w:rsidR="004F5114" w:rsidRPr="004708E3" w:rsidTr="00D514E0">
              <w:tc>
                <w:tcPr>
                  <w:tcW w:w="992" w:type="dxa"/>
                  <w:tcBorders>
                    <w:top w:val="dotted" w:sz="4" w:space="0" w:color="auto"/>
                    <w:bottom w:val="dotted" w:sz="4" w:space="0" w:color="auto"/>
                    <w:right w:val="dotted" w:sz="4" w:space="0" w:color="auto"/>
                  </w:tcBorders>
                  <w:shd w:val="clear" w:color="auto" w:fill="auto"/>
                </w:tcPr>
                <w:p w:rsidR="004F5114" w:rsidRPr="004708E3" w:rsidRDefault="004F5114" w:rsidP="00B45495">
                  <w:pPr>
                    <w:pStyle w:val="TableUnitsRow"/>
                  </w:pPr>
                  <w:r w:rsidRPr="006A703E">
                    <w:t>Qld</w:t>
                  </w:r>
                </w:p>
              </w:tc>
              <w:tc>
                <w:tcPr>
                  <w:tcW w:w="1107" w:type="dxa"/>
                  <w:tcBorders>
                    <w:top w:val="dotted" w:sz="4" w:space="0" w:color="auto"/>
                    <w:left w:val="dotted" w:sz="4" w:space="0" w:color="auto"/>
                    <w:bottom w:val="dotted" w:sz="4" w:space="0" w:color="auto"/>
                    <w:right w:val="dotted" w:sz="4" w:space="0" w:color="auto"/>
                  </w:tcBorders>
                  <w:vAlign w:val="bottom"/>
                </w:tcPr>
                <w:p w:rsidR="004F5114" w:rsidRDefault="004F5114" w:rsidP="00625234">
                  <w:pPr>
                    <w:pStyle w:val="TableBodyText"/>
                  </w:pPr>
                  <w:r>
                    <w:t>384 ± 13.0</w:t>
                  </w:r>
                </w:p>
              </w:tc>
              <w:tc>
                <w:tcPr>
                  <w:tcW w:w="814" w:type="dxa"/>
                  <w:tcBorders>
                    <w:top w:val="dotted" w:sz="4" w:space="0" w:color="auto"/>
                    <w:left w:val="dotted" w:sz="4" w:space="0" w:color="auto"/>
                    <w:bottom w:val="dotted" w:sz="4" w:space="0" w:color="auto"/>
                    <w:right w:val="dotted" w:sz="4" w:space="0" w:color="auto"/>
                  </w:tcBorders>
                  <w:shd w:val="clear" w:color="auto" w:fill="auto"/>
                  <w:vAlign w:val="center"/>
                </w:tcPr>
                <w:p w:rsidR="004F5114" w:rsidRPr="004F5114" w:rsidRDefault="004F5114" w:rsidP="004F5114">
                  <w:pPr>
                    <w:pStyle w:val="TableBodyText"/>
                  </w:pPr>
                  <w:r w:rsidRPr="004F5114">
                    <w:t>▼</w:t>
                  </w:r>
                </w:p>
              </w:tc>
              <w:tc>
                <w:tcPr>
                  <w:tcW w:w="815" w:type="dxa"/>
                  <w:tcBorders>
                    <w:top w:val="dotted" w:sz="4" w:space="0" w:color="auto"/>
                    <w:left w:val="dotted" w:sz="4" w:space="0" w:color="auto"/>
                    <w:bottom w:val="dotted" w:sz="4" w:space="0" w:color="auto"/>
                    <w:right w:val="dotted" w:sz="4" w:space="0" w:color="auto"/>
                  </w:tcBorders>
                  <w:shd w:val="clear" w:color="auto" w:fill="auto"/>
                  <w:vAlign w:val="center"/>
                </w:tcPr>
                <w:p w:rsidR="004F5114" w:rsidRPr="004F5114" w:rsidRDefault="004F5114" w:rsidP="004F5114">
                  <w:pPr>
                    <w:pStyle w:val="TableBodyText"/>
                  </w:pPr>
                  <w:r w:rsidRPr="004F5114">
                    <w:t>▼</w:t>
                  </w:r>
                </w:p>
              </w:tc>
              <w:tc>
                <w:tcPr>
                  <w:tcW w:w="814" w:type="dxa"/>
                  <w:tcBorders>
                    <w:top w:val="dotted" w:sz="4" w:space="0" w:color="auto"/>
                    <w:left w:val="dotted" w:sz="4" w:space="0" w:color="auto"/>
                    <w:bottom w:val="dotted" w:sz="4" w:space="0" w:color="auto"/>
                    <w:right w:val="dotted" w:sz="4" w:space="0" w:color="auto"/>
                  </w:tcBorders>
                  <w:shd w:val="clear" w:color="auto" w:fill="auto"/>
                  <w:vAlign w:val="center"/>
                </w:tcPr>
                <w:p w:rsidR="004F5114" w:rsidRPr="004F5114" w:rsidRDefault="004F5114" w:rsidP="004F5114">
                  <w:pPr>
                    <w:pStyle w:val="TableBodyText"/>
                  </w:pPr>
                  <w:r w:rsidRPr="004F5114">
                    <w:t>..</w:t>
                  </w:r>
                </w:p>
              </w:tc>
              <w:tc>
                <w:tcPr>
                  <w:tcW w:w="815"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FD2CB6" w:rsidP="004F5114">
                  <w:pPr>
                    <w:pStyle w:val="TableBodyText"/>
                    <w:rPr>
                      <w:color w:val="000000"/>
                    </w:rPr>
                  </w:pPr>
                  <w:r w:rsidRPr="009F0531">
                    <w:t>■</w:t>
                  </w:r>
                </w:p>
              </w:tc>
              <w:tc>
                <w:tcPr>
                  <w:tcW w:w="814"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4F5114">
                  <w:pPr>
                    <w:pStyle w:val="TableBodyText"/>
                    <w:rPr>
                      <w:color w:val="000000"/>
                    </w:rPr>
                  </w:pPr>
                  <w:r w:rsidRPr="004F5114">
                    <w:rPr>
                      <w:color w:val="000000"/>
                    </w:rPr>
                    <w:t xml:space="preserve"> </w:t>
                  </w:r>
                  <w:r w:rsidR="00FD2CB6" w:rsidRPr="009F0531">
                    <w:t>■</w:t>
                  </w:r>
                </w:p>
              </w:tc>
              <w:tc>
                <w:tcPr>
                  <w:tcW w:w="815"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4F5114">
                  <w:pPr>
                    <w:pStyle w:val="TableBodyText"/>
                    <w:rPr>
                      <w:color w:val="000000"/>
                    </w:rPr>
                  </w:pPr>
                  <w:r w:rsidRPr="004F5114">
                    <w:rPr>
                      <w:color w:val="000000"/>
                    </w:rPr>
                    <w:t xml:space="preserve"> </w:t>
                  </w:r>
                  <w:r w:rsidR="00FD2CB6" w:rsidRPr="009F0531">
                    <w:t>■</w:t>
                  </w:r>
                </w:p>
              </w:tc>
              <w:tc>
                <w:tcPr>
                  <w:tcW w:w="814" w:type="dxa"/>
                  <w:tcBorders>
                    <w:top w:val="dotted" w:sz="4" w:space="0" w:color="auto"/>
                    <w:left w:val="dotted" w:sz="4" w:space="0" w:color="auto"/>
                    <w:bottom w:val="dotted" w:sz="4" w:space="0" w:color="auto"/>
                    <w:right w:val="dotted" w:sz="4" w:space="0" w:color="auto"/>
                  </w:tcBorders>
                  <w:shd w:val="clear" w:color="auto" w:fill="auto"/>
                  <w:vAlign w:val="center"/>
                </w:tcPr>
                <w:p w:rsidR="004F5114" w:rsidRPr="004F5114" w:rsidRDefault="004F5114" w:rsidP="004F5114">
                  <w:pPr>
                    <w:pStyle w:val="TableBodyText"/>
                  </w:pPr>
                  <w:r w:rsidRPr="004F5114">
                    <w:t>▼</w:t>
                  </w:r>
                </w:p>
              </w:tc>
              <w:tc>
                <w:tcPr>
                  <w:tcW w:w="815" w:type="dxa"/>
                  <w:tcBorders>
                    <w:top w:val="dotted" w:sz="4" w:space="0" w:color="auto"/>
                    <w:left w:val="dotted" w:sz="4" w:space="0" w:color="auto"/>
                    <w:bottom w:val="dotted" w:sz="4" w:space="0" w:color="auto"/>
                  </w:tcBorders>
                  <w:shd w:val="clear" w:color="auto" w:fill="auto"/>
                  <w:vAlign w:val="center"/>
                </w:tcPr>
                <w:p w:rsidR="004F5114" w:rsidRPr="004F5114" w:rsidRDefault="004F5114" w:rsidP="004F5114">
                  <w:pPr>
                    <w:pStyle w:val="TableBodyText"/>
                  </w:pPr>
                  <w:r w:rsidRPr="004F5114">
                    <w:t>▲</w:t>
                  </w:r>
                </w:p>
              </w:tc>
            </w:tr>
            <w:tr w:rsidR="004F5114" w:rsidRPr="004708E3" w:rsidTr="00D514E0">
              <w:tc>
                <w:tcPr>
                  <w:tcW w:w="992" w:type="dxa"/>
                  <w:tcBorders>
                    <w:top w:val="dotted" w:sz="4" w:space="0" w:color="auto"/>
                    <w:bottom w:val="dotted" w:sz="4" w:space="0" w:color="auto"/>
                    <w:right w:val="dotted" w:sz="4" w:space="0" w:color="auto"/>
                  </w:tcBorders>
                  <w:shd w:val="clear" w:color="auto" w:fill="auto"/>
                </w:tcPr>
                <w:p w:rsidR="004F5114" w:rsidRPr="004708E3" w:rsidRDefault="004F5114" w:rsidP="00B45495">
                  <w:pPr>
                    <w:pStyle w:val="TableUnitsRow"/>
                  </w:pPr>
                  <w:r w:rsidRPr="006A703E">
                    <w:t>WA</w:t>
                  </w:r>
                </w:p>
              </w:tc>
              <w:tc>
                <w:tcPr>
                  <w:tcW w:w="1107" w:type="dxa"/>
                  <w:tcBorders>
                    <w:top w:val="dotted" w:sz="4" w:space="0" w:color="auto"/>
                    <w:left w:val="dotted" w:sz="4" w:space="0" w:color="auto"/>
                    <w:bottom w:val="dotted" w:sz="4" w:space="0" w:color="auto"/>
                    <w:right w:val="dotted" w:sz="4" w:space="0" w:color="auto"/>
                  </w:tcBorders>
                  <w:vAlign w:val="bottom"/>
                </w:tcPr>
                <w:p w:rsidR="004F5114" w:rsidRDefault="004F5114" w:rsidP="00625234">
                  <w:pPr>
                    <w:pStyle w:val="TableBodyText"/>
                  </w:pPr>
                  <w:r>
                    <w:t>383 ± 16.2</w:t>
                  </w:r>
                </w:p>
              </w:tc>
              <w:tc>
                <w:tcPr>
                  <w:tcW w:w="814" w:type="dxa"/>
                  <w:tcBorders>
                    <w:top w:val="dotted" w:sz="4" w:space="0" w:color="auto"/>
                    <w:left w:val="dotted" w:sz="4" w:space="0" w:color="auto"/>
                    <w:bottom w:val="dotted" w:sz="4" w:space="0" w:color="auto"/>
                    <w:right w:val="dotted" w:sz="4" w:space="0" w:color="auto"/>
                  </w:tcBorders>
                  <w:shd w:val="clear" w:color="auto" w:fill="auto"/>
                  <w:vAlign w:val="center"/>
                </w:tcPr>
                <w:p w:rsidR="004F5114" w:rsidRPr="004F5114" w:rsidRDefault="004F5114" w:rsidP="004F5114">
                  <w:pPr>
                    <w:pStyle w:val="TableBodyText"/>
                  </w:pPr>
                  <w:r w:rsidRPr="004F5114">
                    <w:t>▼</w:t>
                  </w:r>
                </w:p>
              </w:tc>
              <w:tc>
                <w:tcPr>
                  <w:tcW w:w="815" w:type="dxa"/>
                  <w:tcBorders>
                    <w:top w:val="dotted" w:sz="4" w:space="0" w:color="auto"/>
                    <w:left w:val="dotted" w:sz="4" w:space="0" w:color="auto"/>
                    <w:bottom w:val="dotted" w:sz="4" w:space="0" w:color="auto"/>
                    <w:right w:val="dotted" w:sz="4" w:space="0" w:color="auto"/>
                  </w:tcBorders>
                  <w:shd w:val="clear" w:color="auto" w:fill="auto"/>
                  <w:vAlign w:val="center"/>
                </w:tcPr>
                <w:p w:rsidR="004F5114" w:rsidRPr="004F5114" w:rsidRDefault="004F5114" w:rsidP="004F5114">
                  <w:pPr>
                    <w:pStyle w:val="TableBodyText"/>
                  </w:pPr>
                  <w:r w:rsidRPr="004F5114">
                    <w:t>▼</w:t>
                  </w:r>
                </w:p>
              </w:tc>
              <w:tc>
                <w:tcPr>
                  <w:tcW w:w="814"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FD2CB6" w:rsidP="004F5114">
                  <w:pPr>
                    <w:pStyle w:val="TableBodyText"/>
                    <w:rPr>
                      <w:color w:val="000000"/>
                    </w:rPr>
                  </w:pPr>
                  <w:r w:rsidRPr="009F0531">
                    <w:t>■</w:t>
                  </w:r>
                </w:p>
              </w:tc>
              <w:tc>
                <w:tcPr>
                  <w:tcW w:w="815" w:type="dxa"/>
                  <w:tcBorders>
                    <w:top w:val="dotted" w:sz="4" w:space="0" w:color="auto"/>
                    <w:left w:val="dotted" w:sz="4" w:space="0" w:color="auto"/>
                    <w:bottom w:val="dotted" w:sz="4" w:space="0" w:color="auto"/>
                    <w:right w:val="dotted" w:sz="4" w:space="0" w:color="auto"/>
                  </w:tcBorders>
                  <w:shd w:val="clear" w:color="auto" w:fill="auto"/>
                  <w:vAlign w:val="center"/>
                </w:tcPr>
                <w:p w:rsidR="004F5114" w:rsidRPr="004F5114" w:rsidRDefault="004F5114" w:rsidP="004F5114">
                  <w:pPr>
                    <w:pStyle w:val="TableBodyText"/>
                  </w:pPr>
                  <w:r w:rsidRPr="004F5114">
                    <w:t>..</w:t>
                  </w:r>
                </w:p>
              </w:tc>
              <w:tc>
                <w:tcPr>
                  <w:tcW w:w="814"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4F5114">
                  <w:pPr>
                    <w:pStyle w:val="TableBodyText"/>
                    <w:rPr>
                      <w:color w:val="000000"/>
                    </w:rPr>
                  </w:pPr>
                  <w:r w:rsidRPr="004F5114">
                    <w:rPr>
                      <w:color w:val="000000"/>
                    </w:rPr>
                    <w:t xml:space="preserve"> </w:t>
                  </w:r>
                  <w:r w:rsidR="00FD2CB6" w:rsidRPr="009F0531">
                    <w:t>■</w:t>
                  </w:r>
                </w:p>
              </w:tc>
              <w:tc>
                <w:tcPr>
                  <w:tcW w:w="815"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4F5114">
                  <w:pPr>
                    <w:pStyle w:val="TableBodyText"/>
                    <w:rPr>
                      <w:color w:val="000000"/>
                    </w:rPr>
                  </w:pPr>
                  <w:r w:rsidRPr="004F5114">
                    <w:rPr>
                      <w:color w:val="000000"/>
                    </w:rPr>
                    <w:t xml:space="preserve"> </w:t>
                  </w:r>
                  <w:r w:rsidR="00FD2CB6" w:rsidRPr="009F0531">
                    <w:t>■</w:t>
                  </w:r>
                </w:p>
              </w:tc>
              <w:tc>
                <w:tcPr>
                  <w:tcW w:w="814" w:type="dxa"/>
                  <w:tcBorders>
                    <w:top w:val="dotted" w:sz="4" w:space="0" w:color="auto"/>
                    <w:left w:val="dotted" w:sz="4" w:space="0" w:color="auto"/>
                    <w:bottom w:val="dotted" w:sz="4" w:space="0" w:color="auto"/>
                    <w:right w:val="dotted" w:sz="4" w:space="0" w:color="auto"/>
                  </w:tcBorders>
                  <w:shd w:val="clear" w:color="auto" w:fill="auto"/>
                  <w:vAlign w:val="center"/>
                </w:tcPr>
                <w:p w:rsidR="004F5114" w:rsidRPr="004F5114" w:rsidRDefault="004F5114" w:rsidP="004F5114">
                  <w:pPr>
                    <w:pStyle w:val="TableBodyText"/>
                  </w:pPr>
                  <w:r w:rsidRPr="004F5114">
                    <w:t>▼</w:t>
                  </w:r>
                </w:p>
              </w:tc>
              <w:tc>
                <w:tcPr>
                  <w:tcW w:w="815" w:type="dxa"/>
                  <w:tcBorders>
                    <w:top w:val="dotted" w:sz="4" w:space="0" w:color="auto"/>
                    <w:left w:val="dotted" w:sz="4" w:space="0" w:color="auto"/>
                    <w:bottom w:val="dotted" w:sz="4" w:space="0" w:color="auto"/>
                  </w:tcBorders>
                  <w:shd w:val="clear" w:color="auto" w:fill="auto"/>
                  <w:vAlign w:val="center"/>
                </w:tcPr>
                <w:p w:rsidR="004F5114" w:rsidRPr="004F5114" w:rsidRDefault="004F5114" w:rsidP="004F5114">
                  <w:pPr>
                    <w:pStyle w:val="TableBodyText"/>
                  </w:pPr>
                  <w:r w:rsidRPr="004F5114">
                    <w:t>▲</w:t>
                  </w:r>
                </w:p>
              </w:tc>
            </w:tr>
            <w:tr w:rsidR="004F5114" w:rsidRPr="004708E3" w:rsidTr="00D514E0">
              <w:tc>
                <w:tcPr>
                  <w:tcW w:w="992" w:type="dxa"/>
                  <w:tcBorders>
                    <w:top w:val="dotted" w:sz="4" w:space="0" w:color="auto"/>
                    <w:bottom w:val="dotted" w:sz="4" w:space="0" w:color="auto"/>
                    <w:right w:val="dotted" w:sz="4" w:space="0" w:color="auto"/>
                  </w:tcBorders>
                  <w:shd w:val="clear" w:color="auto" w:fill="auto"/>
                </w:tcPr>
                <w:p w:rsidR="004F5114" w:rsidRPr="004708E3" w:rsidRDefault="004F5114" w:rsidP="00B45495">
                  <w:pPr>
                    <w:pStyle w:val="TableUnitsRow"/>
                  </w:pPr>
                  <w:r w:rsidRPr="006A703E">
                    <w:t>SA</w:t>
                  </w:r>
                </w:p>
              </w:tc>
              <w:tc>
                <w:tcPr>
                  <w:tcW w:w="1107" w:type="dxa"/>
                  <w:tcBorders>
                    <w:top w:val="dotted" w:sz="4" w:space="0" w:color="auto"/>
                    <w:left w:val="dotted" w:sz="4" w:space="0" w:color="auto"/>
                    <w:bottom w:val="dotted" w:sz="4" w:space="0" w:color="auto"/>
                    <w:right w:val="dotted" w:sz="4" w:space="0" w:color="auto"/>
                  </w:tcBorders>
                  <w:vAlign w:val="bottom"/>
                </w:tcPr>
                <w:p w:rsidR="004F5114" w:rsidRDefault="004F5114" w:rsidP="00625234">
                  <w:pPr>
                    <w:pStyle w:val="TableBodyText"/>
                  </w:pPr>
                  <w:r>
                    <w:t>379 ± 14.3</w:t>
                  </w:r>
                </w:p>
              </w:tc>
              <w:tc>
                <w:tcPr>
                  <w:tcW w:w="814" w:type="dxa"/>
                  <w:tcBorders>
                    <w:top w:val="dotted" w:sz="4" w:space="0" w:color="auto"/>
                    <w:left w:val="dotted" w:sz="4" w:space="0" w:color="auto"/>
                    <w:bottom w:val="dotted" w:sz="4" w:space="0" w:color="auto"/>
                    <w:right w:val="dotted" w:sz="4" w:space="0" w:color="auto"/>
                  </w:tcBorders>
                  <w:shd w:val="clear" w:color="auto" w:fill="auto"/>
                  <w:vAlign w:val="center"/>
                </w:tcPr>
                <w:p w:rsidR="004F5114" w:rsidRPr="004F5114" w:rsidRDefault="004F5114" w:rsidP="004F5114">
                  <w:pPr>
                    <w:pStyle w:val="TableBodyText"/>
                  </w:pPr>
                  <w:r w:rsidRPr="004F5114">
                    <w:t>▼</w:t>
                  </w:r>
                </w:p>
              </w:tc>
              <w:tc>
                <w:tcPr>
                  <w:tcW w:w="815" w:type="dxa"/>
                  <w:tcBorders>
                    <w:top w:val="dotted" w:sz="4" w:space="0" w:color="auto"/>
                    <w:left w:val="dotted" w:sz="4" w:space="0" w:color="auto"/>
                    <w:bottom w:val="dotted" w:sz="4" w:space="0" w:color="auto"/>
                    <w:right w:val="dotted" w:sz="4" w:space="0" w:color="auto"/>
                  </w:tcBorders>
                  <w:shd w:val="clear" w:color="auto" w:fill="auto"/>
                  <w:vAlign w:val="center"/>
                </w:tcPr>
                <w:p w:rsidR="004F5114" w:rsidRPr="004F5114" w:rsidRDefault="004F5114" w:rsidP="004F5114">
                  <w:pPr>
                    <w:pStyle w:val="TableBodyText"/>
                  </w:pPr>
                  <w:r w:rsidRPr="004F5114">
                    <w:t>▼</w:t>
                  </w:r>
                </w:p>
              </w:tc>
              <w:tc>
                <w:tcPr>
                  <w:tcW w:w="814"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4F5114">
                  <w:pPr>
                    <w:pStyle w:val="TableBodyText"/>
                    <w:rPr>
                      <w:color w:val="000000"/>
                    </w:rPr>
                  </w:pPr>
                  <w:r w:rsidRPr="004F5114">
                    <w:rPr>
                      <w:color w:val="000000"/>
                    </w:rPr>
                    <w:t xml:space="preserve"> </w:t>
                  </w:r>
                  <w:r w:rsidR="00FD2CB6" w:rsidRPr="009F0531">
                    <w:t>■</w:t>
                  </w:r>
                </w:p>
              </w:tc>
              <w:tc>
                <w:tcPr>
                  <w:tcW w:w="815"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4F5114">
                  <w:pPr>
                    <w:pStyle w:val="TableBodyText"/>
                    <w:rPr>
                      <w:color w:val="000000"/>
                    </w:rPr>
                  </w:pPr>
                  <w:r w:rsidRPr="004F5114">
                    <w:rPr>
                      <w:color w:val="000000"/>
                    </w:rPr>
                    <w:t xml:space="preserve"> </w:t>
                  </w:r>
                  <w:r w:rsidR="00FD2CB6" w:rsidRPr="009F0531">
                    <w:t>■</w:t>
                  </w:r>
                </w:p>
              </w:tc>
              <w:tc>
                <w:tcPr>
                  <w:tcW w:w="814" w:type="dxa"/>
                  <w:tcBorders>
                    <w:top w:val="dotted" w:sz="4" w:space="0" w:color="auto"/>
                    <w:left w:val="dotted" w:sz="4" w:space="0" w:color="auto"/>
                    <w:bottom w:val="dotted" w:sz="4" w:space="0" w:color="auto"/>
                    <w:right w:val="dotted" w:sz="4" w:space="0" w:color="auto"/>
                  </w:tcBorders>
                  <w:shd w:val="clear" w:color="auto" w:fill="auto"/>
                  <w:vAlign w:val="center"/>
                </w:tcPr>
                <w:p w:rsidR="004F5114" w:rsidRPr="004F5114" w:rsidRDefault="004F5114" w:rsidP="004F5114">
                  <w:pPr>
                    <w:pStyle w:val="TableBodyText"/>
                  </w:pPr>
                  <w:r w:rsidRPr="004F5114">
                    <w:t>..</w:t>
                  </w:r>
                </w:p>
              </w:tc>
              <w:tc>
                <w:tcPr>
                  <w:tcW w:w="815"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FD2CB6" w:rsidP="004F5114">
                  <w:pPr>
                    <w:pStyle w:val="TableBodyText"/>
                    <w:rPr>
                      <w:color w:val="000000"/>
                    </w:rPr>
                  </w:pPr>
                  <w:r w:rsidRPr="009F0531">
                    <w:t>■</w:t>
                  </w:r>
                </w:p>
              </w:tc>
              <w:tc>
                <w:tcPr>
                  <w:tcW w:w="814" w:type="dxa"/>
                  <w:tcBorders>
                    <w:top w:val="dotted" w:sz="4" w:space="0" w:color="auto"/>
                    <w:left w:val="dotted" w:sz="4" w:space="0" w:color="auto"/>
                    <w:bottom w:val="dotted" w:sz="4" w:space="0" w:color="auto"/>
                    <w:right w:val="dotted" w:sz="4" w:space="0" w:color="auto"/>
                  </w:tcBorders>
                  <w:shd w:val="clear" w:color="auto" w:fill="auto"/>
                  <w:vAlign w:val="center"/>
                </w:tcPr>
                <w:p w:rsidR="004F5114" w:rsidRPr="004F5114" w:rsidRDefault="004F5114" w:rsidP="004F5114">
                  <w:pPr>
                    <w:pStyle w:val="TableBodyText"/>
                  </w:pPr>
                  <w:r w:rsidRPr="004F5114">
                    <w:t>▼</w:t>
                  </w:r>
                </w:p>
              </w:tc>
              <w:tc>
                <w:tcPr>
                  <w:tcW w:w="815" w:type="dxa"/>
                  <w:tcBorders>
                    <w:top w:val="dotted" w:sz="4" w:space="0" w:color="auto"/>
                    <w:left w:val="dotted" w:sz="4" w:space="0" w:color="auto"/>
                    <w:bottom w:val="dotted" w:sz="4" w:space="0" w:color="auto"/>
                  </w:tcBorders>
                  <w:shd w:val="clear" w:color="auto" w:fill="auto"/>
                  <w:vAlign w:val="center"/>
                </w:tcPr>
                <w:p w:rsidR="004F5114" w:rsidRPr="004F5114" w:rsidRDefault="004F5114" w:rsidP="004F5114">
                  <w:pPr>
                    <w:pStyle w:val="TableBodyText"/>
                  </w:pPr>
                  <w:r w:rsidRPr="004F5114">
                    <w:t>▲</w:t>
                  </w:r>
                </w:p>
              </w:tc>
            </w:tr>
            <w:tr w:rsidR="004F5114" w:rsidRPr="004708E3" w:rsidTr="00D514E0">
              <w:tc>
                <w:tcPr>
                  <w:tcW w:w="992" w:type="dxa"/>
                  <w:tcBorders>
                    <w:top w:val="dotted" w:sz="4" w:space="0" w:color="auto"/>
                    <w:bottom w:val="dotted" w:sz="4" w:space="0" w:color="auto"/>
                    <w:right w:val="dotted" w:sz="4" w:space="0" w:color="auto"/>
                  </w:tcBorders>
                  <w:shd w:val="clear" w:color="auto" w:fill="auto"/>
                </w:tcPr>
                <w:p w:rsidR="004F5114" w:rsidRPr="004708E3" w:rsidRDefault="004F5114" w:rsidP="00B45495">
                  <w:pPr>
                    <w:pStyle w:val="TableUnitsRow"/>
                  </w:pPr>
                  <w:r w:rsidRPr="006A703E">
                    <w:t>Tas</w:t>
                  </w:r>
                </w:p>
              </w:tc>
              <w:tc>
                <w:tcPr>
                  <w:tcW w:w="1107" w:type="dxa"/>
                  <w:tcBorders>
                    <w:top w:val="dotted" w:sz="4" w:space="0" w:color="auto"/>
                    <w:left w:val="dotted" w:sz="4" w:space="0" w:color="auto"/>
                    <w:bottom w:val="dotted" w:sz="4" w:space="0" w:color="auto"/>
                    <w:right w:val="dotted" w:sz="4" w:space="0" w:color="auto"/>
                  </w:tcBorders>
                  <w:vAlign w:val="bottom"/>
                </w:tcPr>
                <w:p w:rsidR="004F5114" w:rsidRDefault="004F5114" w:rsidP="00625234">
                  <w:pPr>
                    <w:pStyle w:val="TableBodyText"/>
                  </w:pPr>
                  <w:r>
                    <w:t>383 ± 13.1</w:t>
                  </w:r>
                </w:p>
              </w:tc>
              <w:tc>
                <w:tcPr>
                  <w:tcW w:w="814" w:type="dxa"/>
                  <w:tcBorders>
                    <w:top w:val="dotted" w:sz="4" w:space="0" w:color="auto"/>
                    <w:left w:val="dotted" w:sz="4" w:space="0" w:color="auto"/>
                    <w:bottom w:val="dotted" w:sz="4" w:space="0" w:color="auto"/>
                    <w:right w:val="dotted" w:sz="4" w:space="0" w:color="auto"/>
                  </w:tcBorders>
                  <w:shd w:val="clear" w:color="auto" w:fill="auto"/>
                  <w:vAlign w:val="center"/>
                </w:tcPr>
                <w:p w:rsidR="004F5114" w:rsidRPr="004F5114" w:rsidRDefault="004F5114" w:rsidP="004F5114">
                  <w:pPr>
                    <w:pStyle w:val="TableBodyText"/>
                  </w:pPr>
                  <w:r w:rsidRPr="004F5114">
                    <w:t>▼</w:t>
                  </w:r>
                </w:p>
              </w:tc>
              <w:tc>
                <w:tcPr>
                  <w:tcW w:w="815" w:type="dxa"/>
                  <w:tcBorders>
                    <w:top w:val="dotted" w:sz="4" w:space="0" w:color="auto"/>
                    <w:left w:val="dotted" w:sz="4" w:space="0" w:color="auto"/>
                    <w:bottom w:val="dotted" w:sz="4" w:space="0" w:color="auto"/>
                    <w:right w:val="dotted" w:sz="4" w:space="0" w:color="auto"/>
                  </w:tcBorders>
                  <w:shd w:val="clear" w:color="auto" w:fill="auto"/>
                  <w:vAlign w:val="center"/>
                </w:tcPr>
                <w:p w:rsidR="004F5114" w:rsidRPr="004F5114" w:rsidRDefault="004F5114" w:rsidP="004F5114">
                  <w:pPr>
                    <w:pStyle w:val="TableBodyText"/>
                  </w:pPr>
                  <w:r w:rsidRPr="004F5114">
                    <w:t>▼</w:t>
                  </w:r>
                </w:p>
              </w:tc>
              <w:tc>
                <w:tcPr>
                  <w:tcW w:w="814"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4F5114">
                  <w:pPr>
                    <w:pStyle w:val="TableBodyText"/>
                    <w:rPr>
                      <w:color w:val="000000"/>
                    </w:rPr>
                  </w:pPr>
                  <w:r w:rsidRPr="004F5114">
                    <w:rPr>
                      <w:color w:val="000000"/>
                    </w:rPr>
                    <w:t xml:space="preserve"> </w:t>
                  </w:r>
                  <w:r w:rsidR="00FD2CB6" w:rsidRPr="009F0531">
                    <w:t>■</w:t>
                  </w:r>
                </w:p>
              </w:tc>
              <w:tc>
                <w:tcPr>
                  <w:tcW w:w="815"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4F5114">
                  <w:pPr>
                    <w:pStyle w:val="TableBodyText"/>
                    <w:rPr>
                      <w:color w:val="000000"/>
                    </w:rPr>
                  </w:pPr>
                  <w:r w:rsidRPr="004F5114">
                    <w:rPr>
                      <w:color w:val="000000"/>
                    </w:rPr>
                    <w:t xml:space="preserve"> </w:t>
                  </w:r>
                  <w:r w:rsidR="00FD2CB6" w:rsidRPr="009F0531">
                    <w:t>■</w:t>
                  </w:r>
                </w:p>
              </w:tc>
              <w:tc>
                <w:tcPr>
                  <w:tcW w:w="814"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FD2CB6" w:rsidP="004F5114">
                  <w:pPr>
                    <w:pStyle w:val="TableBodyText"/>
                    <w:rPr>
                      <w:color w:val="000000"/>
                    </w:rPr>
                  </w:pPr>
                  <w:r w:rsidRPr="009F0531">
                    <w:t>■</w:t>
                  </w:r>
                </w:p>
              </w:tc>
              <w:tc>
                <w:tcPr>
                  <w:tcW w:w="815" w:type="dxa"/>
                  <w:tcBorders>
                    <w:top w:val="dotted" w:sz="4" w:space="0" w:color="auto"/>
                    <w:left w:val="dotted" w:sz="4" w:space="0" w:color="auto"/>
                    <w:bottom w:val="dotted" w:sz="4" w:space="0" w:color="auto"/>
                    <w:right w:val="dotted" w:sz="4" w:space="0" w:color="auto"/>
                  </w:tcBorders>
                  <w:shd w:val="clear" w:color="auto" w:fill="auto"/>
                  <w:vAlign w:val="center"/>
                </w:tcPr>
                <w:p w:rsidR="004F5114" w:rsidRPr="004F5114" w:rsidRDefault="004F5114" w:rsidP="004F5114">
                  <w:pPr>
                    <w:pStyle w:val="TableBodyText"/>
                  </w:pPr>
                  <w:r w:rsidRPr="004F5114">
                    <w:t>..</w:t>
                  </w:r>
                </w:p>
              </w:tc>
              <w:tc>
                <w:tcPr>
                  <w:tcW w:w="814" w:type="dxa"/>
                  <w:tcBorders>
                    <w:top w:val="dotted" w:sz="4" w:space="0" w:color="auto"/>
                    <w:left w:val="dotted" w:sz="4" w:space="0" w:color="auto"/>
                    <w:bottom w:val="dotted" w:sz="4" w:space="0" w:color="auto"/>
                    <w:right w:val="dotted" w:sz="4" w:space="0" w:color="auto"/>
                  </w:tcBorders>
                  <w:shd w:val="clear" w:color="auto" w:fill="auto"/>
                  <w:vAlign w:val="center"/>
                </w:tcPr>
                <w:p w:rsidR="004F5114" w:rsidRPr="004F5114" w:rsidRDefault="004F5114" w:rsidP="004F5114">
                  <w:pPr>
                    <w:pStyle w:val="TableBodyText"/>
                  </w:pPr>
                  <w:r w:rsidRPr="004F5114">
                    <w:t>▼</w:t>
                  </w:r>
                </w:p>
              </w:tc>
              <w:tc>
                <w:tcPr>
                  <w:tcW w:w="815" w:type="dxa"/>
                  <w:tcBorders>
                    <w:top w:val="dotted" w:sz="4" w:space="0" w:color="auto"/>
                    <w:left w:val="dotted" w:sz="4" w:space="0" w:color="auto"/>
                    <w:bottom w:val="dotted" w:sz="4" w:space="0" w:color="auto"/>
                  </w:tcBorders>
                  <w:shd w:val="clear" w:color="auto" w:fill="auto"/>
                  <w:vAlign w:val="center"/>
                </w:tcPr>
                <w:p w:rsidR="004F5114" w:rsidRPr="004F5114" w:rsidRDefault="004F5114" w:rsidP="004F5114">
                  <w:pPr>
                    <w:pStyle w:val="TableBodyText"/>
                  </w:pPr>
                  <w:r w:rsidRPr="004F5114">
                    <w:t>▲</w:t>
                  </w:r>
                </w:p>
              </w:tc>
            </w:tr>
            <w:tr w:rsidR="004F5114" w:rsidRPr="004708E3" w:rsidTr="00D514E0">
              <w:tc>
                <w:tcPr>
                  <w:tcW w:w="992" w:type="dxa"/>
                  <w:tcBorders>
                    <w:top w:val="dotted" w:sz="4" w:space="0" w:color="auto"/>
                    <w:bottom w:val="dotted" w:sz="4" w:space="0" w:color="auto"/>
                    <w:right w:val="dotted" w:sz="4" w:space="0" w:color="auto"/>
                  </w:tcBorders>
                  <w:shd w:val="clear" w:color="auto" w:fill="auto"/>
                </w:tcPr>
                <w:p w:rsidR="004F5114" w:rsidRPr="004708E3" w:rsidRDefault="004F5114" w:rsidP="00B45495">
                  <w:pPr>
                    <w:pStyle w:val="TableUnitsRow"/>
                  </w:pPr>
                  <w:r w:rsidRPr="006A703E">
                    <w:t>ACT</w:t>
                  </w:r>
                </w:p>
              </w:tc>
              <w:tc>
                <w:tcPr>
                  <w:tcW w:w="1107" w:type="dxa"/>
                  <w:tcBorders>
                    <w:top w:val="dotted" w:sz="4" w:space="0" w:color="auto"/>
                    <w:left w:val="dotted" w:sz="4" w:space="0" w:color="auto"/>
                    <w:bottom w:val="dotted" w:sz="4" w:space="0" w:color="auto"/>
                    <w:right w:val="dotted" w:sz="4" w:space="0" w:color="auto"/>
                  </w:tcBorders>
                  <w:vAlign w:val="bottom"/>
                </w:tcPr>
                <w:p w:rsidR="004F5114" w:rsidRDefault="004F5114" w:rsidP="00625234">
                  <w:pPr>
                    <w:pStyle w:val="TableBodyText"/>
                  </w:pPr>
                  <w:r>
                    <w:t>433 ± 14.5</w:t>
                  </w:r>
                </w:p>
              </w:tc>
              <w:tc>
                <w:tcPr>
                  <w:tcW w:w="814"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4F5114">
                  <w:pPr>
                    <w:pStyle w:val="TableBodyText"/>
                    <w:rPr>
                      <w:color w:val="000000"/>
                    </w:rPr>
                  </w:pPr>
                  <w:r w:rsidRPr="004F5114">
                    <w:rPr>
                      <w:color w:val="000000"/>
                    </w:rPr>
                    <w:t xml:space="preserve"> </w:t>
                  </w:r>
                  <w:r w:rsidR="00FD2CB6" w:rsidRPr="009F0531">
                    <w:t>■</w:t>
                  </w:r>
                </w:p>
              </w:tc>
              <w:tc>
                <w:tcPr>
                  <w:tcW w:w="815"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4F5114">
                  <w:pPr>
                    <w:pStyle w:val="TableBodyText"/>
                    <w:rPr>
                      <w:color w:val="000000"/>
                    </w:rPr>
                  </w:pPr>
                  <w:r w:rsidRPr="004F5114">
                    <w:rPr>
                      <w:color w:val="000000"/>
                    </w:rPr>
                    <w:t xml:space="preserve"> </w:t>
                  </w:r>
                  <w:r w:rsidR="00FD2CB6" w:rsidRPr="009F0531">
                    <w:t>■</w:t>
                  </w:r>
                </w:p>
              </w:tc>
              <w:tc>
                <w:tcPr>
                  <w:tcW w:w="814" w:type="dxa"/>
                  <w:tcBorders>
                    <w:top w:val="dotted" w:sz="4" w:space="0" w:color="auto"/>
                    <w:left w:val="dotted" w:sz="4" w:space="0" w:color="auto"/>
                    <w:bottom w:val="dotted" w:sz="4" w:space="0" w:color="auto"/>
                    <w:right w:val="dotted" w:sz="4" w:space="0" w:color="auto"/>
                  </w:tcBorders>
                  <w:shd w:val="clear" w:color="auto" w:fill="auto"/>
                  <w:vAlign w:val="center"/>
                </w:tcPr>
                <w:p w:rsidR="004F5114" w:rsidRPr="004F5114" w:rsidRDefault="004F5114" w:rsidP="004F5114">
                  <w:pPr>
                    <w:pStyle w:val="TableBodyText"/>
                  </w:pPr>
                  <w:r w:rsidRPr="004F5114">
                    <w:t>▲</w:t>
                  </w:r>
                </w:p>
              </w:tc>
              <w:tc>
                <w:tcPr>
                  <w:tcW w:w="815" w:type="dxa"/>
                  <w:tcBorders>
                    <w:top w:val="dotted" w:sz="4" w:space="0" w:color="auto"/>
                    <w:left w:val="dotted" w:sz="4" w:space="0" w:color="auto"/>
                    <w:bottom w:val="dotted" w:sz="4" w:space="0" w:color="auto"/>
                    <w:right w:val="dotted" w:sz="4" w:space="0" w:color="auto"/>
                  </w:tcBorders>
                  <w:shd w:val="clear" w:color="auto" w:fill="auto"/>
                  <w:vAlign w:val="center"/>
                </w:tcPr>
                <w:p w:rsidR="004F5114" w:rsidRPr="004F5114" w:rsidRDefault="004F5114" w:rsidP="004F5114">
                  <w:pPr>
                    <w:pStyle w:val="TableBodyText"/>
                  </w:pPr>
                  <w:r w:rsidRPr="004F5114">
                    <w:t>▲</w:t>
                  </w:r>
                </w:p>
              </w:tc>
              <w:tc>
                <w:tcPr>
                  <w:tcW w:w="814" w:type="dxa"/>
                  <w:tcBorders>
                    <w:top w:val="dotted" w:sz="4" w:space="0" w:color="auto"/>
                    <w:left w:val="dotted" w:sz="4" w:space="0" w:color="auto"/>
                    <w:bottom w:val="dotted" w:sz="4" w:space="0" w:color="auto"/>
                    <w:right w:val="dotted" w:sz="4" w:space="0" w:color="auto"/>
                  </w:tcBorders>
                  <w:shd w:val="clear" w:color="auto" w:fill="auto"/>
                  <w:vAlign w:val="center"/>
                </w:tcPr>
                <w:p w:rsidR="004F5114" w:rsidRPr="004F5114" w:rsidRDefault="004F5114" w:rsidP="004F5114">
                  <w:pPr>
                    <w:pStyle w:val="TableBodyText"/>
                  </w:pPr>
                  <w:r w:rsidRPr="004F5114">
                    <w:t>▲</w:t>
                  </w:r>
                </w:p>
              </w:tc>
              <w:tc>
                <w:tcPr>
                  <w:tcW w:w="815" w:type="dxa"/>
                  <w:tcBorders>
                    <w:top w:val="dotted" w:sz="4" w:space="0" w:color="auto"/>
                    <w:left w:val="dotted" w:sz="4" w:space="0" w:color="auto"/>
                    <w:bottom w:val="dotted" w:sz="4" w:space="0" w:color="auto"/>
                    <w:right w:val="dotted" w:sz="4" w:space="0" w:color="auto"/>
                  </w:tcBorders>
                  <w:shd w:val="clear" w:color="auto" w:fill="auto"/>
                  <w:vAlign w:val="center"/>
                </w:tcPr>
                <w:p w:rsidR="004F5114" w:rsidRPr="004F5114" w:rsidRDefault="004F5114" w:rsidP="004F5114">
                  <w:pPr>
                    <w:pStyle w:val="TableBodyText"/>
                  </w:pPr>
                  <w:r w:rsidRPr="004F5114">
                    <w:t>▲</w:t>
                  </w:r>
                </w:p>
              </w:tc>
              <w:tc>
                <w:tcPr>
                  <w:tcW w:w="814" w:type="dxa"/>
                  <w:tcBorders>
                    <w:top w:val="dotted" w:sz="4" w:space="0" w:color="auto"/>
                    <w:left w:val="dotted" w:sz="4" w:space="0" w:color="auto"/>
                    <w:bottom w:val="dotted" w:sz="4" w:space="0" w:color="auto"/>
                    <w:right w:val="dotted" w:sz="4" w:space="0" w:color="auto"/>
                  </w:tcBorders>
                  <w:shd w:val="clear" w:color="auto" w:fill="auto"/>
                  <w:vAlign w:val="center"/>
                </w:tcPr>
                <w:p w:rsidR="004F5114" w:rsidRPr="004F5114" w:rsidRDefault="004F5114" w:rsidP="004F5114">
                  <w:pPr>
                    <w:pStyle w:val="TableBodyText"/>
                  </w:pPr>
                  <w:r w:rsidRPr="004F5114">
                    <w:t>..</w:t>
                  </w:r>
                </w:p>
              </w:tc>
              <w:tc>
                <w:tcPr>
                  <w:tcW w:w="815" w:type="dxa"/>
                  <w:tcBorders>
                    <w:top w:val="dotted" w:sz="4" w:space="0" w:color="auto"/>
                    <w:left w:val="dotted" w:sz="4" w:space="0" w:color="auto"/>
                    <w:bottom w:val="dotted" w:sz="4" w:space="0" w:color="auto"/>
                  </w:tcBorders>
                  <w:shd w:val="clear" w:color="auto" w:fill="auto"/>
                  <w:vAlign w:val="center"/>
                </w:tcPr>
                <w:p w:rsidR="004F5114" w:rsidRPr="004F5114" w:rsidRDefault="004F5114" w:rsidP="004F5114">
                  <w:pPr>
                    <w:pStyle w:val="TableBodyText"/>
                  </w:pPr>
                  <w:r w:rsidRPr="004F5114">
                    <w:t>▲</w:t>
                  </w:r>
                </w:p>
              </w:tc>
            </w:tr>
            <w:tr w:rsidR="004F5114" w:rsidRPr="004708E3" w:rsidTr="00D514E0">
              <w:tc>
                <w:tcPr>
                  <w:tcW w:w="992" w:type="dxa"/>
                  <w:tcBorders>
                    <w:top w:val="dotted" w:sz="4" w:space="0" w:color="auto"/>
                    <w:bottom w:val="dotted" w:sz="4" w:space="0" w:color="auto"/>
                    <w:right w:val="dotted" w:sz="4" w:space="0" w:color="auto"/>
                  </w:tcBorders>
                  <w:shd w:val="clear" w:color="auto" w:fill="auto"/>
                </w:tcPr>
                <w:p w:rsidR="004F5114" w:rsidRPr="004708E3" w:rsidRDefault="004F5114" w:rsidP="00B45495">
                  <w:pPr>
                    <w:pStyle w:val="TableUnitsRow"/>
                  </w:pPr>
                  <w:r w:rsidRPr="006A703E">
                    <w:t>NT</w:t>
                  </w:r>
                </w:p>
              </w:tc>
              <w:tc>
                <w:tcPr>
                  <w:tcW w:w="1107" w:type="dxa"/>
                  <w:tcBorders>
                    <w:top w:val="dotted" w:sz="4" w:space="0" w:color="auto"/>
                    <w:left w:val="dotted" w:sz="4" w:space="0" w:color="auto"/>
                    <w:bottom w:val="dotted" w:sz="4" w:space="0" w:color="auto"/>
                    <w:right w:val="dotted" w:sz="4" w:space="0" w:color="auto"/>
                  </w:tcBorders>
                  <w:vAlign w:val="bottom"/>
                </w:tcPr>
                <w:p w:rsidR="004F5114" w:rsidRDefault="004F5114" w:rsidP="00625234">
                  <w:pPr>
                    <w:pStyle w:val="TableBodyText"/>
                  </w:pPr>
                  <w:r>
                    <w:t>314 ± 26.9</w:t>
                  </w:r>
                </w:p>
              </w:tc>
              <w:tc>
                <w:tcPr>
                  <w:tcW w:w="814" w:type="dxa"/>
                  <w:tcBorders>
                    <w:top w:val="dotted" w:sz="4" w:space="0" w:color="auto"/>
                    <w:left w:val="dotted" w:sz="4" w:space="0" w:color="auto"/>
                    <w:bottom w:val="dotted" w:sz="4" w:space="0" w:color="auto"/>
                    <w:right w:val="dotted" w:sz="4" w:space="0" w:color="auto"/>
                  </w:tcBorders>
                  <w:shd w:val="clear" w:color="auto" w:fill="auto"/>
                  <w:vAlign w:val="center"/>
                </w:tcPr>
                <w:p w:rsidR="004F5114" w:rsidRPr="004F5114" w:rsidRDefault="004F5114" w:rsidP="004F5114">
                  <w:pPr>
                    <w:pStyle w:val="TableBodyText"/>
                  </w:pPr>
                  <w:r w:rsidRPr="004F5114">
                    <w:t>▼</w:t>
                  </w:r>
                </w:p>
              </w:tc>
              <w:tc>
                <w:tcPr>
                  <w:tcW w:w="815" w:type="dxa"/>
                  <w:tcBorders>
                    <w:top w:val="dotted" w:sz="4" w:space="0" w:color="auto"/>
                    <w:left w:val="dotted" w:sz="4" w:space="0" w:color="auto"/>
                    <w:bottom w:val="dotted" w:sz="4" w:space="0" w:color="auto"/>
                    <w:right w:val="dotted" w:sz="4" w:space="0" w:color="auto"/>
                  </w:tcBorders>
                  <w:shd w:val="clear" w:color="auto" w:fill="auto"/>
                  <w:vAlign w:val="center"/>
                </w:tcPr>
                <w:p w:rsidR="004F5114" w:rsidRPr="004F5114" w:rsidRDefault="004F5114" w:rsidP="004F5114">
                  <w:pPr>
                    <w:pStyle w:val="TableBodyText"/>
                  </w:pPr>
                  <w:r w:rsidRPr="004F5114">
                    <w:t>▼</w:t>
                  </w:r>
                </w:p>
              </w:tc>
              <w:tc>
                <w:tcPr>
                  <w:tcW w:w="814" w:type="dxa"/>
                  <w:tcBorders>
                    <w:top w:val="dotted" w:sz="4" w:space="0" w:color="auto"/>
                    <w:left w:val="dotted" w:sz="4" w:space="0" w:color="auto"/>
                    <w:bottom w:val="dotted" w:sz="4" w:space="0" w:color="auto"/>
                    <w:right w:val="dotted" w:sz="4" w:space="0" w:color="auto"/>
                  </w:tcBorders>
                  <w:shd w:val="clear" w:color="auto" w:fill="auto"/>
                  <w:vAlign w:val="center"/>
                </w:tcPr>
                <w:p w:rsidR="004F5114" w:rsidRPr="004F5114" w:rsidRDefault="004F5114" w:rsidP="004F5114">
                  <w:pPr>
                    <w:pStyle w:val="TableBodyText"/>
                  </w:pPr>
                  <w:r w:rsidRPr="004F5114">
                    <w:t>▼</w:t>
                  </w:r>
                </w:p>
              </w:tc>
              <w:tc>
                <w:tcPr>
                  <w:tcW w:w="815" w:type="dxa"/>
                  <w:tcBorders>
                    <w:top w:val="dotted" w:sz="4" w:space="0" w:color="auto"/>
                    <w:left w:val="dotted" w:sz="4" w:space="0" w:color="auto"/>
                    <w:bottom w:val="dotted" w:sz="4" w:space="0" w:color="auto"/>
                    <w:right w:val="dotted" w:sz="4" w:space="0" w:color="auto"/>
                  </w:tcBorders>
                  <w:shd w:val="clear" w:color="auto" w:fill="auto"/>
                  <w:vAlign w:val="center"/>
                </w:tcPr>
                <w:p w:rsidR="004F5114" w:rsidRPr="004F5114" w:rsidRDefault="004F5114" w:rsidP="004F5114">
                  <w:pPr>
                    <w:pStyle w:val="TableBodyText"/>
                  </w:pPr>
                  <w:r w:rsidRPr="004F5114">
                    <w:t>▼</w:t>
                  </w:r>
                </w:p>
              </w:tc>
              <w:tc>
                <w:tcPr>
                  <w:tcW w:w="814" w:type="dxa"/>
                  <w:tcBorders>
                    <w:top w:val="dotted" w:sz="4" w:space="0" w:color="auto"/>
                    <w:left w:val="dotted" w:sz="4" w:space="0" w:color="auto"/>
                    <w:bottom w:val="dotted" w:sz="4" w:space="0" w:color="auto"/>
                    <w:right w:val="dotted" w:sz="4" w:space="0" w:color="auto"/>
                  </w:tcBorders>
                  <w:shd w:val="clear" w:color="auto" w:fill="auto"/>
                  <w:vAlign w:val="center"/>
                </w:tcPr>
                <w:p w:rsidR="004F5114" w:rsidRPr="004F5114" w:rsidRDefault="004F5114" w:rsidP="004F5114">
                  <w:pPr>
                    <w:pStyle w:val="TableBodyText"/>
                  </w:pPr>
                  <w:r w:rsidRPr="004F5114">
                    <w:t>▼</w:t>
                  </w:r>
                </w:p>
              </w:tc>
              <w:tc>
                <w:tcPr>
                  <w:tcW w:w="815" w:type="dxa"/>
                  <w:tcBorders>
                    <w:top w:val="dotted" w:sz="4" w:space="0" w:color="auto"/>
                    <w:left w:val="dotted" w:sz="4" w:space="0" w:color="auto"/>
                    <w:bottom w:val="dotted" w:sz="4" w:space="0" w:color="auto"/>
                    <w:right w:val="dotted" w:sz="4" w:space="0" w:color="auto"/>
                  </w:tcBorders>
                  <w:shd w:val="clear" w:color="auto" w:fill="auto"/>
                  <w:vAlign w:val="center"/>
                </w:tcPr>
                <w:p w:rsidR="004F5114" w:rsidRPr="004F5114" w:rsidRDefault="004F5114" w:rsidP="004F5114">
                  <w:pPr>
                    <w:pStyle w:val="TableBodyText"/>
                  </w:pPr>
                  <w:r w:rsidRPr="004F5114">
                    <w:t>▼</w:t>
                  </w:r>
                </w:p>
              </w:tc>
              <w:tc>
                <w:tcPr>
                  <w:tcW w:w="814" w:type="dxa"/>
                  <w:tcBorders>
                    <w:top w:val="dotted" w:sz="4" w:space="0" w:color="auto"/>
                    <w:left w:val="dotted" w:sz="4" w:space="0" w:color="auto"/>
                    <w:bottom w:val="dotted" w:sz="4" w:space="0" w:color="auto"/>
                    <w:right w:val="dotted" w:sz="4" w:space="0" w:color="auto"/>
                  </w:tcBorders>
                  <w:shd w:val="clear" w:color="auto" w:fill="auto"/>
                  <w:vAlign w:val="center"/>
                </w:tcPr>
                <w:p w:rsidR="004F5114" w:rsidRPr="004F5114" w:rsidRDefault="004F5114" w:rsidP="004F5114">
                  <w:pPr>
                    <w:pStyle w:val="TableBodyText"/>
                  </w:pPr>
                  <w:r w:rsidRPr="004F5114">
                    <w:t>▼</w:t>
                  </w:r>
                </w:p>
              </w:tc>
              <w:tc>
                <w:tcPr>
                  <w:tcW w:w="815" w:type="dxa"/>
                  <w:tcBorders>
                    <w:top w:val="dotted" w:sz="4" w:space="0" w:color="auto"/>
                    <w:left w:val="dotted" w:sz="4" w:space="0" w:color="auto"/>
                    <w:bottom w:val="dotted" w:sz="4" w:space="0" w:color="auto"/>
                  </w:tcBorders>
                  <w:shd w:val="clear" w:color="auto" w:fill="auto"/>
                  <w:vAlign w:val="center"/>
                </w:tcPr>
                <w:p w:rsidR="004F5114" w:rsidRPr="004F5114" w:rsidRDefault="004F5114" w:rsidP="004F5114">
                  <w:pPr>
                    <w:pStyle w:val="TableBodyText"/>
                  </w:pPr>
                  <w:r w:rsidRPr="004F5114">
                    <w:t>..</w:t>
                  </w:r>
                </w:p>
              </w:tc>
            </w:tr>
          </w:tbl>
          <w:p w:rsidR="00FB23D7" w:rsidRDefault="00FB23D7" w:rsidP="00B45495">
            <w:pPr>
              <w:pStyle w:val="Box"/>
            </w:pPr>
          </w:p>
        </w:tc>
      </w:tr>
      <w:tr w:rsidR="00FB23D7" w:rsidTr="00B45495">
        <w:trPr>
          <w:cantSplit/>
        </w:trPr>
        <w:tc>
          <w:tcPr>
            <w:tcW w:w="8909" w:type="dxa"/>
            <w:tcBorders>
              <w:top w:val="nil"/>
              <w:left w:val="nil"/>
              <w:bottom w:val="nil"/>
              <w:right w:val="nil"/>
            </w:tcBorders>
            <w:shd w:val="clear" w:color="auto" w:fill="auto"/>
          </w:tcPr>
          <w:p w:rsidR="00001986" w:rsidRPr="009F0531" w:rsidRDefault="00001986" w:rsidP="00001986">
            <w:pPr>
              <w:pStyle w:val="Note"/>
            </w:pPr>
            <w:r w:rsidRPr="009F0531">
              <w:rPr>
                <w:rStyle w:val="NoteLabel"/>
                <w:b w:val="0"/>
                <w:position w:val="0"/>
              </w:rPr>
              <w:t>▲</w:t>
            </w:r>
            <w:r>
              <w:t xml:space="preserve"> Mean scale score</w:t>
            </w:r>
            <w:r w:rsidRPr="009F0531">
              <w:t xml:space="preserve"> is </w:t>
            </w:r>
            <w:r>
              <w:t xml:space="preserve">significantly higher than in </w:t>
            </w:r>
            <w:r w:rsidRPr="009F0531">
              <w:t xml:space="preserve">the comparison State/Territory. ■ </w:t>
            </w:r>
            <w:r>
              <w:t>Mean scale score</w:t>
            </w:r>
            <w:r w:rsidRPr="009F0531">
              <w:t xml:space="preserve"> is </w:t>
            </w:r>
            <w:r>
              <w:t>not significantly higher or lower than</w:t>
            </w:r>
            <w:r w:rsidRPr="009F0531">
              <w:t xml:space="preserve"> the comparison State/Territory. ▼ </w:t>
            </w:r>
            <w:r>
              <w:t>Mean scale score</w:t>
            </w:r>
            <w:r w:rsidRPr="009F0531">
              <w:t xml:space="preserve"> is </w:t>
            </w:r>
            <w:r>
              <w:t>significantly</w:t>
            </w:r>
            <w:r w:rsidRPr="009F0531">
              <w:t xml:space="preserve"> </w:t>
            </w:r>
            <w:r>
              <w:t>lower than in</w:t>
            </w:r>
            <w:r w:rsidRPr="009F0531">
              <w:t xml:space="preserve"> the comparison State/Territory.</w:t>
            </w:r>
          </w:p>
          <w:p w:rsidR="00FB23D7" w:rsidRDefault="00FB23D7" w:rsidP="00F979EC">
            <w:pPr>
              <w:pStyle w:val="Note"/>
              <w:rPr>
                <w:i/>
              </w:rPr>
            </w:pPr>
            <w:r w:rsidRPr="008E77FE">
              <w:rPr>
                <w:rStyle w:val="NoteLabel"/>
              </w:rPr>
              <w:t>a</w:t>
            </w:r>
            <w:r w:rsidRPr="009F0531">
              <w:t xml:space="preserve"> For further information and caveats see table </w:t>
            </w:r>
            <w:r w:rsidRPr="002A3124">
              <w:rPr>
                <w:shd w:val="clear" w:color="auto" w:fill="FFFFFF" w:themeFill="background1"/>
              </w:rPr>
              <w:t>4A.</w:t>
            </w:r>
            <w:r w:rsidR="000C2B98" w:rsidRPr="002A3124">
              <w:rPr>
                <w:shd w:val="clear" w:color="auto" w:fill="FFFFFF" w:themeFill="background1"/>
              </w:rPr>
              <w:t>15</w:t>
            </w:r>
            <w:r w:rsidR="00F979EC">
              <w:rPr>
                <w:shd w:val="clear" w:color="auto" w:fill="FFFFFF" w:themeFill="background1"/>
              </w:rPr>
              <w:t>3</w:t>
            </w:r>
            <w:r w:rsidRPr="002A3124">
              <w:rPr>
                <w:shd w:val="clear" w:color="auto" w:fill="FFFFFF" w:themeFill="background1"/>
              </w:rPr>
              <w:t>.</w:t>
            </w:r>
            <w:r>
              <w:t xml:space="preserve"> .. not applicable.</w:t>
            </w:r>
          </w:p>
        </w:tc>
      </w:tr>
      <w:tr w:rsidR="00FB23D7" w:rsidTr="00B45495">
        <w:trPr>
          <w:cantSplit/>
        </w:trPr>
        <w:tc>
          <w:tcPr>
            <w:tcW w:w="8909" w:type="dxa"/>
            <w:tcBorders>
              <w:top w:val="nil"/>
              <w:left w:val="nil"/>
              <w:bottom w:val="nil"/>
              <w:right w:val="nil"/>
            </w:tcBorders>
            <w:shd w:val="clear" w:color="auto" w:fill="auto"/>
          </w:tcPr>
          <w:p w:rsidR="00FB23D7" w:rsidRDefault="00C464C0" w:rsidP="00E95417">
            <w:pPr>
              <w:pStyle w:val="Source"/>
            </w:pPr>
            <w:r>
              <w:rPr>
                <w:i/>
              </w:rPr>
              <w:t>S</w:t>
            </w:r>
            <w:r w:rsidRPr="00784A05">
              <w:rPr>
                <w:i/>
              </w:rPr>
              <w:t>ource</w:t>
            </w:r>
            <w:r w:rsidRPr="00176D3F">
              <w:t xml:space="preserve">: </w:t>
            </w:r>
            <w:r w:rsidRPr="0036251F">
              <w:t>ACARA (201</w:t>
            </w:r>
            <w:r>
              <w:t>4</w:t>
            </w:r>
            <w:r w:rsidRPr="0036251F">
              <w:t xml:space="preserve">), </w:t>
            </w:r>
            <w:r w:rsidRPr="0036251F">
              <w:rPr>
                <w:i/>
                <w:iCs/>
              </w:rPr>
              <w:t xml:space="preserve">National Assessment Program </w:t>
            </w:r>
            <w:r>
              <w:rPr>
                <w:i/>
                <w:iCs/>
              </w:rPr>
              <w:t xml:space="preserve">Civics and </w:t>
            </w:r>
            <w:r w:rsidR="00E95417">
              <w:rPr>
                <w:i/>
                <w:iCs/>
              </w:rPr>
              <w:t>C</w:t>
            </w:r>
            <w:r>
              <w:rPr>
                <w:i/>
                <w:iCs/>
              </w:rPr>
              <w:t>itizenship</w:t>
            </w:r>
            <w:r w:rsidRPr="0036251F">
              <w:rPr>
                <w:i/>
                <w:iCs/>
              </w:rPr>
              <w:t xml:space="preserve"> Year</w:t>
            </w:r>
            <w:r>
              <w:rPr>
                <w:i/>
                <w:iCs/>
              </w:rPr>
              <w:t>s</w:t>
            </w:r>
            <w:r w:rsidRPr="0036251F">
              <w:rPr>
                <w:i/>
                <w:iCs/>
              </w:rPr>
              <w:t xml:space="preserve"> 6 </w:t>
            </w:r>
            <w:r>
              <w:rPr>
                <w:i/>
                <w:iCs/>
              </w:rPr>
              <w:t xml:space="preserve">and 10 </w:t>
            </w:r>
            <w:r w:rsidRPr="0036251F">
              <w:rPr>
                <w:i/>
                <w:iCs/>
              </w:rPr>
              <w:t>Report 201</w:t>
            </w:r>
            <w:r>
              <w:rPr>
                <w:i/>
                <w:iCs/>
              </w:rPr>
              <w:t>3</w:t>
            </w:r>
            <w:r w:rsidRPr="0036251F">
              <w:rPr>
                <w:i/>
                <w:iCs/>
              </w:rPr>
              <w:t>,</w:t>
            </w:r>
            <w:r w:rsidRPr="0036251F">
              <w:t xml:space="preserve"> Sydney; table 4A.</w:t>
            </w:r>
            <w:r w:rsidR="000C2B98">
              <w:t>15</w:t>
            </w:r>
            <w:r w:rsidR="00F979EC">
              <w:t>3</w:t>
            </w:r>
            <w:r w:rsidRPr="0036251F">
              <w:t>.</w:t>
            </w:r>
          </w:p>
        </w:tc>
      </w:tr>
      <w:tr w:rsidR="00FB23D7" w:rsidTr="00B45495">
        <w:trPr>
          <w:cantSplit/>
        </w:trPr>
        <w:tc>
          <w:tcPr>
            <w:tcW w:w="8909" w:type="dxa"/>
            <w:tcBorders>
              <w:top w:val="nil"/>
              <w:left w:val="nil"/>
              <w:bottom w:val="single" w:sz="6" w:space="0" w:color="78A22F"/>
              <w:right w:val="nil"/>
            </w:tcBorders>
            <w:shd w:val="clear" w:color="auto" w:fill="auto"/>
          </w:tcPr>
          <w:p w:rsidR="00FB23D7" w:rsidRDefault="00FB23D7" w:rsidP="00B45495">
            <w:pPr>
              <w:pStyle w:val="Box"/>
              <w:spacing w:before="0" w:line="120" w:lineRule="exact"/>
            </w:pPr>
          </w:p>
        </w:tc>
      </w:tr>
      <w:tr w:rsidR="00FB23D7" w:rsidRPr="00626D32" w:rsidTr="00B45495">
        <w:tc>
          <w:tcPr>
            <w:tcW w:w="8909" w:type="dxa"/>
            <w:tcBorders>
              <w:top w:val="single" w:sz="6" w:space="0" w:color="78A22F"/>
              <w:left w:val="nil"/>
              <w:bottom w:val="nil"/>
              <w:right w:val="nil"/>
            </w:tcBorders>
          </w:tcPr>
          <w:p w:rsidR="00FB23D7" w:rsidRPr="00626D32" w:rsidRDefault="00FB23D7" w:rsidP="00B45495">
            <w:pPr>
              <w:pStyle w:val="BoxSpaceBelow"/>
            </w:pPr>
          </w:p>
        </w:tc>
      </w:tr>
    </w:tbl>
    <w:p w:rsidR="00560DE1" w:rsidRDefault="00560DE1" w:rsidP="00560DE1">
      <w:pPr>
        <w:spacing w:before="240" w:line="320" w:lineRule="atLeast"/>
        <w:jc w:val="both"/>
        <w:rPr>
          <w:szCs w:val="20"/>
        </w:rPr>
      </w:pPr>
      <w:r w:rsidRPr="00660DFA">
        <w:rPr>
          <w:szCs w:val="20"/>
        </w:rPr>
        <w:t>Nationally</w:t>
      </w:r>
      <w:r>
        <w:rPr>
          <w:szCs w:val="20"/>
        </w:rPr>
        <w:t xml:space="preserve"> in 2013</w:t>
      </w:r>
      <w:r w:rsidRPr="00660DFA">
        <w:rPr>
          <w:szCs w:val="20"/>
        </w:rPr>
        <w:t xml:space="preserve">, the proportion of participating </w:t>
      </w:r>
      <w:r>
        <w:rPr>
          <w:szCs w:val="20"/>
        </w:rPr>
        <w:t xml:space="preserve">year </w:t>
      </w:r>
      <w:r w:rsidR="00BA5714">
        <w:rPr>
          <w:szCs w:val="20"/>
        </w:rPr>
        <w:t>10</w:t>
      </w:r>
      <w:r>
        <w:rPr>
          <w:szCs w:val="20"/>
        </w:rPr>
        <w:t xml:space="preserve"> </w:t>
      </w:r>
      <w:r w:rsidRPr="00660DFA">
        <w:rPr>
          <w:szCs w:val="20"/>
        </w:rPr>
        <w:t xml:space="preserve">students </w:t>
      </w:r>
      <w:r w:rsidRPr="004F5114">
        <w:rPr>
          <w:szCs w:val="20"/>
          <w:shd w:val="clear" w:color="auto" w:fill="FFFFFF" w:themeFill="background1"/>
        </w:rPr>
        <w:t>who achieved at or above the proficient standard in civics and citizenship performance was 4</w:t>
      </w:r>
      <w:r w:rsidR="004F5114" w:rsidRPr="004F5114">
        <w:rPr>
          <w:szCs w:val="20"/>
          <w:shd w:val="clear" w:color="auto" w:fill="FFFFFF" w:themeFill="background1"/>
        </w:rPr>
        <w:t>1</w:t>
      </w:r>
      <w:r w:rsidRPr="004F5114">
        <w:rPr>
          <w:szCs w:val="20"/>
          <w:shd w:val="clear" w:color="auto" w:fill="FFFFFF" w:themeFill="background1"/>
        </w:rPr>
        <w:t>.4–</w:t>
      </w:r>
      <w:r w:rsidR="004F5114" w:rsidRPr="004F5114">
        <w:rPr>
          <w:szCs w:val="20"/>
          <w:shd w:val="clear" w:color="auto" w:fill="FFFFFF" w:themeFill="background1"/>
        </w:rPr>
        <w:t>46.6</w:t>
      </w:r>
      <w:r w:rsidRPr="004F5114">
        <w:rPr>
          <w:szCs w:val="20"/>
          <w:shd w:val="clear" w:color="auto" w:fill="FFFFFF" w:themeFill="background1"/>
        </w:rPr>
        <w:t xml:space="preserve"> per cent, not </w:t>
      </w:r>
      <w:r w:rsidR="007B5845">
        <w:rPr>
          <w:szCs w:val="20"/>
          <w:shd w:val="clear" w:color="auto" w:fill="FFFFFF" w:themeFill="background1"/>
        </w:rPr>
        <w:t>significantly different</w:t>
      </w:r>
      <w:r w:rsidRPr="004F5114">
        <w:rPr>
          <w:szCs w:val="20"/>
          <w:shd w:val="clear" w:color="auto" w:fill="FFFFFF" w:themeFill="background1"/>
        </w:rPr>
        <w:t xml:space="preserve"> from </w:t>
      </w:r>
      <w:r w:rsidR="004F5114" w:rsidRPr="004F5114">
        <w:rPr>
          <w:szCs w:val="20"/>
          <w:shd w:val="clear" w:color="auto" w:fill="FFFFFF" w:themeFill="background1"/>
        </w:rPr>
        <w:t xml:space="preserve">2004, </w:t>
      </w:r>
      <w:r w:rsidRPr="004F5114">
        <w:rPr>
          <w:szCs w:val="20"/>
          <w:shd w:val="clear" w:color="auto" w:fill="FFFFFF" w:themeFill="background1"/>
        </w:rPr>
        <w:t>2007 or 2010. These proportions</w:t>
      </w:r>
      <w:r w:rsidRPr="00660DFA">
        <w:rPr>
          <w:szCs w:val="20"/>
        </w:rPr>
        <w:t xml:space="preserve"> vari</w:t>
      </w:r>
      <w:r>
        <w:rPr>
          <w:szCs w:val="20"/>
        </w:rPr>
        <w:t>ed across jurisdictions (figure</w:t>
      </w:r>
      <w:r w:rsidRPr="00660DFA">
        <w:rPr>
          <w:szCs w:val="20"/>
        </w:rPr>
        <w:t xml:space="preserve"> 4.</w:t>
      </w:r>
      <w:r w:rsidR="004F5114">
        <w:rPr>
          <w:szCs w:val="20"/>
        </w:rPr>
        <w:t>3</w:t>
      </w:r>
      <w:r w:rsidR="00FF2AB3">
        <w:rPr>
          <w:szCs w:val="20"/>
        </w:rPr>
        <w:t>7</w:t>
      </w:r>
      <w:r w:rsidRPr="00660DFA">
        <w:rPr>
          <w:szCs w:val="20"/>
        </w:rPr>
        <w:t xml:space="preserve">). </w:t>
      </w:r>
    </w:p>
    <w:p w:rsidR="00DC2D81" w:rsidRDefault="00DC2D81" w:rsidP="00B4549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C2D81" w:rsidTr="00B45495">
        <w:tc>
          <w:tcPr>
            <w:tcW w:w="8771" w:type="dxa"/>
            <w:tcBorders>
              <w:top w:val="single" w:sz="6" w:space="0" w:color="78A22F"/>
              <w:left w:val="nil"/>
              <w:bottom w:val="nil"/>
              <w:right w:val="nil"/>
            </w:tcBorders>
            <w:shd w:val="clear" w:color="auto" w:fill="auto"/>
          </w:tcPr>
          <w:p w:rsidR="00DC2D81" w:rsidRPr="00176D3F" w:rsidRDefault="00DC2D81" w:rsidP="00B96852">
            <w:pPr>
              <w:pStyle w:val="FigureTitle"/>
            </w:pPr>
            <w:r w:rsidRPr="00784A05">
              <w:rPr>
                <w:b w:val="0"/>
              </w:rPr>
              <w:t xml:space="preserve">Figure </w:t>
            </w:r>
            <w:r w:rsidR="00B70781">
              <w:rPr>
                <w:b w:val="0"/>
              </w:rPr>
              <w:t>4.</w:t>
            </w:r>
            <w:r w:rsidR="005953B6">
              <w:rPr>
                <w:b w:val="0"/>
                <w:noProof/>
              </w:rPr>
              <w:t>37</w:t>
            </w:r>
            <w:r>
              <w:tab/>
            </w:r>
            <w:r w:rsidRPr="00DC2D81">
              <w:t xml:space="preserve">Proportion of year 10 students achieving at or above the proficient standard, </w:t>
            </w:r>
            <w:r w:rsidR="00F365D1">
              <w:rPr>
                <w:szCs w:val="20"/>
              </w:rPr>
              <w:t>civics and citizenship</w:t>
            </w:r>
            <w:r w:rsidR="00F365D1" w:rsidRPr="00660DFA">
              <w:rPr>
                <w:szCs w:val="20"/>
              </w:rPr>
              <w:t xml:space="preserve"> </w:t>
            </w:r>
            <w:r w:rsidRPr="00DC2D81">
              <w:t xml:space="preserve">performance </w:t>
            </w:r>
            <w:r w:rsidRPr="00DC2D81">
              <w:rPr>
                <w:rStyle w:val="NoteLabel"/>
                <w:b/>
              </w:rPr>
              <w:t>a, b</w:t>
            </w:r>
          </w:p>
        </w:tc>
      </w:tr>
      <w:tr w:rsidR="00DC2D81" w:rsidTr="00B45495">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C2D81" w:rsidTr="00B45495">
              <w:trPr>
                <w:jc w:val="center"/>
              </w:trPr>
              <w:tc>
                <w:tcPr>
                  <w:tcW w:w="5000" w:type="pct"/>
                  <w:tcBorders>
                    <w:top w:val="nil"/>
                    <w:bottom w:val="nil"/>
                  </w:tcBorders>
                </w:tcPr>
                <w:p w:rsidR="00DC2D81" w:rsidRDefault="00F06596" w:rsidP="00B45495">
                  <w:pPr>
                    <w:pStyle w:val="Figure"/>
                    <w:spacing w:before="60" w:after="60"/>
                  </w:pPr>
                  <w:r>
                    <w:rPr>
                      <w:noProof/>
                    </w:rPr>
                    <w:drawing>
                      <wp:inline distT="0" distB="0" distL="0" distR="0" wp14:anchorId="6A09E1FE" wp14:editId="182FCB61">
                        <wp:extent cx="5391150" cy="2686050"/>
                        <wp:effectExtent l="0" t="0" r="0" b="0"/>
                        <wp:docPr id="37" name="Picture 37" descr="Figure 4.37 Proportion of year 10 students achieving at or above the proficient standard, civics and citizenship performanc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DC2D81" w:rsidRDefault="00DC2D81" w:rsidP="00B45495">
            <w:pPr>
              <w:pStyle w:val="Figure"/>
            </w:pPr>
          </w:p>
        </w:tc>
      </w:tr>
      <w:tr w:rsidR="00DC2D81" w:rsidRPr="00176D3F" w:rsidTr="00B45495">
        <w:tc>
          <w:tcPr>
            <w:tcW w:w="8771" w:type="dxa"/>
            <w:tcBorders>
              <w:top w:val="nil"/>
              <w:left w:val="nil"/>
              <w:bottom w:val="nil"/>
              <w:right w:val="nil"/>
            </w:tcBorders>
            <w:shd w:val="clear" w:color="auto" w:fill="auto"/>
          </w:tcPr>
          <w:p w:rsidR="00DC2D81" w:rsidRPr="00176D3F" w:rsidRDefault="00DC2D81" w:rsidP="00556429">
            <w:pPr>
              <w:pStyle w:val="Note"/>
            </w:pPr>
            <w:r>
              <w:rPr>
                <w:rStyle w:val="NoteLabel"/>
              </w:rPr>
              <w:t>a</w:t>
            </w:r>
            <w:r>
              <w:t xml:space="preserve"> </w:t>
            </w:r>
            <w:r w:rsidRPr="00DC2D81">
              <w:t xml:space="preserve">Error bars represent the 95 per cent confidence intervals associated with each point estimate. </w:t>
            </w:r>
            <w:r w:rsidRPr="007E78CB">
              <w:rPr>
                <w:rStyle w:val="NoteLabel"/>
              </w:rPr>
              <w:t>b</w:t>
            </w:r>
            <w:r w:rsidRPr="00DC2D81">
              <w:rPr>
                <w:b/>
              </w:rPr>
              <w:t> </w:t>
            </w:r>
            <w:r w:rsidRPr="00DC2D81">
              <w:t xml:space="preserve">National minimum standards such as those set in literacy and numeracy have not been set for science literacy performance. The proficient standard for year </w:t>
            </w:r>
            <w:r w:rsidR="00146776">
              <w:t>10 civics and citizenship</w:t>
            </w:r>
            <w:r w:rsidRPr="00DC2D81">
              <w:t xml:space="preserve"> performance is set at proficiency level 3, a challenging but reasonable level of performance, with students needing to demonstrate more than minimal or elementary skills expected at that year level to be regarded as reaching it. Data represent the proportion of students at or above the proficient standard.</w:t>
            </w:r>
          </w:p>
        </w:tc>
      </w:tr>
      <w:tr w:rsidR="00DC2D81" w:rsidRPr="00176D3F" w:rsidTr="00B45495">
        <w:tc>
          <w:tcPr>
            <w:tcW w:w="8771" w:type="dxa"/>
            <w:tcBorders>
              <w:top w:val="nil"/>
              <w:left w:val="nil"/>
              <w:bottom w:val="nil"/>
              <w:right w:val="nil"/>
            </w:tcBorders>
            <w:shd w:val="clear" w:color="auto" w:fill="auto"/>
          </w:tcPr>
          <w:p w:rsidR="00DC2D81" w:rsidRPr="00176D3F" w:rsidRDefault="00C464C0" w:rsidP="00E95417">
            <w:pPr>
              <w:pStyle w:val="Source"/>
            </w:pPr>
            <w:r>
              <w:rPr>
                <w:i/>
              </w:rPr>
              <w:t>S</w:t>
            </w:r>
            <w:r w:rsidRPr="00784A05">
              <w:rPr>
                <w:i/>
              </w:rPr>
              <w:t>ource</w:t>
            </w:r>
            <w:r w:rsidRPr="00176D3F">
              <w:t xml:space="preserve">: </w:t>
            </w:r>
            <w:r w:rsidRPr="0036251F">
              <w:t>ACARA (201</w:t>
            </w:r>
            <w:r>
              <w:t>4</w:t>
            </w:r>
            <w:r w:rsidRPr="0036251F">
              <w:t xml:space="preserve">), </w:t>
            </w:r>
            <w:r w:rsidRPr="0036251F">
              <w:rPr>
                <w:i/>
                <w:iCs/>
              </w:rPr>
              <w:t xml:space="preserve">National Assessment Program </w:t>
            </w:r>
            <w:r>
              <w:rPr>
                <w:i/>
                <w:iCs/>
              </w:rPr>
              <w:t xml:space="preserve">Civics and </w:t>
            </w:r>
            <w:r w:rsidR="00E95417">
              <w:rPr>
                <w:i/>
                <w:iCs/>
              </w:rPr>
              <w:t>C</w:t>
            </w:r>
            <w:r>
              <w:rPr>
                <w:i/>
                <w:iCs/>
              </w:rPr>
              <w:t>itizenship</w:t>
            </w:r>
            <w:r w:rsidRPr="0036251F">
              <w:rPr>
                <w:i/>
                <w:iCs/>
              </w:rPr>
              <w:t xml:space="preserve"> Year</w:t>
            </w:r>
            <w:r>
              <w:rPr>
                <w:i/>
                <w:iCs/>
              </w:rPr>
              <w:t>s</w:t>
            </w:r>
            <w:r w:rsidRPr="0036251F">
              <w:rPr>
                <w:i/>
                <w:iCs/>
              </w:rPr>
              <w:t xml:space="preserve"> 6 </w:t>
            </w:r>
            <w:r>
              <w:rPr>
                <w:i/>
                <w:iCs/>
              </w:rPr>
              <w:t xml:space="preserve">and 10 </w:t>
            </w:r>
            <w:r w:rsidRPr="0036251F">
              <w:rPr>
                <w:i/>
                <w:iCs/>
              </w:rPr>
              <w:t>Report 201</w:t>
            </w:r>
            <w:r>
              <w:rPr>
                <w:i/>
                <w:iCs/>
              </w:rPr>
              <w:t>3</w:t>
            </w:r>
            <w:r w:rsidRPr="0036251F">
              <w:rPr>
                <w:i/>
                <w:iCs/>
              </w:rPr>
              <w:t>,</w:t>
            </w:r>
            <w:r w:rsidRPr="0036251F">
              <w:t xml:space="preserve"> Sydney; table 4A.</w:t>
            </w:r>
            <w:r w:rsidR="000C2B98">
              <w:t>14</w:t>
            </w:r>
            <w:r w:rsidRPr="0036251F">
              <w:t>9.</w:t>
            </w:r>
          </w:p>
        </w:tc>
      </w:tr>
      <w:tr w:rsidR="00DC2D81" w:rsidTr="00B45495">
        <w:tc>
          <w:tcPr>
            <w:tcW w:w="8771" w:type="dxa"/>
            <w:tcBorders>
              <w:top w:val="nil"/>
              <w:left w:val="nil"/>
              <w:bottom w:val="single" w:sz="6" w:space="0" w:color="78A22F"/>
              <w:right w:val="nil"/>
            </w:tcBorders>
            <w:shd w:val="clear" w:color="auto" w:fill="auto"/>
          </w:tcPr>
          <w:p w:rsidR="00DC2D81" w:rsidRDefault="00DC2D81" w:rsidP="00B45495">
            <w:pPr>
              <w:pStyle w:val="Figurespace"/>
            </w:pPr>
          </w:p>
        </w:tc>
      </w:tr>
      <w:tr w:rsidR="00DC2D81" w:rsidRPr="000863A5" w:rsidTr="00B45495">
        <w:tc>
          <w:tcPr>
            <w:tcW w:w="8771" w:type="dxa"/>
            <w:tcBorders>
              <w:top w:val="single" w:sz="6" w:space="0" w:color="78A22F"/>
              <w:left w:val="nil"/>
              <w:bottom w:val="nil"/>
              <w:right w:val="nil"/>
            </w:tcBorders>
          </w:tcPr>
          <w:p w:rsidR="00DC2D81" w:rsidRPr="00626D32" w:rsidRDefault="00DC2D81" w:rsidP="00B45495">
            <w:pPr>
              <w:pStyle w:val="BoxSpaceBelow"/>
            </w:pPr>
          </w:p>
        </w:tc>
      </w:tr>
    </w:tbl>
    <w:p w:rsidR="003D0E85" w:rsidRDefault="003D0E85" w:rsidP="003D0E85">
      <w:pPr>
        <w:pStyle w:val="BodyText"/>
      </w:pPr>
      <w:r w:rsidRPr="002B51C1">
        <w:t xml:space="preserve">Nationally in </w:t>
      </w:r>
      <w:r w:rsidRPr="00104AF2">
        <w:t>201</w:t>
      </w:r>
      <w:r>
        <w:t>3</w:t>
      </w:r>
      <w:r w:rsidRPr="00104AF2">
        <w:t xml:space="preserve">, </w:t>
      </w:r>
      <w:r>
        <w:t>6.6</w:t>
      </w:r>
      <w:r w:rsidRPr="00104AF2">
        <w:t>–</w:t>
      </w:r>
      <w:r>
        <w:t>27.4</w:t>
      </w:r>
      <w:r w:rsidRPr="00104AF2">
        <w:t xml:space="preserve"> per cent of </w:t>
      </w:r>
      <w:r>
        <w:t>Aboriginal and Torres Strait Islander</w:t>
      </w:r>
      <w:r w:rsidRPr="00104AF2">
        <w:t xml:space="preserve"> year </w:t>
      </w:r>
      <w:r>
        <w:t>10</w:t>
      </w:r>
      <w:r w:rsidRPr="00104AF2">
        <w:t xml:space="preserve"> students achieved at the proficient standard or above in </w:t>
      </w:r>
      <w:r>
        <w:t>civics and citizenship</w:t>
      </w:r>
      <w:r w:rsidRPr="00104AF2">
        <w:t>, significantly lower than the proportion for non</w:t>
      </w:r>
      <w:r w:rsidRPr="00104AF2">
        <w:noBreakHyphen/>
        <w:t>Indigenous students (</w:t>
      </w:r>
      <w:r>
        <w:t>41.9</w:t>
      </w:r>
      <w:r w:rsidRPr="00104AF2">
        <w:t>–</w:t>
      </w:r>
      <w:r>
        <w:t>48.1</w:t>
      </w:r>
      <w:r w:rsidRPr="00104AF2">
        <w:t xml:space="preserve"> per</w:t>
      </w:r>
      <w:r w:rsidRPr="006A7764">
        <w:t xml:space="preserve"> </w:t>
      </w:r>
      <w:r w:rsidRPr="002B51C1">
        <w:t xml:space="preserve">cent) </w:t>
      </w:r>
      <w:r w:rsidRPr="006C1AC6">
        <w:t>(table 4A.</w:t>
      </w:r>
      <w:r w:rsidR="000C2B98">
        <w:t>151</w:t>
      </w:r>
      <w:r w:rsidRPr="006C1AC6">
        <w:t>)</w:t>
      </w:r>
      <w:r>
        <w:t>.</w:t>
      </w:r>
    </w:p>
    <w:p w:rsidR="003D0E85" w:rsidRDefault="003D0E85" w:rsidP="003D0E85">
      <w:pPr>
        <w:pStyle w:val="BodyText"/>
      </w:pPr>
      <w:r>
        <w:t xml:space="preserve">Nationally in 2013, 42.0–50.0 per cent of female year </w:t>
      </w:r>
      <w:r w:rsidR="00E95417">
        <w:t>10</w:t>
      </w:r>
      <w:r>
        <w:t xml:space="preserve"> students </w:t>
      </w:r>
      <w:r w:rsidRPr="00104AF2">
        <w:t xml:space="preserve">achieved at the proficient standard or above in </w:t>
      </w:r>
      <w:r>
        <w:t>civics and citizenship</w:t>
      </w:r>
      <w:r w:rsidRPr="00104AF2">
        <w:t xml:space="preserve">, </w:t>
      </w:r>
      <w:r>
        <w:t>not significantly different from</w:t>
      </w:r>
      <w:r w:rsidRPr="00104AF2">
        <w:t xml:space="preserve"> the proportion for</w:t>
      </w:r>
      <w:r>
        <w:t xml:space="preserve"> male students (38.3–45.7 per cent) (table 4A.</w:t>
      </w:r>
      <w:r w:rsidR="000C2B98">
        <w:t>151</w:t>
      </w:r>
      <w:r>
        <w:t>). Data by geolocation and for students who speak languages other than English at home are included in tables 4A.</w:t>
      </w:r>
      <w:r w:rsidR="000C2B98">
        <w:t>150</w:t>
      </w:r>
      <w:r>
        <w:t>-</w:t>
      </w:r>
      <w:r w:rsidR="000C2B98">
        <w:t>151</w:t>
      </w:r>
      <w:r>
        <w:t>.</w:t>
      </w:r>
    </w:p>
    <w:p w:rsidR="003D0E85" w:rsidRDefault="003D0E85" w:rsidP="003D0E85">
      <w:pPr>
        <w:pStyle w:val="BodyText"/>
      </w:pPr>
      <w:r>
        <w:t xml:space="preserve">In 2013, the mean scale score for year 10 students in civics and citizenship proficiency was 504.2–517.8, not significantly different from </w:t>
      </w:r>
      <w:r w:rsidR="00842FBF">
        <w:t xml:space="preserve">2004, </w:t>
      </w:r>
      <w:r>
        <w:t>2007 or 2010 (table 4A.1</w:t>
      </w:r>
      <w:r w:rsidR="000C2B98">
        <w:t>52</w:t>
      </w:r>
      <w:r>
        <w:t>). Mean scale scores varied across jurisdictions.</w:t>
      </w:r>
    </w:p>
    <w:p w:rsidR="003D0E85" w:rsidRPr="006C1AC6" w:rsidRDefault="003D0E85" w:rsidP="003D0E85">
      <w:pPr>
        <w:pStyle w:val="BodyText"/>
      </w:pPr>
      <w:r>
        <w:t>Table 4.</w:t>
      </w:r>
      <w:r w:rsidR="00842FBF">
        <w:t>21</w:t>
      </w:r>
      <w:r>
        <w:t xml:space="preserve"> identifies significance of differences in mean scale scores between states and territories for year </w:t>
      </w:r>
      <w:r w:rsidR="00531D09">
        <w:t>10</w:t>
      </w:r>
      <w:r>
        <w:t xml:space="preserve"> civics and citizenship performance in 2013.</w:t>
      </w:r>
    </w:p>
    <w:p w:rsidR="00FB23D7" w:rsidRDefault="00FB23D7" w:rsidP="00FB23D7">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909"/>
      </w:tblGrid>
      <w:tr w:rsidR="00FB23D7" w:rsidRPr="00784A05" w:rsidTr="00B45495">
        <w:tc>
          <w:tcPr>
            <w:tcW w:w="8909" w:type="dxa"/>
            <w:tcBorders>
              <w:top w:val="single" w:sz="6" w:space="0" w:color="78A22F"/>
              <w:left w:val="nil"/>
              <w:bottom w:val="nil"/>
              <w:right w:val="nil"/>
            </w:tcBorders>
            <w:shd w:val="clear" w:color="auto" w:fill="auto"/>
          </w:tcPr>
          <w:p w:rsidR="00FB23D7" w:rsidRPr="00784A05" w:rsidRDefault="00FB23D7" w:rsidP="00BA5714">
            <w:pPr>
              <w:pStyle w:val="TableTitle"/>
            </w:pPr>
            <w:r>
              <w:rPr>
                <w:b w:val="0"/>
              </w:rPr>
              <w:t xml:space="preserve">Table </w:t>
            </w:r>
            <w:r w:rsidR="00B70781">
              <w:rPr>
                <w:b w:val="0"/>
              </w:rPr>
              <w:t>4.</w:t>
            </w:r>
            <w:r w:rsidR="005953B6">
              <w:rPr>
                <w:b w:val="0"/>
                <w:noProof/>
              </w:rPr>
              <w:t>21</w:t>
            </w:r>
            <w:r w:rsidR="0036251F">
              <w:tab/>
            </w:r>
            <w:r>
              <w:t xml:space="preserve">Significance of differences for year </w:t>
            </w:r>
            <w:r w:rsidR="0036251F">
              <w:t>10</w:t>
            </w:r>
            <w:r>
              <w:t xml:space="preserve"> students, mean scale scores, </w:t>
            </w:r>
            <w:r w:rsidR="0036251F">
              <w:t>civics and citizenship perfo</w:t>
            </w:r>
            <w:r w:rsidR="00BA5714">
              <w:t>r</w:t>
            </w:r>
            <w:r w:rsidR="0036251F">
              <w:t>mance</w:t>
            </w:r>
            <w:r>
              <w:t>, 201</w:t>
            </w:r>
            <w:r w:rsidR="0036251F">
              <w:t>3</w:t>
            </w:r>
            <w:r w:rsidRPr="009107BE">
              <w:rPr>
                <w:rStyle w:val="NoteLabel"/>
                <w:b/>
              </w:rPr>
              <w:t>a</w:t>
            </w:r>
            <w:r>
              <w:t xml:space="preserve"> </w:t>
            </w:r>
          </w:p>
        </w:tc>
      </w:tr>
      <w:tr w:rsidR="00FB23D7" w:rsidTr="00B45495">
        <w:trPr>
          <w:cantSplit/>
        </w:trPr>
        <w:tc>
          <w:tcPr>
            <w:tcW w:w="8909" w:type="dxa"/>
            <w:tcBorders>
              <w:top w:val="nil"/>
              <w:left w:val="nil"/>
              <w:bottom w:val="nil"/>
              <w:right w:val="nil"/>
            </w:tcBorders>
            <w:shd w:val="clear" w:color="auto" w:fill="auto"/>
          </w:tcPr>
          <w:tbl>
            <w:tblPr>
              <w:tblW w:w="8615" w:type="dxa"/>
              <w:tblInd w:w="10" w:type="dxa"/>
              <w:tblCellMar>
                <w:left w:w="0" w:type="dxa"/>
                <w:right w:w="0" w:type="dxa"/>
              </w:tblCellMar>
              <w:tblLook w:val="0000" w:firstRow="0" w:lastRow="0" w:firstColumn="0" w:lastColumn="0" w:noHBand="0" w:noVBand="0"/>
            </w:tblPr>
            <w:tblGrid>
              <w:gridCol w:w="660"/>
              <w:gridCol w:w="1200"/>
              <w:gridCol w:w="844"/>
              <w:gridCol w:w="844"/>
              <w:gridCol w:w="845"/>
              <w:gridCol w:w="844"/>
              <w:gridCol w:w="844"/>
              <w:gridCol w:w="845"/>
              <w:gridCol w:w="844"/>
              <w:gridCol w:w="845"/>
            </w:tblGrid>
            <w:tr w:rsidR="00D514E0" w:rsidRPr="004708E3" w:rsidTr="00D514E0">
              <w:tc>
                <w:tcPr>
                  <w:tcW w:w="660" w:type="dxa"/>
                  <w:tcBorders>
                    <w:top w:val="single" w:sz="6" w:space="0" w:color="auto"/>
                  </w:tcBorders>
                  <w:shd w:val="clear" w:color="auto" w:fill="auto"/>
                </w:tcPr>
                <w:p w:rsidR="00D514E0" w:rsidRPr="004708E3" w:rsidRDefault="00D514E0" w:rsidP="00B45495">
                  <w:pPr>
                    <w:keepNext/>
                    <w:keepLines/>
                    <w:spacing w:before="80" w:after="80" w:line="220" w:lineRule="atLeast"/>
                    <w:ind w:left="6" w:right="113"/>
                    <w:rPr>
                      <w:rFonts w:ascii="Arial" w:hAnsi="Arial"/>
                      <w:i/>
                      <w:sz w:val="20"/>
                      <w:szCs w:val="20"/>
                    </w:rPr>
                  </w:pPr>
                </w:p>
              </w:tc>
              <w:tc>
                <w:tcPr>
                  <w:tcW w:w="1200" w:type="dxa"/>
                  <w:tcBorders>
                    <w:top w:val="single" w:sz="6" w:space="0" w:color="auto"/>
                  </w:tcBorders>
                </w:tcPr>
                <w:p w:rsidR="00D514E0" w:rsidRPr="004708E3" w:rsidRDefault="00D514E0" w:rsidP="00B45495">
                  <w:pPr>
                    <w:keepNext/>
                    <w:keepLines/>
                    <w:spacing w:before="80" w:after="80" w:line="220" w:lineRule="atLeast"/>
                    <w:ind w:left="6" w:right="113"/>
                    <w:jc w:val="right"/>
                    <w:rPr>
                      <w:rFonts w:ascii="Arial" w:hAnsi="Arial"/>
                      <w:i/>
                      <w:sz w:val="20"/>
                      <w:szCs w:val="20"/>
                    </w:rPr>
                  </w:pPr>
                </w:p>
              </w:tc>
              <w:tc>
                <w:tcPr>
                  <w:tcW w:w="6755" w:type="dxa"/>
                  <w:gridSpan w:val="8"/>
                  <w:tcBorders>
                    <w:top w:val="single" w:sz="6" w:space="0" w:color="auto"/>
                  </w:tcBorders>
                  <w:shd w:val="clear" w:color="auto" w:fill="auto"/>
                  <w:vAlign w:val="center"/>
                </w:tcPr>
                <w:p w:rsidR="00D514E0" w:rsidRPr="004708E3" w:rsidRDefault="00D514E0" w:rsidP="00D514E0">
                  <w:pPr>
                    <w:keepNext/>
                    <w:keepLines/>
                    <w:spacing w:before="80" w:after="80" w:line="220" w:lineRule="atLeast"/>
                    <w:ind w:left="6" w:right="113"/>
                    <w:jc w:val="center"/>
                    <w:rPr>
                      <w:rFonts w:ascii="Arial" w:hAnsi="Arial"/>
                      <w:i/>
                      <w:sz w:val="20"/>
                      <w:szCs w:val="20"/>
                    </w:rPr>
                  </w:pPr>
                  <w:r w:rsidRPr="00D514E0">
                    <w:rPr>
                      <w:rFonts w:ascii="Arial" w:hAnsi="Arial"/>
                      <w:i/>
                      <w:sz w:val="20"/>
                      <w:szCs w:val="20"/>
                    </w:rPr>
                    <w:t>Comparison jurisdiction</w:t>
                  </w:r>
                </w:p>
              </w:tc>
            </w:tr>
            <w:tr w:rsidR="004F5114" w:rsidRPr="004708E3" w:rsidTr="00D514E0">
              <w:tc>
                <w:tcPr>
                  <w:tcW w:w="660" w:type="dxa"/>
                  <w:tcBorders>
                    <w:bottom w:val="single" w:sz="4" w:space="0" w:color="auto"/>
                  </w:tcBorders>
                  <w:shd w:val="clear" w:color="auto" w:fill="auto"/>
                </w:tcPr>
                <w:p w:rsidR="004F5114" w:rsidRPr="004708E3" w:rsidRDefault="004F5114" w:rsidP="00B45495">
                  <w:pPr>
                    <w:keepNext/>
                    <w:keepLines/>
                    <w:spacing w:before="80" w:after="80" w:line="220" w:lineRule="atLeast"/>
                    <w:ind w:left="6" w:right="113"/>
                    <w:rPr>
                      <w:rFonts w:ascii="Arial" w:hAnsi="Arial"/>
                      <w:i/>
                      <w:sz w:val="20"/>
                      <w:szCs w:val="20"/>
                    </w:rPr>
                  </w:pPr>
                </w:p>
              </w:tc>
              <w:tc>
                <w:tcPr>
                  <w:tcW w:w="1200" w:type="dxa"/>
                  <w:tcBorders>
                    <w:bottom w:val="single" w:sz="4" w:space="0" w:color="auto"/>
                  </w:tcBorders>
                </w:tcPr>
                <w:p w:rsidR="004F5114" w:rsidRPr="004708E3" w:rsidRDefault="004F5114" w:rsidP="00B45495">
                  <w:pPr>
                    <w:keepNext/>
                    <w:keepLines/>
                    <w:spacing w:before="80" w:after="80" w:line="220" w:lineRule="atLeast"/>
                    <w:ind w:left="6" w:right="113"/>
                    <w:jc w:val="right"/>
                    <w:rPr>
                      <w:rFonts w:ascii="Arial" w:hAnsi="Arial"/>
                      <w:i/>
                      <w:sz w:val="20"/>
                      <w:szCs w:val="20"/>
                    </w:rPr>
                  </w:pPr>
                </w:p>
              </w:tc>
              <w:tc>
                <w:tcPr>
                  <w:tcW w:w="844" w:type="dxa"/>
                  <w:tcBorders>
                    <w:bottom w:val="single" w:sz="4" w:space="0" w:color="auto"/>
                  </w:tcBorders>
                  <w:shd w:val="clear" w:color="auto" w:fill="auto"/>
                </w:tcPr>
                <w:p w:rsidR="004F5114" w:rsidRPr="004708E3" w:rsidRDefault="004F5114" w:rsidP="00B45495">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NSW</w:t>
                  </w:r>
                </w:p>
              </w:tc>
              <w:tc>
                <w:tcPr>
                  <w:tcW w:w="844" w:type="dxa"/>
                  <w:tcBorders>
                    <w:bottom w:val="single" w:sz="4" w:space="0" w:color="auto"/>
                  </w:tcBorders>
                  <w:shd w:val="clear" w:color="auto" w:fill="auto"/>
                </w:tcPr>
                <w:p w:rsidR="004F5114" w:rsidRPr="004708E3" w:rsidRDefault="004F5114" w:rsidP="00B45495">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Vic</w:t>
                  </w:r>
                </w:p>
              </w:tc>
              <w:tc>
                <w:tcPr>
                  <w:tcW w:w="845" w:type="dxa"/>
                  <w:tcBorders>
                    <w:bottom w:val="single" w:sz="4" w:space="0" w:color="auto"/>
                  </w:tcBorders>
                  <w:shd w:val="clear" w:color="auto" w:fill="auto"/>
                </w:tcPr>
                <w:p w:rsidR="004F5114" w:rsidRPr="004708E3" w:rsidRDefault="004F5114" w:rsidP="00B45495">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Qld</w:t>
                  </w:r>
                </w:p>
              </w:tc>
              <w:tc>
                <w:tcPr>
                  <w:tcW w:w="844" w:type="dxa"/>
                  <w:tcBorders>
                    <w:bottom w:val="single" w:sz="4" w:space="0" w:color="auto"/>
                  </w:tcBorders>
                  <w:shd w:val="clear" w:color="auto" w:fill="auto"/>
                </w:tcPr>
                <w:p w:rsidR="004F5114" w:rsidRPr="004708E3" w:rsidRDefault="004F5114" w:rsidP="00B45495">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WA</w:t>
                  </w:r>
                </w:p>
              </w:tc>
              <w:tc>
                <w:tcPr>
                  <w:tcW w:w="844" w:type="dxa"/>
                  <w:tcBorders>
                    <w:bottom w:val="single" w:sz="4" w:space="0" w:color="auto"/>
                  </w:tcBorders>
                  <w:shd w:val="clear" w:color="auto" w:fill="auto"/>
                </w:tcPr>
                <w:p w:rsidR="004F5114" w:rsidRPr="004708E3" w:rsidRDefault="004F5114" w:rsidP="00B45495">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SA</w:t>
                  </w:r>
                </w:p>
              </w:tc>
              <w:tc>
                <w:tcPr>
                  <w:tcW w:w="845" w:type="dxa"/>
                  <w:tcBorders>
                    <w:bottom w:val="single" w:sz="4" w:space="0" w:color="auto"/>
                  </w:tcBorders>
                  <w:shd w:val="clear" w:color="auto" w:fill="auto"/>
                </w:tcPr>
                <w:p w:rsidR="004F5114" w:rsidRPr="004708E3" w:rsidRDefault="004F5114" w:rsidP="00B45495">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Tas</w:t>
                  </w:r>
                </w:p>
              </w:tc>
              <w:tc>
                <w:tcPr>
                  <w:tcW w:w="844" w:type="dxa"/>
                  <w:tcBorders>
                    <w:bottom w:val="single" w:sz="4" w:space="0" w:color="auto"/>
                  </w:tcBorders>
                  <w:shd w:val="clear" w:color="auto" w:fill="auto"/>
                </w:tcPr>
                <w:p w:rsidR="004F5114" w:rsidRPr="004708E3" w:rsidRDefault="004F5114" w:rsidP="00B45495">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ACT</w:t>
                  </w:r>
                </w:p>
              </w:tc>
              <w:tc>
                <w:tcPr>
                  <w:tcW w:w="845" w:type="dxa"/>
                  <w:tcBorders>
                    <w:bottom w:val="single" w:sz="4" w:space="0" w:color="auto"/>
                  </w:tcBorders>
                  <w:shd w:val="clear" w:color="auto" w:fill="auto"/>
                </w:tcPr>
                <w:p w:rsidR="004F5114" w:rsidRPr="004708E3" w:rsidRDefault="004F5114" w:rsidP="00B45495">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NT</w:t>
                  </w:r>
                </w:p>
              </w:tc>
            </w:tr>
            <w:tr w:rsidR="004F5114" w:rsidRPr="004708E3" w:rsidTr="00D514E0">
              <w:tc>
                <w:tcPr>
                  <w:tcW w:w="660" w:type="dxa"/>
                  <w:tcBorders>
                    <w:top w:val="single" w:sz="4" w:space="0" w:color="auto"/>
                    <w:bottom w:val="dotted" w:sz="4" w:space="0" w:color="auto"/>
                    <w:right w:val="dotted" w:sz="4" w:space="0" w:color="auto"/>
                  </w:tcBorders>
                  <w:shd w:val="clear" w:color="auto" w:fill="auto"/>
                </w:tcPr>
                <w:p w:rsidR="004F5114" w:rsidRPr="006A703E" w:rsidRDefault="004F5114" w:rsidP="00B45495">
                  <w:pPr>
                    <w:keepNext/>
                    <w:keepLines/>
                    <w:spacing w:before="80" w:after="80" w:line="220" w:lineRule="atLeast"/>
                    <w:ind w:left="6" w:right="113"/>
                    <w:rPr>
                      <w:rFonts w:ascii="Arial" w:hAnsi="Arial"/>
                      <w:i/>
                      <w:sz w:val="20"/>
                      <w:szCs w:val="20"/>
                    </w:rPr>
                  </w:pPr>
                </w:p>
              </w:tc>
              <w:tc>
                <w:tcPr>
                  <w:tcW w:w="1200" w:type="dxa"/>
                  <w:tcBorders>
                    <w:top w:val="single" w:sz="4" w:space="0" w:color="auto"/>
                    <w:left w:val="dotted" w:sz="4" w:space="0" w:color="auto"/>
                    <w:bottom w:val="dotted" w:sz="4" w:space="0" w:color="auto"/>
                    <w:right w:val="dotted" w:sz="4" w:space="0" w:color="auto"/>
                  </w:tcBorders>
                </w:tcPr>
                <w:p w:rsidR="004F5114" w:rsidRPr="004708E3" w:rsidRDefault="004F5114" w:rsidP="00B45495">
                  <w:pPr>
                    <w:keepNext/>
                    <w:keepLines/>
                    <w:spacing w:before="80" w:after="80" w:line="220" w:lineRule="atLeast"/>
                    <w:ind w:left="6" w:right="113"/>
                    <w:jc w:val="right"/>
                    <w:rPr>
                      <w:rFonts w:ascii="Arial" w:hAnsi="Arial"/>
                      <w:i/>
                      <w:sz w:val="20"/>
                      <w:szCs w:val="20"/>
                    </w:rPr>
                  </w:pPr>
                  <w:r>
                    <w:rPr>
                      <w:rFonts w:ascii="Arial" w:hAnsi="Arial"/>
                      <w:i/>
                      <w:sz w:val="20"/>
                      <w:szCs w:val="20"/>
                    </w:rPr>
                    <w:t>Mean scale score</w:t>
                  </w:r>
                </w:p>
              </w:tc>
              <w:tc>
                <w:tcPr>
                  <w:tcW w:w="844" w:type="dxa"/>
                  <w:tcBorders>
                    <w:top w:val="single" w:sz="4" w:space="0" w:color="auto"/>
                    <w:left w:val="dotted" w:sz="4" w:space="0" w:color="auto"/>
                    <w:bottom w:val="dotted" w:sz="4" w:space="0" w:color="auto"/>
                    <w:right w:val="dotted" w:sz="4" w:space="0" w:color="auto"/>
                  </w:tcBorders>
                  <w:shd w:val="clear" w:color="auto" w:fill="auto"/>
                  <w:vAlign w:val="center"/>
                </w:tcPr>
                <w:p w:rsidR="004F5114" w:rsidRDefault="004F5114" w:rsidP="004F5114">
                  <w:pPr>
                    <w:pStyle w:val="TableBodyText"/>
                  </w:pPr>
                  <w:r>
                    <w:t xml:space="preserve">535 </w:t>
                  </w:r>
                  <w:r w:rsidR="00D514E0">
                    <w:br/>
                  </w:r>
                  <w:r>
                    <w:t>± 14.9</w:t>
                  </w:r>
                </w:p>
              </w:tc>
              <w:tc>
                <w:tcPr>
                  <w:tcW w:w="844" w:type="dxa"/>
                  <w:tcBorders>
                    <w:top w:val="single" w:sz="4" w:space="0" w:color="auto"/>
                    <w:left w:val="dotted" w:sz="4" w:space="0" w:color="auto"/>
                    <w:bottom w:val="dotted" w:sz="4" w:space="0" w:color="auto"/>
                    <w:right w:val="dotted" w:sz="4" w:space="0" w:color="auto"/>
                  </w:tcBorders>
                  <w:shd w:val="clear" w:color="auto" w:fill="auto"/>
                  <w:vAlign w:val="center"/>
                </w:tcPr>
                <w:p w:rsidR="004F5114" w:rsidRDefault="004F5114" w:rsidP="004F5114">
                  <w:pPr>
                    <w:pStyle w:val="TableBodyText"/>
                  </w:pPr>
                  <w:r>
                    <w:t xml:space="preserve">521 </w:t>
                  </w:r>
                  <w:r w:rsidR="00D514E0">
                    <w:br/>
                  </w:r>
                  <w:r>
                    <w:t>± 14.3</w:t>
                  </w:r>
                </w:p>
              </w:tc>
              <w:tc>
                <w:tcPr>
                  <w:tcW w:w="845" w:type="dxa"/>
                  <w:tcBorders>
                    <w:top w:val="single" w:sz="4" w:space="0" w:color="auto"/>
                    <w:left w:val="dotted" w:sz="4" w:space="0" w:color="auto"/>
                    <w:bottom w:val="dotted" w:sz="4" w:space="0" w:color="auto"/>
                    <w:right w:val="dotted" w:sz="4" w:space="0" w:color="auto"/>
                  </w:tcBorders>
                  <w:shd w:val="clear" w:color="auto" w:fill="auto"/>
                  <w:vAlign w:val="center"/>
                </w:tcPr>
                <w:p w:rsidR="004F5114" w:rsidRDefault="004F5114" w:rsidP="004F5114">
                  <w:pPr>
                    <w:pStyle w:val="TableBodyText"/>
                  </w:pPr>
                  <w:r>
                    <w:t xml:space="preserve">484 </w:t>
                  </w:r>
                  <w:r w:rsidR="00D514E0">
                    <w:br/>
                  </w:r>
                  <w:r>
                    <w:t>± 11.9</w:t>
                  </w:r>
                </w:p>
              </w:tc>
              <w:tc>
                <w:tcPr>
                  <w:tcW w:w="844" w:type="dxa"/>
                  <w:tcBorders>
                    <w:top w:val="single" w:sz="4" w:space="0" w:color="auto"/>
                    <w:left w:val="dotted" w:sz="4" w:space="0" w:color="auto"/>
                    <w:bottom w:val="dotted" w:sz="4" w:space="0" w:color="auto"/>
                    <w:right w:val="dotted" w:sz="4" w:space="0" w:color="auto"/>
                  </w:tcBorders>
                  <w:shd w:val="clear" w:color="auto" w:fill="auto"/>
                  <w:vAlign w:val="center"/>
                </w:tcPr>
                <w:p w:rsidR="004F5114" w:rsidRDefault="004F5114" w:rsidP="004F5114">
                  <w:pPr>
                    <w:pStyle w:val="TableBodyText"/>
                  </w:pPr>
                  <w:r>
                    <w:t xml:space="preserve">510 </w:t>
                  </w:r>
                  <w:r w:rsidR="00D514E0">
                    <w:br/>
                  </w:r>
                  <w:r>
                    <w:t>± 14.5</w:t>
                  </w:r>
                </w:p>
              </w:tc>
              <w:tc>
                <w:tcPr>
                  <w:tcW w:w="844" w:type="dxa"/>
                  <w:tcBorders>
                    <w:top w:val="single" w:sz="4" w:space="0" w:color="auto"/>
                    <w:left w:val="dotted" w:sz="4" w:space="0" w:color="auto"/>
                    <w:bottom w:val="dotted" w:sz="4" w:space="0" w:color="auto"/>
                    <w:right w:val="dotted" w:sz="4" w:space="0" w:color="auto"/>
                  </w:tcBorders>
                  <w:shd w:val="clear" w:color="auto" w:fill="auto"/>
                  <w:vAlign w:val="center"/>
                </w:tcPr>
                <w:p w:rsidR="004F5114" w:rsidRDefault="004F5114" w:rsidP="004F5114">
                  <w:pPr>
                    <w:pStyle w:val="TableBodyText"/>
                  </w:pPr>
                  <w:r>
                    <w:t xml:space="preserve">486 </w:t>
                  </w:r>
                  <w:r w:rsidR="00D514E0">
                    <w:br/>
                  </w:r>
                  <w:r>
                    <w:t>± 16.5</w:t>
                  </w:r>
                </w:p>
              </w:tc>
              <w:tc>
                <w:tcPr>
                  <w:tcW w:w="845" w:type="dxa"/>
                  <w:tcBorders>
                    <w:top w:val="single" w:sz="4" w:space="0" w:color="auto"/>
                    <w:left w:val="dotted" w:sz="4" w:space="0" w:color="auto"/>
                    <w:bottom w:val="dotted" w:sz="4" w:space="0" w:color="auto"/>
                    <w:right w:val="dotted" w:sz="4" w:space="0" w:color="auto"/>
                  </w:tcBorders>
                  <w:shd w:val="clear" w:color="auto" w:fill="auto"/>
                  <w:vAlign w:val="center"/>
                </w:tcPr>
                <w:p w:rsidR="004F5114" w:rsidRDefault="004F5114" w:rsidP="004F5114">
                  <w:pPr>
                    <w:pStyle w:val="TableBodyText"/>
                  </w:pPr>
                  <w:r>
                    <w:t xml:space="preserve">466 </w:t>
                  </w:r>
                  <w:r w:rsidR="00D514E0">
                    <w:br/>
                  </w:r>
                  <w:r>
                    <w:t>± 20.7</w:t>
                  </w:r>
                </w:p>
              </w:tc>
              <w:tc>
                <w:tcPr>
                  <w:tcW w:w="844" w:type="dxa"/>
                  <w:tcBorders>
                    <w:top w:val="single" w:sz="4" w:space="0" w:color="auto"/>
                    <w:left w:val="dotted" w:sz="4" w:space="0" w:color="auto"/>
                    <w:bottom w:val="dotted" w:sz="4" w:space="0" w:color="auto"/>
                    <w:right w:val="dotted" w:sz="4" w:space="0" w:color="auto"/>
                  </w:tcBorders>
                  <w:shd w:val="clear" w:color="auto" w:fill="auto"/>
                  <w:vAlign w:val="center"/>
                </w:tcPr>
                <w:p w:rsidR="004F5114" w:rsidRDefault="004F5114" w:rsidP="004F5114">
                  <w:pPr>
                    <w:pStyle w:val="TableBodyText"/>
                  </w:pPr>
                  <w:r>
                    <w:t xml:space="preserve">525 </w:t>
                  </w:r>
                  <w:r w:rsidR="00D514E0">
                    <w:br/>
                  </w:r>
                  <w:r>
                    <w:t>± 13.8</w:t>
                  </w:r>
                </w:p>
              </w:tc>
              <w:tc>
                <w:tcPr>
                  <w:tcW w:w="845" w:type="dxa"/>
                  <w:tcBorders>
                    <w:top w:val="single" w:sz="4" w:space="0" w:color="auto"/>
                    <w:left w:val="dotted" w:sz="4" w:space="0" w:color="auto"/>
                    <w:bottom w:val="dotted" w:sz="4" w:space="0" w:color="auto"/>
                  </w:tcBorders>
                  <w:shd w:val="clear" w:color="auto" w:fill="auto"/>
                  <w:vAlign w:val="center"/>
                </w:tcPr>
                <w:p w:rsidR="004F5114" w:rsidRDefault="004F5114" w:rsidP="004F5114">
                  <w:pPr>
                    <w:pStyle w:val="TableBodyText"/>
                  </w:pPr>
                  <w:r>
                    <w:t xml:space="preserve">418 </w:t>
                  </w:r>
                  <w:r w:rsidR="00D514E0">
                    <w:br/>
                  </w:r>
                  <w:r>
                    <w:t>± 24.2</w:t>
                  </w:r>
                </w:p>
              </w:tc>
            </w:tr>
            <w:tr w:rsidR="004F5114" w:rsidRPr="004708E3" w:rsidTr="00D514E0">
              <w:tc>
                <w:tcPr>
                  <w:tcW w:w="660" w:type="dxa"/>
                  <w:tcBorders>
                    <w:top w:val="dotted" w:sz="4" w:space="0" w:color="auto"/>
                    <w:bottom w:val="dotted" w:sz="4" w:space="0" w:color="auto"/>
                    <w:right w:val="dotted" w:sz="4" w:space="0" w:color="auto"/>
                  </w:tcBorders>
                  <w:shd w:val="clear" w:color="auto" w:fill="auto"/>
                </w:tcPr>
                <w:p w:rsidR="004F5114" w:rsidRPr="004708E3" w:rsidRDefault="004F5114" w:rsidP="00B45495">
                  <w:pPr>
                    <w:pStyle w:val="TableUnitsRow"/>
                  </w:pPr>
                  <w:r w:rsidRPr="006A703E">
                    <w:t>NSW</w:t>
                  </w:r>
                </w:p>
              </w:tc>
              <w:tc>
                <w:tcPr>
                  <w:tcW w:w="1200" w:type="dxa"/>
                  <w:tcBorders>
                    <w:top w:val="dotted" w:sz="4" w:space="0" w:color="auto"/>
                    <w:left w:val="dotted" w:sz="4" w:space="0" w:color="auto"/>
                    <w:bottom w:val="dotted" w:sz="4" w:space="0" w:color="auto"/>
                    <w:right w:val="dotted" w:sz="4" w:space="0" w:color="auto"/>
                  </w:tcBorders>
                  <w:vAlign w:val="center"/>
                </w:tcPr>
                <w:p w:rsidR="004F5114" w:rsidRDefault="004F5114" w:rsidP="004F5114">
                  <w:pPr>
                    <w:pStyle w:val="TableBodyText"/>
                  </w:pPr>
                  <w:r>
                    <w:t>535 ± 14.9</w:t>
                  </w:r>
                </w:p>
              </w:tc>
              <w:tc>
                <w:tcPr>
                  <w:tcW w:w="844" w:type="dxa"/>
                  <w:tcBorders>
                    <w:top w:val="dotted" w:sz="4" w:space="0" w:color="auto"/>
                    <w:left w:val="dotted" w:sz="4" w:space="0" w:color="auto"/>
                    <w:bottom w:val="dotted" w:sz="4" w:space="0" w:color="auto"/>
                    <w:right w:val="dotted" w:sz="4" w:space="0" w:color="auto"/>
                  </w:tcBorders>
                  <w:shd w:val="clear" w:color="auto" w:fill="auto"/>
                  <w:vAlign w:val="center"/>
                </w:tcPr>
                <w:p w:rsidR="004F5114" w:rsidRPr="004F5114" w:rsidRDefault="004F5114" w:rsidP="004F5114">
                  <w:pPr>
                    <w:pStyle w:val="TableBodyText"/>
                  </w:pPr>
                  <w:r w:rsidRPr="004F5114">
                    <w:t>..</w:t>
                  </w:r>
                </w:p>
              </w:tc>
              <w:tc>
                <w:tcPr>
                  <w:tcW w:w="844"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FD2CB6">
                  <w:pPr>
                    <w:pStyle w:val="TableBodyText"/>
                    <w:rPr>
                      <w:color w:val="000000"/>
                    </w:rPr>
                  </w:pPr>
                  <w:r w:rsidRPr="004F5114">
                    <w:rPr>
                      <w:color w:val="000000"/>
                    </w:rPr>
                    <w:t xml:space="preserve"> </w:t>
                  </w:r>
                  <w:r w:rsidR="00FD2CB6" w:rsidRPr="00FD2CB6">
                    <w:rPr>
                      <w:color w:val="000000"/>
                    </w:rPr>
                    <w:t>■</w:t>
                  </w:r>
                </w:p>
              </w:tc>
              <w:tc>
                <w:tcPr>
                  <w:tcW w:w="845"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4F5114">
                  <w:pPr>
                    <w:pStyle w:val="TableBodyText"/>
                    <w:rPr>
                      <w:szCs w:val="18"/>
                    </w:rPr>
                  </w:pPr>
                  <w:r w:rsidRPr="004F5114">
                    <w:rPr>
                      <w:szCs w:val="18"/>
                    </w:rPr>
                    <w:t>▲</w:t>
                  </w:r>
                </w:p>
              </w:tc>
              <w:tc>
                <w:tcPr>
                  <w:tcW w:w="844"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4F5114">
                  <w:pPr>
                    <w:pStyle w:val="TableBodyText"/>
                    <w:rPr>
                      <w:szCs w:val="18"/>
                    </w:rPr>
                  </w:pPr>
                  <w:r w:rsidRPr="004F5114">
                    <w:rPr>
                      <w:szCs w:val="18"/>
                    </w:rPr>
                    <w:t>▲</w:t>
                  </w:r>
                </w:p>
              </w:tc>
              <w:tc>
                <w:tcPr>
                  <w:tcW w:w="844"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4F5114">
                  <w:pPr>
                    <w:pStyle w:val="TableBodyText"/>
                    <w:rPr>
                      <w:szCs w:val="18"/>
                    </w:rPr>
                  </w:pPr>
                  <w:r w:rsidRPr="004F5114">
                    <w:rPr>
                      <w:szCs w:val="18"/>
                    </w:rPr>
                    <w:t>▲</w:t>
                  </w:r>
                </w:p>
              </w:tc>
              <w:tc>
                <w:tcPr>
                  <w:tcW w:w="845"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4F5114">
                  <w:pPr>
                    <w:pStyle w:val="TableBodyText"/>
                    <w:rPr>
                      <w:szCs w:val="18"/>
                    </w:rPr>
                  </w:pPr>
                  <w:r w:rsidRPr="004F5114">
                    <w:rPr>
                      <w:szCs w:val="18"/>
                    </w:rPr>
                    <w:t>▲</w:t>
                  </w:r>
                </w:p>
              </w:tc>
              <w:tc>
                <w:tcPr>
                  <w:tcW w:w="844"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FD2CB6" w:rsidP="00FD2CB6">
                  <w:pPr>
                    <w:pStyle w:val="TableBodyText"/>
                    <w:rPr>
                      <w:color w:val="000000"/>
                    </w:rPr>
                  </w:pPr>
                  <w:r w:rsidRPr="009F0531">
                    <w:t>■</w:t>
                  </w:r>
                </w:p>
              </w:tc>
              <w:tc>
                <w:tcPr>
                  <w:tcW w:w="845" w:type="dxa"/>
                  <w:tcBorders>
                    <w:top w:val="dotted" w:sz="4" w:space="0" w:color="auto"/>
                    <w:left w:val="dotted" w:sz="4" w:space="0" w:color="auto"/>
                    <w:bottom w:val="dotted" w:sz="4" w:space="0" w:color="auto"/>
                  </w:tcBorders>
                  <w:shd w:val="clear" w:color="auto" w:fill="auto"/>
                  <w:vAlign w:val="bottom"/>
                </w:tcPr>
                <w:p w:rsidR="004F5114" w:rsidRPr="004F5114" w:rsidRDefault="004F5114" w:rsidP="004F5114">
                  <w:pPr>
                    <w:pStyle w:val="TableBodyText"/>
                    <w:rPr>
                      <w:szCs w:val="18"/>
                    </w:rPr>
                  </w:pPr>
                  <w:r w:rsidRPr="004F5114">
                    <w:rPr>
                      <w:szCs w:val="18"/>
                    </w:rPr>
                    <w:t>▲</w:t>
                  </w:r>
                </w:p>
              </w:tc>
            </w:tr>
            <w:tr w:rsidR="004F5114" w:rsidRPr="004708E3" w:rsidTr="00D514E0">
              <w:tc>
                <w:tcPr>
                  <w:tcW w:w="660" w:type="dxa"/>
                  <w:tcBorders>
                    <w:top w:val="dotted" w:sz="4" w:space="0" w:color="auto"/>
                    <w:bottom w:val="dotted" w:sz="4" w:space="0" w:color="auto"/>
                    <w:right w:val="dotted" w:sz="4" w:space="0" w:color="auto"/>
                  </w:tcBorders>
                  <w:shd w:val="clear" w:color="auto" w:fill="auto"/>
                </w:tcPr>
                <w:p w:rsidR="004F5114" w:rsidRPr="004708E3" w:rsidRDefault="004F5114" w:rsidP="00B45495">
                  <w:pPr>
                    <w:pStyle w:val="TableUnitsRow"/>
                  </w:pPr>
                  <w:r w:rsidRPr="006A703E">
                    <w:t>Vic</w:t>
                  </w:r>
                </w:p>
              </w:tc>
              <w:tc>
                <w:tcPr>
                  <w:tcW w:w="1200" w:type="dxa"/>
                  <w:tcBorders>
                    <w:top w:val="dotted" w:sz="4" w:space="0" w:color="auto"/>
                    <w:left w:val="dotted" w:sz="4" w:space="0" w:color="auto"/>
                    <w:bottom w:val="dotted" w:sz="4" w:space="0" w:color="auto"/>
                    <w:right w:val="dotted" w:sz="4" w:space="0" w:color="auto"/>
                  </w:tcBorders>
                  <w:vAlign w:val="center"/>
                </w:tcPr>
                <w:p w:rsidR="004F5114" w:rsidRDefault="004F5114" w:rsidP="004F5114">
                  <w:pPr>
                    <w:pStyle w:val="TableBodyText"/>
                  </w:pPr>
                  <w:r>
                    <w:t>521 ± 14.3</w:t>
                  </w:r>
                </w:p>
              </w:tc>
              <w:tc>
                <w:tcPr>
                  <w:tcW w:w="844"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4F5114">
                  <w:pPr>
                    <w:pStyle w:val="TableBodyText"/>
                    <w:rPr>
                      <w:color w:val="000000"/>
                    </w:rPr>
                  </w:pPr>
                  <w:r w:rsidRPr="004F5114">
                    <w:rPr>
                      <w:color w:val="000000"/>
                    </w:rPr>
                    <w:t xml:space="preserve"> ●</w:t>
                  </w:r>
                </w:p>
              </w:tc>
              <w:tc>
                <w:tcPr>
                  <w:tcW w:w="844" w:type="dxa"/>
                  <w:tcBorders>
                    <w:top w:val="dotted" w:sz="4" w:space="0" w:color="auto"/>
                    <w:left w:val="dotted" w:sz="4" w:space="0" w:color="auto"/>
                    <w:bottom w:val="dotted" w:sz="4" w:space="0" w:color="auto"/>
                    <w:right w:val="dotted" w:sz="4" w:space="0" w:color="auto"/>
                  </w:tcBorders>
                  <w:shd w:val="clear" w:color="auto" w:fill="auto"/>
                  <w:vAlign w:val="center"/>
                </w:tcPr>
                <w:p w:rsidR="004F5114" w:rsidRPr="004F5114" w:rsidRDefault="004F5114" w:rsidP="004F5114">
                  <w:pPr>
                    <w:pStyle w:val="TableBodyText"/>
                  </w:pPr>
                  <w:r w:rsidRPr="004F5114">
                    <w:t>..</w:t>
                  </w:r>
                </w:p>
              </w:tc>
              <w:tc>
                <w:tcPr>
                  <w:tcW w:w="845"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4F5114">
                  <w:pPr>
                    <w:pStyle w:val="TableBodyText"/>
                    <w:rPr>
                      <w:szCs w:val="18"/>
                    </w:rPr>
                  </w:pPr>
                  <w:r w:rsidRPr="004F5114">
                    <w:rPr>
                      <w:szCs w:val="18"/>
                    </w:rPr>
                    <w:t>▲</w:t>
                  </w:r>
                </w:p>
              </w:tc>
              <w:tc>
                <w:tcPr>
                  <w:tcW w:w="844"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4F5114">
                  <w:pPr>
                    <w:pStyle w:val="TableBodyText"/>
                    <w:rPr>
                      <w:color w:val="000000"/>
                    </w:rPr>
                  </w:pPr>
                  <w:r w:rsidRPr="004F5114">
                    <w:rPr>
                      <w:color w:val="000000"/>
                    </w:rPr>
                    <w:t xml:space="preserve"> </w:t>
                  </w:r>
                  <w:r w:rsidR="00321BBB" w:rsidRPr="004F5114">
                    <w:rPr>
                      <w:color w:val="000000"/>
                    </w:rPr>
                    <w:t xml:space="preserve"> </w:t>
                  </w:r>
                  <w:r w:rsidR="00321BBB" w:rsidRPr="009F0531">
                    <w:t>■</w:t>
                  </w:r>
                </w:p>
              </w:tc>
              <w:tc>
                <w:tcPr>
                  <w:tcW w:w="844"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4F5114">
                  <w:pPr>
                    <w:pStyle w:val="TableBodyText"/>
                    <w:rPr>
                      <w:szCs w:val="18"/>
                    </w:rPr>
                  </w:pPr>
                  <w:r w:rsidRPr="004F5114">
                    <w:rPr>
                      <w:szCs w:val="18"/>
                    </w:rPr>
                    <w:t>▲</w:t>
                  </w:r>
                </w:p>
              </w:tc>
              <w:tc>
                <w:tcPr>
                  <w:tcW w:w="845"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4F5114">
                  <w:pPr>
                    <w:pStyle w:val="TableBodyText"/>
                    <w:rPr>
                      <w:szCs w:val="18"/>
                    </w:rPr>
                  </w:pPr>
                  <w:r w:rsidRPr="004F5114">
                    <w:rPr>
                      <w:szCs w:val="18"/>
                    </w:rPr>
                    <w:t>▲</w:t>
                  </w:r>
                </w:p>
              </w:tc>
              <w:tc>
                <w:tcPr>
                  <w:tcW w:w="844"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FD2CB6">
                  <w:pPr>
                    <w:pStyle w:val="TableBodyText"/>
                    <w:rPr>
                      <w:color w:val="000000"/>
                    </w:rPr>
                  </w:pPr>
                  <w:r w:rsidRPr="004F5114">
                    <w:rPr>
                      <w:color w:val="000000"/>
                    </w:rPr>
                    <w:t xml:space="preserve"> </w:t>
                  </w:r>
                  <w:r w:rsidR="00FD2CB6" w:rsidRPr="009F0531">
                    <w:t>■</w:t>
                  </w:r>
                </w:p>
              </w:tc>
              <w:tc>
                <w:tcPr>
                  <w:tcW w:w="845" w:type="dxa"/>
                  <w:tcBorders>
                    <w:top w:val="dotted" w:sz="4" w:space="0" w:color="auto"/>
                    <w:left w:val="dotted" w:sz="4" w:space="0" w:color="auto"/>
                    <w:bottom w:val="dotted" w:sz="4" w:space="0" w:color="auto"/>
                  </w:tcBorders>
                  <w:shd w:val="clear" w:color="auto" w:fill="auto"/>
                  <w:vAlign w:val="bottom"/>
                </w:tcPr>
                <w:p w:rsidR="004F5114" w:rsidRPr="004F5114" w:rsidRDefault="004F5114" w:rsidP="004F5114">
                  <w:pPr>
                    <w:pStyle w:val="TableBodyText"/>
                    <w:rPr>
                      <w:szCs w:val="18"/>
                    </w:rPr>
                  </w:pPr>
                  <w:r w:rsidRPr="004F5114">
                    <w:rPr>
                      <w:szCs w:val="18"/>
                    </w:rPr>
                    <w:t>▲</w:t>
                  </w:r>
                </w:p>
              </w:tc>
            </w:tr>
            <w:tr w:rsidR="004F5114" w:rsidRPr="004708E3" w:rsidTr="00D514E0">
              <w:tc>
                <w:tcPr>
                  <w:tcW w:w="660" w:type="dxa"/>
                  <w:tcBorders>
                    <w:top w:val="dotted" w:sz="4" w:space="0" w:color="auto"/>
                    <w:bottom w:val="dotted" w:sz="4" w:space="0" w:color="auto"/>
                    <w:right w:val="dotted" w:sz="4" w:space="0" w:color="auto"/>
                  </w:tcBorders>
                  <w:shd w:val="clear" w:color="auto" w:fill="auto"/>
                </w:tcPr>
                <w:p w:rsidR="004F5114" w:rsidRPr="004708E3" w:rsidRDefault="004F5114" w:rsidP="00B45495">
                  <w:pPr>
                    <w:pStyle w:val="TableUnitsRow"/>
                  </w:pPr>
                  <w:r w:rsidRPr="006A703E">
                    <w:t>Qld</w:t>
                  </w:r>
                </w:p>
              </w:tc>
              <w:tc>
                <w:tcPr>
                  <w:tcW w:w="1200" w:type="dxa"/>
                  <w:tcBorders>
                    <w:top w:val="dotted" w:sz="4" w:space="0" w:color="auto"/>
                    <w:left w:val="dotted" w:sz="4" w:space="0" w:color="auto"/>
                    <w:bottom w:val="dotted" w:sz="4" w:space="0" w:color="auto"/>
                    <w:right w:val="dotted" w:sz="4" w:space="0" w:color="auto"/>
                  </w:tcBorders>
                  <w:vAlign w:val="center"/>
                </w:tcPr>
                <w:p w:rsidR="004F5114" w:rsidRDefault="004F5114" w:rsidP="004F5114">
                  <w:pPr>
                    <w:pStyle w:val="TableBodyText"/>
                  </w:pPr>
                  <w:r>
                    <w:t>484 ± 11.9</w:t>
                  </w:r>
                </w:p>
              </w:tc>
              <w:tc>
                <w:tcPr>
                  <w:tcW w:w="844"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4F5114">
                  <w:pPr>
                    <w:pStyle w:val="TableBodyText"/>
                    <w:rPr>
                      <w:szCs w:val="18"/>
                    </w:rPr>
                  </w:pPr>
                  <w:r w:rsidRPr="004F5114">
                    <w:rPr>
                      <w:szCs w:val="18"/>
                    </w:rPr>
                    <w:t>▼</w:t>
                  </w:r>
                </w:p>
              </w:tc>
              <w:tc>
                <w:tcPr>
                  <w:tcW w:w="844"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4F5114">
                  <w:pPr>
                    <w:pStyle w:val="TableBodyText"/>
                    <w:rPr>
                      <w:szCs w:val="18"/>
                    </w:rPr>
                  </w:pPr>
                  <w:r w:rsidRPr="004F5114">
                    <w:rPr>
                      <w:szCs w:val="18"/>
                    </w:rPr>
                    <w:t>▼</w:t>
                  </w:r>
                </w:p>
              </w:tc>
              <w:tc>
                <w:tcPr>
                  <w:tcW w:w="845" w:type="dxa"/>
                  <w:tcBorders>
                    <w:top w:val="dotted" w:sz="4" w:space="0" w:color="auto"/>
                    <w:left w:val="dotted" w:sz="4" w:space="0" w:color="auto"/>
                    <w:bottom w:val="dotted" w:sz="4" w:space="0" w:color="auto"/>
                    <w:right w:val="dotted" w:sz="4" w:space="0" w:color="auto"/>
                  </w:tcBorders>
                  <w:shd w:val="clear" w:color="auto" w:fill="auto"/>
                  <w:vAlign w:val="center"/>
                </w:tcPr>
                <w:p w:rsidR="004F5114" w:rsidRPr="004F5114" w:rsidRDefault="004F5114" w:rsidP="004F5114">
                  <w:pPr>
                    <w:pStyle w:val="TableBodyText"/>
                  </w:pPr>
                  <w:r w:rsidRPr="004F5114">
                    <w:t>..</w:t>
                  </w:r>
                </w:p>
              </w:tc>
              <w:tc>
                <w:tcPr>
                  <w:tcW w:w="844"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4F5114">
                  <w:pPr>
                    <w:pStyle w:val="TableBodyText"/>
                    <w:rPr>
                      <w:szCs w:val="18"/>
                    </w:rPr>
                  </w:pPr>
                  <w:r w:rsidRPr="004F5114">
                    <w:rPr>
                      <w:szCs w:val="18"/>
                    </w:rPr>
                    <w:t>▼</w:t>
                  </w:r>
                </w:p>
              </w:tc>
              <w:tc>
                <w:tcPr>
                  <w:tcW w:w="844"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FD2CB6">
                  <w:pPr>
                    <w:pStyle w:val="TableBodyText"/>
                    <w:rPr>
                      <w:color w:val="000000"/>
                    </w:rPr>
                  </w:pPr>
                  <w:r w:rsidRPr="004F5114">
                    <w:rPr>
                      <w:color w:val="000000"/>
                    </w:rPr>
                    <w:t xml:space="preserve"> </w:t>
                  </w:r>
                  <w:r w:rsidR="00FD2CB6" w:rsidRPr="009F0531">
                    <w:t>■</w:t>
                  </w:r>
                </w:p>
              </w:tc>
              <w:tc>
                <w:tcPr>
                  <w:tcW w:w="845"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FD2CB6">
                  <w:pPr>
                    <w:pStyle w:val="TableBodyText"/>
                    <w:rPr>
                      <w:color w:val="000000"/>
                    </w:rPr>
                  </w:pPr>
                  <w:r w:rsidRPr="004F5114">
                    <w:rPr>
                      <w:color w:val="000000"/>
                    </w:rPr>
                    <w:t xml:space="preserve"> </w:t>
                  </w:r>
                  <w:r w:rsidR="00FD2CB6" w:rsidRPr="009F0531">
                    <w:t>■</w:t>
                  </w:r>
                </w:p>
              </w:tc>
              <w:tc>
                <w:tcPr>
                  <w:tcW w:w="844"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4F5114">
                  <w:pPr>
                    <w:pStyle w:val="TableBodyText"/>
                    <w:rPr>
                      <w:szCs w:val="18"/>
                    </w:rPr>
                  </w:pPr>
                  <w:r w:rsidRPr="004F5114">
                    <w:rPr>
                      <w:szCs w:val="18"/>
                    </w:rPr>
                    <w:t>▼</w:t>
                  </w:r>
                </w:p>
              </w:tc>
              <w:tc>
                <w:tcPr>
                  <w:tcW w:w="845" w:type="dxa"/>
                  <w:tcBorders>
                    <w:top w:val="dotted" w:sz="4" w:space="0" w:color="auto"/>
                    <w:left w:val="dotted" w:sz="4" w:space="0" w:color="auto"/>
                    <w:bottom w:val="dotted" w:sz="4" w:space="0" w:color="auto"/>
                  </w:tcBorders>
                  <w:shd w:val="clear" w:color="auto" w:fill="auto"/>
                  <w:vAlign w:val="bottom"/>
                </w:tcPr>
                <w:p w:rsidR="004F5114" w:rsidRPr="004F5114" w:rsidRDefault="004F5114" w:rsidP="004F5114">
                  <w:pPr>
                    <w:pStyle w:val="TableBodyText"/>
                    <w:rPr>
                      <w:szCs w:val="18"/>
                    </w:rPr>
                  </w:pPr>
                  <w:r w:rsidRPr="004F5114">
                    <w:rPr>
                      <w:szCs w:val="18"/>
                    </w:rPr>
                    <w:t>▲</w:t>
                  </w:r>
                </w:p>
              </w:tc>
            </w:tr>
            <w:tr w:rsidR="004F5114" w:rsidRPr="004708E3" w:rsidTr="00D514E0">
              <w:tc>
                <w:tcPr>
                  <w:tcW w:w="660" w:type="dxa"/>
                  <w:tcBorders>
                    <w:top w:val="dotted" w:sz="4" w:space="0" w:color="auto"/>
                    <w:bottom w:val="dotted" w:sz="4" w:space="0" w:color="auto"/>
                    <w:right w:val="dotted" w:sz="4" w:space="0" w:color="auto"/>
                  </w:tcBorders>
                  <w:shd w:val="clear" w:color="auto" w:fill="auto"/>
                </w:tcPr>
                <w:p w:rsidR="004F5114" w:rsidRPr="004708E3" w:rsidRDefault="004F5114" w:rsidP="00B45495">
                  <w:pPr>
                    <w:pStyle w:val="TableUnitsRow"/>
                  </w:pPr>
                  <w:r w:rsidRPr="006A703E">
                    <w:t>WA</w:t>
                  </w:r>
                </w:p>
              </w:tc>
              <w:tc>
                <w:tcPr>
                  <w:tcW w:w="1200" w:type="dxa"/>
                  <w:tcBorders>
                    <w:top w:val="dotted" w:sz="4" w:space="0" w:color="auto"/>
                    <w:left w:val="dotted" w:sz="4" w:space="0" w:color="auto"/>
                    <w:bottom w:val="dotted" w:sz="4" w:space="0" w:color="auto"/>
                    <w:right w:val="dotted" w:sz="4" w:space="0" w:color="auto"/>
                  </w:tcBorders>
                  <w:vAlign w:val="center"/>
                </w:tcPr>
                <w:p w:rsidR="004F5114" w:rsidRDefault="004F5114" w:rsidP="004F5114">
                  <w:pPr>
                    <w:pStyle w:val="TableBodyText"/>
                  </w:pPr>
                  <w:r>
                    <w:t>510 ± 14.5</w:t>
                  </w:r>
                </w:p>
              </w:tc>
              <w:tc>
                <w:tcPr>
                  <w:tcW w:w="844"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4F5114">
                  <w:pPr>
                    <w:pStyle w:val="TableBodyText"/>
                    <w:rPr>
                      <w:szCs w:val="18"/>
                    </w:rPr>
                  </w:pPr>
                  <w:r w:rsidRPr="004F5114">
                    <w:rPr>
                      <w:szCs w:val="18"/>
                    </w:rPr>
                    <w:t>▼</w:t>
                  </w:r>
                </w:p>
              </w:tc>
              <w:tc>
                <w:tcPr>
                  <w:tcW w:w="844"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FD2CB6">
                  <w:pPr>
                    <w:pStyle w:val="TableBodyText"/>
                    <w:rPr>
                      <w:color w:val="000000"/>
                    </w:rPr>
                  </w:pPr>
                  <w:r w:rsidRPr="004F5114">
                    <w:rPr>
                      <w:color w:val="000000"/>
                    </w:rPr>
                    <w:t xml:space="preserve"> </w:t>
                  </w:r>
                  <w:r w:rsidR="00FD2CB6" w:rsidRPr="00FD2CB6">
                    <w:rPr>
                      <w:color w:val="000000"/>
                    </w:rPr>
                    <w:t>■</w:t>
                  </w:r>
                </w:p>
              </w:tc>
              <w:tc>
                <w:tcPr>
                  <w:tcW w:w="845"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4F5114">
                  <w:pPr>
                    <w:pStyle w:val="TableBodyText"/>
                    <w:rPr>
                      <w:szCs w:val="18"/>
                    </w:rPr>
                  </w:pPr>
                  <w:r w:rsidRPr="004F5114">
                    <w:rPr>
                      <w:szCs w:val="18"/>
                    </w:rPr>
                    <w:t>▲</w:t>
                  </w:r>
                </w:p>
              </w:tc>
              <w:tc>
                <w:tcPr>
                  <w:tcW w:w="844" w:type="dxa"/>
                  <w:tcBorders>
                    <w:top w:val="dotted" w:sz="4" w:space="0" w:color="auto"/>
                    <w:left w:val="dotted" w:sz="4" w:space="0" w:color="auto"/>
                    <w:bottom w:val="dotted" w:sz="4" w:space="0" w:color="auto"/>
                    <w:right w:val="dotted" w:sz="4" w:space="0" w:color="auto"/>
                  </w:tcBorders>
                  <w:shd w:val="clear" w:color="auto" w:fill="auto"/>
                  <w:vAlign w:val="center"/>
                </w:tcPr>
                <w:p w:rsidR="004F5114" w:rsidRPr="004F5114" w:rsidRDefault="004F5114" w:rsidP="004F5114">
                  <w:pPr>
                    <w:pStyle w:val="TableBodyText"/>
                  </w:pPr>
                  <w:r w:rsidRPr="004F5114">
                    <w:t>..</w:t>
                  </w:r>
                </w:p>
              </w:tc>
              <w:tc>
                <w:tcPr>
                  <w:tcW w:w="844"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4F5114">
                  <w:pPr>
                    <w:pStyle w:val="TableBodyText"/>
                    <w:rPr>
                      <w:szCs w:val="18"/>
                    </w:rPr>
                  </w:pPr>
                  <w:r w:rsidRPr="004F5114">
                    <w:rPr>
                      <w:szCs w:val="18"/>
                    </w:rPr>
                    <w:t>▲</w:t>
                  </w:r>
                </w:p>
              </w:tc>
              <w:tc>
                <w:tcPr>
                  <w:tcW w:w="845"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4F5114">
                  <w:pPr>
                    <w:pStyle w:val="TableBodyText"/>
                    <w:rPr>
                      <w:szCs w:val="18"/>
                    </w:rPr>
                  </w:pPr>
                  <w:r w:rsidRPr="004F5114">
                    <w:rPr>
                      <w:szCs w:val="18"/>
                    </w:rPr>
                    <w:t>▲</w:t>
                  </w:r>
                </w:p>
              </w:tc>
              <w:tc>
                <w:tcPr>
                  <w:tcW w:w="844"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FD2CB6" w:rsidP="00FD2CB6">
                  <w:pPr>
                    <w:pStyle w:val="TableBodyText"/>
                    <w:rPr>
                      <w:color w:val="000000"/>
                    </w:rPr>
                  </w:pPr>
                  <w:r w:rsidRPr="009F0531">
                    <w:t>■</w:t>
                  </w:r>
                </w:p>
              </w:tc>
              <w:tc>
                <w:tcPr>
                  <w:tcW w:w="845" w:type="dxa"/>
                  <w:tcBorders>
                    <w:top w:val="dotted" w:sz="4" w:space="0" w:color="auto"/>
                    <w:left w:val="dotted" w:sz="4" w:space="0" w:color="auto"/>
                    <w:bottom w:val="dotted" w:sz="4" w:space="0" w:color="auto"/>
                  </w:tcBorders>
                  <w:shd w:val="clear" w:color="auto" w:fill="auto"/>
                  <w:vAlign w:val="bottom"/>
                </w:tcPr>
                <w:p w:rsidR="004F5114" w:rsidRPr="004F5114" w:rsidRDefault="004F5114" w:rsidP="004F5114">
                  <w:pPr>
                    <w:pStyle w:val="TableBodyText"/>
                    <w:rPr>
                      <w:szCs w:val="18"/>
                    </w:rPr>
                  </w:pPr>
                  <w:r w:rsidRPr="004F5114">
                    <w:rPr>
                      <w:szCs w:val="18"/>
                    </w:rPr>
                    <w:t>▲</w:t>
                  </w:r>
                </w:p>
              </w:tc>
            </w:tr>
            <w:tr w:rsidR="004F5114" w:rsidRPr="004708E3" w:rsidTr="00D514E0">
              <w:tc>
                <w:tcPr>
                  <w:tcW w:w="660" w:type="dxa"/>
                  <w:tcBorders>
                    <w:top w:val="dotted" w:sz="4" w:space="0" w:color="auto"/>
                    <w:bottom w:val="dotted" w:sz="4" w:space="0" w:color="auto"/>
                    <w:right w:val="dotted" w:sz="4" w:space="0" w:color="auto"/>
                  </w:tcBorders>
                  <w:shd w:val="clear" w:color="auto" w:fill="auto"/>
                </w:tcPr>
                <w:p w:rsidR="004F5114" w:rsidRPr="004708E3" w:rsidRDefault="004F5114" w:rsidP="00B45495">
                  <w:pPr>
                    <w:pStyle w:val="TableUnitsRow"/>
                  </w:pPr>
                  <w:r w:rsidRPr="006A703E">
                    <w:t>SA</w:t>
                  </w:r>
                </w:p>
              </w:tc>
              <w:tc>
                <w:tcPr>
                  <w:tcW w:w="1200" w:type="dxa"/>
                  <w:tcBorders>
                    <w:top w:val="dotted" w:sz="4" w:space="0" w:color="auto"/>
                    <w:left w:val="dotted" w:sz="4" w:space="0" w:color="auto"/>
                    <w:bottom w:val="dotted" w:sz="4" w:space="0" w:color="auto"/>
                    <w:right w:val="dotted" w:sz="4" w:space="0" w:color="auto"/>
                  </w:tcBorders>
                  <w:vAlign w:val="center"/>
                </w:tcPr>
                <w:p w:rsidR="004F5114" w:rsidRDefault="004F5114" w:rsidP="004F5114">
                  <w:pPr>
                    <w:pStyle w:val="TableBodyText"/>
                  </w:pPr>
                  <w:r>
                    <w:t>486 ± 16.5</w:t>
                  </w:r>
                </w:p>
              </w:tc>
              <w:tc>
                <w:tcPr>
                  <w:tcW w:w="844"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4F5114">
                  <w:pPr>
                    <w:pStyle w:val="TableBodyText"/>
                    <w:rPr>
                      <w:szCs w:val="18"/>
                    </w:rPr>
                  </w:pPr>
                  <w:r w:rsidRPr="004F5114">
                    <w:rPr>
                      <w:szCs w:val="18"/>
                    </w:rPr>
                    <w:t>▼</w:t>
                  </w:r>
                </w:p>
              </w:tc>
              <w:tc>
                <w:tcPr>
                  <w:tcW w:w="844"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4F5114">
                  <w:pPr>
                    <w:pStyle w:val="TableBodyText"/>
                    <w:rPr>
                      <w:szCs w:val="18"/>
                    </w:rPr>
                  </w:pPr>
                  <w:r w:rsidRPr="004F5114">
                    <w:rPr>
                      <w:szCs w:val="18"/>
                    </w:rPr>
                    <w:t>▼</w:t>
                  </w:r>
                </w:p>
              </w:tc>
              <w:tc>
                <w:tcPr>
                  <w:tcW w:w="845"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FD2CB6" w:rsidP="00FD2CB6">
                  <w:pPr>
                    <w:pStyle w:val="TableBodyText"/>
                    <w:rPr>
                      <w:color w:val="000000"/>
                    </w:rPr>
                  </w:pPr>
                  <w:r w:rsidRPr="009F0531">
                    <w:t>■</w:t>
                  </w:r>
                </w:p>
              </w:tc>
              <w:tc>
                <w:tcPr>
                  <w:tcW w:w="844"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4F5114">
                  <w:pPr>
                    <w:pStyle w:val="TableBodyText"/>
                    <w:rPr>
                      <w:szCs w:val="18"/>
                    </w:rPr>
                  </w:pPr>
                  <w:r w:rsidRPr="004F5114">
                    <w:rPr>
                      <w:szCs w:val="18"/>
                    </w:rPr>
                    <w:t>▼</w:t>
                  </w:r>
                </w:p>
              </w:tc>
              <w:tc>
                <w:tcPr>
                  <w:tcW w:w="844" w:type="dxa"/>
                  <w:tcBorders>
                    <w:top w:val="dotted" w:sz="4" w:space="0" w:color="auto"/>
                    <w:left w:val="dotted" w:sz="4" w:space="0" w:color="auto"/>
                    <w:bottom w:val="dotted" w:sz="4" w:space="0" w:color="auto"/>
                    <w:right w:val="dotted" w:sz="4" w:space="0" w:color="auto"/>
                  </w:tcBorders>
                  <w:shd w:val="clear" w:color="auto" w:fill="auto"/>
                  <w:vAlign w:val="center"/>
                </w:tcPr>
                <w:p w:rsidR="004F5114" w:rsidRPr="004F5114" w:rsidRDefault="004F5114" w:rsidP="004F5114">
                  <w:pPr>
                    <w:pStyle w:val="TableBodyText"/>
                  </w:pPr>
                  <w:r w:rsidRPr="004F5114">
                    <w:t>..</w:t>
                  </w:r>
                </w:p>
              </w:tc>
              <w:tc>
                <w:tcPr>
                  <w:tcW w:w="845"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4F5114">
                  <w:pPr>
                    <w:pStyle w:val="TableBodyText"/>
                    <w:rPr>
                      <w:szCs w:val="18"/>
                    </w:rPr>
                  </w:pPr>
                  <w:r w:rsidRPr="004F5114">
                    <w:rPr>
                      <w:szCs w:val="18"/>
                    </w:rPr>
                    <w:t> </w:t>
                  </w:r>
                </w:p>
              </w:tc>
              <w:tc>
                <w:tcPr>
                  <w:tcW w:w="844"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4F5114">
                  <w:pPr>
                    <w:pStyle w:val="TableBodyText"/>
                    <w:rPr>
                      <w:szCs w:val="18"/>
                    </w:rPr>
                  </w:pPr>
                  <w:r w:rsidRPr="004F5114">
                    <w:rPr>
                      <w:szCs w:val="18"/>
                    </w:rPr>
                    <w:t>▼</w:t>
                  </w:r>
                </w:p>
              </w:tc>
              <w:tc>
                <w:tcPr>
                  <w:tcW w:w="845" w:type="dxa"/>
                  <w:tcBorders>
                    <w:top w:val="dotted" w:sz="4" w:space="0" w:color="auto"/>
                    <w:left w:val="dotted" w:sz="4" w:space="0" w:color="auto"/>
                    <w:bottom w:val="dotted" w:sz="4" w:space="0" w:color="auto"/>
                  </w:tcBorders>
                  <w:shd w:val="clear" w:color="auto" w:fill="auto"/>
                  <w:vAlign w:val="bottom"/>
                </w:tcPr>
                <w:p w:rsidR="004F5114" w:rsidRPr="004F5114" w:rsidRDefault="004F5114" w:rsidP="004F5114">
                  <w:pPr>
                    <w:pStyle w:val="TableBodyText"/>
                    <w:rPr>
                      <w:szCs w:val="18"/>
                    </w:rPr>
                  </w:pPr>
                  <w:r w:rsidRPr="004F5114">
                    <w:rPr>
                      <w:szCs w:val="18"/>
                    </w:rPr>
                    <w:t>▲</w:t>
                  </w:r>
                </w:p>
              </w:tc>
            </w:tr>
            <w:tr w:rsidR="004F5114" w:rsidRPr="004708E3" w:rsidTr="00D514E0">
              <w:tc>
                <w:tcPr>
                  <w:tcW w:w="660" w:type="dxa"/>
                  <w:tcBorders>
                    <w:top w:val="dotted" w:sz="4" w:space="0" w:color="auto"/>
                    <w:bottom w:val="dotted" w:sz="4" w:space="0" w:color="auto"/>
                    <w:right w:val="dotted" w:sz="4" w:space="0" w:color="auto"/>
                  </w:tcBorders>
                  <w:shd w:val="clear" w:color="auto" w:fill="auto"/>
                </w:tcPr>
                <w:p w:rsidR="004F5114" w:rsidRPr="004708E3" w:rsidRDefault="004F5114" w:rsidP="00B45495">
                  <w:pPr>
                    <w:pStyle w:val="TableUnitsRow"/>
                  </w:pPr>
                  <w:r w:rsidRPr="006A703E">
                    <w:t>Tas</w:t>
                  </w:r>
                </w:p>
              </w:tc>
              <w:tc>
                <w:tcPr>
                  <w:tcW w:w="1200" w:type="dxa"/>
                  <w:tcBorders>
                    <w:top w:val="dotted" w:sz="4" w:space="0" w:color="auto"/>
                    <w:left w:val="dotted" w:sz="4" w:space="0" w:color="auto"/>
                    <w:bottom w:val="dotted" w:sz="4" w:space="0" w:color="auto"/>
                    <w:right w:val="dotted" w:sz="4" w:space="0" w:color="auto"/>
                  </w:tcBorders>
                  <w:vAlign w:val="center"/>
                </w:tcPr>
                <w:p w:rsidR="004F5114" w:rsidRDefault="004F5114" w:rsidP="004F5114">
                  <w:pPr>
                    <w:pStyle w:val="TableBodyText"/>
                  </w:pPr>
                  <w:r>
                    <w:t>466 ± 20.7</w:t>
                  </w:r>
                </w:p>
              </w:tc>
              <w:tc>
                <w:tcPr>
                  <w:tcW w:w="844"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4F5114">
                  <w:pPr>
                    <w:pStyle w:val="TableBodyText"/>
                    <w:rPr>
                      <w:szCs w:val="18"/>
                    </w:rPr>
                  </w:pPr>
                  <w:r w:rsidRPr="004F5114">
                    <w:rPr>
                      <w:szCs w:val="18"/>
                    </w:rPr>
                    <w:t>▼</w:t>
                  </w:r>
                </w:p>
              </w:tc>
              <w:tc>
                <w:tcPr>
                  <w:tcW w:w="844"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4F5114">
                  <w:pPr>
                    <w:pStyle w:val="TableBodyText"/>
                    <w:rPr>
                      <w:szCs w:val="18"/>
                    </w:rPr>
                  </w:pPr>
                  <w:r w:rsidRPr="004F5114">
                    <w:rPr>
                      <w:szCs w:val="18"/>
                    </w:rPr>
                    <w:t>▼</w:t>
                  </w:r>
                </w:p>
              </w:tc>
              <w:tc>
                <w:tcPr>
                  <w:tcW w:w="845"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FD2CB6">
                  <w:pPr>
                    <w:pStyle w:val="TableBodyText"/>
                    <w:rPr>
                      <w:color w:val="000000"/>
                    </w:rPr>
                  </w:pPr>
                  <w:r w:rsidRPr="004F5114">
                    <w:rPr>
                      <w:color w:val="000000"/>
                    </w:rPr>
                    <w:t xml:space="preserve"> </w:t>
                  </w:r>
                  <w:r w:rsidR="00FD2CB6" w:rsidRPr="009F0531">
                    <w:t>■</w:t>
                  </w:r>
                </w:p>
              </w:tc>
              <w:tc>
                <w:tcPr>
                  <w:tcW w:w="844"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4F5114">
                  <w:pPr>
                    <w:pStyle w:val="TableBodyText"/>
                    <w:rPr>
                      <w:szCs w:val="18"/>
                    </w:rPr>
                  </w:pPr>
                  <w:r w:rsidRPr="004F5114">
                    <w:rPr>
                      <w:szCs w:val="18"/>
                    </w:rPr>
                    <w:t>▼</w:t>
                  </w:r>
                </w:p>
              </w:tc>
              <w:tc>
                <w:tcPr>
                  <w:tcW w:w="844"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4F5114">
                  <w:pPr>
                    <w:pStyle w:val="TableBodyText"/>
                    <w:rPr>
                      <w:szCs w:val="18"/>
                    </w:rPr>
                  </w:pPr>
                  <w:r w:rsidRPr="004F5114">
                    <w:rPr>
                      <w:szCs w:val="18"/>
                    </w:rPr>
                    <w:t> </w:t>
                  </w:r>
                </w:p>
              </w:tc>
              <w:tc>
                <w:tcPr>
                  <w:tcW w:w="845" w:type="dxa"/>
                  <w:tcBorders>
                    <w:top w:val="dotted" w:sz="4" w:space="0" w:color="auto"/>
                    <w:left w:val="dotted" w:sz="4" w:space="0" w:color="auto"/>
                    <w:bottom w:val="dotted" w:sz="4" w:space="0" w:color="auto"/>
                    <w:right w:val="dotted" w:sz="4" w:space="0" w:color="auto"/>
                  </w:tcBorders>
                  <w:shd w:val="clear" w:color="auto" w:fill="auto"/>
                  <w:vAlign w:val="center"/>
                </w:tcPr>
                <w:p w:rsidR="004F5114" w:rsidRPr="004F5114" w:rsidRDefault="004F5114" w:rsidP="004F5114">
                  <w:pPr>
                    <w:pStyle w:val="TableBodyText"/>
                  </w:pPr>
                  <w:r w:rsidRPr="004F5114">
                    <w:t>..</w:t>
                  </w:r>
                </w:p>
              </w:tc>
              <w:tc>
                <w:tcPr>
                  <w:tcW w:w="844"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4F5114">
                  <w:pPr>
                    <w:pStyle w:val="TableBodyText"/>
                    <w:rPr>
                      <w:szCs w:val="18"/>
                    </w:rPr>
                  </w:pPr>
                  <w:r w:rsidRPr="004F5114">
                    <w:rPr>
                      <w:szCs w:val="18"/>
                    </w:rPr>
                    <w:t>▼</w:t>
                  </w:r>
                </w:p>
              </w:tc>
              <w:tc>
                <w:tcPr>
                  <w:tcW w:w="845" w:type="dxa"/>
                  <w:tcBorders>
                    <w:top w:val="dotted" w:sz="4" w:space="0" w:color="auto"/>
                    <w:left w:val="dotted" w:sz="4" w:space="0" w:color="auto"/>
                    <w:bottom w:val="dotted" w:sz="4" w:space="0" w:color="auto"/>
                  </w:tcBorders>
                  <w:shd w:val="clear" w:color="auto" w:fill="auto"/>
                  <w:vAlign w:val="bottom"/>
                </w:tcPr>
                <w:p w:rsidR="004F5114" w:rsidRPr="004F5114" w:rsidRDefault="004F5114" w:rsidP="004F5114">
                  <w:pPr>
                    <w:pStyle w:val="TableBodyText"/>
                    <w:rPr>
                      <w:szCs w:val="18"/>
                    </w:rPr>
                  </w:pPr>
                  <w:r w:rsidRPr="004F5114">
                    <w:rPr>
                      <w:szCs w:val="18"/>
                    </w:rPr>
                    <w:t>▲</w:t>
                  </w:r>
                </w:p>
              </w:tc>
            </w:tr>
            <w:tr w:rsidR="004F5114" w:rsidRPr="004708E3" w:rsidTr="00D514E0">
              <w:tc>
                <w:tcPr>
                  <w:tcW w:w="660" w:type="dxa"/>
                  <w:tcBorders>
                    <w:top w:val="dotted" w:sz="4" w:space="0" w:color="auto"/>
                    <w:bottom w:val="dotted" w:sz="4" w:space="0" w:color="auto"/>
                    <w:right w:val="dotted" w:sz="4" w:space="0" w:color="auto"/>
                  </w:tcBorders>
                  <w:shd w:val="clear" w:color="auto" w:fill="auto"/>
                </w:tcPr>
                <w:p w:rsidR="004F5114" w:rsidRPr="004708E3" w:rsidRDefault="004F5114" w:rsidP="00B45495">
                  <w:pPr>
                    <w:pStyle w:val="TableUnitsRow"/>
                  </w:pPr>
                  <w:r w:rsidRPr="006A703E">
                    <w:t>ACT</w:t>
                  </w:r>
                </w:p>
              </w:tc>
              <w:tc>
                <w:tcPr>
                  <w:tcW w:w="1200" w:type="dxa"/>
                  <w:tcBorders>
                    <w:top w:val="dotted" w:sz="4" w:space="0" w:color="auto"/>
                    <w:left w:val="dotted" w:sz="4" w:space="0" w:color="auto"/>
                    <w:bottom w:val="dotted" w:sz="4" w:space="0" w:color="auto"/>
                    <w:right w:val="dotted" w:sz="4" w:space="0" w:color="auto"/>
                  </w:tcBorders>
                  <w:vAlign w:val="center"/>
                </w:tcPr>
                <w:p w:rsidR="004F5114" w:rsidRDefault="004F5114" w:rsidP="004F5114">
                  <w:pPr>
                    <w:pStyle w:val="TableBodyText"/>
                  </w:pPr>
                  <w:r>
                    <w:t>525 ± 13.8</w:t>
                  </w:r>
                </w:p>
              </w:tc>
              <w:tc>
                <w:tcPr>
                  <w:tcW w:w="844"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FD2CB6" w:rsidP="00FD2CB6">
                  <w:pPr>
                    <w:pStyle w:val="TableBodyText"/>
                    <w:rPr>
                      <w:color w:val="000000"/>
                    </w:rPr>
                  </w:pPr>
                  <w:r w:rsidRPr="009F0531">
                    <w:t>■</w:t>
                  </w:r>
                </w:p>
              </w:tc>
              <w:tc>
                <w:tcPr>
                  <w:tcW w:w="844"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FD2CB6">
                  <w:pPr>
                    <w:pStyle w:val="TableBodyText"/>
                    <w:rPr>
                      <w:color w:val="000000"/>
                    </w:rPr>
                  </w:pPr>
                  <w:r w:rsidRPr="004F5114">
                    <w:rPr>
                      <w:color w:val="000000"/>
                    </w:rPr>
                    <w:t xml:space="preserve"> </w:t>
                  </w:r>
                  <w:r w:rsidR="00FD2CB6" w:rsidRPr="009F0531">
                    <w:t>■</w:t>
                  </w:r>
                </w:p>
              </w:tc>
              <w:tc>
                <w:tcPr>
                  <w:tcW w:w="845"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4F5114">
                  <w:pPr>
                    <w:pStyle w:val="TableBodyText"/>
                    <w:rPr>
                      <w:szCs w:val="18"/>
                    </w:rPr>
                  </w:pPr>
                  <w:r w:rsidRPr="004F5114">
                    <w:rPr>
                      <w:szCs w:val="18"/>
                    </w:rPr>
                    <w:t>▲</w:t>
                  </w:r>
                </w:p>
              </w:tc>
              <w:tc>
                <w:tcPr>
                  <w:tcW w:w="844"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FD2CB6">
                  <w:pPr>
                    <w:pStyle w:val="TableBodyText"/>
                    <w:rPr>
                      <w:color w:val="000000"/>
                    </w:rPr>
                  </w:pPr>
                  <w:r w:rsidRPr="004F5114">
                    <w:rPr>
                      <w:color w:val="000000"/>
                    </w:rPr>
                    <w:t xml:space="preserve"> </w:t>
                  </w:r>
                  <w:r w:rsidR="00FD2CB6" w:rsidRPr="009F0531">
                    <w:t>■</w:t>
                  </w:r>
                </w:p>
              </w:tc>
              <w:tc>
                <w:tcPr>
                  <w:tcW w:w="844"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4F5114">
                  <w:pPr>
                    <w:pStyle w:val="TableBodyText"/>
                    <w:rPr>
                      <w:szCs w:val="18"/>
                    </w:rPr>
                  </w:pPr>
                  <w:r w:rsidRPr="004F5114">
                    <w:rPr>
                      <w:szCs w:val="18"/>
                    </w:rPr>
                    <w:t>▲</w:t>
                  </w:r>
                </w:p>
              </w:tc>
              <w:tc>
                <w:tcPr>
                  <w:tcW w:w="845"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4F5114">
                  <w:pPr>
                    <w:pStyle w:val="TableBodyText"/>
                    <w:rPr>
                      <w:szCs w:val="18"/>
                    </w:rPr>
                  </w:pPr>
                  <w:r w:rsidRPr="004F5114">
                    <w:rPr>
                      <w:szCs w:val="18"/>
                    </w:rPr>
                    <w:t>▲</w:t>
                  </w:r>
                </w:p>
              </w:tc>
              <w:tc>
                <w:tcPr>
                  <w:tcW w:w="844" w:type="dxa"/>
                  <w:tcBorders>
                    <w:top w:val="dotted" w:sz="4" w:space="0" w:color="auto"/>
                    <w:left w:val="dotted" w:sz="4" w:space="0" w:color="auto"/>
                    <w:bottom w:val="dotted" w:sz="4" w:space="0" w:color="auto"/>
                    <w:right w:val="dotted" w:sz="4" w:space="0" w:color="auto"/>
                  </w:tcBorders>
                  <w:shd w:val="clear" w:color="auto" w:fill="auto"/>
                  <w:vAlign w:val="center"/>
                </w:tcPr>
                <w:p w:rsidR="004F5114" w:rsidRPr="004F5114" w:rsidRDefault="004F5114" w:rsidP="004F5114">
                  <w:pPr>
                    <w:pStyle w:val="TableBodyText"/>
                  </w:pPr>
                  <w:r w:rsidRPr="004F5114">
                    <w:t>..</w:t>
                  </w:r>
                </w:p>
              </w:tc>
              <w:tc>
                <w:tcPr>
                  <w:tcW w:w="845" w:type="dxa"/>
                  <w:tcBorders>
                    <w:top w:val="dotted" w:sz="4" w:space="0" w:color="auto"/>
                    <w:left w:val="dotted" w:sz="4" w:space="0" w:color="auto"/>
                    <w:bottom w:val="dotted" w:sz="4" w:space="0" w:color="auto"/>
                  </w:tcBorders>
                  <w:shd w:val="clear" w:color="auto" w:fill="auto"/>
                  <w:vAlign w:val="bottom"/>
                </w:tcPr>
                <w:p w:rsidR="004F5114" w:rsidRPr="004F5114" w:rsidRDefault="004F5114" w:rsidP="004F5114">
                  <w:pPr>
                    <w:pStyle w:val="TableBodyText"/>
                    <w:rPr>
                      <w:szCs w:val="18"/>
                    </w:rPr>
                  </w:pPr>
                  <w:r w:rsidRPr="004F5114">
                    <w:rPr>
                      <w:szCs w:val="18"/>
                    </w:rPr>
                    <w:t>▲</w:t>
                  </w:r>
                </w:p>
              </w:tc>
            </w:tr>
            <w:tr w:rsidR="004F5114" w:rsidRPr="004708E3" w:rsidTr="00D514E0">
              <w:tc>
                <w:tcPr>
                  <w:tcW w:w="660" w:type="dxa"/>
                  <w:tcBorders>
                    <w:top w:val="dotted" w:sz="4" w:space="0" w:color="auto"/>
                    <w:bottom w:val="dotted" w:sz="4" w:space="0" w:color="auto"/>
                    <w:right w:val="dotted" w:sz="4" w:space="0" w:color="auto"/>
                  </w:tcBorders>
                  <w:shd w:val="clear" w:color="auto" w:fill="auto"/>
                </w:tcPr>
                <w:p w:rsidR="004F5114" w:rsidRPr="004708E3" w:rsidRDefault="004F5114" w:rsidP="00B45495">
                  <w:pPr>
                    <w:pStyle w:val="TableUnitsRow"/>
                  </w:pPr>
                  <w:r w:rsidRPr="006A703E">
                    <w:t>NT</w:t>
                  </w:r>
                </w:p>
              </w:tc>
              <w:tc>
                <w:tcPr>
                  <w:tcW w:w="1200" w:type="dxa"/>
                  <w:tcBorders>
                    <w:top w:val="dotted" w:sz="4" w:space="0" w:color="auto"/>
                    <w:left w:val="dotted" w:sz="4" w:space="0" w:color="auto"/>
                    <w:bottom w:val="dotted" w:sz="4" w:space="0" w:color="auto"/>
                    <w:right w:val="dotted" w:sz="4" w:space="0" w:color="auto"/>
                  </w:tcBorders>
                  <w:vAlign w:val="center"/>
                </w:tcPr>
                <w:p w:rsidR="004F5114" w:rsidRDefault="004F5114" w:rsidP="004F5114">
                  <w:pPr>
                    <w:pStyle w:val="TableBodyText"/>
                  </w:pPr>
                  <w:r>
                    <w:t>418 ± 24.2</w:t>
                  </w:r>
                </w:p>
              </w:tc>
              <w:tc>
                <w:tcPr>
                  <w:tcW w:w="844"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4F5114">
                  <w:pPr>
                    <w:pStyle w:val="TableBodyText"/>
                    <w:rPr>
                      <w:szCs w:val="18"/>
                    </w:rPr>
                  </w:pPr>
                  <w:r w:rsidRPr="004F5114">
                    <w:rPr>
                      <w:szCs w:val="18"/>
                    </w:rPr>
                    <w:t>▼</w:t>
                  </w:r>
                </w:p>
              </w:tc>
              <w:tc>
                <w:tcPr>
                  <w:tcW w:w="844"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4F5114">
                  <w:pPr>
                    <w:pStyle w:val="TableBodyText"/>
                    <w:rPr>
                      <w:szCs w:val="18"/>
                    </w:rPr>
                  </w:pPr>
                  <w:r w:rsidRPr="004F5114">
                    <w:rPr>
                      <w:szCs w:val="18"/>
                    </w:rPr>
                    <w:t>▼</w:t>
                  </w:r>
                </w:p>
              </w:tc>
              <w:tc>
                <w:tcPr>
                  <w:tcW w:w="845"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4F5114">
                  <w:pPr>
                    <w:pStyle w:val="TableBodyText"/>
                    <w:rPr>
                      <w:szCs w:val="18"/>
                    </w:rPr>
                  </w:pPr>
                  <w:r w:rsidRPr="004F5114">
                    <w:rPr>
                      <w:szCs w:val="18"/>
                    </w:rPr>
                    <w:t>▼</w:t>
                  </w:r>
                </w:p>
              </w:tc>
              <w:tc>
                <w:tcPr>
                  <w:tcW w:w="844"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4F5114">
                  <w:pPr>
                    <w:pStyle w:val="TableBodyText"/>
                    <w:rPr>
                      <w:szCs w:val="18"/>
                    </w:rPr>
                  </w:pPr>
                  <w:r w:rsidRPr="004F5114">
                    <w:rPr>
                      <w:szCs w:val="18"/>
                    </w:rPr>
                    <w:t>▼</w:t>
                  </w:r>
                </w:p>
              </w:tc>
              <w:tc>
                <w:tcPr>
                  <w:tcW w:w="844"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4F5114">
                  <w:pPr>
                    <w:pStyle w:val="TableBodyText"/>
                    <w:rPr>
                      <w:szCs w:val="18"/>
                    </w:rPr>
                  </w:pPr>
                  <w:r w:rsidRPr="004F5114">
                    <w:rPr>
                      <w:szCs w:val="18"/>
                    </w:rPr>
                    <w:t>▼</w:t>
                  </w:r>
                </w:p>
              </w:tc>
              <w:tc>
                <w:tcPr>
                  <w:tcW w:w="845"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4F5114">
                  <w:pPr>
                    <w:pStyle w:val="TableBodyText"/>
                    <w:rPr>
                      <w:szCs w:val="18"/>
                    </w:rPr>
                  </w:pPr>
                  <w:r w:rsidRPr="004F5114">
                    <w:rPr>
                      <w:szCs w:val="18"/>
                    </w:rPr>
                    <w:t>▼</w:t>
                  </w:r>
                </w:p>
              </w:tc>
              <w:tc>
                <w:tcPr>
                  <w:tcW w:w="844" w:type="dxa"/>
                  <w:tcBorders>
                    <w:top w:val="dotted" w:sz="4" w:space="0" w:color="auto"/>
                    <w:left w:val="dotted" w:sz="4" w:space="0" w:color="auto"/>
                    <w:bottom w:val="dotted" w:sz="4" w:space="0" w:color="auto"/>
                    <w:right w:val="dotted" w:sz="4" w:space="0" w:color="auto"/>
                  </w:tcBorders>
                  <w:shd w:val="clear" w:color="auto" w:fill="auto"/>
                  <w:vAlign w:val="bottom"/>
                </w:tcPr>
                <w:p w:rsidR="004F5114" w:rsidRPr="004F5114" w:rsidRDefault="004F5114" w:rsidP="004F5114">
                  <w:pPr>
                    <w:pStyle w:val="TableBodyText"/>
                    <w:rPr>
                      <w:szCs w:val="18"/>
                    </w:rPr>
                  </w:pPr>
                  <w:r w:rsidRPr="004F5114">
                    <w:rPr>
                      <w:szCs w:val="18"/>
                    </w:rPr>
                    <w:t>▼</w:t>
                  </w:r>
                </w:p>
              </w:tc>
              <w:tc>
                <w:tcPr>
                  <w:tcW w:w="845" w:type="dxa"/>
                  <w:tcBorders>
                    <w:top w:val="dotted" w:sz="4" w:space="0" w:color="auto"/>
                    <w:left w:val="dotted" w:sz="4" w:space="0" w:color="auto"/>
                    <w:bottom w:val="dotted" w:sz="4" w:space="0" w:color="auto"/>
                  </w:tcBorders>
                  <w:shd w:val="clear" w:color="auto" w:fill="auto"/>
                  <w:vAlign w:val="center"/>
                </w:tcPr>
                <w:p w:rsidR="004F5114" w:rsidRPr="004F5114" w:rsidRDefault="004F5114" w:rsidP="004F5114">
                  <w:pPr>
                    <w:pStyle w:val="TableBodyText"/>
                  </w:pPr>
                  <w:r w:rsidRPr="004F5114">
                    <w:t>..</w:t>
                  </w:r>
                </w:p>
              </w:tc>
            </w:tr>
          </w:tbl>
          <w:p w:rsidR="00FB23D7" w:rsidRDefault="00FB23D7" w:rsidP="00B45495">
            <w:pPr>
              <w:pStyle w:val="Box"/>
            </w:pPr>
          </w:p>
        </w:tc>
      </w:tr>
      <w:tr w:rsidR="00FB23D7" w:rsidTr="00B45495">
        <w:trPr>
          <w:cantSplit/>
        </w:trPr>
        <w:tc>
          <w:tcPr>
            <w:tcW w:w="8909" w:type="dxa"/>
            <w:tcBorders>
              <w:top w:val="nil"/>
              <w:left w:val="nil"/>
              <w:bottom w:val="nil"/>
              <w:right w:val="nil"/>
            </w:tcBorders>
            <w:shd w:val="clear" w:color="auto" w:fill="auto"/>
          </w:tcPr>
          <w:p w:rsidR="00FB23D7" w:rsidRPr="009F0531" w:rsidRDefault="00FB23D7" w:rsidP="00B45495">
            <w:pPr>
              <w:pStyle w:val="Note"/>
            </w:pPr>
            <w:r w:rsidRPr="009F0531">
              <w:rPr>
                <w:rStyle w:val="NoteLabel"/>
                <w:b w:val="0"/>
                <w:position w:val="0"/>
              </w:rPr>
              <w:t>▲</w:t>
            </w:r>
            <w:r>
              <w:t xml:space="preserve"> </w:t>
            </w:r>
            <w:r w:rsidR="00001986">
              <w:t>Mean scale score</w:t>
            </w:r>
            <w:r w:rsidR="00001986" w:rsidRPr="009F0531">
              <w:t xml:space="preserve"> </w:t>
            </w:r>
            <w:r w:rsidRPr="009F0531">
              <w:t xml:space="preserve">is </w:t>
            </w:r>
            <w:r w:rsidR="00001986">
              <w:t xml:space="preserve">significantly higher than in </w:t>
            </w:r>
            <w:r w:rsidRPr="009F0531">
              <w:t xml:space="preserve">the comparison State/Territory. ■ </w:t>
            </w:r>
            <w:r w:rsidR="00001986">
              <w:t>Mean scale score</w:t>
            </w:r>
            <w:r w:rsidR="00001986" w:rsidRPr="009F0531">
              <w:t xml:space="preserve"> </w:t>
            </w:r>
            <w:r w:rsidRPr="009F0531">
              <w:t xml:space="preserve">is </w:t>
            </w:r>
            <w:r w:rsidR="00001986">
              <w:t>not significantly higher or lower than</w:t>
            </w:r>
            <w:r w:rsidRPr="009F0531">
              <w:t xml:space="preserve"> the comparison State/Territory. ▼ </w:t>
            </w:r>
            <w:r w:rsidR="00001986">
              <w:t>Mean scale score</w:t>
            </w:r>
            <w:r w:rsidR="00001986" w:rsidRPr="009F0531">
              <w:t xml:space="preserve"> </w:t>
            </w:r>
            <w:r w:rsidRPr="009F0531">
              <w:t xml:space="preserve">is </w:t>
            </w:r>
            <w:r w:rsidR="00001986">
              <w:t>significantly</w:t>
            </w:r>
            <w:r w:rsidRPr="009F0531">
              <w:t xml:space="preserve"> </w:t>
            </w:r>
            <w:r w:rsidR="00001986">
              <w:t>lower than in</w:t>
            </w:r>
            <w:r w:rsidRPr="009F0531">
              <w:t xml:space="preserve"> the comparison State/Territory.</w:t>
            </w:r>
          </w:p>
          <w:p w:rsidR="00FB23D7" w:rsidRDefault="00FB23D7" w:rsidP="00F979EC">
            <w:pPr>
              <w:pStyle w:val="Note"/>
              <w:rPr>
                <w:i/>
              </w:rPr>
            </w:pPr>
            <w:r w:rsidRPr="008E77FE">
              <w:rPr>
                <w:rStyle w:val="NoteLabel"/>
              </w:rPr>
              <w:t>a</w:t>
            </w:r>
            <w:r w:rsidRPr="009F0531">
              <w:t> For further information and caveats see table 4A.</w:t>
            </w:r>
            <w:r w:rsidR="00435927">
              <w:t>15</w:t>
            </w:r>
            <w:r w:rsidR="00F979EC">
              <w:t>3</w:t>
            </w:r>
            <w:r w:rsidRPr="009F0531">
              <w:t>.</w:t>
            </w:r>
            <w:r>
              <w:t xml:space="preserve"> .. not applicable.</w:t>
            </w:r>
          </w:p>
        </w:tc>
      </w:tr>
      <w:tr w:rsidR="00FB23D7" w:rsidTr="00B45495">
        <w:trPr>
          <w:cantSplit/>
        </w:trPr>
        <w:tc>
          <w:tcPr>
            <w:tcW w:w="8909" w:type="dxa"/>
            <w:tcBorders>
              <w:top w:val="nil"/>
              <w:left w:val="nil"/>
              <w:bottom w:val="nil"/>
              <w:right w:val="nil"/>
            </w:tcBorders>
            <w:shd w:val="clear" w:color="auto" w:fill="auto"/>
          </w:tcPr>
          <w:p w:rsidR="00FB23D7" w:rsidRDefault="00C464C0" w:rsidP="00E95417">
            <w:pPr>
              <w:pStyle w:val="Source"/>
            </w:pPr>
            <w:r>
              <w:rPr>
                <w:i/>
              </w:rPr>
              <w:t>S</w:t>
            </w:r>
            <w:r w:rsidRPr="00784A05">
              <w:rPr>
                <w:i/>
              </w:rPr>
              <w:t>ource</w:t>
            </w:r>
            <w:r w:rsidRPr="00176D3F">
              <w:t xml:space="preserve">: </w:t>
            </w:r>
            <w:r w:rsidRPr="0036251F">
              <w:t>ACARA (201</w:t>
            </w:r>
            <w:r>
              <w:t>4</w:t>
            </w:r>
            <w:r w:rsidRPr="0036251F">
              <w:t xml:space="preserve">), </w:t>
            </w:r>
            <w:r w:rsidRPr="0036251F">
              <w:rPr>
                <w:i/>
                <w:iCs/>
              </w:rPr>
              <w:t xml:space="preserve">National Assessment Program </w:t>
            </w:r>
            <w:r>
              <w:rPr>
                <w:i/>
                <w:iCs/>
              </w:rPr>
              <w:t xml:space="preserve">Civics and </w:t>
            </w:r>
            <w:r w:rsidR="00E95417">
              <w:rPr>
                <w:i/>
                <w:iCs/>
              </w:rPr>
              <w:t>Ci</w:t>
            </w:r>
            <w:r>
              <w:rPr>
                <w:i/>
                <w:iCs/>
              </w:rPr>
              <w:t>tizenship</w:t>
            </w:r>
            <w:r w:rsidRPr="0036251F">
              <w:rPr>
                <w:i/>
                <w:iCs/>
              </w:rPr>
              <w:t xml:space="preserve"> Year</w:t>
            </w:r>
            <w:r>
              <w:rPr>
                <w:i/>
                <w:iCs/>
              </w:rPr>
              <w:t>s</w:t>
            </w:r>
            <w:r w:rsidRPr="0036251F">
              <w:rPr>
                <w:i/>
                <w:iCs/>
              </w:rPr>
              <w:t xml:space="preserve"> 6 </w:t>
            </w:r>
            <w:r>
              <w:rPr>
                <w:i/>
                <w:iCs/>
              </w:rPr>
              <w:t xml:space="preserve">and 10 </w:t>
            </w:r>
            <w:r w:rsidRPr="0036251F">
              <w:rPr>
                <w:i/>
                <w:iCs/>
              </w:rPr>
              <w:t>Report 201</w:t>
            </w:r>
            <w:r>
              <w:rPr>
                <w:i/>
                <w:iCs/>
              </w:rPr>
              <w:t>3</w:t>
            </w:r>
            <w:r w:rsidRPr="0036251F">
              <w:rPr>
                <w:i/>
                <w:iCs/>
              </w:rPr>
              <w:t>,</w:t>
            </w:r>
            <w:r w:rsidRPr="0036251F">
              <w:t xml:space="preserve"> Sydney; table 4A.</w:t>
            </w:r>
            <w:r w:rsidR="000C2B98">
              <w:t>15</w:t>
            </w:r>
            <w:r w:rsidR="00F979EC">
              <w:t>3</w:t>
            </w:r>
            <w:r w:rsidRPr="0036251F">
              <w:t>.</w:t>
            </w:r>
          </w:p>
        </w:tc>
      </w:tr>
      <w:tr w:rsidR="00FB23D7" w:rsidTr="00B45495">
        <w:trPr>
          <w:cantSplit/>
        </w:trPr>
        <w:tc>
          <w:tcPr>
            <w:tcW w:w="8909" w:type="dxa"/>
            <w:tcBorders>
              <w:top w:val="nil"/>
              <w:left w:val="nil"/>
              <w:bottom w:val="single" w:sz="6" w:space="0" w:color="78A22F"/>
              <w:right w:val="nil"/>
            </w:tcBorders>
            <w:shd w:val="clear" w:color="auto" w:fill="auto"/>
          </w:tcPr>
          <w:p w:rsidR="00FB23D7" w:rsidRDefault="00FB23D7" w:rsidP="00B45495">
            <w:pPr>
              <w:pStyle w:val="Box"/>
              <w:spacing w:before="0" w:line="120" w:lineRule="exact"/>
            </w:pPr>
          </w:p>
        </w:tc>
      </w:tr>
      <w:tr w:rsidR="00FB23D7" w:rsidRPr="00626D32" w:rsidTr="00B45495">
        <w:tc>
          <w:tcPr>
            <w:tcW w:w="8909" w:type="dxa"/>
            <w:tcBorders>
              <w:top w:val="single" w:sz="6" w:space="0" w:color="78A22F"/>
              <w:left w:val="nil"/>
              <w:bottom w:val="nil"/>
              <w:right w:val="nil"/>
            </w:tcBorders>
          </w:tcPr>
          <w:p w:rsidR="00FB23D7" w:rsidRPr="00626D32" w:rsidRDefault="00FB23D7" w:rsidP="00B45495">
            <w:pPr>
              <w:pStyle w:val="BoxSpaceBelow"/>
            </w:pPr>
          </w:p>
        </w:tc>
      </w:tr>
    </w:tbl>
    <w:p w:rsidR="0012436B" w:rsidRPr="002B51C1" w:rsidRDefault="00567A3B" w:rsidP="00DC2D81">
      <w:pPr>
        <w:pStyle w:val="BodyText"/>
      </w:pPr>
      <w:r>
        <w:t>Civics and citizenship</w:t>
      </w:r>
      <w:r w:rsidR="0012436B" w:rsidRPr="006C1AC6">
        <w:t xml:space="preserve"> performance by geolocation and sex are summarised in table</w:t>
      </w:r>
      <w:r w:rsidR="002362DE">
        <w:t>s</w:t>
      </w:r>
      <w:r w:rsidR="00E161F4">
        <w:t> </w:t>
      </w:r>
      <w:r w:rsidR="0012436B" w:rsidRPr="006C1AC6">
        <w:t>4A.</w:t>
      </w:r>
      <w:r w:rsidR="000C2B98">
        <w:t>150</w:t>
      </w:r>
      <w:r w:rsidR="006C1AC6" w:rsidRPr="006C1AC6">
        <w:t>–</w:t>
      </w:r>
      <w:r w:rsidR="000C2B98">
        <w:t>15</w:t>
      </w:r>
      <w:r w:rsidR="00E34421">
        <w:t>1</w:t>
      </w:r>
      <w:r w:rsidR="00700F6C" w:rsidRPr="006C1AC6">
        <w:t>.</w:t>
      </w:r>
      <w:r w:rsidR="0012436B" w:rsidRPr="006C1AC6">
        <w:t xml:space="preserve"> Further details, including </w:t>
      </w:r>
      <w:r w:rsidR="00700F6C" w:rsidRPr="006C1AC6">
        <w:t xml:space="preserve">data by country of birth, and mean </w:t>
      </w:r>
      <w:r w:rsidR="00700F6C" w:rsidRPr="002B51C1">
        <w:t xml:space="preserve">scores for all categories </w:t>
      </w:r>
      <w:r w:rsidR="00BA40CA">
        <w:t>are reported in ACARA </w:t>
      </w:r>
      <w:r w:rsidR="00BA40CA" w:rsidRPr="0083461E">
        <w:t>(201</w:t>
      </w:r>
      <w:r w:rsidR="005834AA">
        <w:t>4b</w:t>
      </w:r>
      <w:r w:rsidR="0012436B" w:rsidRPr="0083461E">
        <w:t>).</w:t>
      </w:r>
    </w:p>
    <w:p w:rsidR="00666ECE" w:rsidRPr="00666ECE" w:rsidRDefault="00666ECE" w:rsidP="007E4F60">
      <w:pPr>
        <w:pStyle w:val="Heading5"/>
      </w:pPr>
      <w:r w:rsidRPr="00666ECE">
        <w:t xml:space="preserve">National Assessment Program </w:t>
      </w:r>
      <w:r w:rsidR="00C35FD6">
        <w:t>—</w:t>
      </w:r>
      <w:r w:rsidRPr="00666ECE">
        <w:t xml:space="preserve"> </w:t>
      </w:r>
      <w:r w:rsidR="00DA1812">
        <w:t>ICT</w:t>
      </w:r>
      <w:r w:rsidRPr="00666ECE">
        <w:t xml:space="preserve"> performance</w:t>
      </w:r>
    </w:p>
    <w:p w:rsidR="00DA1812" w:rsidRPr="00F62857" w:rsidRDefault="00DA1812" w:rsidP="00DC2D81">
      <w:pPr>
        <w:pStyle w:val="BodyText"/>
      </w:pPr>
      <w:r w:rsidRPr="00F62857">
        <w:t xml:space="preserve">The </w:t>
      </w:r>
      <w:r w:rsidR="000C2B98">
        <w:t>n</w:t>
      </w:r>
      <w:r w:rsidRPr="00F62857">
        <w:t xml:space="preserve">ational </w:t>
      </w:r>
      <w:r w:rsidR="000C2B98">
        <w:t>y</w:t>
      </w:r>
      <w:r w:rsidRPr="00F62857">
        <w:t xml:space="preserve">ears 6 and 10 </w:t>
      </w:r>
      <w:r>
        <w:t>ICT</w:t>
      </w:r>
      <w:r w:rsidRPr="00F62857">
        <w:t xml:space="preserve"> performance assessment was conducted for the </w:t>
      </w:r>
      <w:r w:rsidRPr="0022542B">
        <w:t>first time in 200</w:t>
      </w:r>
      <w:r w:rsidR="0022542B" w:rsidRPr="0022542B">
        <w:t>5</w:t>
      </w:r>
      <w:r w:rsidRPr="0022542B">
        <w:t xml:space="preserve">, and </w:t>
      </w:r>
      <w:r w:rsidR="0022542B" w:rsidRPr="0022542B">
        <w:t>repeated in 2008 and 2011</w:t>
      </w:r>
      <w:r w:rsidRPr="0022542B">
        <w:t xml:space="preserve">. Nationally, in 2011, </w:t>
      </w:r>
      <w:r w:rsidR="0022542B" w:rsidRPr="0022542B">
        <w:br/>
        <w:t>60.0–64.0 </w:t>
      </w:r>
      <w:r w:rsidRPr="0022542B">
        <w:t xml:space="preserve">per cent of year 6 students achieved at the proficient standard or above, a statistically significant increase from </w:t>
      </w:r>
      <w:r w:rsidR="0022542B" w:rsidRPr="0022542B">
        <w:t>54.2–59.8</w:t>
      </w:r>
      <w:r w:rsidRPr="0022542B">
        <w:t xml:space="preserve"> per cent in 2008</w:t>
      </w:r>
      <w:r w:rsidR="00567A3B">
        <w:t xml:space="preserve"> (table 4A.</w:t>
      </w:r>
      <w:r w:rsidR="000C2B98">
        <w:t>154</w:t>
      </w:r>
      <w:r w:rsidR="00567A3B">
        <w:t>)</w:t>
      </w:r>
      <w:r w:rsidRPr="0022542B">
        <w:t xml:space="preserve">. </w:t>
      </w:r>
      <w:r w:rsidRPr="00F62857">
        <w:t>Nationally, in 201</w:t>
      </w:r>
      <w:r>
        <w:t>1</w:t>
      </w:r>
      <w:r w:rsidRPr="0022542B">
        <w:t xml:space="preserve">, </w:t>
      </w:r>
      <w:r w:rsidR="0022542B" w:rsidRPr="0022542B">
        <w:t>62.7–67.3</w:t>
      </w:r>
      <w:r w:rsidRPr="0022542B">
        <w:t xml:space="preserve"> per cent of year 10 students achieved at the proficient standard or above, </w:t>
      </w:r>
      <w:r w:rsidR="0022542B" w:rsidRPr="0022542B">
        <w:t xml:space="preserve">not </w:t>
      </w:r>
      <w:r w:rsidR="007B5845">
        <w:t>significantly different</w:t>
      </w:r>
      <w:r w:rsidRPr="0022542B">
        <w:t xml:space="preserve"> from 2008 (</w:t>
      </w:r>
      <w:r w:rsidR="0022542B" w:rsidRPr="0022542B">
        <w:t>63.0–69.0</w:t>
      </w:r>
      <w:r w:rsidRPr="0022542B">
        <w:t xml:space="preserve"> per cent)</w:t>
      </w:r>
      <w:r w:rsidR="00567A3B" w:rsidRPr="00567A3B">
        <w:t xml:space="preserve"> </w:t>
      </w:r>
      <w:r w:rsidR="00567A3B">
        <w:t>(table</w:t>
      </w:r>
      <w:r w:rsidR="007B5845">
        <w:t> </w:t>
      </w:r>
      <w:r w:rsidR="00567A3B">
        <w:t>4A.</w:t>
      </w:r>
      <w:r w:rsidR="007E78CB">
        <w:t>154</w:t>
      </w:r>
      <w:r w:rsidR="00567A3B">
        <w:t>)</w:t>
      </w:r>
      <w:r w:rsidRPr="0022542B">
        <w:t xml:space="preserve">. </w:t>
      </w:r>
      <w:r w:rsidRPr="00F62857">
        <w:t>Detailed outcomes of the 201</w:t>
      </w:r>
      <w:r>
        <w:t>1</w:t>
      </w:r>
      <w:r w:rsidRPr="00F62857">
        <w:t xml:space="preserve"> assessment were included in the 201</w:t>
      </w:r>
      <w:r>
        <w:t>3</w:t>
      </w:r>
      <w:r w:rsidR="007E78CB">
        <w:t> </w:t>
      </w:r>
      <w:r w:rsidRPr="00F62857">
        <w:t>Report. Relev</w:t>
      </w:r>
      <w:r>
        <w:t xml:space="preserve">ant data are reported in tables </w:t>
      </w:r>
      <w:r w:rsidRPr="006C1AC6">
        <w:t>4A.</w:t>
      </w:r>
      <w:r w:rsidR="000C2B98">
        <w:t>1</w:t>
      </w:r>
      <w:r w:rsidR="007E78CB">
        <w:t>55</w:t>
      </w:r>
      <w:r w:rsidR="006C1AC6" w:rsidRPr="006C1AC6">
        <w:t>–</w:t>
      </w:r>
      <w:r w:rsidR="000C2B98">
        <w:t>1</w:t>
      </w:r>
      <w:r w:rsidR="00435927">
        <w:t>5</w:t>
      </w:r>
      <w:r w:rsidR="007E78CB">
        <w:t>8</w:t>
      </w:r>
      <w:r w:rsidRPr="006C1AC6">
        <w:t>.</w:t>
      </w:r>
    </w:p>
    <w:p w:rsidR="00666ECE" w:rsidRPr="00666ECE" w:rsidRDefault="00666ECE" w:rsidP="007B0AE2">
      <w:pPr>
        <w:pStyle w:val="Heading5"/>
      </w:pPr>
      <w:r w:rsidRPr="00666ECE">
        <w:t xml:space="preserve">National Assessment Program </w:t>
      </w:r>
      <w:r w:rsidR="00C464C0">
        <w:t>—</w:t>
      </w:r>
      <w:r w:rsidRPr="00666ECE">
        <w:t xml:space="preserve"> </w:t>
      </w:r>
      <w:r w:rsidR="0006446B">
        <w:t>Science literacy</w:t>
      </w:r>
      <w:r w:rsidR="003E2CB5" w:rsidRPr="00666ECE">
        <w:t xml:space="preserve"> performance</w:t>
      </w:r>
    </w:p>
    <w:p w:rsidR="00666ECE" w:rsidRDefault="00666ECE" w:rsidP="00DC2D81">
      <w:pPr>
        <w:pStyle w:val="BodyText"/>
      </w:pPr>
      <w:r w:rsidRPr="00F62857">
        <w:t xml:space="preserve">The </w:t>
      </w:r>
      <w:r w:rsidR="000C2B98">
        <w:t>n</w:t>
      </w:r>
      <w:r w:rsidRPr="00F62857">
        <w:t xml:space="preserve">ational </w:t>
      </w:r>
      <w:r w:rsidR="007B5845">
        <w:t>y</w:t>
      </w:r>
      <w:r w:rsidRPr="00F62857">
        <w:t xml:space="preserve">ear 6 </w:t>
      </w:r>
      <w:r w:rsidR="0006446B">
        <w:t>Science literacy</w:t>
      </w:r>
      <w:r w:rsidR="00E51DB5" w:rsidRPr="00F62857">
        <w:t xml:space="preserve"> performance </w:t>
      </w:r>
      <w:r w:rsidRPr="00F62857">
        <w:t>assessment was conducted for the first time in 200</w:t>
      </w:r>
      <w:r w:rsidR="0006446B">
        <w:t>3</w:t>
      </w:r>
      <w:r w:rsidRPr="00F62857">
        <w:t xml:space="preserve">, and </w:t>
      </w:r>
      <w:r w:rsidR="001A1596">
        <w:t>was repeated in 200</w:t>
      </w:r>
      <w:r w:rsidR="0006446B">
        <w:t>6, 2009 and 2012</w:t>
      </w:r>
      <w:r w:rsidRPr="00F62857">
        <w:t>. Nationally, in 20</w:t>
      </w:r>
      <w:r w:rsidR="00E51DB5" w:rsidRPr="00F62857">
        <w:t>1</w:t>
      </w:r>
      <w:r w:rsidR="0006446B">
        <w:t>2</w:t>
      </w:r>
      <w:r w:rsidRPr="00F62857">
        <w:t xml:space="preserve">, </w:t>
      </w:r>
      <w:r w:rsidR="0006446B">
        <w:br/>
      </w:r>
      <w:r w:rsidR="0006446B" w:rsidRPr="0006446B">
        <w:t>49.4–53.4 </w:t>
      </w:r>
      <w:r w:rsidRPr="00F62857">
        <w:t>per</w:t>
      </w:r>
      <w:r w:rsidR="0006446B">
        <w:t> </w:t>
      </w:r>
      <w:r w:rsidRPr="00F62857">
        <w:t xml:space="preserve">cent of year 6 students achieved at the proficient standard or above, </w:t>
      </w:r>
      <w:r w:rsidR="00F62857" w:rsidRPr="00F62857">
        <w:t xml:space="preserve">not </w:t>
      </w:r>
      <w:r w:rsidR="007B5845">
        <w:t xml:space="preserve">significantly different </w:t>
      </w:r>
      <w:r w:rsidRPr="00F62857">
        <w:t xml:space="preserve">from </w:t>
      </w:r>
      <w:r w:rsidR="0006446B">
        <w:t>2006 or 2009</w:t>
      </w:r>
      <w:r w:rsidR="00567A3B">
        <w:t xml:space="preserve"> (table 4A.</w:t>
      </w:r>
      <w:r w:rsidR="000C2B98">
        <w:t>144</w:t>
      </w:r>
      <w:r w:rsidR="00567A3B">
        <w:t>)</w:t>
      </w:r>
      <w:r w:rsidRPr="00F62857">
        <w:t>. Detailed outcomes of the 20</w:t>
      </w:r>
      <w:r w:rsidR="00F62857" w:rsidRPr="00F62857">
        <w:t>1</w:t>
      </w:r>
      <w:r w:rsidR="0006446B">
        <w:t>2</w:t>
      </w:r>
      <w:r w:rsidRPr="00F62857">
        <w:t xml:space="preserve"> </w:t>
      </w:r>
      <w:r w:rsidRPr="00F62857">
        <w:lastRenderedPageBreak/>
        <w:t>assessment were included in the 201</w:t>
      </w:r>
      <w:r w:rsidR="0006446B">
        <w:t>4</w:t>
      </w:r>
      <w:r w:rsidRPr="00F62857">
        <w:t xml:space="preserve"> Report. Relev</w:t>
      </w:r>
      <w:r w:rsidR="003B4524">
        <w:t xml:space="preserve">ant data are reported in </w:t>
      </w:r>
      <w:r w:rsidR="003B4524" w:rsidRPr="00686637">
        <w:t>tables</w:t>
      </w:r>
      <w:r w:rsidR="0006446B">
        <w:t> </w:t>
      </w:r>
      <w:r w:rsidRPr="00686637">
        <w:t>4A.</w:t>
      </w:r>
      <w:r w:rsidR="000C2B98">
        <w:t>144</w:t>
      </w:r>
      <w:r w:rsidR="0006446B">
        <w:noBreakHyphen/>
      </w:r>
      <w:r w:rsidR="000C2B98">
        <w:t>148</w:t>
      </w:r>
      <w:r w:rsidRPr="00686637">
        <w:t>.</w:t>
      </w:r>
    </w:p>
    <w:p w:rsidR="009F2094" w:rsidRDefault="009F2094" w:rsidP="007B0AE2">
      <w:pPr>
        <w:pStyle w:val="Heading5"/>
      </w:pPr>
      <w:r>
        <w:t>ICILS assessment</w:t>
      </w:r>
    </w:p>
    <w:p w:rsidR="009F2094" w:rsidRDefault="006C164A" w:rsidP="009F2094">
      <w:pPr>
        <w:pStyle w:val="BodyText"/>
      </w:pPr>
      <w:r>
        <w:t>T</w:t>
      </w:r>
      <w:r w:rsidRPr="0089766B">
        <w:t xml:space="preserve">he </w:t>
      </w:r>
      <w:r w:rsidRPr="00602CDA">
        <w:t xml:space="preserve">IEA International Computer and Information Literacy Study </w:t>
      </w:r>
      <w:r w:rsidR="004D3367">
        <w:t xml:space="preserve">(ICILS) </w:t>
      </w:r>
      <w:r w:rsidRPr="0089766B">
        <w:t>was conducted at year 8 level for the first time in 2013</w:t>
      </w:r>
      <w:r w:rsidR="005A177C">
        <w:t xml:space="preserve"> (box 4.11)</w:t>
      </w:r>
      <w:r>
        <w:t>.</w:t>
      </w:r>
    </w:p>
    <w:p w:rsidR="00DB2B49" w:rsidRDefault="00DB2B4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B2B49" w:rsidTr="00A8608B">
        <w:tc>
          <w:tcPr>
            <w:tcW w:w="8771" w:type="dxa"/>
            <w:tcBorders>
              <w:top w:val="single" w:sz="6" w:space="0" w:color="78A22F"/>
              <w:left w:val="nil"/>
              <w:bottom w:val="nil"/>
              <w:right w:val="nil"/>
            </w:tcBorders>
            <w:shd w:val="clear" w:color="auto" w:fill="F2F2F2"/>
          </w:tcPr>
          <w:p w:rsidR="00DB2B49" w:rsidRDefault="00DB2B49">
            <w:pPr>
              <w:pStyle w:val="BoxTitle"/>
            </w:pPr>
            <w:r>
              <w:rPr>
                <w:b w:val="0"/>
              </w:rPr>
              <w:t>Box 4.</w:t>
            </w:r>
            <w:r w:rsidR="005953B6">
              <w:rPr>
                <w:b w:val="0"/>
                <w:noProof/>
              </w:rPr>
              <w:t>11</w:t>
            </w:r>
            <w:r>
              <w:tab/>
            </w:r>
            <w:r w:rsidRPr="00602CDA">
              <w:t xml:space="preserve">IEA International Computer and Information Literacy Study (ICILS) </w:t>
            </w:r>
            <w:r>
              <w:t xml:space="preserve"> </w:t>
            </w:r>
          </w:p>
        </w:tc>
      </w:tr>
      <w:tr w:rsidR="00DB2B49" w:rsidTr="00A8608B">
        <w:trPr>
          <w:cantSplit/>
        </w:trPr>
        <w:tc>
          <w:tcPr>
            <w:tcW w:w="8771" w:type="dxa"/>
            <w:tcBorders>
              <w:top w:val="nil"/>
              <w:left w:val="nil"/>
              <w:bottom w:val="nil"/>
              <w:right w:val="nil"/>
            </w:tcBorders>
            <w:shd w:val="clear" w:color="auto" w:fill="F2F2F2"/>
          </w:tcPr>
          <w:p w:rsidR="00DB2B49" w:rsidRPr="00DB2B49" w:rsidRDefault="00DB2B49" w:rsidP="00DB2B49">
            <w:pPr>
              <w:pStyle w:val="Box"/>
            </w:pPr>
            <w:r w:rsidRPr="00DB2B49">
              <w:t xml:space="preserve">ICILS is a sample assessment that examines students’ acquisition of computer and information literacy: ‘the ability to use computers to investigate, create and communicate in order to participate effectively at home, at school, in the workplace and in society’. The assessment was developed by ACER and is organised by the International Association for the Evaluation of Educational Achievement (IEA). The </w:t>
            </w:r>
            <w:r w:rsidRPr="00DB2B49">
              <w:rPr>
                <w:lang w:val="en"/>
              </w:rPr>
              <w:t>main purpose of ICILS is to determine how well students are prepared for study, work and life in the information age, and how their performance compares with students in other participating countries. In total, 21 education systems participated in the 2013 cycle of ICILS.</w:t>
            </w:r>
          </w:p>
          <w:p w:rsidR="00DB2B49" w:rsidRPr="00DB2B49" w:rsidRDefault="00DB2B49" w:rsidP="00DB2B49">
            <w:pPr>
              <w:pStyle w:val="Box"/>
            </w:pPr>
            <w:r w:rsidRPr="00DB2B49">
              <w:rPr>
                <w:lang w:val="en"/>
              </w:rPr>
              <w:t>The modules tested included authentic computer based information literacy, management and communication tasks.</w:t>
            </w:r>
            <w:r w:rsidRPr="00DB2B49">
              <w:t xml:space="preserve"> </w:t>
            </w:r>
          </w:p>
          <w:p w:rsidR="00DB2B49" w:rsidRPr="00DB2B49" w:rsidRDefault="00DB2B49" w:rsidP="00DB2B49">
            <w:pPr>
              <w:pStyle w:val="Box"/>
              <w:rPr>
                <w:lang w:val="en"/>
              </w:rPr>
            </w:pPr>
            <w:r w:rsidRPr="00DB2B49">
              <w:rPr>
                <w:lang w:val="en"/>
              </w:rPr>
              <w:t xml:space="preserve">In Australia, 5326 students from 320 government and non-government schools participated in the test in 2013. </w:t>
            </w:r>
          </w:p>
          <w:p w:rsidR="00DB2B49" w:rsidRDefault="00DB2B49" w:rsidP="00DB2B49">
            <w:pPr>
              <w:pStyle w:val="Box"/>
            </w:pPr>
            <w:r w:rsidRPr="00DB2B49">
              <w:rPr>
                <w:lang w:val="en"/>
              </w:rPr>
              <w:t xml:space="preserve">Unlike other international and national tests, including the </w:t>
            </w:r>
            <w:r w:rsidRPr="00DB2B49">
              <w:t>National Assessment Program — ICT performance assessment of years 6 and 10 (reported elsewhere in this chapter)</w:t>
            </w:r>
            <w:r w:rsidR="00E95417">
              <w:t>,</w:t>
            </w:r>
            <w:r w:rsidRPr="00DB2B49">
              <w:t xml:space="preserve"> </w:t>
            </w:r>
            <w:r w:rsidRPr="00DB2B49">
              <w:rPr>
                <w:lang w:val="en"/>
              </w:rPr>
              <w:t>there is no national proficiency level set for ICILS testing at this time.</w:t>
            </w:r>
          </w:p>
        </w:tc>
      </w:tr>
      <w:tr w:rsidR="00DB2B49" w:rsidTr="00A8608B">
        <w:trPr>
          <w:cantSplit/>
        </w:trPr>
        <w:tc>
          <w:tcPr>
            <w:tcW w:w="8771" w:type="dxa"/>
            <w:tcBorders>
              <w:top w:val="nil"/>
              <w:left w:val="nil"/>
              <w:bottom w:val="nil"/>
              <w:right w:val="nil"/>
            </w:tcBorders>
            <w:shd w:val="clear" w:color="auto" w:fill="F2F2F2"/>
          </w:tcPr>
          <w:p w:rsidR="00DB2B49" w:rsidRDefault="00DB2B49" w:rsidP="00DB2B49">
            <w:pPr>
              <w:pStyle w:val="BoxSource"/>
            </w:pPr>
            <w:r>
              <w:rPr>
                <w:i/>
              </w:rPr>
              <w:t>Source</w:t>
            </w:r>
            <w:r w:rsidRPr="00DB2B49">
              <w:t>: ACER (2014a).</w:t>
            </w:r>
          </w:p>
        </w:tc>
      </w:tr>
      <w:tr w:rsidR="00DB2B49" w:rsidTr="00A8608B">
        <w:trPr>
          <w:cantSplit/>
        </w:trPr>
        <w:tc>
          <w:tcPr>
            <w:tcW w:w="8771" w:type="dxa"/>
            <w:tcBorders>
              <w:top w:val="nil"/>
              <w:left w:val="nil"/>
              <w:bottom w:val="single" w:sz="6" w:space="0" w:color="78A22F"/>
              <w:right w:val="nil"/>
            </w:tcBorders>
            <w:shd w:val="clear" w:color="auto" w:fill="F2F2F2"/>
          </w:tcPr>
          <w:p w:rsidR="00DB2B49" w:rsidRDefault="00DB2B49">
            <w:pPr>
              <w:pStyle w:val="Box"/>
              <w:spacing w:before="0" w:line="120" w:lineRule="exact"/>
            </w:pPr>
          </w:p>
        </w:tc>
      </w:tr>
      <w:tr w:rsidR="00DB2B49" w:rsidRPr="000863A5" w:rsidTr="00A8608B">
        <w:tc>
          <w:tcPr>
            <w:tcW w:w="8771" w:type="dxa"/>
            <w:tcBorders>
              <w:top w:val="single" w:sz="6" w:space="0" w:color="78A22F"/>
              <w:left w:val="nil"/>
              <w:bottom w:val="nil"/>
              <w:right w:val="nil"/>
            </w:tcBorders>
          </w:tcPr>
          <w:p w:rsidR="00DB2B49" w:rsidRPr="00626D32" w:rsidRDefault="00DB2B49" w:rsidP="00A8608B">
            <w:pPr>
              <w:pStyle w:val="BoxSpaceBelow"/>
            </w:pPr>
          </w:p>
        </w:tc>
      </w:tr>
    </w:tbl>
    <w:p w:rsidR="009F2094" w:rsidRDefault="006C164A" w:rsidP="009F2094">
      <w:pPr>
        <w:pStyle w:val="BodyText"/>
      </w:pPr>
      <w:r>
        <w:t xml:space="preserve">Nationally, the proportion of year 8 students who achieved </w:t>
      </w:r>
      <w:r w:rsidR="00EE4203">
        <w:t>at each</w:t>
      </w:r>
      <w:r>
        <w:t xml:space="preserve"> ICILS </w:t>
      </w:r>
      <w:r w:rsidR="00EE4203">
        <w:t xml:space="preserve">proficiency </w:t>
      </w:r>
      <w:r>
        <w:t>level in 2013 was:</w:t>
      </w:r>
    </w:p>
    <w:p w:rsidR="006C164A" w:rsidRDefault="00EE4203" w:rsidP="007D6009">
      <w:pPr>
        <w:pStyle w:val="ListBullet"/>
      </w:pPr>
      <w:r w:rsidRPr="007D6009">
        <w:rPr>
          <w:shd w:val="clear" w:color="auto" w:fill="FFFFFF" w:themeFill="background1"/>
        </w:rPr>
        <w:t>4.1</w:t>
      </w:r>
      <w:r w:rsidR="006C164A">
        <w:t xml:space="preserve"> per cent of students </w:t>
      </w:r>
      <w:r w:rsidR="00036D8F">
        <w:t>at</w:t>
      </w:r>
      <w:r w:rsidR="006C164A">
        <w:t xml:space="preserve"> achieved level 4 (highest level)</w:t>
      </w:r>
    </w:p>
    <w:p w:rsidR="006C164A" w:rsidRDefault="00EE4203" w:rsidP="007D6009">
      <w:pPr>
        <w:pStyle w:val="ListBullet"/>
      </w:pPr>
      <w:r w:rsidRPr="007D6009">
        <w:rPr>
          <w:shd w:val="clear" w:color="auto" w:fill="FFFFFF" w:themeFill="background1"/>
        </w:rPr>
        <w:t>30.4</w:t>
      </w:r>
      <w:r w:rsidR="006C164A">
        <w:t xml:space="preserve"> per cent of students </w:t>
      </w:r>
      <w:r w:rsidR="00036D8F">
        <w:t>at</w:t>
      </w:r>
      <w:r w:rsidR="006C164A">
        <w:t xml:space="preserve"> achieved level 3</w:t>
      </w:r>
    </w:p>
    <w:p w:rsidR="006C164A" w:rsidRDefault="00EE4203" w:rsidP="007D6009">
      <w:pPr>
        <w:pStyle w:val="ListBullet"/>
      </w:pPr>
      <w:r w:rsidRPr="007D6009">
        <w:rPr>
          <w:shd w:val="clear" w:color="auto" w:fill="FFFFFF" w:themeFill="background1"/>
        </w:rPr>
        <w:t>42.3</w:t>
      </w:r>
      <w:r w:rsidR="006C164A">
        <w:t xml:space="preserve"> per cent of students </w:t>
      </w:r>
      <w:r w:rsidR="00036D8F">
        <w:t xml:space="preserve">at </w:t>
      </w:r>
      <w:r w:rsidR="006C164A">
        <w:t>achieved level 2</w:t>
      </w:r>
    </w:p>
    <w:p w:rsidR="006C164A" w:rsidRDefault="00EE4203" w:rsidP="007D6009">
      <w:pPr>
        <w:pStyle w:val="ListBullet"/>
      </w:pPr>
      <w:r w:rsidRPr="007D6009">
        <w:rPr>
          <w:shd w:val="clear" w:color="auto" w:fill="FFFFFF" w:themeFill="background1"/>
        </w:rPr>
        <w:t>17.9</w:t>
      </w:r>
      <w:r w:rsidR="006C164A">
        <w:t xml:space="preserve"> per cent of students </w:t>
      </w:r>
      <w:r w:rsidR="00036D8F">
        <w:t>at</w:t>
      </w:r>
      <w:r w:rsidR="006C164A">
        <w:t xml:space="preserve"> achieved level 1 </w:t>
      </w:r>
    </w:p>
    <w:p w:rsidR="006C164A" w:rsidRDefault="00EE4203" w:rsidP="007D6009">
      <w:pPr>
        <w:pStyle w:val="ListBullet"/>
      </w:pPr>
      <w:r w:rsidRPr="007D6009">
        <w:rPr>
          <w:shd w:val="clear" w:color="auto" w:fill="FFFFFF" w:themeFill="background1"/>
        </w:rPr>
        <w:t>5.3</w:t>
      </w:r>
      <w:r w:rsidR="006C164A">
        <w:t xml:space="preserve"> per cent of students </w:t>
      </w:r>
      <w:r w:rsidR="00036D8F">
        <w:t xml:space="preserve">at </w:t>
      </w:r>
      <w:r w:rsidR="006C164A">
        <w:t>achieved below level 1</w:t>
      </w:r>
      <w:r w:rsidR="00036D8F">
        <w:t>.</w:t>
      </w:r>
      <w:r w:rsidR="006C164A">
        <w:t xml:space="preserve"> </w:t>
      </w:r>
    </w:p>
    <w:p w:rsidR="006C164A" w:rsidRDefault="006C164A" w:rsidP="006C164A">
      <w:pPr>
        <w:pStyle w:val="BodyText"/>
      </w:pPr>
      <w:r>
        <w:t>These proportions varied across jurisdictions (figure 4.3</w:t>
      </w:r>
      <w:r w:rsidR="00FF2AB3">
        <w:t>8</w:t>
      </w:r>
      <w:r>
        <w:t>).</w:t>
      </w:r>
    </w:p>
    <w:p w:rsidR="005A2FDC" w:rsidRDefault="005A2FDC" w:rsidP="0027264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A2FDC" w:rsidTr="0027264A">
        <w:tc>
          <w:tcPr>
            <w:tcW w:w="8771" w:type="dxa"/>
            <w:tcBorders>
              <w:top w:val="single" w:sz="6" w:space="0" w:color="78A22F"/>
              <w:left w:val="nil"/>
              <w:bottom w:val="nil"/>
              <w:right w:val="nil"/>
            </w:tcBorders>
            <w:shd w:val="clear" w:color="auto" w:fill="auto"/>
          </w:tcPr>
          <w:p w:rsidR="005A2FDC" w:rsidRPr="00176D3F" w:rsidRDefault="005A2FDC" w:rsidP="00531D09">
            <w:pPr>
              <w:pStyle w:val="FigureTitle"/>
            </w:pPr>
            <w:r w:rsidRPr="00784A05">
              <w:rPr>
                <w:b w:val="0"/>
              </w:rPr>
              <w:t xml:space="preserve">Figure </w:t>
            </w:r>
            <w:r>
              <w:rPr>
                <w:b w:val="0"/>
              </w:rPr>
              <w:t>4.</w:t>
            </w:r>
            <w:r w:rsidR="005953B6">
              <w:rPr>
                <w:b w:val="0"/>
                <w:noProof/>
              </w:rPr>
              <w:t>38</w:t>
            </w:r>
            <w:r>
              <w:tab/>
              <w:t xml:space="preserve">Proportions of </w:t>
            </w:r>
            <w:r w:rsidR="00531D09">
              <w:t xml:space="preserve">year 8 students achieving various levels in </w:t>
            </w:r>
            <w:r>
              <w:t xml:space="preserve">ICILS </w:t>
            </w:r>
            <w:r w:rsidR="00531D09">
              <w:t>testing</w:t>
            </w:r>
            <w:r>
              <w:t>, 2013</w:t>
            </w:r>
          </w:p>
        </w:tc>
      </w:tr>
      <w:tr w:rsidR="005A2FDC" w:rsidTr="007D6009">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5A2FDC" w:rsidTr="0027264A">
              <w:trPr>
                <w:jc w:val="center"/>
              </w:trPr>
              <w:tc>
                <w:tcPr>
                  <w:tcW w:w="5000" w:type="pct"/>
                  <w:tcBorders>
                    <w:top w:val="nil"/>
                    <w:bottom w:val="nil"/>
                  </w:tcBorders>
                </w:tcPr>
                <w:p w:rsidR="005A2FDC" w:rsidRDefault="00290E1D" w:rsidP="0027264A">
                  <w:pPr>
                    <w:pStyle w:val="Figure"/>
                    <w:spacing w:before="60" w:after="60"/>
                  </w:pPr>
                  <w:r>
                    <w:rPr>
                      <w:noProof/>
                    </w:rPr>
                    <w:drawing>
                      <wp:inline distT="0" distB="0" distL="0" distR="0">
                        <wp:extent cx="5391150" cy="2686050"/>
                        <wp:effectExtent l="0" t="0" r="0" b="0"/>
                        <wp:docPr id="38" name="Picture 38" descr="Figure 4.38 Proportions of year 8 students achieving various levels in ICILS testing,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5A2FDC" w:rsidRDefault="005A2FDC" w:rsidP="0027264A">
            <w:pPr>
              <w:pStyle w:val="Figure"/>
            </w:pPr>
          </w:p>
        </w:tc>
      </w:tr>
      <w:tr w:rsidR="005A2FDC" w:rsidRPr="00176D3F" w:rsidTr="0027264A">
        <w:tc>
          <w:tcPr>
            <w:tcW w:w="8771" w:type="dxa"/>
            <w:tcBorders>
              <w:top w:val="nil"/>
              <w:left w:val="nil"/>
              <w:bottom w:val="nil"/>
              <w:right w:val="nil"/>
            </w:tcBorders>
            <w:shd w:val="clear" w:color="auto" w:fill="auto"/>
          </w:tcPr>
          <w:p w:rsidR="005A2FDC" w:rsidRPr="00176D3F" w:rsidRDefault="00BA6298" w:rsidP="00A71EBC">
            <w:pPr>
              <w:pStyle w:val="Note"/>
            </w:pPr>
            <w:r>
              <w:rPr>
                <w:rStyle w:val="NoteLabel"/>
              </w:rPr>
              <w:t>a</w:t>
            </w:r>
            <w:r>
              <w:t xml:space="preserve"> </w:t>
            </w:r>
            <w:r w:rsidRPr="00DC2D81">
              <w:t>Error bars represent the 95 per cent confidence intervals asso</w:t>
            </w:r>
            <w:r>
              <w:t>ciated with each point estimate</w:t>
            </w:r>
            <w:r w:rsidR="005A2FDC">
              <w:t>.</w:t>
            </w:r>
          </w:p>
        </w:tc>
      </w:tr>
      <w:tr w:rsidR="005A2FDC" w:rsidRPr="00176D3F" w:rsidTr="0027264A">
        <w:tc>
          <w:tcPr>
            <w:tcW w:w="8771" w:type="dxa"/>
            <w:tcBorders>
              <w:top w:val="nil"/>
              <w:left w:val="nil"/>
              <w:bottom w:val="nil"/>
              <w:right w:val="nil"/>
            </w:tcBorders>
            <w:shd w:val="clear" w:color="auto" w:fill="auto"/>
          </w:tcPr>
          <w:p w:rsidR="005A2FDC" w:rsidRPr="00176D3F" w:rsidRDefault="00036D8F" w:rsidP="00BA6298">
            <w:pPr>
              <w:pStyle w:val="Source"/>
            </w:pPr>
            <w:r>
              <w:rPr>
                <w:i/>
              </w:rPr>
              <w:t>S</w:t>
            </w:r>
            <w:r w:rsidR="005A2FDC" w:rsidRPr="00784A05">
              <w:rPr>
                <w:i/>
              </w:rPr>
              <w:t>ource</w:t>
            </w:r>
            <w:r w:rsidR="005A2FDC" w:rsidRPr="00176D3F">
              <w:t xml:space="preserve">: </w:t>
            </w:r>
            <w:r w:rsidR="00DB7D8A" w:rsidRPr="009F2094">
              <w:t xml:space="preserve">Australian Council for Educational Research </w:t>
            </w:r>
            <w:r w:rsidR="00DB7D8A">
              <w:t>(</w:t>
            </w:r>
            <w:r>
              <w:t>ACER</w:t>
            </w:r>
            <w:r w:rsidR="00DB7D8A">
              <w:t>)</w:t>
            </w:r>
            <w:r>
              <w:t xml:space="preserve"> </w:t>
            </w:r>
            <w:r w:rsidR="00BA6298" w:rsidRPr="00BA6298">
              <w:t>and unpublished</w:t>
            </w:r>
            <w:r w:rsidR="00BA6298" w:rsidRPr="00BA6298">
              <w:rPr>
                <w:i/>
              </w:rPr>
              <w:t xml:space="preserve"> </w:t>
            </w:r>
            <w:r w:rsidR="00EE4203" w:rsidRPr="00EE4203">
              <w:rPr>
                <w:i/>
              </w:rPr>
              <w:t>ICILS 2013: Australian students’ readiness for study, w</w:t>
            </w:r>
            <w:r w:rsidR="00B649E7">
              <w:rPr>
                <w:i/>
              </w:rPr>
              <w:t>ork and life in the digital age</w:t>
            </w:r>
            <w:r w:rsidR="00BA6298">
              <w:rPr>
                <w:i/>
              </w:rPr>
              <w:t xml:space="preserve">; </w:t>
            </w:r>
            <w:r w:rsidR="00BA6298" w:rsidRPr="00BA6298">
              <w:t>table</w:t>
            </w:r>
            <w:r w:rsidR="00BA6298">
              <w:t> 4A.181.</w:t>
            </w:r>
          </w:p>
        </w:tc>
      </w:tr>
      <w:tr w:rsidR="005A2FDC" w:rsidTr="0027264A">
        <w:tc>
          <w:tcPr>
            <w:tcW w:w="8771" w:type="dxa"/>
            <w:tcBorders>
              <w:top w:val="nil"/>
              <w:left w:val="nil"/>
              <w:bottom w:val="single" w:sz="6" w:space="0" w:color="78A22F"/>
              <w:right w:val="nil"/>
            </w:tcBorders>
            <w:shd w:val="clear" w:color="auto" w:fill="auto"/>
          </w:tcPr>
          <w:p w:rsidR="005A2FDC" w:rsidRDefault="005A2FDC" w:rsidP="0027264A">
            <w:pPr>
              <w:pStyle w:val="Figurespace"/>
            </w:pPr>
          </w:p>
        </w:tc>
      </w:tr>
      <w:tr w:rsidR="005A2FDC" w:rsidRPr="000863A5" w:rsidTr="0027264A">
        <w:tc>
          <w:tcPr>
            <w:tcW w:w="8771" w:type="dxa"/>
            <w:tcBorders>
              <w:top w:val="single" w:sz="6" w:space="0" w:color="78A22F"/>
              <w:left w:val="nil"/>
              <w:bottom w:val="nil"/>
              <w:right w:val="nil"/>
            </w:tcBorders>
          </w:tcPr>
          <w:p w:rsidR="005A2FDC" w:rsidRPr="00626D32" w:rsidRDefault="005A2FDC" w:rsidP="0027264A">
            <w:pPr>
              <w:pStyle w:val="BoxSpaceBelow"/>
            </w:pPr>
          </w:p>
        </w:tc>
      </w:tr>
    </w:tbl>
    <w:p w:rsidR="00531D09" w:rsidRDefault="00DE4F54" w:rsidP="007D6009">
      <w:pPr>
        <w:pStyle w:val="BodyText"/>
        <w:shd w:val="clear" w:color="auto" w:fill="FFFFFF" w:themeFill="background1"/>
      </w:pPr>
      <w:r>
        <w:t xml:space="preserve">Nationally, the mean score for ICILS in 2013 was </w:t>
      </w:r>
      <w:r w:rsidR="00EE4203" w:rsidRPr="007D6009">
        <w:rPr>
          <w:shd w:val="clear" w:color="auto" w:fill="FFFFFF" w:themeFill="background1"/>
        </w:rPr>
        <w:t>541.6</w:t>
      </w:r>
      <w:r w:rsidRPr="007D6009">
        <w:rPr>
          <w:shd w:val="clear" w:color="auto" w:fill="FFFFFF" w:themeFill="background1"/>
        </w:rPr>
        <w:t xml:space="preserve"> </w:t>
      </w:r>
      <w:r w:rsidRPr="00A71EBC">
        <w:t xml:space="preserve">score points. This was </w:t>
      </w:r>
      <w:r w:rsidR="00EE4203" w:rsidRPr="00A71EBC">
        <w:t xml:space="preserve">significantly </w:t>
      </w:r>
      <w:r w:rsidRPr="00A71EBC">
        <w:rPr>
          <w:shd w:val="clear" w:color="auto" w:fill="FFFFFF" w:themeFill="background1"/>
        </w:rPr>
        <w:t>above</w:t>
      </w:r>
      <w:r w:rsidR="00EE4203" w:rsidRPr="00A71EBC">
        <w:rPr>
          <w:shd w:val="clear" w:color="auto" w:fill="FFFFFF" w:themeFill="background1"/>
        </w:rPr>
        <w:t xml:space="preserve"> </w:t>
      </w:r>
      <w:r w:rsidRPr="00A71EBC">
        <w:rPr>
          <w:shd w:val="clear" w:color="auto" w:fill="FFFFFF" w:themeFill="background1"/>
        </w:rPr>
        <w:t>t</w:t>
      </w:r>
      <w:r w:rsidRPr="00A71EBC">
        <w:t>he average of all participating counties</w:t>
      </w:r>
      <w:r w:rsidR="00EE4203" w:rsidRPr="00A71EBC">
        <w:t xml:space="preserve"> who met the required sampling rates</w:t>
      </w:r>
      <w:r w:rsidRPr="00A71EBC">
        <w:t>. Mean scores varies across jurisdictions (figure 4.39).</w:t>
      </w:r>
    </w:p>
    <w:p w:rsidR="00BA6298" w:rsidRPr="00963842" w:rsidRDefault="00BA6298" w:rsidP="00963842">
      <w:pPr>
        <w:pStyle w:val="BodyText"/>
      </w:pPr>
      <w:r w:rsidRPr="00963842">
        <w:t>Nationally, in 2013, the mean scores for:</w:t>
      </w:r>
    </w:p>
    <w:p w:rsidR="00BA6298" w:rsidRPr="00963842" w:rsidRDefault="00BA6298" w:rsidP="00963842">
      <w:pPr>
        <w:pStyle w:val="ListBullet"/>
      </w:pPr>
      <w:r w:rsidRPr="00963842">
        <w:t>Aboriginal and Torres Strait Islander students (</w:t>
      </w:r>
      <w:r w:rsidR="00EE4203" w:rsidRPr="00963842">
        <w:t>478.9</w:t>
      </w:r>
      <w:r w:rsidRPr="00963842">
        <w:t xml:space="preserve"> points) w</w:t>
      </w:r>
      <w:r w:rsidR="00A71EBC" w:rsidRPr="00963842">
        <w:t>ere</w:t>
      </w:r>
      <w:r w:rsidRPr="00963842">
        <w:t xml:space="preserve"> significantly </w:t>
      </w:r>
      <w:r w:rsidR="00A71EBC" w:rsidRPr="00963842">
        <w:t xml:space="preserve">below </w:t>
      </w:r>
      <w:r w:rsidRPr="00963842">
        <w:t>that of non-Indigenous students (</w:t>
      </w:r>
      <w:r w:rsidR="00A71EBC" w:rsidRPr="00963842">
        <w:t>545.9</w:t>
      </w:r>
      <w:r w:rsidRPr="00963842">
        <w:t xml:space="preserve"> points)</w:t>
      </w:r>
    </w:p>
    <w:p w:rsidR="00BA6298" w:rsidRPr="00963842" w:rsidRDefault="00BA6298" w:rsidP="00963842">
      <w:pPr>
        <w:pStyle w:val="ListBullet"/>
      </w:pPr>
      <w:r w:rsidRPr="00963842">
        <w:t>male students (</w:t>
      </w:r>
      <w:r w:rsidR="00A71EBC" w:rsidRPr="00963842">
        <w:t>529.4 points</w:t>
      </w:r>
      <w:r w:rsidRPr="00963842">
        <w:t xml:space="preserve">) were significantly </w:t>
      </w:r>
      <w:r w:rsidR="00A71EBC" w:rsidRPr="00963842">
        <w:t>below</w:t>
      </w:r>
      <w:r w:rsidRPr="00963842">
        <w:t xml:space="preserve"> female students (</w:t>
      </w:r>
      <w:r w:rsidR="00A71EBC" w:rsidRPr="00963842">
        <w:t>553.5 points</w:t>
      </w:r>
      <w:r w:rsidRPr="00963842">
        <w:t>) (table 4A.182)</w:t>
      </w:r>
    </w:p>
    <w:p w:rsidR="00BA6298" w:rsidRPr="00963842" w:rsidRDefault="00BA6298" w:rsidP="00963842">
      <w:pPr>
        <w:pStyle w:val="BodyText"/>
      </w:pPr>
      <w:r w:rsidRPr="00963842">
        <w:t>Mean scores for geographically remote students and by socio-economic status are included in table 4A.182.</w:t>
      </w:r>
    </w:p>
    <w:p w:rsidR="00DE4F54" w:rsidRDefault="00DE4F54" w:rsidP="00F665D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E4F54" w:rsidTr="00F665D2">
        <w:tc>
          <w:tcPr>
            <w:tcW w:w="8771" w:type="dxa"/>
            <w:tcBorders>
              <w:top w:val="single" w:sz="6" w:space="0" w:color="78A22F"/>
              <w:left w:val="nil"/>
              <w:bottom w:val="nil"/>
              <w:right w:val="nil"/>
            </w:tcBorders>
            <w:shd w:val="clear" w:color="auto" w:fill="auto"/>
          </w:tcPr>
          <w:p w:rsidR="00DE4F54" w:rsidRPr="00176D3F" w:rsidRDefault="00DE4F54" w:rsidP="00DE4F54">
            <w:pPr>
              <w:pStyle w:val="FigureTitle"/>
            </w:pPr>
            <w:r w:rsidRPr="00784A05">
              <w:rPr>
                <w:b w:val="0"/>
              </w:rPr>
              <w:t xml:space="preserve">Figure </w:t>
            </w:r>
            <w:r>
              <w:rPr>
                <w:b w:val="0"/>
              </w:rPr>
              <w:t>4.</w:t>
            </w:r>
            <w:r w:rsidR="005953B6">
              <w:rPr>
                <w:b w:val="0"/>
                <w:noProof/>
              </w:rPr>
              <w:t>39</w:t>
            </w:r>
            <w:r>
              <w:tab/>
              <w:t>Mean scores of year 8 students in ICILS testing, 2013</w:t>
            </w:r>
          </w:p>
        </w:tc>
      </w:tr>
      <w:tr w:rsidR="00DE4F54" w:rsidTr="007D6009">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E4F54" w:rsidTr="00F665D2">
              <w:trPr>
                <w:jc w:val="center"/>
              </w:trPr>
              <w:tc>
                <w:tcPr>
                  <w:tcW w:w="5000" w:type="pct"/>
                  <w:tcBorders>
                    <w:top w:val="nil"/>
                    <w:bottom w:val="nil"/>
                  </w:tcBorders>
                </w:tcPr>
                <w:p w:rsidR="00DE4F54" w:rsidRDefault="00F06596" w:rsidP="00F665D2">
                  <w:pPr>
                    <w:pStyle w:val="Figure"/>
                    <w:spacing w:before="60" w:after="60"/>
                  </w:pPr>
                  <w:r>
                    <w:rPr>
                      <w:noProof/>
                    </w:rPr>
                    <w:drawing>
                      <wp:inline distT="0" distB="0" distL="0" distR="0" wp14:anchorId="375EB192" wp14:editId="46CEF226">
                        <wp:extent cx="5362575" cy="2552700"/>
                        <wp:effectExtent l="0" t="0" r="9525" b="0"/>
                        <wp:docPr id="39" name="Picture 39" descr="Figure 4.39 Mean scores of year 8 students in ICILS testing,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362575" cy="2552700"/>
                                </a:xfrm>
                                <a:prstGeom prst="rect">
                                  <a:avLst/>
                                </a:prstGeom>
                                <a:noFill/>
                                <a:ln>
                                  <a:noFill/>
                                </a:ln>
                              </pic:spPr>
                            </pic:pic>
                          </a:graphicData>
                        </a:graphic>
                      </wp:inline>
                    </w:drawing>
                  </w:r>
                </w:p>
              </w:tc>
            </w:tr>
          </w:tbl>
          <w:p w:rsidR="00DE4F54" w:rsidRDefault="00DE4F54" w:rsidP="00F665D2">
            <w:pPr>
              <w:pStyle w:val="Figure"/>
            </w:pPr>
          </w:p>
        </w:tc>
      </w:tr>
      <w:tr w:rsidR="00DE4F54" w:rsidRPr="00176D3F" w:rsidTr="00F665D2">
        <w:tc>
          <w:tcPr>
            <w:tcW w:w="8771" w:type="dxa"/>
            <w:tcBorders>
              <w:top w:val="nil"/>
              <w:left w:val="nil"/>
              <w:bottom w:val="nil"/>
              <w:right w:val="nil"/>
            </w:tcBorders>
            <w:shd w:val="clear" w:color="auto" w:fill="auto"/>
          </w:tcPr>
          <w:p w:rsidR="00DE4F54" w:rsidRPr="00176D3F" w:rsidRDefault="00DE4F54" w:rsidP="00A71EBC">
            <w:pPr>
              <w:pStyle w:val="Note"/>
            </w:pPr>
            <w:r>
              <w:rPr>
                <w:rStyle w:val="NoteLabel"/>
              </w:rPr>
              <w:t>a</w:t>
            </w:r>
            <w:r w:rsidR="00BA6298">
              <w:t xml:space="preserve"> </w:t>
            </w:r>
            <w:r w:rsidR="00BA6298" w:rsidRPr="00DC2D81">
              <w:t>Error bars represent the 95 per cent confidence intervals asso</w:t>
            </w:r>
            <w:r w:rsidR="00BA6298">
              <w:t>ciated with each point estimate</w:t>
            </w:r>
            <w:r>
              <w:t>.</w:t>
            </w:r>
          </w:p>
        </w:tc>
      </w:tr>
      <w:tr w:rsidR="00BA6298" w:rsidRPr="00176D3F" w:rsidTr="00F665D2">
        <w:tc>
          <w:tcPr>
            <w:tcW w:w="8771" w:type="dxa"/>
            <w:tcBorders>
              <w:top w:val="nil"/>
              <w:left w:val="nil"/>
              <w:bottom w:val="nil"/>
              <w:right w:val="nil"/>
            </w:tcBorders>
            <w:shd w:val="clear" w:color="auto" w:fill="auto"/>
          </w:tcPr>
          <w:p w:rsidR="00BA6298" w:rsidRPr="00176D3F" w:rsidRDefault="00BA6298" w:rsidP="00BA6298">
            <w:pPr>
              <w:pStyle w:val="Source"/>
            </w:pPr>
            <w:r>
              <w:rPr>
                <w:i/>
              </w:rPr>
              <w:t>S</w:t>
            </w:r>
            <w:r w:rsidRPr="00784A05">
              <w:rPr>
                <w:i/>
              </w:rPr>
              <w:t>ource</w:t>
            </w:r>
            <w:r w:rsidRPr="00176D3F">
              <w:t xml:space="preserve">: </w:t>
            </w:r>
            <w:r w:rsidRPr="009F2094">
              <w:t xml:space="preserve">Australian Council for Educational Research </w:t>
            </w:r>
            <w:r>
              <w:t xml:space="preserve">(ACER) </w:t>
            </w:r>
            <w:r w:rsidRPr="00BA6298">
              <w:t>and</w:t>
            </w:r>
            <w:r w:rsidR="00451D4B">
              <w:t xml:space="preserve"> unpublished</w:t>
            </w:r>
            <w:r w:rsidRPr="00BA6298">
              <w:t xml:space="preserve"> </w:t>
            </w:r>
            <w:r w:rsidR="00B649E7" w:rsidRPr="00EE4203">
              <w:rPr>
                <w:i/>
              </w:rPr>
              <w:t>ICILS 2013: Australian students’ readiness for study, w</w:t>
            </w:r>
            <w:r w:rsidR="00B649E7">
              <w:rPr>
                <w:i/>
              </w:rPr>
              <w:t>ork and life in the digital age</w:t>
            </w:r>
            <w:r>
              <w:rPr>
                <w:i/>
              </w:rPr>
              <w:t xml:space="preserve">; </w:t>
            </w:r>
            <w:r w:rsidRPr="00BA6298">
              <w:t>table</w:t>
            </w:r>
            <w:r>
              <w:t> 4A.181.</w:t>
            </w:r>
          </w:p>
        </w:tc>
      </w:tr>
      <w:tr w:rsidR="00DE4F54" w:rsidTr="00F665D2">
        <w:tc>
          <w:tcPr>
            <w:tcW w:w="8771" w:type="dxa"/>
            <w:tcBorders>
              <w:top w:val="nil"/>
              <w:left w:val="nil"/>
              <w:bottom w:val="single" w:sz="6" w:space="0" w:color="78A22F"/>
              <w:right w:val="nil"/>
            </w:tcBorders>
            <w:shd w:val="clear" w:color="auto" w:fill="auto"/>
          </w:tcPr>
          <w:p w:rsidR="00DE4F54" w:rsidRDefault="00DE4F54" w:rsidP="00F665D2">
            <w:pPr>
              <w:pStyle w:val="Figurespace"/>
            </w:pPr>
          </w:p>
        </w:tc>
      </w:tr>
      <w:tr w:rsidR="00DE4F54" w:rsidRPr="000863A5" w:rsidTr="00F665D2">
        <w:tc>
          <w:tcPr>
            <w:tcW w:w="8771" w:type="dxa"/>
            <w:tcBorders>
              <w:top w:val="single" w:sz="6" w:space="0" w:color="78A22F"/>
              <w:left w:val="nil"/>
              <w:bottom w:val="nil"/>
              <w:right w:val="nil"/>
            </w:tcBorders>
          </w:tcPr>
          <w:p w:rsidR="00DE4F54" w:rsidRPr="00626D32" w:rsidRDefault="00DE4F54" w:rsidP="00F665D2">
            <w:pPr>
              <w:pStyle w:val="BoxSpaceBelow"/>
            </w:pPr>
          </w:p>
        </w:tc>
      </w:tr>
    </w:tbl>
    <w:p w:rsidR="00F64D20" w:rsidRDefault="00F64D20" w:rsidP="007B0AE2">
      <w:pPr>
        <w:pStyle w:val="Heading5"/>
      </w:pPr>
      <w:r w:rsidRPr="003B4371">
        <w:t>PI</w:t>
      </w:r>
      <w:r w:rsidR="00414312">
        <w:t>SA</w:t>
      </w:r>
      <w:r w:rsidRPr="003B4371">
        <w:t xml:space="preserve"> assessment</w:t>
      </w:r>
    </w:p>
    <w:p w:rsidR="00414312" w:rsidRDefault="00414312" w:rsidP="00DC2D81">
      <w:pPr>
        <w:pStyle w:val="BodyText"/>
      </w:pPr>
      <w:r w:rsidRPr="00DC2D81">
        <w:t xml:space="preserve">The Programme for International Student Assessment (PISA) </w:t>
      </w:r>
      <w:r w:rsidR="00CE740B" w:rsidRPr="00DC2D81">
        <w:t xml:space="preserve">is a sample assessment </w:t>
      </w:r>
      <w:r w:rsidRPr="00DC2D81">
        <w:t>undertaken e</w:t>
      </w:r>
      <w:r w:rsidR="00CE740B" w:rsidRPr="00DC2D81">
        <w:t>very</w:t>
      </w:r>
      <w:r w:rsidRPr="00DC2D81">
        <w:t xml:space="preserve"> three years (box 4.1</w:t>
      </w:r>
      <w:r w:rsidR="005A177C">
        <w:t>2</w:t>
      </w:r>
      <w:r w:rsidRPr="00DC2D81">
        <w:t xml:space="preserve">). </w:t>
      </w:r>
      <w:r w:rsidR="0069451F" w:rsidRPr="00DC2D81">
        <w:t xml:space="preserve">Data from PISA 2012 were included in the 2014 Report. The attachment tables contain detailed results for PISA </w:t>
      </w:r>
      <w:r w:rsidR="00E95417" w:rsidRPr="00DC2D81">
        <w:t xml:space="preserve">2012 </w:t>
      </w:r>
      <w:r w:rsidR="0069451F" w:rsidRPr="00DC2D81">
        <w:t>and summary data from earlier PISA rounds (tables 4A.</w:t>
      </w:r>
      <w:r w:rsidR="000C2B98">
        <w:t>159</w:t>
      </w:r>
      <w:r w:rsidR="0069451F" w:rsidRPr="00DC2D81">
        <w:t>–</w:t>
      </w:r>
      <w:r w:rsidR="000C2B98">
        <w:t>173</w:t>
      </w:r>
      <w:r w:rsidR="0069451F" w:rsidRPr="00DC2D81">
        <w:t xml:space="preserve">). Detailed results from earlier PISA rounds were included in earlier reports. PISA 2015 data are anticipated to be included in the 2017 Report. </w:t>
      </w:r>
    </w:p>
    <w:p w:rsidR="009F2094" w:rsidRDefault="009F209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F2094" w:rsidTr="00701AD6">
        <w:tc>
          <w:tcPr>
            <w:tcW w:w="8771" w:type="dxa"/>
            <w:tcBorders>
              <w:top w:val="single" w:sz="6" w:space="0" w:color="78A22F"/>
              <w:left w:val="nil"/>
              <w:bottom w:val="nil"/>
              <w:right w:val="nil"/>
            </w:tcBorders>
            <w:shd w:val="clear" w:color="auto" w:fill="F2F2F2"/>
          </w:tcPr>
          <w:p w:rsidR="009F2094" w:rsidRDefault="009F2094">
            <w:pPr>
              <w:pStyle w:val="BoxTitle"/>
            </w:pPr>
            <w:r>
              <w:rPr>
                <w:b w:val="0"/>
              </w:rPr>
              <w:t xml:space="preserve">Box </w:t>
            </w:r>
            <w:r w:rsidR="00B70781">
              <w:rPr>
                <w:b w:val="0"/>
              </w:rPr>
              <w:t>4.</w:t>
            </w:r>
            <w:r w:rsidR="005953B6">
              <w:rPr>
                <w:b w:val="0"/>
                <w:noProof/>
              </w:rPr>
              <w:t>12</w:t>
            </w:r>
            <w:r>
              <w:tab/>
            </w:r>
            <w:r w:rsidRPr="009F2094">
              <w:t>Programme for International Student Assessment</w:t>
            </w:r>
          </w:p>
        </w:tc>
      </w:tr>
      <w:tr w:rsidR="009F2094" w:rsidTr="00701AD6">
        <w:trPr>
          <w:cantSplit/>
        </w:trPr>
        <w:tc>
          <w:tcPr>
            <w:tcW w:w="8771" w:type="dxa"/>
            <w:tcBorders>
              <w:top w:val="nil"/>
              <w:left w:val="nil"/>
              <w:bottom w:val="nil"/>
              <w:right w:val="nil"/>
            </w:tcBorders>
            <w:shd w:val="clear" w:color="auto" w:fill="F2F2F2"/>
          </w:tcPr>
          <w:p w:rsidR="009F2094" w:rsidRPr="009F2094" w:rsidRDefault="009F2094" w:rsidP="009F2094">
            <w:pPr>
              <w:pStyle w:val="Box"/>
            </w:pPr>
            <w:r w:rsidRPr="009F2094">
              <w:t xml:space="preserve">PISA provides learning outcomes data for 15 year olds in three core assessment domains: reading literacy, mathematical literacy and scientific literacy. In 2012, around 510 000 students from 65 countries and economies participated in the PISA assessment. From Australia, this included 14 481 students from 775 schools. Mathematical literacy was the major domain tested in PISA 2012. </w:t>
            </w:r>
          </w:p>
          <w:p w:rsidR="009F2094" w:rsidRPr="009F2094" w:rsidRDefault="009F2094" w:rsidP="009F2094">
            <w:pPr>
              <w:pStyle w:val="Box"/>
            </w:pPr>
            <w:r w:rsidRPr="009F2094">
              <w:t>Time series comparisons can only be made across PISA data once a subject has been a major assessment domain. All domains have now been the subject of a major assessment, but in different cycles.</w:t>
            </w:r>
          </w:p>
          <w:p w:rsidR="009F2094" w:rsidRPr="009F2094" w:rsidRDefault="009F2094" w:rsidP="009F2094">
            <w:pPr>
              <w:pStyle w:val="Box"/>
            </w:pPr>
            <w:r w:rsidRPr="009F2094">
              <w:t>The national proficient standard is set at Proficiency level 3.</w:t>
            </w:r>
          </w:p>
          <w:p w:rsidR="009F2094" w:rsidRDefault="009F2094" w:rsidP="009F2094">
            <w:pPr>
              <w:pStyle w:val="Box"/>
            </w:pPr>
            <w:r w:rsidRPr="009F2094">
              <w:t>Further information on PISA is available at the PISA website: www.acer.edu.au/ozpisa/reports.</w:t>
            </w:r>
          </w:p>
        </w:tc>
      </w:tr>
      <w:tr w:rsidR="009F2094" w:rsidTr="00701AD6">
        <w:trPr>
          <w:cantSplit/>
        </w:trPr>
        <w:tc>
          <w:tcPr>
            <w:tcW w:w="8771" w:type="dxa"/>
            <w:tcBorders>
              <w:top w:val="nil"/>
              <w:left w:val="nil"/>
              <w:bottom w:val="nil"/>
              <w:right w:val="nil"/>
            </w:tcBorders>
            <w:shd w:val="clear" w:color="auto" w:fill="F2F2F2"/>
          </w:tcPr>
          <w:p w:rsidR="009F2094" w:rsidRDefault="009F2094" w:rsidP="00701AD6">
            <w:pPr>
              <w:pStyle w:val="BoxSource"/>
            </w:pPr>
            <w:r>
              <w:rPr>
                <w:i/>
              </w:rPr>
              <w:t>Source</w:t>
            </w:r>
            <w:r w:rsidRPr="009F2094">
              <w:t>: Australian Council f</w:t>
            </w:r>
            <w:r w:rsidR="00AF6FB4">
              <w:t xml:space="preserve">or Educational Research (ACER </w:t>
            </w:r>
            <w:r w:rsidRPr="009F2094">
              <w:t>2013).</w:t>
            </w:r>
          </w:p>
        </w:tc>
      </w:tr>
      <w:tr w:rsidR="009F2094" w:rsidTr="00701AD6">
        <w:trPr>
          <w:cantSplit/>
        </w:trPr>
        <w:tc>
          <w:tcPr>
            <w:tcW w:w="8771" w:type="dxa"/>
            <w:tcBorders>
              <w:top w:val="nil"/>
              <w:left w:val="nil"/>
              <w:bottom w:val="single" w:sz="6" w:space="0" w:color="78A22F"/>
              <w:right w:val="nil"/>
            </w:tcBorders>
            <w:shd w:val="clear" w:color="auto" w:fill="F2F2F2"/>
          </w:tcPr>
          <w:p w:rsidR="009F2094" w:rsidRDefault="009F2094">
            <w:pPr>
              <w:pStyle w:val="Box"/>
              <w:spacing w:before="0" w:line="120" w:lineRule="exact"/>
            </w:pPr>
          </w:p>
        </w:tc>
      </w:tr>
      <w:tr w:rsidR="009F2094" w:rsidRPr="000863A5" w:rsidTr="00701AD6">
        <w:tc>
          <w:tcPr>
            <w:tcW w:w="8771" w:type="dxa"/>
            <w:tcBorders>
              <w:top w:val="single" w:sz="6" w:space="0" w:color="78A22F"/>
              <w:left w:val="nil"/>
              <w:bottom w:val="nil"/>
              <w:right w:val="nil"/>
            </w:tcBorders>
          </w:tcPr>
          <w:p w:rsidR="009F2094" w:rsidRPr="00626D32" w:rsidRDefault="009F2094" w:rsidP="00701AD6">
            <w:pPr>
              <w:pStyle w:val="BoxSpaceBelow"/>
            </w:pPr>
          </w:p>
        </w:tc>
      </w:tr>
    </w:tbl>
    <w:p w:rsidR="00360D26" w:rsidRDefault="00360D26" w:rsidP="007B0AE2">
      <w:pPr>
        <w:pStyle w:val="Heading6"/>
      </w:pPr>
      <w:r>
        <w:lastRenderedPageBreak/>
        <w:t>PISA reading literacy</w:t>
      </w:r>
    </w:p>
    <w:p w:rsidR="00564940" w:rsidRDefault="00770948" w:rsidP="00DC2D81">
      <w:pPr>
        <w:pStyle w:val="BodyText"/>
      </w:pPr>
      <w:r w:rsidRPr="00770948">
        <w:t xml:space="preserve">Reading literacy was the major domain tested in the PISA 2000 and 2009 </w:t>
      </w:r>
      <w:r w:rsidR="00476217">
        <w:t>cycle</w:t>
      </w:r>
      <w:r w:rsidRPr="00770948">
        <w:t xml:space="preserve">s. </w:t>
      </w:r>
      <w:r w:rsidR="00476217" w:rsidRPr="00476217">
        <w:t>Reading literacy results from subsequent cycles may be compared with the 2000 cycle</w:t>
      </w:r>
      <w:r w:rsidRPr="00770948">
        <w:t>. In PISA 20</w:t>
      </w:r>
      <w:r w:rsidR="00360D26">
        <w:t>12</w:t>
      </w:r>
      <w:r w:rsidRPr="00770948">
        <w:t xml:space="preserve"> the proportion of Australian 15 year old students who achieved at </w:t>
      </w:r>
      <w:r w:rsidR="00476217">
        <w:t xml:space="preserve">or above </w:t>
      </w:r>
      <w:r w:rsidR="00482113" w:rsidRPr="00D3193D">
        <w:rPr>
          <w:shd w:val="clear" w:color="auto" w:fill="FFFFFF" w:themeFill="background1"/>
        </w:rPr>
        <w:t>the national proficient standard of</w:t>
      </w:r>
      <w:r w:rsidR="00482113">
        <w:t xml:space="preserve"> </w:t>
      </w:r>
      <w:r w:rsidRPr="00770948">
        <w:t xml:space="preserve">level 3 in reading literacy nationally was </w:t>
      </w:r>
      <w:r w:rsidR="00EB0185" w:rsidRPr="00D3193D">
        <w:rPr>
          <w:shd w:val="clear" w:color="auto" w:fill="FFFFFF" w:themeFill="background1"/>
        </w:rPr>
        <w:t>62.9</w:t>
      </w:r>
      <w:r w:rsidR="002362DE" w:rsidRPr="00D3193D">
        <w:rPr>
          <w:shd w:val="clear" w:color="auto" w:fill="FFFFFF" w:themeFill="background1"/>
        </w:rPr>
        <w:t>–</w:t>
      </w:r>
      <w:r w:rsidR="00EB0185" w:rsidRPr="00D3193D">
        <w:rPr>
          <w:shd w:val="clear" w:color="auto" w:fill="FFFFFF" w:themeFill="background1"/>
        </w:rPr>
        <w:t>65.5</w:t>
      </w:r>
      <w:r w:rsidR="00E161F4" w:rsidRPr="00D3193D">
        <w:rPr>
          <w:shd w:val="clear" w:color="auto" w:fill="FFFFFF" w:themeFill="background1"/>
        </w:rPr>
        <w:t> </w:t>
      </w:r>
      <w:r w:rsidRPr="00D3193D">
        <w:rPr>
          <w:shd w:val="clear" w:color="auto" w:fill="FFFFFF" w:themeFill="background1"/>
        </w:rPr>
        <w:t>per</w:t>
      </w:r>
      <w:r w:rsidR="00E161F4" w:rsidRPr="00D3193D">
        <w:rPr>
          <w:shd w:val="clear" w:color="auto" w:fill="FFFFFF" w:themeFill="background1"/>
        </w:rPr>
        <w:t> </w:t>
      </w:r>
      <w:r w:rsidRPr="00A059FF">
        <w:rPr>
          <w:shd w:val="clear" w:color="auto" w:fill="FFFFFF" w:themeFill="background1"/>
        </w:rPr>
        <w:t>cent</w:t>
      </w:r>
      <w:r w:rsidR="007B5845">
        <w:rPr>
          <w:shd w:val="clear" w:color="auto" w:fill="FFFFFF" w:themeFill="background1"/>
        </w:rPr>
        <w:t xml:space="preserve"> </w:t>
      </w:r>
      <w:r w:rsidR="0006446B">
        <w:t>(table 4A.</w:t>
      </w:r>
      <w:r w:rsidR="00F45C6F">
        <w:t>160</w:t>
      </w:r>
      <w:r w:rsidR="0006446B">
        <w:t>).</w:t>
      </w:r>
    </w:p>
    <w:p w:rsidR="00DB7D8A" w:rsidRPr="00DB7D8A" w:rsidRDefault="00DB7D8A" w:rsidP="00DB7D8A">
      <w:pPr>
        <w:pStyle w:val="BodyText"/>
      </w:pPr>
      <w:r w:rsidRPr="00DB7D8A">
        <w:t>Results of the PISA 2009 Digital Reading Literacy Assessment were released in 2012. Students in every State and Territory performed significantly higher in digital than print reading literacy (ACER 2012</w:t>
      </w:r>
      <w:r>
        <w:t>a</w:t>
      </w:r>
      <w:r w:rsidRPr="00DB7D8A">
        <w:t>).</w:t>
      </w:r>
    </w:p>
    <w:p w:rsidR="00360D26" w:rsidRDefault="00360D26" w:rsidP="007B0AE2">
      <w:pPr>
        <w:pStyle w:val="Heading6"/>
      </w:pPr>
      <w:r>
        <w:t>PISA mathematical literacy</w:t>
      </w:r>
    </w:p>
    <w:p w:rsidR="00B02190" w:rsidRDefault="00360D26" w:rsidP="00DC2D81">
      <w:pPr>
        <w:pStyle w:val="BodyText"/>
      </w:pPr>
      <w:r w:rsidRPr="00360D26">
        <w:t xml:space="preserve">Mathematical literacy was the major domain tested in the PISA 2003 </w:t>
      </w:r>
      <w:r>
        <w:t xml:space="preserve">and 2012 </w:t>
      </w:r>
      <w:r w:rsidRPr="00360D26">
        <w:t>survey</w:t>
      </w:r>
      <w:r>
        <w:t>s</w:t>
      </w:r>
      <w:r w:rsidRPr="00EC06F7">
        <w:rPr>
          <w:shd w:val="clear" w:color="auto" w:fill="FFFFFF" w:themeFill="background1"/>
        </w:rPr>
        <w:t xml:space="preserve">. </w:t>
      </w:r>
      <w:r w:rsidR="00DA4B0D" w:rsidRPr="00EC06F7">
        <w:rPr>
          <w:shd w:val="clear" w:color="auto" w:fill="FFFFFF" w:themeFill="background1"/>
        </w:rPr>
        <w:t>Mathematical literacy results from subsequent cycles may be compared with the 2003 cycle</w:t>
      </w:r>
      <w:r w:rsidRPr="00EC06F7">
        <w:rPr>
          <w:shd w:val="clear" w:color="auto" w:fill="FFFFFF" w:themeFill="background1"/>
        </w:rPr>
        <w:t>.</w:t>
      </w:r>
      <w:r w:rsidRPr="00360D26">
        <w:t xml:space="preserve"> In PISA 20</w:t>
      </w:r>
      <w:r>
        <w:t>12</w:t>
      </w:r>
      <w:r w:rsidRPr="00360D26">
        <w:t xml:space="preserve"> the proportion of Australian 15 year old students who achieved</w:t>
      </w:r>
      <w:r w:rsidR="00DA4B0D" w:rsidRPr="00DA4B0D">
        <w:t xml:space="preserve"> at or above the national proficient standard </w:t>
      </w:r>
      <w:r w:rsidR="00482113" w:rsidRPr="00D3193D">
        <w:rPr>
          <w:shd w:val="clear" w:color="auto" w:fill="FFFFFF" w:themeFill="background1"/>
        </w:rPr>
        <w:t xml:space="preserve">of </w:t>
      </w:r>
      <w:r w:rsidRPr="00D3193D">
        <w:rPr>
          <w:shd w:val="clear" w:color="auto" w:fill="FFFFFF" w:themeFill="background1"/>
        </w:rPr>
        <w:t xml:space="preserve">level 3 in mathematical literacy was </w:t>
      </w:r>
      <w:r w:rsidR="00582527" w:rsidRPr="00D3193D">
        <w:rPr>
          <w:shd w:val="clear" w:color="auto" w:fill="FFFFFF" w:themeFill="background1"/>
        </w:rPr>
        <w:t>56.9</w:t>
      </w:r>
      <w:r w:rsidR="0003283E">
        <w:rPr>
          <w:shd w:val="clear" w:color="auto" w:fill="FFFFFF" w:themeFill="background1"/>
        </w:rPr>
        <w:noBreakHyphen/>
      </w:r>
      <w:r w:rsidR="00582527" w:rsidRPr="00D3193D">
        <w:rPr>
          <w:shd w:val="clear" w:color="auto" w:fill="FFFFFF" w:themeFill="background1"/>
        </w:rPr>
        <w:t>59.9</w:t>
      </w:r>
      <w:r w:rsidR="0003283E">
        <w:rPr>
          <w:shd w:val="clear" w:color="auto" w:fill="FFFFFF" w:themeFill="background1"/>
        </w:rPr>
        <w:t> </w:t>
      </w:r>
      <w:r w:rsidR="00B02190" w:rsidRPr="00D3193D">
        <w:rPr>
          <w:shd w:val="clear" w:color="auto" w:fill="FFFFFF" w:themeFill="background1"/>
        </w:rPr>
        <w:t>per</w:t>
      </w:r>
      <w:r w:rsidR="0003283E">
        <w:rPr>
          <w:shd w:val="clear" w:color="auto" w:fill="FFFFFF" w:themeFill="background1"/>
        </w:rPr>
        <w:t> </w:t>
      </w:r>
      <w:r w:rsidR="007B5845">
        <w:rPr>
          <w:shd w:val="clear" w:color="auto" w:fill="FFFFFF" w:themeFill="background1"/>
        </w:rPr>
        <w:t xml:space="preserve">cent </w:t>
      </w:r>
      <w:r w:rsidR="0006446B">
        <w:t>(table 4A.</w:t>
      </w:r>
      <w:r w:rsidR="00F45C6F">
        <w:t>165</w:t>
      </w:r>
      <w:r w:rsidR="0006446B">
        <w:t>).</w:t>
      </w:r>
    </w:p>
    <w:p w:rsidR="00360D26" w:rsidRDefault="00360D26" w:rsidP="007B0AE2">
      <w:pPr>
        <w:pStyle w:val="Heading6"/>
      </w:pPr>
      <w:r>
        <w:t xml:space="preserve">PISA </w:t>
      </w:r>
      <w:r w:rsidR="0096612F">
        <w:t>scientific</w:t>
      </w:r>
      <w:r>
        <w:t xml:space="preserve"> literacy</w:t>
      </w:r>
    </w:p>
    <w:p w:rsidR="00B02190" w:rsidRDefault="00BD787D" w:rsidP="00DC2D81">
      <w:pPr>
        <w:pStyle w:val="BodyText"/>
      </w:pPr>
      <w:r w:rsidRPr="00BD787D">
        <w:t>Scientific literacy was the major domain</w:t>
      </w:r>
      <w:r w:rsidR="0002178B">
        <w:t xml:space="preserve"> tested in the PISA 2006 cycle.</w:t>
      </w:r>
      <w:r w:rsidRPr="00BD787D">
        <w:t xml:space="preserve"> Scientific literacy results from subsequent cycles may be</w:t>
      </w:r>
      <w:r>
        <w:t xml:space="preserve"> compared with the 2006 cycle. </w:t>
      </w:r>
      <w:r w:rsidRPr="00BD787D">
        <w:t>In PISA 2012, the proportion of Australian 15 year old students who achieved at or above the national proficient standard of Level 3 in scientific literacy nationally was</w:t>
      </w:r>
      <w:r>
        <w:t xml:space="preserve"> </w:t>
      </w:r>
      <w:r w:rsidR="00582527" w:rsidRPr="00D3193D">
        <w:rPr>
          <w:shd w:val="clear" w:color="auto" w:fill="FFFFFF" w:themeFill="background1"/>
        </w:rPr>
        <w:t>63.5–66.3</w:t>
      </w:r>
      <w:r w:rsidR="00A014FB" w:rsidRPr="00D3193D">
        <w:rPr>
          <w:shd w:val="clear" w:color="auto" w:fill="FFFFFF" w:themeFill="background1"/>
        </w:rPr>
        <w:t xml:space="preserve"> </w:t>
      </w:r>
      <w:r w:rsidR="00360D26" w:rsidRPr="00D3193D">
        <w:rPr>
          <w:shd w:val="clear" w:color="auto" w:fill="FFFFFF" w:themeFill="background1"/>
        </w:rPr>
        <w:t>per cent</w:t>
      </w:r>
      <w:r w:rsidR="008C43C7">
        <w:rPr>
          <w:shd w:val="clear" w:color="auto" w:fill="FFFFFF" w:themeFill="background1"/>
        </w:rPr>
        <w:t xml:space="preserve"> </w:t>
      </w:r>
      <w:r w:rsidR="0006446B">
        <w:t>(table</w:t>
      </w:r>
      <w:r w:rsidR="008C43C7">
        <w:t> </w:t>
      </w:r>
      <w:r w:rsidR="0006446B">
        <w:t>4A.</w:t>
      </w:r>
      <w:r w:rsidR="00F45C6F">
        <w:t>170</w:t>
      </w:r>
      <w:r w:rsidR="0006446B">
        <w:t>).</w:t>
      </w:r>
    </w:p>
    <w:p w:rsidR="00491C19" w:rsidRDefault="00491C19" w:rsidP="00491C19">
      <w:pPr>
        <w:pStyle w:val="Heading6"/>
      </w:pPr>
      <w:r>
        <w:t>Other PISA releases</w:t>
      </w:r>
    </w:p>
    <w:p w:rsidR="008C43C7" w:rsidRDefault="00491C19" w:rsidP="00804A23">
      <w:pPr>
        <w:pStyle w:val="BodyText"/>
        <w:shd w:val="clear" w:color="auto" w:fill="FFFFFF" w:themeFill="background1"/>
        <w:rPr>
          <w:shd w:val="clear" w:color="auto" w:fill="FFFFFF" w:themeFill="background1"/>
        </w:rPr>
      </w:pPr>
      <w:r w:rsidRPr="005F4973">
        <w:rPr>
          <w:shd w:val="clear" w:color="auto" w:fill="FFFFFF" w:themeFill="background1"/>
        </w:rPr>
        <w:t xml:space="preserve">Two additional PISA 2012 reports </w:t>
      </w:r>
      <w:r w:rsidR="005F4973" w:rsidRPr="005F4973">
        <w:rPr>
          <w:shd w:val="clear" w:color="auto" w:fill="FFFFFF" w:themeFill="background1"/>
        </w:rPr>
        <w:t>wer</w:t>
      </w:r>
      <w:r w:rsidRPr="005F4973">
        <w:rPr>
          <w:shd w:val="clear" w:color="auto" w:fill="FFFFFF" w:themeFill="background1"/>
        </w:rPr>
        <w:t xml:space="preserve">e released </w:t>
      </w:r>
      <w:r w:rsidR="005F4973" w:rsidRPr="005F4973">
        <w:rPr>
          <w:shd w:val="clear" w:color="auto" w:fill="FFFFFF" w:themeFill="background1"/>
        </w:rPr>
        <w:t>during</w:t>
      </w:r>
      <w:r w:rsidRPr="005F4973">
        <w:rPr>
          <w:shd w:val="clear" w:color="auto" w:fill="FFFFFF" w:themeFill="background1"/>
        </w:rPr>
        <w:t xml:space="preserve"> 2014</w:t>
      </w:r>
      <w:r w:rsidR="008C43C7">
        <w:rPr>
          <w:shd w:val="clear" w:color="auto" w:fill="FFFFFF" w:themeFill="background1"/>
        </w:rPr>
        <w:t>:</w:t>
      </w:r>
    </w:p>
    <w:p w:rsidR="008C43C7" w:rsidRDefault="00F45C6F" w:rsidP="008C43C7">
      <w:pPr>
        <w:pStyle w:val="ListBullet"/>
      </w:pPr>
      <w:r>
        <w:rPr>
          <w:shd w:val="clear" w:color="auto" w:fill="FFFFFF" w:themeFill="background1"/>
        </w:rPr>
        <w:t>F</w:t>
      </w:r>
      <w:r w:rsidR="00491C19" w:rsidRPr="005F4973">
        <w:rPr>
          <w:shd w:val="clear" w:color="auto" w:fill="FFFFFF" w:themeFill="background1"/>
        </w:rPr>
        <w:t xml:space="preserve">inancial literacy </w:t>
      </w:r>
      <w:r>
        <w:rPr>
          <w:shd w:val="clear" w:color="auto" w:fill="FFFFFF" w:themeFill="background1"/>
        </w:rPr>
        <w:t>data were released at a national level only</w:t>
      </w:r>
      <w:r w:rsidR="008C43C7">
        <w:rPr>
          <w:shd w:val="clear" w:color="auto" w:fill="FFFFFF" w:themeFill="background1"/>
        </w:rPr>
        <w:t>. On</w:t>
      </w:r>
      <w:r>
        <w:rPr>
          <w:shd w:val="clear" w:color="auto" w:fill="FFFFFF" w:themeFill="background1"/>
        </w:rPr>
        <w:t xml:space="preserve"> average </w:t>
      </w:r>
      <w:r w:rsidR="00491C19" w:rsidRPr="005F4973">
        <w:rPr>
          <w:shd w:val="clear" w:color="auto" w:fill="FFFFFF" w:themeFill="background1"/>
        </w:rPr>
        <w:t xml:space="preserve">Australian students performed significantly better </w:t>
      </w:r>
      <w:r w:rsidR="00657F82">
        <w:rPr>
          <w:shd w:val="clear" w:color="auto" w:fill="FFFFFF" w:themeFill="background1"/>
        </w:rPr>
        <w:t xml:space="preserve">(526 score points) </w:t>
      </w:r>
      <w:r w:rsidR="00491C19" w:rsidRPr="005F4973">
        <w:rPr>
          <w:shd w:val="clear" w:color="auto" w:fill="FFFFFF" w:themeFill="background1"/>
        </w:rPr>
        <w:t>tha</w:t>
      </w:r>
      <w:r w:rsidR="005F4973">
        <w:rPr>
          <w:shd w:val="clear" w:color="auto" w:fill="FFFFFF" w:themeFill="background1"/>
        </w:rPr>
        <w:t>n</w:t>
      </w:r>
      <w:r w:rsidR="00491C19" w:rsidRPr="005F4973">
        <w:rPr>
          <w:shd w:val="clear" w:color="auto" w:fill="FFFFFF" w:themeFill="background1"/>
        </w:rPr>
        <w:t xml:space="preserve"> the OECD </w:t>
      </w:r>
      <w:r w:rsidR="00491C19" w:rsidRPr="00DB7D8A">
        <w:rPr>
          <w:shd w:val="clear" w:color="auto" w:fill="FFFFFF" w:themeFill="background1"/>
        </w:rPr>
        <w:t>average</w:t>
      </w:r>
      <w:r w:rsidR="00657F82">
        <w:rPr>
          <w:shd w:val="clear" w:color="auto" w:fill="FFFFFF" w:themeFill="background1"/>
        </w:rPr>
        <w:t xml:space="preserve"> of 500 score points</w:t>
      </w:r>
      <w:r w:rsidR="00491C19" w:rsidRPr="00DB7D8A">
        <w:t xml:space="preserve"> </w:t>
      </w:r>
      <w:r w:rsidRPr="00DB7D8A">
        <w:rPr>
          <w:shd w:val="clear" w:color="auto" w:fill="FFFFFF" w:themeFill="background1"/>
        </w:rPr>
        <w:t>(ACER 2014</w:t>
      </w:r>
      <w:r w:rsidR="00DB7D8A" w:rsidRPr="00DB7D8A">
        <w:rPr>
          <w:shd w:val="clear" w:color="auto" w:fill="FFFFFF" w:themeFill="background1"/>
        </w:rPr>
        <w:t>b</w:t>
      </w:r>
      <w:r w:rsidR="00657F82">
        <w:rPr>
          <w:shd w:val="clear" w:color="auto" w:fill="FFFFFF" w:themeFill="background1"/>
        </w:rPr>
        <w:t>)</w:t>
      </w:r>
      <w:r>
        <w:t xml:space="preserve">. </w:t>
      </w:r>
    </w:p>
    <w:p w:rsidR="00491C19" w:rsidRPr="00491C19" w:rsidRDefault="00657F82" w:rsidP="008C43C7">
      <w:pPr>
        <w:pStyle w:val="ListBullet"/>
      </w:pPr>
      <w:r>
        <w:t>A report on p</w:t>
      </w:r>
      <w:r w:rsidR="00F45C6F" w:rsidRPr="005F4973">
        <w:rPr>
          <w:shd w:val="clear" w:color="auto" w:fill="FFFFFF" w:themeFill="background1"/>
        </w:rPr>
        <w:t xml:space="preserve">roblem solving </w:t>
      </w:r>
      <w:r w:rsidR="00F45C6F">
        <w:rPr>
          <w:shd w:val="clear" w:color="auto" w:fill="FFFFFF" w:themeFill="background1"/>
        </w:rPr>
        <w:t>w</w:t>
      </w:r>
      <w:r>
        <w:rPr>
          <w:shd w:val="clear" w:color="auto" w:fill="FFFFFF" w:themeFill="background1"/>
        </w:rPr>
        <w:t>as</w:t>
      </w:r>
      <w:r w:rsidR="00F45C6F">
        <w:rPr>
          <w:shd w:val="clear" w:color="auto" w:fill="FFFFFF" w:themeFill="background1"/>
        </w:rPr>
        <w:t xml:space="preserve"> </w:t>
      </w:r>
      <w:r w:rsidR="00804A23">
        <w:rPr>
          <w:shd w:val="clear" w:color="auto" w:fill="FFFFFF" w:themeFill="background1"/>
        </w:rPr>
        <w:t xml:space="preserve">also released. </w:t>
      </w:r>
      <w:r w:rsidR="00804A23" w:rsidRPr="00804A23">
        <w:rPr>
          <w:shd w:val="clear" w:color="auto" w:fill="FFFFFF" w:themeFill="background1"/>
        </w:rPr>
        <w:t>Australia achieved a mean score of 523 points on the problem-solving assessment, which was</w:t>
      </w:r>
      <w:r w:rsidR="00804A23">
        <w:rPr>
          <w:shd w:val="clear" w:color="auto" w:fill="FFFFFF" w:themeFill="background1"/>
        </w:rPr>
        <w:t xml:space="preserve"> </w:t>
      </w:r>
      <w:r w:rsidR="00804A23" w:rsidRPr="00804A23">
        <w:rPr>
          <w:shd w:val="clear" w:color="auto" w:fill="FFFFFF" w:themeFill="background1"/>
        </w:rPr>
        <w:t>significantly above the OECD average of 500 score points</w:t>
      </w:r>
      <w:r w:rsidR="00804A23">
        <w:rPr>
          <w:shd w:val="clear" w:color="auto" w:fill="FFFFFF" w:themeFill="background1"/>
        </w:rPr>
        <w:t xml:space="preserve">. </w:t>
      </w:r>
      <w:r w:rsidR="008C43C7">
        <w:rPr>
          <w:shd w:val="clear" w:color="auto" w:fill="FFFFFF" w:themeFill="background1"/>
        </w:rPr>
        <w:t>Problem solving data are</w:t>
      </w:r>
      <w:r w:rsidR="00804A23">
        <w:rPr>
          <w:shd w:val="clear" w:color="auto" w:fill="FFFFFF" w:themeFill="background1"/>
        </w:rPr>
        <w:t xml:space="preserve"> also </w:t>
      </w:r>
      <w:r w:rsidR="008C43C7">
        <w:rPr>
          <w:shd w:val="clear" w:color="auto" w:fill="FFFFFF" w:themeFill="background1"/>
        </w:rPr>
        <w:t>available</w:t>
      </w:r>
      <w:r w:rsidR="00804A23">
        <w:rPr>
          <w:shd w:val="clear" w:color="auto" w:fill="FFFFFF" w:themeFill="background1"/>
        </w:rPr>
        <w:t xml:space="preserve"> </w:t>
      </w:r>
      <w:r>
        <w:rPr>
          <w:shd w:val="clear" w:color="auto" w:fill="FFFFFF" w:themeFill="background1"/>
        </w:rPr>
        <w:t>b</w:t>
      </w:r>
      <w:r w:rsidR="00804A23">
        <w:rPr>
          <w:shd w:val="clear" w:color="auto" w:fill="FFFFFF" w:themeFill="background1"/>
        </w:rPr>
        <w:t>y state and territory</w:t>
      </w:r>
      <w:r>
        <w:rPr>
          <w:shd w:val="clear" w:color="auto" w:fill="FFFFFF" w:themeFill="background1"/>
        </w:rPr>
        <w:t xml:space="preserve"> (ACER 2014c)</w:t>
      </w:r>
      <w:r w:rsidR="00F45C6F">
        <w:rPr>
          <w:shd w:val="clear" w:color="auto" w:fill="FFFFFF" w:themeFill="background1"/>
        </w:rPr>
        <w:t>.</w:t>
      </w:r>
      <w:r w:rsidR="00F45C6F" w:rsidRPr="005F4973">
        <w:rPr>
          <w:shd w:val="clear" w:color="auto" w:fill="FFFF00"/>
        </w:rPr>
        <w:t xml:space="preserve"> </w:t>
      </w:r>
    </w:p>
    <w:p w:rsidR="00A06D34" w:rsidRPr="003B4371" w:rsidRDefault="00A06D34" w:rsidP="007B0AE2">
      <w:pPr>
        <w:pStyle w:val="Heading5"/>
      </w:pPr>
      <w:r w:rsidRPr="003B4371">
        <w:t>PIRLS assessment</w:t>
      </w:r>
    </w:p>
    <w:p w:rsidR="00A06D34" w:rsidRDefault="00A06D34" w:rsidP="00DC2D81">
      <w:pPr>
        <w:pStyle w:val="BodyText"/>
      </w:pPr>
      <w:r w:rsidRPr="003B4371">
        <w:t>The Progress in International Reading Literacy Study (PIRLS) assessments are undertaken e</w:t>
      </w:r>
      <w:r w:rsidR="00B503CF">
        <w:t>very</w:t>
      </w:r>
      <w:r w:rsidRPr="003B4371">
        <w:t xml:space="preserve"> five years (box 4.</w:t>
      </w:r>
      <w:r w:rsidR="00CD37BC" w:rsidRPr="003B4371">
        <w:t>1</w:t>
      </w:r>
      <w:r w:rsidR="005A177C">
        <w:t>3</w:t>
      </w:r>
      <w:r w:rsidRPr="003B4371">
        <w:t xml:space="preserve">). </w:t>
      </w:r>
      <w:r w:rsidR="00950439">
        <w:t>Outcomes</w:t>
      </w:r>
      <w:r w:rsidR="0069451F" w:rsidRPr="0069451F">
        <w:t xml:space="preserve"> from </w:t>
      </w:r>
      <w:r w:rsidR="0069451F">
        <w:t>the 2011 PIRLS</w:t>
      </w:r>
      <w:r w:rsidR="0069451F" w:rsidRPr="0069451F">
        <w:t xml:space="preserve"> were </w:t>
      </w:r>
      <w:r w:rsidR="00950439">
        <w:t xml:space="preserve">first </w:t>
      </w:r>
      <w:r w:rsidR="0069451F" w:rsidRPr="0069451F">
        <w:t>included in the 2014</w:t>
      </w:r>
      <w:r w:rsidR="00E95417">
        <w:t xml:space="preserve"> </w:t>
      </w:r>
      <w:r w:rsidR="0069451F" w:rsidRPr="0069451F">
        <w:t>Report</w:t>
      </w:r>
      <w:r w:rsidR="00F45C6F">
        <w:t xml:space="preserve"> and data are included in the attachment tables to this report </w:t>
      </w:r>
      <w:r w:rsidR="00950439">
        <w:br/>
      </w:r>
      <w:r w:rsidR="00F45C6F">
        <w:t>(tables 4A.179-180)</w:t>
      </w:r>
      <w:r w:rsidR="0069451F" w:rsidRPr="0069451F">
        <w:t>.</w:t>
      </w:r>
    </w:p>
    <w:p w:rsidR="0058556B" w:rsidRDefault="0058556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8556B" w:rsidTr="0058556B">
        <w:tc>
          <w:tcPr>
            <w:tcW w:w="8771" w:type="dxa"/>
            <w:tcBorders>
              <w:top w:val="single" w:sz="6" w:space="0" w:color="78A22F"/>
              <w:left w:val="nil"/>
              <w:bottom w:val="nil"/>
              <w:right w:val="nil"/>
            </w:tcBorders>
            <w:shd w:val="clear" w:color="auto" w:fill="F2F2F2"/>
          </w:tcPr>
          <w:p w:rsidR="0058556B" w:rsidRDefault="0058556B">
            <w:pPr>
              <w:pStyle w:val="BoxTitle"/>
            </w:pPr>
            <w:r>
              <w:rPr>
                <w:b w:val="0"/>
              </w:rPr>
              <w:t xml:space="preserve">Box </w:t>
            </w:r>
            <w:r w:rsidR="00B70781">
              <w:rPr>
                <w:b w:val="0"/>
              </w:rPr>
              <w:t>4.</w:t>
            </w:r>
            <w:r w:rsidR="005953B6">
              <w:rPr>
                <w:b w:val="0"/>
                <w:noProof/>
              </w:rPr>
              <w:t>13</w:t>
            </w:r>
            <w:r>
              <w:tab/>
            </w:r>
            <w:r w:rsidRPr="0058556B">
              <w:t>Progress in International Reading Literacy Study</w:t>
            </w:r>
          </w:p>
        </w:tc>
      </w:tr>
      <w:tr w:rsidR="0058556B" w:rsidTr="0058556B">
        <w:trPr>
          <w:cantSplit/>
        </w:trPr>
        <w:tc>
          <w:tcPr>
            <w:tcW w:w="8771" w:type="dxa"/>
            <w:tcBorders>
              <w:top w:val="nil"/>
              <w:left w:val="nil"/>
              <w:bottom w:val="nil"/>
              <w:right w:val="nil"/>
            </w:tcBorders>
            <w:shd w:val="clear" w:color="auto" w:fill="F2F2F2"/>
          </w:tcPr>
          <w:p w:rsidR="009F2094" w:rsidRPr="009F2094" w:rsidRDefault="009F2094" w:rsidP="009F2094">
            <w:pPr>
              <w:pStyle w:val="Box"/>
            </w:pPr>
            <w:r w:rsidRPr="009F2094">
              <w:t xml:space="preserve">PIRLS provides learning outcomes data for year 4 students in reading literacy performance. This international test is conducted every five years but was first undertaken by students in Australian schools in 2011. Students from 45 countries or economies participated in the 2011 PIRLS assessment, including over 6000 Australian students from 280 schools. </w:t>
            </w:r>
          </w:p>
          <w:p w:rsidR="009F2094" w:rsidRPr="009F2094" w:rsidRDefault="009F2094" w:rsidP="009F2094">
            <w:pPr>
              <w:pStyle w:val="Box"/>
            </w:pPr>
            <w:r w:rsidRPr="009F2094">
              <w:t xml:space="preserve">PIRLS uses two organising dimensions for the assessment, referred to as the </w:t>
            </w:r>
            <w:r w:rsidRPr="009F2094">
              <w:rPr>
                <w:i/>
                <w:iCs/>
              </w:rPr>
              <w:t xml:space="preserve">purposes for reading </w:t>
            </w:r>
            <w:r w:rsidRPr="009F2094">
              <w:t xml:space="preserve">and the </w:t>
            </w:r>
            <w:r w:rsidRPr="009F2094">
              <w:rPr>
                <w:i/>
                <w:iCs/>
              </w:rPr>
              <w:t xml:space="preserve">reading processes. </w:t>
            </w:r>
            <w:r w:rsidRPr="009F2094">
              <w:t>Each of the reading processes — focus on and retrieve explicitly stated information, make straightforward inferences, interpret and integrate ideas and information and examine and evaluate content, language and textual elements — is assessed within each purpose for reading (reading for literacy experience and reading to gain information). The PIRLS 2011 assessment was based on 10 different texts, five for the literary purpose and five for the informational purpose.</w:t>
            </w:r>
          </w:p>
          <w:p w:rsidR="0058556B" w:rsidRDefault="009F2094" w:rsidP="009F2094">
            <w:pPr>
              <w:pStyle w:val="Box"/>
            </w:pPr>
            <w:r w:rsidRPr="009F2094">
              <w:t>PIRLS is assessed on a different basis to NAPLAN testing and its results are not comparable to NAPLAN results. Whereas NAPLAN measures against a national minimum standard, PIRLS measures against a series of achievement levels. PIRLS may provide additional information on reading that is not available in NAPLAN.</w:t>
            </w:r>
          </w:p>
        </w:tc>
      </w:tr>
      <w:tr w:rsidR="0058556B" w:rsidTr="0058556B">
        <w:trPr>
          <w:cantSplit/>
        </w:trPr>
        <w:tc>
          <w:tcPr>
            <w:tcW w:w="8771" w:type="dxa"/>
            <w:tcBorders>
              <w:top w:val="nil"/>
              <w:left w:val="nil"/>
              <w:bottom w:val="nil"/>
              <w:right w:val="nil"/>
            </w:tcBorders>
            <w:shd w:val="clear" w:color="auto" w:fill="F2F2F2"/>
          </w:tcPr>
          <w:p w:rsidR="0058556B" w:rsidRDefault="009F2094" w:rsidP="0058556B">
            <w:pPr>
              <w:pStyle w:val="BoxSource"/>
            </w:pPr>
            <w:r>
              <w:rPr>
                <w:i/>
              </w:rPr>
              <w:t>Source</w:t>
            </w:r>
            <w:r w:rsidR="0058556B" w:rsidRPr="00167F06">
              <w:t xml:space="preserve">: </w:t>
            </w:r>
            <w:r w:rsidRPr="009F2094">
              <w:t>Australian Council for Educational R</w:t>
            </w:r>
            <w:r w:rsidR="00E35469">
              <w:t xml:space="preserve">esearch (ACER </w:t>
            </w:r>
            <w:r w:rsidRPr="009F2094">
              <w:t>2012b)</w:t>
            </w:r>
          </w:p>
        </w:tc>
      </w:tr>
      <w:tr w:rsidR="0058556B" w:rsidTr="0058556B">
        <w:trPr>
          <w:cantSplit/>
        </w:trPr>
        <w:tc>
          <w:tcPr>
            <w:tcW w:w="8771" w:type="dxa"/>
            <w:tcBorders>
              <w:top w:val="nil"/>
              <w:left w:val="nil"/>
              <w:bottom w:val="single" w:sz="6" w:space="0" w:color="78A22F"/>
              <w:right w:val="nil"/>
            </w:tcBorders>
            <w:shd w:val="clear" w:color="auto" w:fill="F2F2F2"/>
          </w:tcPr>
          <w:p w:rsidR="0058556B" w:rsidRDefault="0058556B">
            <w:pPr>
              <w:pStyle w:val="Box"/>
              <w:spacing w:before="0" w:line="120" w:lineRule="exact"/>
            </w:pPr>
          </w:p>
        </w:tc>
      </w:tr>
      <w:tr w:rsidR="0058556B" w:rsidRPr="000863A5" w:rsidTr="0058556B">
        <w:tc>
          <w:tcPr>
            <w:tcW w:w="8771" w:type="dxa"/>
            <w:tcBorders>
              <w:top w:val="single" w:sz="6" w:space="0" w:color="78A22F"/>
              <w:left w:val="nil"/>
              <w:bottom w:val="nil"/>
              <w:right w:val="nil"/>
            </w:tcBorders>
          </w:tcPr>
          <w:p w:rsidR="0058556B" w:rsidRPr="00626D32" w:rsidRDefault="0058556B" w:rsidP="0058556B">
            <w:pPr>
              <w:pStyle w:val="BoxSpaceBelow"/>
            </w:pPr>
          </w:p>
        </w:tc>
      </w:tr>
    </w:tbl>
    <w:p w:rsidR="00556909" w:rsidRPr="003B4371" w:rsidRDefault="00053132" w:rsidP="00092B6C">
      <w:pPr>
        <w:pStyle w:val="BodyText"/>
      </w:pPr>
      <w:r w:rsidRPr="003B4371">
        <w:t xml:space="preserve">In PIRLS 2011 the proportion of tested Australian year </w:t>
      </w:r>
      <w:r w:rsidR="00360D26">
        <w:t>4</w:t>
      </w:r>
      <w:r w:rsidRPr="003B4371">
        <w:t xml:space="preserve"> students who achieved at or above the intermediate international benchmark (a score of 475) was </w:t>
      </w:r>
      <w:r w:rsidR="00CE1968">
        <w:br/>
        <w:t xml:space="preserve">73.6–77.6 </w:t>
      </w:r>
      <w:r w:rsidRPr="003B4371">
        <w:t>per cent</w:t>
      </w:r>
      <w:r w:rsidR="00F45C6F">
        <w:t xml:space="preserve"> (table 4A.179)</w:t>
      </w:r>
      <w:r w:rsidR="00702F3D" w:rsidRPr="003B4371">
        <w:t>. This was a lower proportion than 26 other partic</w:t>
      </w:r>
      <w:r w:rsidR="0006446B">
        <w:t>ipating countries or economies.</w:t>
      </w:r>
    </w:p>
    <w:p w:rsidR="00360D26" w:rsidRPr="005A122F" w:rsidRDefault="00360D26" w:rsidP="007B0AE2">
      <w:pPr>
        <w:pStyle w:val="Heading5"/>
      </w:pPr>
      <w:r w:rsidRPr="005A122F">
        <w:t>TIMSS assessment</w:t>
      </w:r>
    </w:p>
    <w:p w:rsidR="0069451F" w:rsidRPr="00092B6C" w:rsidRDefault="00360D26" w:rsidP="00092B6C">
      <w:pPr>
        <w:pStyle w:val="BodyText"/>
      </w:pPr>
      <w:r w:rsidRPr="00092B6C">
        <w:t xml:space="preserve">The Trends in International Mathematics and Science Study (TIMSS) assessments are conducted each four years </w:t>
      </w:r>
      <w:r w:rsidR="0069451F" w:rsidRPr="00092B6C">
        <w:t>(box 4.</w:t>
      </w:r>
      <w:r w:rsidR="00A31986">
        <w:t>1</w:t>
      </w:r>
      <w:r w:rsidR="005A177C">
        <w:t>4</w:t>
      </w:r>
      <w:r w:rsidR="0069451F" w:rsidRPr="00092B6C">
        <w:t xml:space="preserve">) </w:t>
      </w:r>
      <w:r w:rsidRPr="00092B6C">
        <w:t xml:space="preserve">and provide learning outcomes data for students in year 4 and year 8 in the assessment domains of mathematics achievement and science achievement. </w:t>
      </w:r>
    </w:p>
    <w:p w:rsidR="0069451F" w:rsidRDefault="0069451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9451F" w:rsidTr="0078036C">
        <w:tc>
          <w:tcPr>
            <w:tcW w:w="8771" w:type="dxa"/>
            <w:tcBorders>
              <w:top w:val="single" w:sz="6" w:space="0" w:color="78A22F"/>
              <w:left w:val="nil"/>
              <w:bottom w:val="nil"/>
              <w:right w:val="nil"/>
            </w:tcBorders>
            <w:shd w:val="clear" w:color="auto" w:fill="F2F2F2"/>
          </w:tcPr>
          <w:p w:rsidR="0069451F" w:rsidRDefault="0069451F" w:rsidP="009F2094">
            <w:pPr>
              <w:pStyle w:val="BoxTitle"/>
            </w:pPr>
            <w:r>
              <w:rPr>
                <w:b w:val="0"/>
              </w:rPr>
              <w:t xml:space="preserve">Box </w:t>
            </w:r>
            <w:r w:rsidR="00B70781">
              <w:rPr>
                <w:b w:val="0"/>
              </w:rPr>
              <w:t>4.</w:t>
            </w:r>
            <w:r w:rsidR="005953B6">
              <w:rPr>
                <w:b w:val="0"/>
                <w:noProof/>
              </w:rPr>
              <w:t>14</w:t>
            </w:r>
            <w:r>
              <w:tab/>
            </w:r>
            <w:r w:rsidR="000D2E31" w:rsidRPr="000D2E31">
              <w:t>Trends in International Mathematics and Science Study</w:t>
            </w:r>
          </w:p>
        </w:tc>
      </w:tr>
      <w:tr w:rsidR="0069451F" w:rsidTr="0078036C">
        <w:trPr>
          <w:cantSplit/>
        </w:trPr>
        <w:tc>
          <w:tcPr>
            <w:tcW w:w="8771" w:type="dxa"/>
            <w:tcBorders>
              <w:top w:val="nil"/>
              <w:left w:val="nil"/>
              <w:bottom w:val="nil"/>
              <w:right w:val="nil"/>
            </w:tcBorders>
            <w:shd w:val="clear" w:color="auto" w:fill="F2F2F2"/>
          </w:tcPr>
          <w:p w:rsidR="000D2E31" w:rsidRPr="000D2E31" w:rsidRDefault="000D2E31" w:rsidP="000D2E31">
            <w:pPr>
              <w:pStyle w:val="Box"/>
            </w:pPr>
            <w:r w:rsidRPr="000D2E31">
              <w:t xml:space="preserve">The TIMSS provides learning outcomes data for students in year 4 and year 8 in two assessment domains: mathematics achievement and science achievement. In 2011, 600 000 students from 52 countries participated in the TIMSS assessment. From Australia, this included over 13 700 students from 555 schools. </w:t>
            </w:r>
          </w:p>
          <w:p w:rsidR="0069451F" w:rsidRDefault="000D2E31" w:rsidP="005953B6">
            <w:pPr>
              <w:pStyle w:val="Box"/>
            </w:pPr>
            <w:r w:rsidRPr="000D2E31">
              <w:t>The attachment tables (tables 4A.</w:t>
            </w:r>
            <w:r w:rsidR="005953B6">
              <w:t>174</w:t>
            </w:r>
            <w:r w:rsidRPr="000D2E31">
              <w:t>–1</w:t>
            </w:r>
            <w:r w:rsidR="005953B6">
              <w:t>78</w:t>
            </w:r>
            <w:r w:rsidRPr="000D2E31">
              <w:t>) contain detailed results for the 2003, 2007 and 2011 TIMSS assessments. Further information on TIMSS is available at the TIMSS website: http://www.acer.edu.au/timss.</w:t>
            </w:r>
          </w:p>
        </w:tc>
      </w:tr>
      <w:tr w:rsidR="0069451F" w:rsidTr="0078036C">
        <w:trPr>
          <w:cantSplit/>
        </w:trPr>
        <w:tc>
          <w:tcPr>
            <w:tcW w:w="8771" w:type="dxa"/>
            <w:tcBorders>
              <w:top w:val="nil"/>
              <w:left w:val="nil"/>
              <w:bottom w:val="nil"/>
              <w:right w:val="nil"/>
            </w:tcBorders>
            <w:shd w:val="clear" w:color="auto" w:fill="F2F2F2"/>
          </w:tcPr>
          <w:p w:rsidR="0069451F" w:rsidRDefault="000D2E31" w:rsidP="00735213">
            <w:pPr>
              <w:pStyle w:val="BoxSource"/>
            </w:pPr>
            <w:r>
              <w:rPr>
                <w:i/>
              </w:rPr>
              <w:t>Source</w:t>
            </w:r>
            <w:r w:rsidR="0069451F" w:rsidRPr="00167F06">
              <w:t xml:space="preserve">: </w:t>
            </w:r>
            <w:r w:rsidRPr="000D2E31">
              <w:t>Australian Council f</w:t>
            </w:r>
            <w:r w:rsidR="005953B6">
              <w:t xml:space="preserve">or Educational Research (ACER </w:t>
            </w:r>
            <w:r w:rsidRPr="000D2E31">
              <w:t>2012</w:t>
            </w:r>
            <w:r w:rsidR="00735213">
              <w:t>b</w:t>
            </w:r>
            <w:r w:rsidRPr="000D2E31">
              <w:t>)</w:t>
            </w:r>
          </w:p>
        </w:tc>
      </w:tr>
      <w:tr w:rsidR="0069451F" w:rsidTr="0078036C">
        <w:trPr>
          <w:cantSplit/>
        </w:trPr>
        <w:tc>
          <w:tcPr>
            <w:tcW w:w="8771" w:type="dxa"/>
            <w:tcBorders>
              <w:top w:val="nil"/>
              <w:left w:val="nil"/>
              <w:bottom w:val="single" w:sz="6" w:space="0" w:color="78A22F"/>
              <w:right w:val="nil"/>
            </w:tcBorders>
            <w:shd w:val="clear" w:color="auto" w:fill="F2F2F2"/>
          </w:tcPr>
          <w:p w:rsidR="0069451F" w:rsidRDefault="0069451F">
            <w:pPr>
              <w:pStyle w:val="Box"/>
              <w:spacing w:before="0" w:line="120" w:lineRule="exact"/>
            </w:pPr>
          </w:p>
        </w:tc>
      </w:tr>
      <w:tr w:rsidR="0069451F" w:rsidRPr="000863A5" w:rsidTr="0078036C">
        <w:tc>
          <w:tcPr>
            <w:tcW w:w="8771" w:type="dxa"/>
            <w:tcBorders>
              <w:top w:val="single" w:sz="6" w:space="0" w:color="78A22F"/>
              <w:left w:val="nil"/>
              <w:bottom w:val="nil"/>
              <w:right w:val="nil"/>
            </w:tcBorders>
          </w:tcPr>
          <w:p w:rsidR="0069451F" w:rsidRPr="00626D32" w:rsidRDefault="0069451F" w:rsidP="0078036C">
            <w:pPr>
              <w:pStyle w:val="BoxSpaceBelow"/>
            </w:pPr>
          </w:p>
        </w:tc>
      </w:tr>
    </w:tbl>
    <w:p w:rsidR="00360D26" w:rsidRPr="00092B6C" w:rsidRDefault="00360D26" w:rsidP="00092B6C">
      <w:pPr>
        <w:pStyle w:val="BodyText"/>
      </w:pPr>
      <w:r w:rsidRPr="00092B6C">
        <w:lastRenderedPageBreak/>
        <w:t>D</w:t>
      </w:r>
      <w:r w:rsidR="0069451F" w:rsidRPr="00092B6C">
        <w:t>etailed d</w:t>
      </w:r>
      <w:r w:rsidRPr="00092B6C">
        <w:t>ata from the 2011 TIMSS were included in the 2013</w:t>
      </w:r>
      <w:r w:rsidR="00727C58" w:rsidRPr="00092B6C">
        <w:t> </w:t>
      </w:r>
      <w:r w:rsidRPr="00092B6C">
        <w:t xml:space="preserve">Report. </w:t>
      </w:r>
      <w:r w:rsidR="008C43C7">
        <w:t>T</w:t>
      </w:r>
      <w:r w:rsidRPr="00092B6C">
        <w:t>ables 4A.1</w:t>
      </w:r>
      <w:r w:rsidR="00271196">
        <w:t>74</w:t>
      </w:r>
      <w:r w:rsidRPr="00092B6C">
        <w:t>–1</w:t>
      </w:r>
      <w:r w:rsidR="00271196">
        <w:t>78</w:t>
      </w:r>
      <w:r w:rsidRPr="00092B6C">
        <w:t xml:space="preserve"> contain detailed results for the 2003, 2007 and 2011 TIMSS assessments</w:t>
      </w:r>
      <w:r w:rsidR="00E55771" w:rsidRPr="00092B6C">
        <w:t>, by achievement level</w:t>
      </w:r>
      <w:r w:rsidR="00271196">
        <w:t>, including</w:t>
      </w:r>
      <w:r w:rsidR="00644F57" w:rsidRPr="00092B6C">
        <w:t xml:space="preserve"> 2011 TIM</w:t>
      </w:r>
      <w:r w:rsidR="00D55908" w:rsidRPr="00092B6C">
        <w:t>S</w:t>
      </w:r>
      <w:r w:rsidR="00644F57" w:rsidRPr="00092B6C">
        <w:t>S outcom</w:t>
      </w:r>
      <w:r w:rsidR="005F4AEF" w:rsidRPr="00092B6C">
        <w:t xml:space="preserve">es by equity group and </w:t>
      </w:r>
      <w:r w:rsidR="00644F57" w:rsidRPr="00092B6C">
        <w:t>comparisons of significance of difference between the 2011 TIMSS and earlier rounds.</w:t>
      </w:r>
    </w:p>
    <w:p w:rsidR="00666ECE" w:rsidRPr="00DA7453" w:rsidRDefault="00666ECE" w:rsidP="007E78CB">
      <w:pPr>
        <w:pStyle w:val="Heading4"/>
      </w:pPr>
      <w:r w:rsidRPr="00DA7453">
        <w:t>Other outcomes</w:t>
      </w:r>
    </w:p>
    <w:p w:rsidR="00666ECE" w:rsidRPr="00DA7453" w:rsidRDefault="00666ECE" w:rsidP="003856E6">
      <w:pPr>
        <w:pStyle w:val="Heading5"/>
      </w:pPr>
      <w:r w:rsidRPr="00DA7453">
        <w:t>Completion</w:t>
      </w:r>
      <w:r w:rsidRPr="00DA7453">
        <w:rPr>
          <w:color w:val="FF0000"/>
          <w:u w:val="dotted"/>
        </w:rPr>
        <w:t xml:space="preserve"> </w:t>
      </w:r>
    </w:p>
    <w:p w:rsidR="00666ECE" w:rsidRPr="00735213" w:rsidRDefault="00666ECE" w:rsidP="00092B6C">
      <w:pPr>
        <w:pStyle w:val="BodyText"/>
        <w:rPr>
          <w:b/>
          <w:u w:val="dotted"/>
        </w:rPr>
      </w:pPr>
      <w:r w:rsidRPr="00DA7453">
        <w:t>‘Completion’ is an indicator of governments’ objective</w:t>
      </w:r>
      <w:r w:rsidRPr="00666ECE">
        <w:t xml:space="preserve"> that all students have access to high quality education and training to year 12 or equivalent, that </w:t>
      </w:r>
      <w:r w:rsidRPr="00735213">
        <w:t>provides clear and recognised pathways to further education, training and employment (box 4.1</w:t>
      </w:r>
      <w:r w:rsidR="005A177C" w:rsidRPr="00735213">
        <w:t>5</w:t>
      </w:r>
      <w:r w:rsidRPr="00735213">
        <w:t>).</w:t>
      </w:r>
    </w:p>
    <w:p w:rsidR="0097296B" w:rsidRDefault="0097296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7296B" w:rsidTr="001D0F72">
        <w:tc>
          <w:tcPr>
            <w:tcW w:w="8771" w:type="dxa"/>
            <w:tcBorders>
              <w:top w:val="single" w:sz="6" w:space="0" w:color="78A22F"/>
              <w:left w:val="nil"/>
              <w:bottom w:val="nil"/>
              <w:right w:val="nil"/>
            </w:tcBorders>
            <w:shd w:val="clear" w:color="auto" w:fill="F2F2F2"/>
          </w:tcPr>
          <w:p w:rsidR="0097296B" w:rsidRDefault="0097296B">
            <w:pPr>
              <w:pStyle w:val="BoxTitle"/>
            </w:pPr>
            <w:r>
              <w:rPr>
                <w:b w:val="0"/>
              </w:rPr>
              <w:t xml:space="preserve">Box </w:t>
            </w:r>
            <w:r w:rsidR="00B70781">
              <w:rPr>
                <w:b w:val="0"/>
              </w:rPr>
              <w:t>4.</w:t>
            </w:r>
            <w:r w:rsidR="005953B6">
              <w:rPr>
                <w:b w:val="0"/>
                <w:noProof/>
              </w:rPr>
              <w:t>15</w:t>
            </w:r>
            <w:r>
              <w:tab/>
            </w:r>
            <w:r w:rsidRPr="0097296B">
              <w:t>Completion</w:t>
            </w:r>
          </w:p>
        </w:tc>
      </w:tr>
      <w:tr w:rsidR="0097296B" w:rsidTr="001D0F72">
        <w:trPr>
          <w:cantSplit/>
        </w:trPr>
        <w:tc>
          <w:tcPr>
            <w:tcW w:w="8771" w:type="dxa"/>
            <w:tcBorders>
              <w:top w:val="nil"/>
              <w:left w:val="nil"/>
              <w:bottom w:val="nil"/>
              <w:right w:val="nil"/>
            </w:tcBorders>
            <w:shd w:val="clear" w:color="auto" w:fill="F2F2F2"/>
          </w:tcPr>
          <w:p w:rsidR="0097296B" w:rsidRPr="0097296B" w:rsidRDefault="008C43C7" w:rsidP="0097296B">
            <w:pPr>
              <w:pStyle w:val="Box"/>
            </w:pPr>
            <w:r>
              <w:t>‘</w:t>
            </w:r>
            <w:r w:rsidR="0097296B" w:rsidRPr="0097296B">
              <w:t>Completion’ (completion rate) is defined as the number of students who meet the requirements of a year 12 certificate or equivalent expressed as a percentage of the estimated potential year 12 population. The estimated potential year 12 population is an estimate of a single year age group that could have attended year 12 that year, calculated as the estimated resident population aged 15–19 divided by five. The completion rate is reported by socio-economic status, geolocation and sex.</w:t>
            </w:r>
          </w:p>
          <w:p w:rsidR="0097296B" w:rsidRPr="0097296B" w:rsidRDefault="0097296B" w:rsidP="00092B6C">
            <w:pPr>
              <w:pStyle w:val="BoxListBullet"/>
            </w:pPr>
            <w:r w:rsidRPr="0097296B">
              <w:t xml:space="preserve">The criteria for obtaining a year 12 or equivalent certificate vary across jurisdictions. </w:t>
            </w:r>
          </w:p>
          <w:p w:rsidR="0097296B" w:rsidRPr="0097296B" w:rsidRDefault="0097296B" w:rsidP="00092B6C">
            <w:pPr>
              <w:pStyle w:val="BoxListBullet"/>
            </w:pPr>
            <w:r w:rsidRPr="0097296B">
              <w:t xml:space="preserve">The aggregation of all postcode locations into three socio-economic status categories — high, medium and low — means there may be significant variation within the categories. </w:t>
            </w:r>
            <w:r w:rsidR="002377B3">
              <w:t>The low category</w:t>
            </w:r>
            <w:r w:rsidRPr="0097296B">
              <w:t>, for example, will include locations ranging from those of extreme disadvantage to those of moderate disadvantage.</w:t>
            </w:r>
          </w:p>
          <w:p w:rsidR="0097296B" w:rsidRPr="0097296B" w:rsidRDefault="0097296B" w:rsidP="0097296B">
            <w:pPr>
              <w:pStyle w:val="Box"/>
            </w:pPr>
            <w:r w:rsidRPr="0097296B">
              <w:t>Data reported for this measure are:</w:t>
            </w:r>
          </w:p>
          <w:p w:rsidR="0097296B" w:rsidRPr="0097296B" w:rsidRDefault="0097296B" w:rsidP="00092B6C">
            <w:pPr>
              <w:pStyle w:val="BoxListBullet"/>
            </w:pPr>
            <w:r w:rsidRPr="0097296B">
              <w:t>comparable (subject to caveats) within some jurisdictions over time but are not comparable across jurisdictions (see caveats in attachment tables for specific jurisdictions)</w:t>
            </w:r>
          </w:p>
          <w:p w:rsidR="0097296B" w:rsidRPr="0097296B" w:rsidRDefault="0097296B" w:rsidP="00092B6C">
            <w:pPr>
              <w:pStyle w:val="BoxListBullet"/>
            </w:pPr>
            <w:r w:rsidRPr="0097296B">
              <w:t>complete for the current reporting period (subject to caveats). All required 201</w:t>
            </w:r>
            <w:r w:rsidR="0092436D">
              <w:t>3</w:t>
            </w:r>
            <w:r w:rsidRPr="0097296B">
              <w:t xml:space="preserve"> data are available for all jurisdictions providing the service:</w:t>
            </w:r>
          </w:p>
          <w:p w:rsidR="0097296B" w:rsidRPr="0097296B" w:rsidRDefault="0097296B" w:rsidP="0097296B">
            <w:pPr>
              <w:pStyle w:val="Box"/>
            </w:pPr>
            <w:r w:rsidRPr="0097296B">
              <w:t xml:space="preserve">A high or increasing completion rate suggests an improvement in educational outcomes. </w:t>
            </w:r>
          </w:p>
          <w:p w:rsidR="0097296B" w:rsidRDefault="0097296B" w:rsidP="0097296B">
            <w:pPr>
              <w:pStyle w:val="Box"/>
            </w:pPr>
            <w:r w:rsidRPr="0097296B">
              <w:t xml:space="preserve">Information about data quality for this indicator is at </w:t>
            </w:r>
            <w:r w:rsidR="00723DDD" w:rsidRPr="00963842">
              <w:t>www.pc.gov.au/rogs</w:t>
            </w:r>
            <w:r w:rsidR="0092436D" w:rsidRPr="00963842">
              <w:t>/2015</w:t>
            </w:r>
            <w:r w:rsidRPr="0097296B">
              <w:t>.</w:t>
            </w:r>
          </w:p>
        </w:tc>
      </w:tr>
      <w:tr w:rsidR="0097296B" w:rsidTr="001D0F72">
        <w:trPr>
          <w:cantSplit/>
        </w:trPr>
        <w:tc>
          <w:tcPr>
            <w:tcW w:w="8771" w:type="dxa"/>
            <w:tcBorders>
              <w:top w:val="nil"/>
              <w:left w:val="nil"/>
              <w:bottom w:val="single" w:sz="6" w:space="0" w:color="78A22F"/>
              <w:right w:val="nil"/>
            </w:tcBorders>
            <w:shd w:val="clear" w:color="auto" w:fill="F2F2F2"/>
          </w:tcPr>
          <w:p w:rsidR="0097296B" w:rsidRDefault="0097296B">
            <w:pPr>
              <w:pStyle w:val="Box"/>
              <w:spacing w:before="0" w:line="120" w:lineRule="exact"/>
            </w:pPr>
          </w:p>
        </w:tc>
      </w:tr>
      <w:tr w:rsidR="0097296B" w:rsidRPr="000863A5" w:rsidTr="001D0F72">
        <w:tc>
          <w:tcPr>
            <w:tcW w:w="8771" w:type="dxa"/>
            <w:tcBorders>
              <w:top w:val="single" w:sz="6" w:space="0" w:color="78A22F"/>
              <w:left w:val="nil"/>
              <w:bottom w:val="nil"/>
              <w:right w:val="nil"/>
            </w:tcBorders>
          </w:tcPr>
          <w:p w:rsidR="0097296B" w:rsidRPr="00626D32" w:rsidRDefault="0097296B" w:rsidP="001D0F72">
            <w:pPr>
              <w:pStyle w:val="BoxSpaceBelow"/>
            </w:pPr>
          </w:p>
        </w:tc>
      </w:tr>
    </w:tbl>
    <w:p w:rsidR="00666ECE" w:rsidRPr="00666ECE" w:rsidRDefault="00666ECE" w:rsidP="00092B6C">
      <w:pPr>
        <w:pStyle w:val="BodyText"/>
      </w:pPr>
      <w:r w:rsidRPr="00666ECE">
        <w:t>Completion rates are primarily used as indicators of trends and are used, in part, because information on participation and retention rates is generally not available by socio</w:t>
      </w:r>
      <w:r w:rsidR="002377B3">
        <w:noBreakHyphen/>
      </w:r>
      <w:r w:rsidRPr="00666ECE">
        <w:t>economic background or geographic location. Comparisons across jurisdictions need to be made with care, for the following reasons:</w:t>
      </w:r>
    </w:p>
    <w:p w:rsidR="00666ECE" w:rsidRPr="00092B6C" w:rsidRDefault="00666ECE" w:rsidP="00092B6C">
      <w:pPr>
        <w:pStyle w:val="ListBullet"/>
      </w:pPr>
      <w:r w:rsidRPr="00092B6C">
        <w:t>assessment, reporting and requirements for obtaining year 12 certificates or equivalent vary across states and territories — for example, from moderated school-based assessment to a mix including external and internal assessment, and from completion of a pattern of study to a prescribed level of attainment</w:t>
      </w:r>
    </w:p>
    <w:p w:rsidR="00666ECE" w:rsidRPr="00092B6C" w:rsidRDefault="00666ECE" w:rsidP="00092B6C">
      <w:pPr>
        <w:pStyle w:val="ListBullet"/>
      </w:pPr>
      <w:r w:rsidRPr="00092B6C">
        <w:lastRenderedPageBreak/>
        <w:t>inaccuracies arise from using both home postal address and school location address in compiling data</w:t>
      </w:r>
      <w:r w:rsidR="002377B3">
        <w:t xml:space="preserve"> by socio-economic status and geolocation</w:t>
      </w:r>
    </w:p>
    <w:p w:rsidR="00666ECE" w:rsidRPr="00092B6C" w:rsidRDefault="00666ECE" w:rsidP="00092B6C">
      <w:pPr>
        <w:pStyle w:val="ListBullet"/>
      </w:pPr>
      <w:r w:rsidRPr="00092B6C">
        <w:t>small changes in population or completions can affect the estimates of completion rates, particularly for states and territories with smaller populations</w:t>
      </w:r>
    </w:p>
    <w:p w:rsidR="00666ECE" w:rsidRPr="00092B6C" w:rsidRDefault="00666ECE" w:rsidP="00092B6C">
      <w:pPr>
        <w:pStyle w:val="ListBullet"/>
      </w:pPr>
      <w:r w:rsidRPr="00092B6C">
        <w:t>students completing their secondary education in TAFE institutes are included in reporting for some jurisdictions and not in others, and the proportion</w:t>
      </w:r>
      <w:r w:rsidR="002377B3">
        <w:t>s</w:t>
      </w:r>
      <w:r w:rsidRPr="00092B6C">
        <w:t xml:space="preserve"> of such students var</w:t>
      </w:r>
      <w:r w:rsidR="002377B3">
        <w:t>y</w:t>
      </w:r>
      <w:r w:rsidRPr="00092B6C">
        <w:t xml:space="preserve"> across jurisdictions.</w:t>
      </w:r>
    </w:p>
    <w:p w:rsidR="00666ECE" w:rsidRPr="006971C5" w:rsidRDefault="00666ECE" w:rsidP="00092B6C">
      <w:pPr>
        <w:pStyle w:val="BodyText"/>
      </w:pPr>
      <w:r w:rsidRPr="00666ECE">
        <w:t>Nationally</w:t>
      </w:r>
      <w:r w:rsidR="00535E89">
        <w:t xml:space="preserve"> in 201</w:t>
      </w:r>
      <w:r w:rsidR="0092436D">
        <w:t>3</w:t>
      </w:r>
      <w:r w:rsidRPr="00666ECE">
        <w:t xml:space="preserve">, </w:t>
      </w:r>
      <w:r w:rsidRPr="006971C5">
        <w:t xml:space="preserve">the year 12 completion rate for all students was </w:t>
      </w:r>
      <w:r w:rsidR="0003283E">
        <w:rPr>
          <w:shd w:val="clear" w:color="auto" w:fill="FFFFFF" w:themeFill="background1"/>
        </w:rPr>
        <w:t>7</w:t>
      </w:r>
      <w:r w:rsidR="00DA2525">
        <w:rPr>
          <w:shd w:val="clear" w:color="auto" w:fill="FFFFFF" w:themeFill="background1"/>
        </w:rPr>
        <w:t>4</w:t>
      </w:r>
      <w:r w:rsidRPr="006971C5">
        <w:rPr>
          <w:shd w:val="clear" w:color="auto" w:fill="FFFFFF" w:themeFill="background1"/>
        </w:rPr>
        <w:t xml:space="preserve"> per cent. The completion rate for males was </w:t>
      </w:r>
      <w:r w:rsidR="0003283E">
        <w:rPr>
          <w:shd w:val="clear" w:color="auto" w:fill="FFFFFF" w:themeFill="background1"/>
        </w:rPr>
        <w:t>69</w:t>
      </w:r>
      <w:r w:rsidRPr="006971C5">
        <w:rPr>
          <w:shd w:val="clear" w:color="auto" w:fill="FFFFFF" w:themeFill="background1"/>
        </w:rPr>
        <w:t xml:space="preserve"> per cent compared with </w:t>
      </w:r>
      <w:r w:rsidR="0003283E">
        <w:rPr>
          <w:shd w:val="clear" w:color="auto" w:fill="FFFFFF" w:themeFill="background1"/>
        </w:rPr>
        <w:t>7</w:t>
      </w:r>
      <w:r w:rsidR="00DA2525">
        <w:rPr>
          <w:shd w:val="clear" w:color="auto" w:fill="FFFFFF" w:themeFill="background1"/>
        </w:rPr>
        <w:t>8</w:t>
      </w:r>
      <w:r w:rsidRPr="006971C5">
        <w:rPr>
          <w:shd w:val="clear" w:color="auto" w:fill="FFFFFF" w:themeFill="background1"/>
        </w:rPr>
        <w:t xml:space="preserve"> per c</w:t>
      </w:r>
      <w:r w:rsidRPr="006971C5">
        <w:t>ent for females (table</w:t>
      </w:r>
      <w:r w:rsidR="0092436D">
        <w:t> </w:t>
      </w:r>
      <w:r w:rsidRPr="006971C5">
        <w:t>4A.1</w:t>
      </w:r>
      <w:r w:rsidR="0003283E">
        <w:t>92</w:t>
      </w:r>
      <w:r w:rsidRPr="006971C5">
        <w:t>).</w:t>
      </w:r>
    </w:p>
    <w:p w:rsidR="00666ECE" w:rsidRPr="00DA7453" w:rsidRDefault="00666ECE" w:rsidP="00092B6C">
      <w:pPr>
        <w:pStyle w:val="BodyText"/>
      </w:pPr>
      <w:r w:rsidRPr="00DA7453">
        <w:t>Socio</w:t>
      </w:r>
      <w:r w:rsidR="009131A4">
        <w:t>-</w:t>
      </w:r>
      <w:r w:rsidRPr="00DA7453">
        <w:t>economic status is determined according to the ABS Postal Area Index of Relative Socio-economic Disadvantage, on the basis of postcode of students’ home addresses. Low socio</w:t>
      </w:r>
      <w:r w:rsidR="009131A4">
        <w:t>-</w:t>
      </w:r>
      <w:r w:rsidRPr="00DA7453">
        <w:t>economic status is the average of the 3 lowest deciles, medium socio</w:t>
      </w:r>
      <w:r w:rsidR="009131A4">
        <w:t>-</w:t>
      </w:r>
      <w:r w:rsidRPr="00DA7453">
        <w:t>economic status is the average of the 4 middle deciles and high socio</w:t>
      </w:r>
      <w:r w:rsidR="009131A4">
        <w:t>-</w:t>
      </w:r>
      <w:r w:rsidRPr="00DA7453">
        <w:t>economic status is the average of the 3 highest deciles.</w:t>
      </w:r>
    </w:p>
    <w:p w:rsidR="00271196" w:rsidRDefault="00666ECE" w:rsidP="007D6009">
      <w:pPr>
        <w:pStyle w:val="BodyText"/>
      </w:pPr>
      <w:r w:rsidRPr="00DA7453">
        <w:t>Nationally</w:t>
      </w:r>
      <w:r w:rsidR="00535E89" w:rsidRPr="00DA7453">
        <w:t xml:space="preserve"> in 201</w:t>
      </w:r>
      <w:r w:rsidR="0092436D">
        <w:t>3</w:t>
      </w:r>
      <w:r w:rsidRPr="00DA7453">
        <w:t xml:space="preserve">, year 12 completion rates </w:t>
      </w:r>
      <w:r w:rsidRPr="006971C5">
        <w:t xml:space="preserve">for </w:t>
      </w:r>
      <w:r w:rsidRPr="006971C5">
        <w:rPr>
          <w:shd w:val="clear" w:color="auto" w:fill="FFFFFF" w:themeFill="background1"/>
        </w:rPr>
        <w:t xml:space="preserve">students from low </w:t>
      </w:r>
      <w:r w:rsidRPr="007D6009">
        <w:rPr>
          <w:shd w:val="clear" w:color="auto" w:fill="FFFFFF" w:themeFill="background1"/>
        </w:rPr>
        <w:t>(</w:t>
      </w:r>
      <w:r w:rsidR="0003283E" w:rsidRPr="007D6009">
        <w:rPr>
          <w:shd w:val="clear" w:color="auto" w:fill="FFFFFF" w:themeFill="background1"/>
        </w:rPr>
        <w:t>6</w:t>
      </w:r>
      <w:r w:rsidR="00990EEF" w:rsidRPr="007D6009">
        <w:rPr>
          <w:shd w:val="clear" w:color="auto" w:fill="FFFFFF" w:themeFill="background1"/>
        </w:rPr>
        <w:t>8</w:t>
      </w:r>
      <w:r w:rsidRPr="007D6009">
        <w:rPr>
          <w:shd w:val="clear" w:color="auto" w:fill="FFFFFF" w:themeFill="background1"/>
        </w:rPr>
        <w:t xml:space="preserve"> </w:t>
      </w:r>
      <w:r w:rsidRPr="006971C5">
        <w:t>per cent</w:t>
      </w:r>
      <w:r w:rsidRPr="006971C5">
        <w:rPr>
          <w:shd w:val="clear" w:color="auto" w:fill="FFFFFF" w:themeFill="background1"/>
        </w:rPr>
        <w:t xml:space="preserve">) and medium </w:t>
      </w:r>
      <w:r w:rsidR="00A32335" w:rsidRPr="007D6009">
        <w:rPr>
          <w:shd w:val="clear" w:color="auto" w:fill="FFFFFF" w:themeFill="background1"/>
        </w:rPr>
        <w:t>(</w:t>
      </w:r>
      <w:r w:rsidR="0003283E" w:rsidRPr="007D6009">
        <w:rPr>
          <w:shd w:val="clear" w:color="auto" w:fill="FFFFFF" w:themeFill="background1"/>
        </w:rPr>
        <w:t>7</w:t>
      </w:r>
      <w:r w:rsidR="00990EEF" w:rsidRPr="007D6009">
        <w:rPr>
          <w:shd w:val="clear" w:color="auto" w:fill="FFFFFF" w:themeFill="background1"/>
        </w:rPr>
        <w:t>4</w:t>
      </w:r>
      <w:r w:rsidR="00A32335" w:rsidRPr="007D6009">
        <w:rPr>
          <w:shd w:val="clear" w:color="auto" w:fill="FFFFFF" w:themeFill="background1"/>
        </w:rPr>
        <w:t xml:space="preserve"> </w:t>
      </w:r>
      <w:r w:rsidR="00A32335" w:rsidRPr="006971C5">
        <w:rPr>
          <w:shd w:val="clear" w:color="auto" w:fill="FFFFFF" w:themeFill="background1"/>
        </w:rPr>
        <w:t xml:space="preserve">per cent) </w:t>
      </w:r>
      <w:r w:rsidRPr="006971C5">
        <w:rPr>
          <w:shd w:val="clear" w:color="auto" w:fill="FFFFFF" w:themeFill="background1"/>
        </w:rPr>
        <w:t>socio</w:t>
      </w:r>
      <w:r w:rsidR="009131A4">
        <w:rPr>
          <w:shd w:val="clear" w:color="auto" w:fill="FFFFFF" w:themeFill="background1"/>
        </w:rPr>
        <w:t>-</w:t>
      </w:r>
      <w:r w:rsidRPr="006971C5">
        <w:rPr>
          <w:shd w:val="clear" w:color="auto" w:fill="FFFFFF" w:themeFill="background1"/>
        </w:rPr>
        <w:t>economic backgrounds were below those for students from a high socio</w:t>
      </w:r>
      <w:r w:rsidR="009131A4">
        <w:rPr>
          <w:shd w:val="clear" w:color="auto" w:fill="FFFFFF" w:themeFill="background1"/>
        </w:rPr>
        <w:t>-</w:t>
      </w:r>
      <w:r w:rsidRPr="006971C5">
        <w:rPr>
          <w:shd w:val="clear" w:color="auto" w:fill="FFFFFF" w:themeFill="background1"/>
        </w:rPr>
        <w:t xml:space="preserve">economic background </w:t>
      </w:r>
      <w:r w:rsidR="00904788" w:rsidRPr="006971C5">
        <w:rPr>
          <w:shd w:val="clear" w:color="auto" w:fill="FFFFFF" w:themeFill="background1"/>
        </w:rPr>
        <w:t>(</w:t>
      </w:r>
      <w:r w:rsidR="0003283E" w:rsidRPr="007D6009">
        <w:rPr>
          <w:shd w:val="clear" w:color="auto" w:fill="FFFFFF" w:themeFill="background1"/>
        </w:rPr>
        <w:t>7</w:t>
      </w:r>
      <w:r w:rsidR="00990EEF" w:rsidRPr="007D6009">
        <w:rPr>
          <w:shd w:val="clear" w:color="auto" w:fill="FFFFFF" w:themeFill="background1"/>
        </w:rPr>
        <w:t>9</w:t>
      </w:r>
      <w:r w:rsidR="00904788" w:rsidRPr="007D6009">
        <w:rPr>
          <w:shd w:val="clear" w:color="auto" w:fill="FFFFFF" w:themeFill="background1"/>
        </w:rPr>
        <w:t xml:space="preserve"> </w:t>
      </w:r>
      <w:r w:rsidR="00904788" w:rsidRPr="006971C5">
        <w:rPr>
          <w:shd w:val="clear" w:color="auto" w:fill="FFFFFF" w:themeFill="background1"/>
        </w:rPr>
        <w:t xml:space="preserve">per </w:t>
      </w:r>
      <w:r w:rsidR="00904788" w:rsidRPr="0019297C">
        <w:rPr>
          <w:shd w:val="clear" w:color="auto" w:fill="FFFFFF" w:themeFill="background1"/>
        </w:rPr>
        <w:t>cent</w:t>
      </w:r>
      <w:r w:rsidR="00904788" w:rsidRPr="00DA7453">
        <w:t xml:space="preserve">) </w:t>
      </w:r>
      <w:r w:rsidRPr="00DA7453">
        <w:t>(figure 4.</w:t>
      </w:r>
      <w:r w:rsidR="00354B10">
        <w:t>40</w:t>
      </w:r>
      <w:r w:rsidRPr="00DA7453">
        <w:t xml:space="preserve">). </w:t>
      </w:r>
      <w:r w:rsidR="00904788" w:rsidRPr="00DA7453">
        <w:t>Nationally, c</w:t>
      </w:r>
      <w:r w:rsidRPr="00DA7453">
        <w:t xml:space="preserve">ompletion rates </w:t>
      </w:r>
      <w:r w:rsidRPr="00092B6C">
        <w:t>were higher for female students than for male students in all socio</w:t>
      </w:r>
      <w:r w:rsidR="009131A4" w:rsidRPr="00092B6C">
        <w:noBreakHyphen/>
      </w:r>
      <w:r w:rsidRPr="00092B6C">
        <w:t>economic categories (table 4A.1</w:t>
      </w:r>
      <w:r w:rsidR="0003283E">
        <w:t>91</w:t>
      </w:r>
      <w:r w:rsidRPr="00092B6C">
        <w:t>).</w:t>
      </w:r>
    </w:p>
    <w:p w:rsidR="00E308C4" w:rsidRDefault="00E308C4" w:rsidP="007D6009">
      <w:pPr>
        <w:pStyle w:val="BodyText"/>
      </w:pPr>
    </w:p>
    <w:p w:rsidR="00E308C4" w:rsidRDefault="00E308C4" w:rsidP="007D6009">
      <w:pPr>
        <w:pStyle w:val="BodyText"/>
      </w:pPr>
    </w:p>
    <w:p w:rsidR="00F3314B" w:rsidRDefault="00F3314B" w:rsidP="00B4549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3314B" w:rsidTr="00221E5A">
        <w:tc>
          <w:tcPr>
            <w:tcW w:w="8771" w:type="dxa"/>
            <w:tcBorders>
              <w:top w:val="single" w:sz="6" w:space="0" w:color="78A22F"/>
              <w:left w:val="nil"/>
              <w:bottom w:val="nil"/>
              <w:right w:val="nil"/>
            </w:tcBorders>
            <w:shd w:val="clear" w:color="auto" w:fill="auto"/>
          </w:tcPr>
          <w:p w:rsidR="00F3314B" w:rsidRPr="00176D3F" w:rsidRDefault="00F3314B" w:rsidP="00F3314B">
            <w:pPr>
              <w:pStyle w:val="FigureTitle"/>
            </w:pPr>
            <w:r w:rsidRPr="00784A05">
              <w:rPr>
                <w:b w:val="0"/>
              </w:rPr>
              <w:t xml:space="preserve">Figure </w:t>
            </w:r>
            <w:r w:rsidR="00B70781">
              <w:rPr>
                <w:b w:val="0"/>
              </w:rPr>
              <w:t>4.</w:t>
            </w:r>
            <w:r w:rsidR="005953B6">
              <w:rPr>
                <w:b w:val="0"/>
                <w:noProof/>
              </w:rPr>
              <w:t>40</w:t>
            </w:r>
            <w:r>
              <w:tab/>
            </w:r>
            <w:r w:rsidRPr="00F3314B">
              <w:t>Completion rates, year 12, by socio-economic status, 201</w:t>
            </w:r>
            <w:r>
              <w:t>3</w:t>
            </w:r>
            <w:r w:rsidRPr="00F3314B">
              <w:t xml:space="preserve"> (per cent)</w:t>
            </w:r>
            <w:r w:rsidRPr="00F3314B">
              <w:rPr>
                <w:rStyle w:val="NoteLabel"/>
                <w:b/>
              </w:rPr>
              <w:t>a, b, c, d, e</w:t>
            </w:r>
          </w:p>
        </w:tc>
      </w:tr>
      <w:tr w:rsidR="00F3314B" w:rsidTr="007D6009">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F3314B" w:rsidTr="00B45495">
              <w:trPr>
                <w:jc w:val="center"/>
              </w:trPr>
              <w:tc>
                <w:tcPr>
                  <w:tcW w:w="5000" w:type="pct"/>
                  <w:tcBorders>
                    <w:top w:val="nil"/>
                    <w:bottom w:val="nil"/>
                  </w:tcBorders>
                </w:tcPr>
                <w:p w:rsidR="00F3314B" w:rsidRDefault="00F06596" w:rsidP="00B45495">
                  <w:pPr>
                    <w:pStyle w:val="Figure"/>
                    <w:spacing w:before="60" w:after="60"/>
                  </w:pPr>
                  <w:r>
                    <w:rPr>
                      <w:noProof/>
                    </w:rPr>
                    <w:drawing>
                      <wp:inline distT="0" distB="0" distL="0" distR="0" wp14:anchorId="0C2C79EB" wp14:editId="214DE53E">
                        <wp:extent cx="5381625" cy="2638425"/>
                        <wp:effectExtent l="0" t="0" r="9525" b="9525"/>
                        <wp:docPr id="40" name="Picture 40" descr="Figure 4.40 Completion rates, year 12, by socio-economic status, 2013 (per cen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381625" cy="2638425"/>
                                </a:xfrm>
                                <a:prstGeom prst="rect">
                                  <a:avLst/>
                                </a:prstGeom>
                                <a:noFill/>
                                <a:ln>
                                  <a:noFill/>
                                </a:ln>
                              </pic:spPr>
                            </pic:pic>
                          </a:graphicData>
                        </a:graphic>
                      </wp:inline>
                    </w:drawing>
                  </w:r>
                </w:p>
              </w:tc>
            </w:tr>
          </w:tbl>
          <w:p w:rsidR="00F3314B" w:rsidRDefault="00F3314B" w:rsidP="00B45495">
            <w:pPr>
              <w:pStyle w:val="Figure"/>
            </w:pPr>
          </w:p>
        </w:tc>
      </w:tr>
      <w:tr w:rsidR="00F3314B" w:rsidRPr="00176D3F" w:rsidTr="00B45495">
        <w:tc>
          <w:tcPr>
            <w:tcW w:w="8771" w:type="dxa"/>
            <w:tcBorders>
              <w:top w:val="nil"/>
              <w:left w:val="nil"/>
              <w:bottom w:val="nil"/>
              <w:right w:val="nil"/>
            </w:tcBorders>
            <w:shd w:val="clear" w:color="auto" w:fill="auto"/>
          </w:tcPr>
          <w:p w:rsidR="00F3314B" w:rsidRPr="00176D3F" w:rsidRDefault="00F3314B" w:rsidP="00B45495">
            <w:pPr>
              <w:pStyle w:val="Note"/>
            </w:pPr>
            <w:r>
              <w:rPr>
                <w:rStyle w:val="NoteLabel"/>
              </w:rPr>
              <w:t>a</w:t>
            </w:r>
            <w:r>
              <w:t xml:space="preserve"> </w:t>
            </w:r>
            <w:r w:rsidR="0058556B" w:rsidRPr="0058556B">
              <w:t xml:space="preserve">Completion rates are estimated by calculating the number of students who meet the requirements of a year 12 certificate or equivalent expressed as a percentage of the potential year 12 population. The potential year 12 population is an estimate of a single year age group which could have attended year 12 that year, calculated as the estimated resident population aged 15–19 years divided by 5. </w:t>
            </w:r>
            <w:r w:rsidR="0058556B" w:rsidRPr="007E78CB">
              <w:rPr>
                <w:rStyle w:val="NoteLabel"/>
              </w:rPr>
              <w:t>b</w:t>
            </w:r>
            <w:r w:rsidR="0058556B" w:rsidRPr="0058556B">
              <w:t xml:space="preserve"> The ABS Postal Area Index of Relative Socio-economic Disadvantage has been used to calculate socio-economic status, on the basis of postcode of students’ home addresses. </w:t>
            </w:r>
            <w:r w:rsidR="0058556B" w:rsidRPr="007E78CB">
              <w:rPr>
                <w:rStyle w:val="NoteLabel"/>
              </w:rPr>
              <w:t>c</w:t>
            </w:r>
            <w:r w:rsidR="0058556B" w:rsidRPr="0058556B">
              <w:t xml:space="preserve"> Low socio-economic status is the average of the 3 lowest deciles, medium socio-economic status is the average of the 4 middle deciles and high socio-economic status is the average of the 3 highest deciles. </w:t>
            </w:r>
            <w:r w:rsidR="0058556B" w:rsidRPr="007E78CB">
              <w:rPr>
                <w:rStyle w:val="NoteLabel"/>
              </w:rPr>
              <w:t>d</w:t>
            </w:r>
            <w:r w:rsidR="0058556B" w:rsidRPr="0058556B">
              <w:t xml:space="preserve"> A common total for socio-economic status and geolocation is selected for reporting all students' rates and this may mean totals for socio-economic status differ slightly to those in other publications. </w:t>
            </w:r>
            <w:r w:rsidR="0058556B" w:rsidRPr="007E78CB">
              <w:rPr>
                <w:rStyle w:val="NoteLabel"/>
              </w:rPr>
              <w:t>e</w:t>
            </w:r>
            <w:r w:rsidR="0058556B" w:rsidRPr="0058556B">
              <w:t> The populations for the low and medium socio-economic status deciles in the ACT and the high socio-economic status deciles in the NT are not published due to small numbers.</w:t>
            </w:r>
          </w:p>
        </w:tc>
      </w:tr>
      <w:tr w:rsidR="00F3314B" w:rsidRPr="00176D3F" w:rsidTr="00B45495">
        <w:tc>
          <w:tcPr>
            <w:tcW w:w="8771" w:type="dxa"/>
            <w:tcBorders>
              <w:top w:val="nil"/>
              <w:left w:val="nil"/>
              <w:bottom w:val="nil"/>
              <w:right w:val="nil"/>
            </w:tcBorders>
            <w:shd w:val="clear" w:color="auto" w:fill="auto"/>
          </w:tcPr>
          <w:p w:rsidR="00F3314B" w:rsidRPr="00176D3F" w:rsidRDefault="0058556B" w:rsidP="0003283E">
            <w:pPr>
              <w:pStyle w:val="Source"/>
            </w:pPr>
            <w:r>
              <w:rPr>
                <w:i/>
              </w:rPr>
              <w:t>S</w:t>
            </w:r>
            <w:r w:rsidR="00F3314B" w:rsidRPr="00784A05">
              <w:rPr>
                <w:i/>
              </w:rPr>
              <w:t>ource</w:t>
            </w:r>
            <w:r w:rsidR="00F3314B" w:rsidRPr="00176D3F">
              <w:t xml:space="preserve">: </w:t>
            </w:r>
            <w:r w:rsidRPr="0058556B">
              <w:t>Australian Government Department of Education (unpublished); table 4A.</w:t>
            </w:r>
            <w:r w:rsidR="0003283E">
              <w:t>191</w:t>
            </w:r>
            <w:r w:rsidRPr="0058556B">
              <w:t>.</w:t>
            </w:r>
          </w:p>
        </w:tc>
      </w:tr>
      <w:tr w:rsidR="00F3314B" w:rsidTr="00B45495">
        <w:tc>
          <w:tcPr>
            <w:tcW w:w="8771" w:type="dxa"/>
            <w:tcBorders>
              <w:top w:val="nil"/>
              <w:left w:val="nil"/>
              <w:bottom w:val="single" w:sz="6" w:space="0" w:color="78A22F"/>
              <w:right w:val="nil"/>
            </w:tcBorders>
            <w:shd w:val="clear" w:color="auto" w:fill="auto"/>
          </w:tcPr>
          <w:p w:rsidR="00F3314B" w:rsidRDefault="00F3314B" w:rsidP="00B45495">
            <w:pPr>
              <w:pStyle w:val="Figurespace"/>
            </w:pPr>
          </w:p>
        </w:tc>
      </w:tr>
      <w:tr w:rsidR="00F3314B" w:rsidRPr="000863A5" w:rsidTr="00B45495">
        <w:tc>
          <w:tcPr>
            <w:tcW w:w="8771" w:type="dxa"/>
            <w:tcBorders>
              <w:top w:val="single" w:sz="6" w:space="0" w:color="78A22F"/>
              <w:left w:val="nil"/>
              <w:bottom w:val="nil"/>
              <w:right w:val="nil"/>
            </w:tcBorders>
          </w:tcPr>
          <w:p w:rsidR="00F3314B" w:rsidRPr="00626D32" w:rsidRDefault="00F3314B" w:rsidP="00B45495">
            <w:pPr>
              <w:pStyle w:val="BoxSpaceBelow"/>
            </w:pPr>
          </w:p>
        </w:tc>
      </w:tr>
    </w:tbl>
    <w:p w:rsidR="00666ECE" w:rsidRPr="00DA7453" w:rsidRDefault="00666ECE" w:rsidP="00257C8E">
      <w:pPr>
        <w:pStyle w:val="BodyText"/>
      </w:pPr>
      <w:r w:rsidRPr="00666ECE">
        <w:t xml:space="preserve">Geographic </w:t>
      </w:r>
      <w:r w:rsidRPr="00DA7453">
        <w:t xml:space="preserve">isolation is determined using the MCEECDYA </w:t>
      </w:r>
      <w:r w:rsidR="00C70D6F" w:rsidRPr="00DA7453">
        <w:t xml:space="preserve">(now </w:t>
      </w:r>
      <w:r w:rsidR="0092436D">
        <w:t>Education Council</w:t>
      </w:r>
      <w:r w:rsidR="00C70D6F" w:rsidRPr="00DA7453">
        <w:t xml:space="preserve">) </w:t>
      </w:r>
      <w:r w:rsidRPr="00DA7453">
        <w:t>Geographic Location Classification.</w:t>
      </w:r>
    </w:p>
    <w:p w:rsidR="00666ECE" w:rsidRPr="006971C5" w:rsidRDefault="00666ECE" w:rsidP="00257C8E">
      <w:pPr>
        <w:pStyle w:val="BodyText"/>
      </w:pPr>
      <w:r w:rsidRPr="00DA7453">
        <w:t xml:space="preserve">Nationally, the completion </w:t>
      </w:r>
      <w:r w:rsidRPr="006971C5">
        <w:t xml:space="preserve">rate was highest in </w:t>
      </w:r>
      <w:r w:rsidRPr="006971C5">
        <w:rPr>
          <w:shd w:val="clear" w:color="auto" w:fill="FFFFFF" w:themeFill="background1"/>
        </w:rPr>
        <w:t xml:space="preserve">the </w:t>
      </w:r>
      <w:r w:rsidR="00A878FC" w:rsidRPr="006971C5">
        <w:rPr>
          <w:shd w:val="clear" w:color="auto" w:fill="FFFFFF" w:themeFill="background1"/>
        </w:rPr>
        <w:t>metropolitan</w:t>
      </w:r>
      <w:r w:rsidRPr="006971C5">
        <w:rPr>
          <w:shd w:val="clear" w:color="auto" w:fill="FFFFFF" w:themeFill="background1"/>
        </w:rPr>
        <w:t xml:space="preserve"> zone (</w:t>
      </w:r>
      <w:r w:rsidR="0003283E">
        <w:rPr>
          <w:shd w:val="clear" w:color="auto" w:fill="FFFFFF" w:themeFill="background1"/>
        </w:rPr>
        <w:t>76</w:t>
      </w:r>
      <w:r w:rsidRPr="006971C5">
        <w:rPr>
          <w:shd w:val="clear" w:color="auto" w:fill="FFFFFF" w:themeFill="background1"/>
        </w:rPr>
        <w:t xml:space="preserve"> per cent) in 201</w:t>
      </w:r>
      <w:r w:rsidR="0092436D">
        <w:rPr>
          <w:shd w:val="clear" w:color="auto" w:fill="FFFFFF" w:themeFill="background1"/>
        </w:rPr>
        <w:t>3</w:t>
      </w:r>
      <w:r w:rsidRPr="006971C5">
        <w:rPr>
          <w:shd w:val="clear" w:color="auto" w:fill="FFFFFF" w:themeFill="background1"/>
        </w:rPr>
        <w:t xml:space="preserve">. The completion rate was lower in the </w:t>
      </w:r>
      <w:r w:rsidR="00A878FC" w:rsidRPr="006971C5">
        <w:rPr>
          <w:shd w:val="clear" w:color="auto" w:fill="FFFFFF" w:themeFill="background1"/>
        </w:rPr>
        <w:t>provinci</w:t>
      </w:r>
      <w:r w:rsidRPr="006971C5">
        <w:rPr>
          <w:shd w:val="clear" w:color="auto" w:fill="FFFFFF" w:themeFill="background1"/>
        </w:rPr>
        <w:t>al zone (</w:t>
      </w:r>
      <w:r w:rsidR="0003283E">
        <w:rPr>
          <w:shd w:val="clear" w:color="auto" w:fill="FFFFFF" w:themeFill="background1"/>
        </w:rPr>
        <w:t>6</w:t>
      </w:r>
      <w:r w:rsidR="00DA2525">
        <w:rPr>
          <w:shd w:val="clear" w:color="auto" w:fill="FFFFFF" w:themeFill="background1"/>
        </w:rPr>
        <w:t>8</w:t>
      </w:r>
      <w:r w:rsidRPr="006971C5">
        <w:rPr>
          <w:shd w:val="clear" w:color="auto" w:fill="FFFFFF" w:themeFill="background1"/>
        </w:rPr>
        <w:t xml:space="preserve"> per cent), remote </w:t>
      </w:r>
      <w:r w:rsidRPr="00FA202A">
        <w:rPr>
          <w:shd w:val="clear" w:color="auto" w:fill="FFFFFF" w:themeFill="background1"/>
        </w:rPr>
        <w:t>areas (</w:t>
      </w:r>
      <w:r w:rsidR="0003283E">
        <w:rPr>
          <w:shd w:val="clear" w:color="auto" w:fill="FFFFFF" w:themeFill="background1"/>
        </w:rPr>
        <w:t>6</w:t>
      </w:r>
      <w:r w:rsidR="00DA2525">
        <w:rPr>
          <w:shd w:val="clear" w:color="auto" w:fill="FFFFFF" w:themeFill="background1"/>
        </w:rPr>
        <w:t>8</w:t>
      </w:r>
      <w:r w:rsidR="0003283E">
        <w:rPr>
          <w:shd w:val="clear" w:color="auto" w:fill="FFFFFF" w:themeFill="background1"/>
        </w:rPr>
        <w:t> </w:t>
      </w:r>
      <w:r w:rsidRPr="00FA202A">
        <w:rPr>
          <w:shd w:val="clear" w:color="auto" w:fill="FFFFFF" w:themeFill="background1"/>
        </w:rPr>
        <w:t>per</w:t>
      </w:r>
      <w:r w:rsidR="0003283E">
        <w:rPr>
          <w:shd w:val="clear" w:color="auto" w:fill="FFFFFF" w:themeFill="background1"/>
        </w:rPr>
        <w:t> </w:t>
      </w:r>
      <w:r w:rsidRPr="00FA202A">
        <w:rPr>
          <w:shd w:val="clear" w:color="auto" w:fill="FFFFFF" w:themeFill="background1"/>
        </w:rPr>
        <w:t>cent) and very remote areas (</w:t>
      </w:r>
      <w:r w:rsidR="00DA2525">
        <w:rPr>
          <w:shd w:val="clear" w:color="auto" w:fill="FFFFFF" w:themeFill="background1"/>
        </w:rPr>
        <w:t>41</w:t>
      </w:r>
      <w:r w:rsidRPr="00FA202A">
        <w:rPr>
          <w:shd w:val="clear" w:color="auto" w:fill="FFFFFF" w:themeFill="background1"/>
        </w:rPr>
        <w:t xml:space="preserve"> per cent) (figure</w:t>
      </w:r>
      <w:r w:rsidRPr="006971C5">
        <w:t xml:space="preserve"> 4.</w:t>
      </w:r>
      <w:r w:rsidR="005A177C">
        <w:t>4</w:t>
      </w:r>
      <w:r w:rsidR="00354B10">
        <w:t>1</w:t>
      </w:r>
      <w:r w:rsidRPr="006971C5">
        <w:t xml:space="preserve">). </w:t>
      </w:r>
    </w:p>
    <w:p w:rsidR="00666ECE" w:rsidRPr="006971C5" w:rsidRDefault="009E344D" w:rsidP="00257C8E">
      <w:pPr>
        <w:pStyle w:val="BodyText"/>
      </w:pPr>
      <w:r w:rsidRPr="006971C5">
        <w:t>Nationally</w:t>
      </w:r>
      <w:r w:rsidR="001D73CF">
        <w:t xml:space="preserve"> in 2013</w:t>
      </w:r>
      <w:r w:rsidRPr="006971C5">
        <w:t>, c</w:t>
      </w:r>
      <w:r w:rsidR="00666ECE" w:rsidRPr="006971C5">
        <w:t xml:space="preserve">ompletion rates were higher for females in all </w:t>
      </w:r>
      <w:r w:rsidRPr="006971C5">
        <w:t>geographic zones</w:t>
      </w:r>
      <w:r w:rsidR="00666ECE" w:rsidRPr="006971C5">
        <w:t xml:space="preserve">. In the </w:t>
      </w:r>
      <w:r w:rsidR="00A878FC" w:rsidRPr="006971C5">
        <w:rPr>
          <w:shd w:val="clear" w:color="auto" w:fill="FFFFFF" w:themeFill="background1"/>
        </w:rPr>
        <w:t>metropolitan</w:t>
      </w:r>
      <w:r w:rsidR="00666ECE" w:rsidRPr="006971C5">
        <w:rPr>
          <w:shd w:val="clear" w:color="auto" w:fill="FFFFFF" w:themeFill="background1"/>
        </w:rPr>
        <w:t xml:space="preserve"> zone, the female completion rate was </w:t>
      </w:r>
      <w:r w:rsidR="008A788F">
        <w:t>7</w:t>
      </w:r>
      <w:r w:rsidR="00DA2525">
        <w:t>9</w:t>
      </w:r>
      <w:r w:rsidR="00666ECE" w:rsidRPr="006971C5">
        <w:t xml:space="preserve"> per cent, compared</w:t>
      </w:r>
      <w:r w:rsidR="00666ECE" w:rsidRPr="006971C5">
        <w:rPr>
          <w:shd w:val="clear" w:color="auto" w:fill="FFFFFF" w:themeFill="background1"/>
        </w:rPr>
        <w:t xml:space="preserve"> with </w:t>
      </w:r>
      <w:r w:rsidR="00DA2525">
        <w:rPr>
          <w:shd w:val="clear" w:color="auto" w:fill="FFFFFF" w:themeFill="background1"/>
        </w:rPr>
        <w:t>72</w:t>
      </w:r>
      <w:r w:rsidRPr="006971C5">
        <w:rPr>
          <w:shd w:val="clear" w:color="auto" w:fill="FFFFFF" w:themeFill="background1"/>
        </w:rPr>
        <w:t> </w:t>
      </w:r>
      <w:r w:rsidR="00666ECE" w:rsidRPr="006971C5">
        <w:rPr>
          <w:shd w:val="clear" w:color="auto" w:fill="FFFFFF" w:themeFill="background1"/>
        </w:rPr>
        <w:t>per</w:t>
      </w:r>
      <w:r w:rsidRPr="006971C5">
        <w:rPr>
          <w:shd w:val="clear" w:color="auto" w:fill="FFFFFF" w:themeFill="background1"/>
        </w:rPr>
        <w:t> </w:t>
      </w:r>
      <w:r w:rsidR="00666ECE" w:rsidRPr="006971C5">
        <w:rPr>
          <w:shd w:val="clear" w:color="auto" w:fill="FFFFFF" w:themeFill="background1"/>
        </w:rPr>
        <w:t xml:space="preserve">cent for males. In the remote zone, the female completion rate was </w:t>
      </w:r>
      <w:r w:rsidR="008A788F">
        <w:rPr>
          <w:shd w:val="clear" w:color="auto" w:fill="FFFFFF" w:themeFill="background1"/>
        </w:rPr>
        <w:t>7</w:t>
      </w:r>
      <w:r w:rsidR="00DA2525">
        <w:rPr>
          <w:shd w:val="clear" w:color="auto" w:fill="FFFFFF" w:themeFill="background1"/>
        </w:rPr>
        <w:t>7</w:t>
      </w:r>
      <w:r w:rsidR="00666ECE" w:rsidRPr="00FA202A">
        <w:rPr>
          <w:shd w:val="clear" w:color="auto" w:fill="FFFFFF" w:themeFill="background1"/>
        </w:rPr>
        <w:t xml:space="preserve"> per cent, compared</w:t>
      </w:r>
      <w:r w:rsidR="00666ECE" w:rsidRPr="006971C5">
        <w:rPr>
          <w:shd w:val="clear" w:color="auto" w:fill="FFFFFF" w:themeFill="background1"/>
        </w:rPr>
        <w:t xml:space="preserve"> with </w:t>
      </w:r>
      <w:r w:rsidR="008A788F">
        <w:rPr>
          <w:shd w:val="clear" w:color="auto" w:fill="FFFFFF" w:themeFill="background1"/>
        </w:rPr>
        <w:t>5</w:t>
      </w:r>
      <w:r w:rsidR="00DA2525">
        <w:rPr>
          <w:shd w:val="clear" w:color="auto" w:fill="FFFFFF" w:themeFill="background1"/>
        </w:rPr>
        <w:t>9</w:t>
      </w:r>
      <w:r w:rsidR="00666ECE" w:rsidRPr="006971C5">
        <w:rPr>
          <w:shd w:val="clear" w:color="auto" w:fill="FFFFFF" w:themeFill="background1"/>
        </w:rPr>
        <w:t xml:space="preserve"> per cent for males (table 4A.1</w:t>
      </w:r>
      <w:r w:rsidR="008A788F">
        <w:rPr>
          <w:shd w:val="clear" w:color="auto" w:fill="FFFFFF" w:themeFill="background1"/>
        </w:rPr>
        <w:t>92</w:t>
      </w:r>
      <w:r w:rsidR="00666ECE" w:rsidRPr="006971C5">
        <w:rPr>
          <w:shd w:val="clear" w:color="auto" w:fill="FFFFFF" w:themeFill="background1"/>
        </w:rPr>
        <w:t>). Time series data on national completion rates are reported in tables</w:t>
      </w:r>
      <w:r w:rsidR="00666ECE" w:rsidRPr="006971C5">
        <w:t xml:space="preserve"> 4A.1</w:t>
      </w:r>
      <w:r w:rsidR="008A788F">
        <w:t>91</w:t>
      </w:r>
      <w:r w:rsidR="00666ECE" w:rsidRPr="006971C5">
        <w:t>–1</w:t>
      </w:r>
      <w:r w:rsidR="008A788F">
        <w:t>92</w:t>
      </w:r>
      <w:r w:rsidR="00666ECE" w:rsidRPr="006971C5">
        <w:t>.</w:t>
      </w:r>
    </w:p>
    <w:p w:rsidR="0058556B" w:rsidRDefault="0058556B" w:rsidP="0058556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8556B" w:rsidTr="0058556B">
        <w:tc>
          <w:tcPr>
            <w:tcW w:w="8771" w:type="dxa"/>
            <w:tcBorders>
              <w:top w:val="single" w:sz="6" w:space="0" w:color="78A22F"/>
              <w:left w:val="nil"/>
              <w:bottom w:val="nil"/>
              <w:right w:val="nil"/>
            </w:tcBorders>
            <w:shd w:val="clear" w:color="auto" w:fill="auto"/>
          </w:tcPr>
          <w:p w:rsidR="0058556B" w:rsidRPr="00176D3F" w:rsidRDefault="0058556B" w:rsidP="000D2E31">
            <w:pPr>
              <w:pStyle w:val="FigureTitle"/>
            </w:pPr>
            <w:r w:rsidRPr="00784A05">
              <w:rPr>
                <w:b w:val="0"/>
              </w:rPr>
              <w:t xml:space="preserve">Figure </w:t>
            </w:r>
            <w:r w:rsidR="00B70781">
              <w:rPr>
                <w:b w:val="0"/>
              </w:rPr>
              <w:t>4.</w:t>
            </w:r>
            <w:r w:rsidR="005953B6">
              <w:rPr>
                <w:b w:val="0"/>
                <w:noProof/>
              </w:rPr>
              <w:t>41</w:t>
            </w:r>
            <w:r>
              <w:tab/>
            </w:r>
            <w:r w:rsidRPr="0058556B">
              <w:t>Completion rates, year 12, by geolocation, 201</w:t>
            </w:r>
            <w:r w:rsidR="000D2E31">
              <w:t>3</w:t>
            </w:r>
            <w:r w:rsidRPr="0058556B">
              <w:t xml:space="preserve"> (per cent)</w:t>
            </w:r>
            <w:r w:rsidR="007E78CB">
              <w:rPr>
                <w:rStyle w:val="NoteLabel"/>
                <w:b/>
              </w:rPr>
              <w:t>a, b, c, d</w:t>
            </w:r>
          </w:p>
        </w:tc>
      </w:tr>
      <w:tr w:rsidR="0058556B" w:rsidTr="007D600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58556B" w:rsidTr="0058556B">
              <w:trPr>
                <w:jc w:val="center"/>
              </w:trPr>
              <w:tc>
                <w:tcPr>
                  <w:tcW w:w="5000" w:type="pct"/>
                  <w:tcBorders>
                    <w:top w:val="nil"/>
                    <w:bottom w:val="nil"/>
                  </w:tcBorders>
                </w:tcPr>
                <w:p w:rsidR="0058556B" w:rsidRDefault="00F06596" w:rsidP="0058556B">
                  <w:pPr>
                    <w:pStyle w:val="Figure"/>
                    <w:spacing w:before="60" w:after="60"/>
                  </w:pPr>
                  <w:r>
                    <w:rPr>
                      <w:noProof/>
                    </w:rPr>
                    <w:drawing>
                      <wp:inline distT="0" distB="0" distL="0" distR="0" wp14:anchorId="44605031" wp14:editId="3DF14B62">
                        <wp:extent cx="5381625" cy="2638425"/>
                        <wp:effectExtent l="0" t="0" r="9525" b="9525"/>
                        <wp:docPr id="41" name="Picture 41" descr="Figure 4.41 Completion rates, year 12, by geolocation, 2013 (per cen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381625" cy="2638425"/>
                                </a:xfrm>
                                <a:prstGeom prst="rect">
                                  <a:avLst/>
                                </a:prstGeom>
                                <a:noFill/>
                                <a:ln>
                                  <a:noFill/>
                                </a:ln>
                              </pic:spPr>
                            </pic:pic>
                          </a:graphicData>
                        </a:graphic>
                      </wp:inline>
                    </w:drawing>
                  </w:r>
                </w:p>
              </w:tc>
            </w:tr>
          </w:tbl>
          <w:p w:rsidR="0058556B" w:rsidRDefault="0058556B" w:rsidP="0058556B">
            <w:pPr>
              <w:pStyle w:val="Figure"/>
            </w:pPr>
          </w:p>
        </w:tc>
      </w:tr>
      <w:tr w:rsidR="0058556B" w:rsidRPr="00176D3F" w:rsidTr="007D6009">
        <w:tc>
          <w:tcPr>
            <w:tcW w:w="8771" w:type="dxa"/>
            <w:tcBorders>
              <w:top w:val="nil"/>
              <w:left w:val="nil"/>
              <w:bottom w:val="nil"/>
              <w:right w:val="nil"/>
            </w:tcBorders>
            <w:shd w:val="clear" w:color="auto" w:fill="auto"/>
          </w:tcPr>
          <w:p w:rsidR="00560C42" w:rsidRPr="008B2093" w:rsidRDefault="0058556B" w:rsidP="008B2093">
            <w:pPr>
              <w:pStyle w:val="Note"/>
              <w:rPr>
                <w:rStyle w:val="DraftingNote"/>
                <w:b w:val="0"/>
                <w:color w:val="auto"/>
                <w:sz w:val="18"/>
                <w:u w:val="none"/>
              </w:rPr>
            </w:pPr>
            <w:r>
              <w:rPr>
                <w:rStyle w:val="NoteLabel"/>
              </w:rPr>
              <w:t>a</w:t>
            </w:r>
            <w:r>
              <w:t xml:space="preserve"> </w:t>
            </w:r>
            <w:r w:rsidRPr="0058556B">
              <w:t xml:space="preserve">Completion rates are estimated by calculating the number of students who meet the requirements of a year 12 certificate or equivalent expressed as </w:t>
            </w:r>
            <w:r w:rsidRPr="005953B6">
              <w:t xml:space="preserve">a percentage of the potential year 12 population. The potential year 12 population is an estimate of a single year age group which could have attended year 12 that year, calculated as the estimated resident population aged 15–19 divided by 5. </w:t>
            </w:r>
            <w:r w:rsidRPr="005953B6">
              <w:rPr>
                <w:rStyle w:val="NoteLabel"/>
              </w:rPr>
              <w:t>b</w:t>
            </w:r>
            <w:r w:rsidRPr="005953B6">
              <w:t xml:space="preserve"> Definitions are based on the MCEECDYA (now </w:t>
            </w:r>
            <w:r w:rsidR="004F0AB1" w:rsidRPr="005953B6">
              <w:t>Education Council</w:t>
            </w:r>
            <w:r w:rsidRPr="005953B6">
              <w:t xml:space="preserve">) Geographic Location Classification. </w:t>
            </w:r>
            <w:r w:rsidRPr="005953B6">
              <w:rPr>
                <w:rStyle w:val="NoteLabel"/>
              </w:rPr>
              <w:t>c</w:t>
            </w:r>
            <w:r w:rsidRPr="005953B6">
              <w:t> All of the ACT is included in the metropolitan zone. There are no metropolitan areas in the NT</w:t>
            </w:r>
            <w:r w:rsidR="004E492B" w:rsidRPr="005953B6">
              <w:t>.</w:t>
            </w:r>
            <w:r w:rsidRPr="005953B6">
              <w:t xml:space="preserve"> There are no very remote areas in Victoria. </w:t>
            </w:r>
            <w:r w:rsidR="007E78CB" w:rsidRPr="005953B6">
              <w:rPr>
                <w:rStyle w:val="NoteLabel"/>
              </w:rPr>
              <w:t>d</w:t>
            </w:r>
            <w:r w:rsidRPr="005953B6">
              <w:t xml:space="preserve"> Remote data for Victoria </w:t>
            </w:r>
            <w:r w:rsidR="004E492B" w:rsidRPr="005953B6">
              <w:t>and remote and</w:t>
            </w:r>
            <w:r w:rsidR="004E492B" w:rsidRPr="007D6009">
              <w:rPr>
                <w:shd w:val="clear" w:color="auto" w:fill="FFFFFF" w:themeFill="background1"/>
              </w:rPr>
              <w:t xml:space="preserve"> very remote data for SA</w:t>
            </w:r>
            <w:r w:rsidR="004E492B">
              <w:t xml:space="preserve"> </w:t>
            </w:r>
            <w:r w:rsidRPr="0058556B">
              <w:t>are not published due to small numbers. The very remote population in Tasmania is too small to give meaningful results and are not published.</w:t>
            </w:r>
          </w:p>
        </w:tc>
      </w:tr>
      <w:tr w:rsidR="0058556B" w:rsidRPr="00176D3F" w:rsidTr="0058556B">
        <w:tc>
          <w:tcPr>
            <w:tcW w:w="8771" w:type="dxa"/>
            <w:tcBorders>
              <w:top w:val="nil"/>
              <w:left w:val="nil"/>
              <w:bottom w:val="nil"/>
              <w:right w:val="nil"/>
            </w:tcBorders>
            <w:shd w:val="clear" w:color="auto" w:fill="auto"/>
          </w:tcPr>
          <w:p w:rsidR="0058556B" w:rsidRPr="00176D3F" w:rsidRDefault="0058556B" w:rsidP="008A788F">
            <w:pPr>
              <w:pStyle w:val="Source"/>
            </w:pPr>
            <w:r>
              <w:rPr>
                <w:i/>
              </w:rPr>
              <w:t>S</w:t>
            </w:r>
            <w:r w:rsidRPr="00784A05">
              <w:rPr>
                <w:i/>
              </w:rPr>
              <w:t>ource</w:t>
            </w:r>
            <w:r w:rsidRPr="00176D3F">
              <w:t xml:space="preserve">: </w:t>
            </w:r>
            <w:r w:rsidRPr="0058556B">
              <w:t>Australian Government Department of Education (unpublished); table 4A.1</w:t>
            </w:r>
            <w:r w:rsidR="008A788F">
              <w:t>92</w:t>
            </w:r>
            <w:r w:rsidRPr="0058556B">
              <w:t>.</w:t>
            </w:r>
          </w:p>
        </w:tc>
      </w:tr>
      <w:tr w:rsidR="0058556B" w:rsidTr="0058556B">
        <w:tc>
          <w:tcPr>
            <w:tcW w:w="8771" w:type="dxa"/>
            <w:tcBorders>
              <w:top w:val="nil"/>
              <w:left w:val="nil"/>
              <w:bottom w:val="single" w:sz="6" w:space="0" w:color="78A22F"/>
              <w:right w:val="nil"/>
            </w:tcBorders>
            <w:shd w:val="clear" w:color="auto" w:fill="auto"/>
          </w:tcPr>
          <w:p w:rsidR="0058556B" w:rsidRDefault="0058556B" w:rsidP="0058556B">
            <w:pPr>
              <w:pStyle w:val="Figurespace"/>
            </w:pPr>
          </w:p>
        </w:tc>
      </w:tr>
      <w:tr w:rsidR="0058556B" w:rsidRPr="000863A5" w:rsidTr="0058556B">
        <w:tc>
          <w:tcPr>
            <w:tcW w:w="8771" w:type="dxa"/>
            <w:tcBorders>
              <w:top w:val="single" w:sz="6" w:space="0" w:color="78A22F"/>
              <w:left w:val="nil"/>
              <w:bottom w:val="nil"/>
              <w:right w:val="nil"/>
            </w:tcBorders>
          </w:tcPr>
          <w:p w:rsidR="0058556B" w:rsidRPr="00626D32" w:rsidRDefault="0058556B" w:rsidP="0058556B">
            <w:pPr>
              <w:pStyle w:val="BoxSpaceBelow"/>
            </w:pPr>
          </w:p>
        </w:tc>
      </w:tr>
    </w:tbl>
    <w:p w:rsidR="00666ECE" w:rsidRPr="00257C8E" w:rsidRDefault="00666ECE" w:rsidP="00257C8E">
      <w:pPr>
        <w:pStyle w:val="BodyText"/>
      </w:pPr>
      <w:r w:rsidRPr="00257C8E">
        <w:t xml:space="preserve">The </w:t>
      </w:r>
      <w:r w:rsidR="009D7D07" w:rsidRPr="00257C8E">
        <w:t>Child care</w:t>
      </w:r>
      <w:r w:rsidRPr="00257C8E">
        <w:t xml:space="preserve">, education and training </w:t>
      </w:r>
      <w:r w:rsidR="003932A0" w:rsidRPr="00257C8E">
        <w:t>sector overview</w:t>
      </w:r>
      <w:r w:rsidRPr="00257C8E">
        <w:t xml:space="preserve"> includes data on the proportions of the </w:t>
      </w:r>
      <w:r w:rsidR="00093A97" w:rsidRPr="00257C8E">
        <w:t xml:space="preserve">population aged </w:t>
      </w:r>
      <w:r w:rsidRPr="00257C8E">
        <w:t>20–24 and 20–64 years having attained at least a year 12 or equivalent or AQF Certificate II; and the proportions of the 20–24 and 20–64 year old</w:t>
      </w:r>
      <w:r w:rsidR="00560C42">
        <w:t>s</w:t>
      </w:r>
      <w:r w:rsidRPr="00257C8E">
        <w:t xml:space="preserve"> </w:t>
      </w:r>
      <w:r w:rsidR="00560C42">
        <w:t xml:space="preserve">by </w:t>
      </w:r>
      <w:r w:rsidRPr="00257C8E">
        <w:t>Indigenous</w:t>
      </w:r>
      <w:r w:rsidR="00560C42">
        <w:t xml:space="preserve"> status,</w:t>
      </w:r>
      <w:r w:rsidRPr="00257C8E">
        <w:t xml:space="preserve"> low socio</w:t>
      </w:r>
      <w:r w:rsidR="009131A4" w:rsidRPr="00257C8E">
        <w:t>-</w:t>
      </w:r>
      <w:r w:rsidRPr="00257C8E">
        <w:t>economic status</w:t>
      </w:r>
      <w:r w:rsidR="00560C42">
        <w:t xml:space="preserve"> and by remoteness area </w:t>
      </w:r>
      <w:r w:rsidRPr="00257C8E">
        <w:t>having attained at least a year 12 or equivalent or AQF Certificate II (tables BA.</w:t>
      </w:r>
      <w:r w:rsidR="00871957" w:rsidRPr="00257C8E">
        <w:t>3</w:t>
      </w:r>
      <w:r w:rsidR="00560C42">
        <w:t>1</w:t>
      </w:r>
      <w:r w:rsidRPr="00257C8E">
        <w:t>–</w:t>
      </w:r>
      <w:r w:rsidR="00FF654E" w:rsidRPr="00257C8E">
        <w:t>3</w:t>
      </w:r>
      <w:r w:rsidR="00560C42">
        <w:t>5</w:t>
      </w:r>
      <w:r w:rsidRPr="00257C8E">
        <w:t>).</w:t>
      </w:r>
    </w:p>
    <w:p w:rsidR="00666ECE" w:rsidRPr="00666ECE" w:rsidRDefault="00666ECE" w:rsidP="003856E6">
      <w:pPr>
        <w:pStyle w:val="Heading5"/>
      </w:pPr>
      <w:r w:rsidRPr="00666ECE">
        <w:t>Destination</w:t>
      </w:r>
    </w:p>
    <w:p w:rsidR="00666ECE" w:rsidRDefault="00666ECE" w:rsidP="00257C8E">
      <w:pPr>
        <w:pStyle w:val="BodyText"/>
        <w:rPr>
          <w:rStyle w:val="BodyTextChar"/>
        </w:rPr>
      </w:pPr>
      <w:r w:rsidRPr="00666ECE">
        <w:t>‘</w:t>
      </w:r>
      <w:r w:rsidRPr="00257C8E">
        <w:rPr>
          <w:rStyle w:val="BodyTextChar"/>
        </w:rPr>
        <w:t>Destination’ is an indicator of governments’ objective of ensuring that school leavers make successful transitions from school and continue to improve their skills through further post-school education, training and/or employment. It is an indicator of students’ post-school transitions into education, training and employment (box 4.1</w:t>
      </w:r>
      <w:r w:rsidR="005A177C">
        <w:rPr>
          <w:rStyle w:val="BodyTextChar"/>
        </w:rPr>
        <w:t>6</w:t>
      </w:r>
      <w:r w:rsidRPr="00257C8E">
        <w:rPr>
          <w:rStyle w:val="BodyTextChar"/>
        </w:rPr>
        <w:t>).</w:t>
      </w:r>
    </w:p>
    <w:p w:rsidR="0097296B" w:rsidRDefault="0097296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7296B" w:rsidTr="00A8608B">
        <w:tc>
          <w:tcPr>
            <w:tcW w:w="8771" w:type="dxa"/>
            <w:tcBorders>
              <w:top w:val="single" w:sz="6" w:space="0" w:color="78A22F"/>
              <w:left w:val="nil"/>
              <w:bottom w:val="nil"/>
              <w:right w:val="nil"/>
            </w:tcBorders>
            <w:shd w:val="clear" w:color="auto" w:fill="F2F2F2"/>
          </w:tcPr>
          <w:p w:rsidR="0097296B" w:rsidRDefault="0097296B" w:rsidP="0097296B">
            <w:pPr>
              <w:pStyle w:val="BoxTitle"/>
            </w:pPr>
            <w:r>
              <w:rPr>
                <w:b w:val="0"/>
              </w:rPr>
              <w:t xml:space="preserve">Box </w:t>
            </w:r>
            <w:r w:rsidR="00B70781">
              <w:rPr>
                <w:b w:val="0"/>
              </w:rPr>
              <w:t>4.</w:t>
            </w:r>
            <w:r w:rsidR="005953B6">
              <w:rPr>
                <w:b w:val="0"/>
                <w:noProof/>
              </w:rPr>
              <w:t>16</w:t>
            </w:r>
            <w:r>
              <w:tab/>
              <w:t>Destination</w:t>
            </w:r>
          </w:p>
        </w:tc>
      </w:tr>
      <w:tr w:rsidR="0097296B" w:rsidTr="00A8608B">
        <w:trPr>
          <w:cantSplit/>
        </w:trPr>
        <w:tc>
          <w:tcPr>
            <w:tcW w:w="8771" w:type="dxa"/>
            <w:tcBorders>
              <w:top w:val="nil"/>
              <w:left w:val="nil"/>
              <w:bottom w:val="nil"/>
              <w:right w:val="nil"/>
            </w:tcBorders>
            <w:shd w:val="clear" w:color="auto" w:fill="F2F2F2"/>
          </w:tcPr>
          <w:p w:rsidR="00EF1D5C" w:rsidRDefault="0097296B" w:rsidP="0097296B">
            <w:pPr>
              <w:pStyle w:val="Box"/>
            </w:pPr>
            <w:r w:rsidRPr="0097296B">
              <w:t xml:space="preserve">‘Destination’ (school leaver destination rate) is defined </w:t>
            </w:r>
            <w:r w:rsidR="00EF1D5C">
              <w:t>by three measures:</w:t>
            </w:r>
          </w:p>
          <w:p w:rsidR="00EF1D5C" w:rsidRDefault="00EF1D5C" w:rsidP="00EF1D5C">
            <w:pPr>
              <w:pStyle w:val="BoxListBullet"/>
            </w:pPr>
            <w:r>
              <w:t>The proportion of school leavers aged 15</w:t>
            </w:r>
            <w:r w:rsidR="0000677C">
              <w:t>–</w:t>
            </w:r>
            <w:r>
              <w:t xml:space="preserve">24 who left school at any time, who are </w:t>
            </w:r>
            <w:r w:rsidR="004E492B" w:rsidRPr="007D6009">
              <w:rPr>
                <w:shd w:val="clear" w:color="auto" w:fill="F2F2F2" w:themeFill="background2" w:themeFillTint="33"/>
              </w:rPr>
              <w:t>fully</w:t>
            </w:r>
            <w:r w:rsidR="004E492B">
              <w:t xml:space="preserve"> </w:t>
            </w:r>
            <w:r>
              <w:t>participating in education and/or training, or employment. Data are reported for school leavers whose highest level of school completed was year 12, and year 11 and below. Data are sourced from the Survey of Education and Work.</w:t>
            </w:r>
          </w:p>
          <w:p w:rsidR="00EF1D5C" w:rsidRDefault="00EF1D5C" w:rsidP="00EF1D5C">
            <w:pPr>
              <w:pStyle w:val="BoxListBullet"/>
            </w:pPr>
            <w:r>
              <w:t>The proportion of school leavers aged 15</w:t>
            </w:r>
            <w:r w:rsidR="0000677C">
              <w:t>–</w:t>
            </w:r>
            <w:r>
              <w:t>24 who left school in the previous year, who are participating in work or study. Data are reported for school leavers whose highest level of school completed was year 12, and year 11 and below. Data are sourced from the Survey of Education and Work.</w:t>
            </w:r>
            <w:r w:rsidR="00575D0B">
              <w:t xml:space="preserve"> Large confidence intervals for smaller jurisdictions suggest that these data should be interpreted with caution.</w:t>
            </w:r>
          </w:p>
          <w:p w:rsidR="00EF1D5C" w:rsidRDefault="00EF1D5C" w:rsidP="00EF1D5C">
            <w:pPr>
              <w:pStyle w:val="BoxListBullet"/>
            </w:pPr>
            <w:r>
              <w:t xml:space="preserve">The proportions of 15–19 and 20–24 year olds who are not in school, who are participating in full or part time study and full or part time </w:t>
            </w:r>
            <w:r w:rsidR="00A358BA">
              <w:t>work</w:t>
            </w:r>
            <w:r>
              <w:t>. Data are reported by highest level of qualification.</w:t>
            </w:r>
            <w:r w:rsidR="00A358BA">
              <w:t xml:space="preserve"> </w:t>
            </w:r>
            <w:r w:rsidR="0000677C">
              <w:t>Data are</w:t>
            </w:r>
            <w:r w:rsidR="00A358BA">
              <w:t xml:space="preserve"> sourced from the Census of Population and Housing</w:t>
            </w:r>
            <w:r w:rsidR="0048153E">
              <w:t>.</w:t>
            </w:r>
          </w:p>
          <w:p w:rsidR="0097296B" w:rsidRPr="0097296B" w:rsidRDefault="0097296B" w:rsidP="0097296B">
            <w:pPr>
              <w:pStyle w:val="Box"/>
            </w:pPr>
            <w:r w:rsidRPr="0097296B">
              <w:t>A higher or increasing estimated proportion of school leavers participating in further education, training or full time employment is likely to result in improved educational and employment outcomes in the longer term.</w:t>
            </w:r>
          </w:p>
          <w:p w:rsidR="0097296B" w:rsidRPr="0097296B" w:rsidRDefault="0097296B" w:rsidP="0097296B">
            <w:pPr>
              <w:pStyle w:val="Box"/>
            </w:pPr>
            <w:r w:rsidRPr="0097296B">
              <w:t xml:space="preserve">The </w:t>
            </w:r>
            <w:r w:rsidR="00A358BA">
              <w:t>Survey of Education and Work</w:t>
            </w:r>
            <w:r w:rsidR="00A358BA" w:rsidRPr="0097296B">
              <w:t xml:space="preserve"> </w:t>
            </w:r>
            <w:r w:rsidRPr="0097296B">
              <w:t xml:space="preserve">data reported for this </w:t>
            </w:r>
            <w:r w:rsidR="00445835">
              <w:t>indicator</w:t>
            </w:r>
            <w:r w:rsidRPr="0097296B">
              <w:t xml:space="preserve"> relate to the jurisdiction in which the young person was resident the year </w:t>
            </w:r>
            <w:r w:rsidR="004E492B" w:rsidRPr="007D6009">
              <w:rPr>
                <w:shd w:val="clear" w:color="auto" w:fill="F2F2F2" w:themeFill="background2" w:themeFillTint="33"/>
              </w:rPr>
              <w:t>of the survey</w:t>
            </w:r>
            <w:r w:rsidRPr="0097296B">
              <w:t xml:space="preserve"> and not necessarily the jurisdiction in which they attended school. </w:t>
            </w:r>
          </w:p>
          <w:p w:rsidR="0097296B" w:rsidRPr="0097296B" w:rsidRDefault="0097296B" w:rsidP="0097296B">
            <w:pPr>
              <w:pStyle w:val="Box"/>
            </w:pPr>
            <w:r w:rsidRPr="0097296B">
              <w:t>Data reported for this measure are</w:t>
            </w:r>
          </w:p>
          <w:p w:rsidR="0097296B" w:rsidRPr="0097296B" w:rsidRDefault="0097296B" w:rsidP="0097296B">
            <w:pPr>
              <w:pStyle w:val="Box"/>
              <w:numPr>
                <w:ilvl w:val="0"/>
                <w:numId w:val="1"/>
              </w:numPr>
            </w:pPr>
            <w:r w:rsidRPr="0097296B">
              <w:t>comparable across jurisdictions</w:t>
            </w:r>
          </w:p>
          <w:p w:rsidR="0097296B" w:rsidRPr="0097296B" w:rsidRDefault="0097296B" w:rsidP="0097296B">
            <w:pPr>
              <w:pStyle w:val="Box"/>
              <w:numPr>
                <w:ilvl w:val="0"/>
                <w:numId w:val="1"/>
              </w:numPr>
            </w:pPr>
            <w:r w:rsidRPr="0097296B">
              <w:t>complete for the current reporting period. All required 201</w:t>
            </w:r>
            <w:r w:rsidR="00A358BA">
              <w:t>1 and 2013</w:t>
            </w:r>
            <w:r w:rsidRPr="0097296B">
              <w:t xml:space="preserve"> data </w:t>
            </w:r>
            <w:r w:rsidR="00A358BA" w:rsidRPr="0097296B">
              <w:t>are available for all jurisdictions providing the service</w:t>
            </w:r>
            <w:r w:rsidRPr="0097296B">
              <w:t>.</w:t>
            </w:r>
          </w:p>
          <w:p w:rsidR="0097296B" w:rsidRDefault="0097296B" w:rsidP="0097296B">
            <w:pPr>
              <w:pStyle w:val="Box"/>
            </w:pPr>
            <w:r w:rsidRPr="0097296B">
              <w:t xml:space="preserve">Information about data quality for this indicator is at </w:t>
            </w:r>
            <w:r w:rsidR="00723DDD" w:rsidRPr="00963842">
              <w:t>www.pc.gov.au</w:t>
            </w:r>
            <w:r w:rsidRPr="00963842">
              <w:t>/rogs/2015</w:t>
            </w:r>
            <w:r w:rsidR="0048153E">
              <w:rPr>
                <w:rStyle w:val="Hyperlink"/>
              </w:rPr>
              <w:t>.</w:t>
            </w:r>
          </w:p>
        </w:tc>
      </w:tr>
      <w:tr w:rsidR="0097296B" w:rsidTr="001D0F72">
        <w:trPr>
          <w:cantSplit/>
        </w:trPr>
        <w:tc>
          <w:tcPr>
            <w:tcW w:w="8771" w:type="dxa"/>
            <w:tcBorders>
              <w:top w:val="nil"/>
              <w:left w:val="nil"/>
              <w:bottom w:val="single" w:sz="6" w:space="0" w:color="78A22F"/>
              <w:right w:val="nil"/>
            </w:tcBorders>
            <w:shd w:val="clear" w:color="auto" w:fill="F2F2F2"/>
          </w:tcPr>
          <w:p w:rsidR="0097296B" w:rsidRDefault="0097296B">
            <w:pPr>
              <w:pStyle w:val="Box"/>
              <w:spacing w:before="0" w:line="120" w:lineRule="exact"/>
            </w:pPr>
          </w:p>
        </w:tc>
      </w:tr>
      <w:tr w:rsidR="0097296B" w:rsidRPr="000863A5" w:rsidTr="001D0F72">
        <w:tc>
          <w:tcPr>
            <w:tcW w:w="8771" w:type="dxa"/>
            <w:tcBorders>
              <w:top w:val="single" w:sz="6" w:space="0" w:color="78A22F"/>
              <w:left w:val="nil"/>
              <w:bottom w:val="nil"/>
              <w:right w:val="nil"/>
            </w:tcBorders>
          </w:tcPr>
          <w:p w:rsidR="0097296B" w:rsidRPr="00626D32" w:rsidRDefault="0097296B" w:rsidP="001D0F72">
            <w:pPr>
              <w:pStyle w:val="BoxSpaceBelow"/>
            </w:pPr>
          </w:p>
        </w:tc>
      </w:tr>
    </w:tbl>
    <w:p w:rsidR="00A358BA" w:rsidRDefault="00A358BA" w:rsidP="007D6009">
      <w:pPr>
        <w:pStyle w:val="Heading6"/>
      </w:pPr>
      <w:r>
        <w:t>The proportion of school leavers aged between 15</w:t>
      </w:r>
      <w:r w:rsidR="004E492B">
        <w:t>–</w:t>
      </w:r>
      <w:r>
        <w:t xml:space="preserve">24 who left school at any time, who are </w:t>
      </w:r>
      <w:r w:rsidR="004E492B" w:rsidRPr="007D6009">
        <w:rPr>
          <w:shd w:val="clear" w:color="auto" w:fill="FFFFFF" w:themeFill="background1"/>
        </w:rPr>
        <w:t xml:space="preserve">fully </w:t>
      </w:r>
      <w:r>
        <w:t>participating in education</w:t>
      </w:r>
      <w:r w:rsidR="0000677C">
        <w:t xml:space="preserve"> and/or training, or employment</w:t>
      </w:r>
    </w:p>
    <w:p w:rsidR="00C2397B" w:rsidRPr="00F72BEC" w:rsidRDefault="00666ECE" w:rsidP="00257C8E">
      <w:pPr>
        <w:pStyle w:val="BodyText"/>
      </w:pPr>
      <w:r w:rsidRPr="00F72BEC">
        <w:t>Nationally, in 201</w:t>
      </w:r>
      <w:r w:rsidR="00A358BA" w:rsidRPr="00F72BEC">
        <w:t>3</w:t>
      </w:r>
      <w:r w:rsidRPr="00F72BEC">
        <w:t xml:space="preserve">, </w:t>
      </w:r>
      <w:r w:rsidR="00A358BA" w:rsidRPr="00F72BEC">
        <w:t>72.6 per cent of all school leavers aged 15</w:t>
      </w:r>
      <w:r w:rsidR="004E492B">
        <w:t>–</w:t>
      </w:r>
      <w:r w:rsidR="00A358BA" w:rsidRPr="00F72BEC">
        <w:t>24 were fully engaged in education and/or training, or employment, or a combination of ed</w:t>
      </w:r>
      <w:r w:rsidR="0000677C">
        <w:t xml:space="preserve">ucation and/or </w:t>
      </w:r>
      <w:r w:rsidR="00C2397B" w:rsidRPr="00F72BEC">
        <w:t>train</w:t>
      </w:r>
      <w:r w:rsidR="00A358BA" w:rsidRPr="00F72BEC">
        <w:t xml:space="preserve">ing and employment. </w:t>
      </w:r>
      <w:r w:rsidR="00C2397B" w:rsidRPr="00F72BEC">
        <w:t>T</w:t>
      </w:r>
      <w:r w:rsidR="00A358BA" w:rsidRPr="00F72BEC">
        <w:t>he proportion fully participating in education and/or training was 33.1</w:t>
      </w:r>
      <w:r w:rsidR="00C2397B" w:rsidRPr="00F72BEC">
        <w:t> </w:t>
      </w:r>
      <w:r w:rsidR="00A358BA" w:rsidRPr="00F72BEC">
        <w:t>per</w:t>
      </w:r>
      <w:r w:rsidR="00C2397B" w:rsidRPr="00F72BEC">
        <w:t> </w:t>
      </w:r>
      <w:r w:rsidR="00A358BA" w:rsidRPr="00F72BEC">
        <w:t xml:space="preserve">cent and the proportion fully </w:t>
      </w:r>
      <w:r w:rsidR="00C2397B" w:rsidRPr="00F72BEC">
        <w:t>participating</w:t>
      </w:r>
      <w:r w:rsidR="00A358BA" w:rsidRPr="00F72BEC">
        <w:t xml:space="preserve"> in employment was 38.7 per cent</w:t>
      </w:r>
      <w:r w:rsidR="00C2397B" w:rsidRPr="00F72BEC">
        <w:t xml:space="preserve"> (figure 4.</w:t>
      </w:r>
      <w:r w:rsidR="005A2FDC">
        <w:t>4</w:t>
      </w:r>
      <w:r w:rsidR="00354B10">
        <w:t>2</w:t>
      </w:r>
      <w:r w:rsidR="00C2397B" w:rsidRPr="00F72BEC">
        <w:t>)</w:t>
      </w:r>
      <w:r w:rsidR="00A358BA" w:rsidRPr="00F72BEC">
        <w:t xml:space="preserve">. </w:t>
      </w:r>
      <w:r w:rsidR="00445835">
        <w:t>Th</w:t>
      </w:r>
      <w:r w:rsidR="00F72BEC">
        <w:t>ese proportions varied across jurisdictions.</w:t>
      </w:r>
    </w:p>
    <w:p w:rsidR="00A358BA" w:rsidRDefault="00A358BA" w:rsidP="007D6009">
      <w:pPr>
        <w:pStyle w:val="BodyText"/>
        <w:shd w:val="clear" w:color="auto" w:fill="FFFFFF" w:themeFill="background1"/>
      </w:pPr>
      <w:r w:rsidRPr="00F72BEC">
        <w:t xml:space="preserve">Amongst year 12 school leavers, the proportion fully engaged in education and/or training, or employment, or a </w:t>
      </w:r>
      <w:r w:rsidR="004E492B" w:rsidRPr="007D6009">
        <w:rPr>
          <w:shd w:val="clear" w:color="auto" w:fill="FFFFFF" w:themeFill="background1"/>
        </w:rPr>
        <w:t>full time</w:t>
      </w:r>
      <w:r w:rsidR="004E492B">
        <w:t xml:space="preserve"> </w:t>
      </w:r>
      <w:r w:rsidRPr="00F72BEC">
        <w:t xml:space="preserve">combination of education/training and employment was </w:t>
      </w:r>
      <w:r w:rsidR="00C2397B" w:rsidRPr="00F72BEC">
        <w:t>77.8</w:t>
      </w:r>
      <w:r w:rsidR="004E492B">
        <w:t> </w:t>
      </w:r>
      <w:r w:rsidR="00C2397B" w:rsidRPr="00F72BEC">
        <w:t>per</w:t>
      </w:r>
      <w:r w:rsidR="004E492B">
        <w:t> </w:t>
      </w:r>
      <w:r w:rsidR="00C2397B" w:rsidRPr="00F72BEC">
        <w:t>cent</w:t>
      </w:r>
      <w:r w:rsidR="00F72BEC">
        <w:t xml:space="preserve"> nationally</w:t>
      </w:r>
      <w:r w:rsidR="00C2397B" w:rsidRPr="00F72BEC">
        <w:t>. Amongst year 11 school leavers, this proportion was 56.7 per cent (table 4A.193).</w:t>
      </w:r>
      <w:r w:rsidR="007E4269">
        <w:t xml:space="preserve"> </w:t>
      </w:r>
      <w:r w:rsidR="007E4269" w:rsidRPr="007D6009">
        <w:rPr>
          <w:shd w:val="clear" w:color="auto" w:fill="FFFFFF" w:themeFill="background1"/>
        </w:rPr>
        <w:t>Table 4A.193 also provides the proportions participating in higher education and TAFE.</w:t>
      </w:r>
    </w:p>
    <w:p w:rsidR="006E7C15" w:rsidRDefault="006E7C15" w:rsidP="0027264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E7C15" w:rsidTr="007D6009">
        <w:tc>
          <w:tcPr>
            <w:tcW w:w="8771" w:type="dxa"/>
            <w:tcBorders>
              <w:top w:val="nil"/>
              <w:left w:val="nil"/>
              <w:bottom w:val="nil"/>
              <w:right w:val="nil"/>
            </w:tcBorders>
            <w:shd w:val="clear" w:color="auto" w:fill="FFFFFF" w:themeFill="background1"/>
          </w:tcPr>
          <w:p w:rsidR="006E7C15" w:rsidRPr="00176D3F" w:rsidRDefault="006E7C15" w:rsidP="00721F5D">
            <w:pPr>
              <w:pStyle w:val="FigureTitle"/>
            </w:pPr>
            <w:r w:rsidRPr="007D6009">
              <w:rPr>
                <w:b w:val="0"/>
              </w:rPr>
              <w:t>Figure 4.</w:t>
            </w:r>
            <w:r w:rsidR="005953B6">
              <w:rPr>
                <w:b w:val="0"/>
                <w:noProof/>
              </w:rPr>
              <w:t>42</w:t>
            </w:r>
            <w:r w:rsidRPr="007D6009">
              <w:tab/>
            </w:r>
            <w:r w:rsidR="00950439" w:rsidRPr="007D6009">
              <w:t>School leaver destination (15</w:t>
            </w:r>
            <w:r w:rsidR="00721F5D" w:rsidRPr="007D6009">
              <w:t>–</w:t>
            </w:r>
            <w:r w:rsidR="00950439" w:rsidRPr="007D6009">
              <w:t>24 year olds), 2013</w:t>
            </w:r>
            <w:r w:rsidR="00950439" w:rsidRPr="007D6009">
              <w:rPr>
                <w:rStyle w:val="NoteLabel"/>
                <w:b/>
              </w:rPr>
              <w:t>a, b, c</w:t>
            </w:r>
          </w:p>
        </w:tc>
      </w:tr>
      <w:tr w:rsidR="006E7C15" w:rsidTr="0027264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6E7C15" w:rsidTr="0027264A">
              <w:trPr>
                <w:jc w:val="center"/>
              </w:trPr>
              <w:tc>
                <w:tcPr>
                  <w:tcW w:w="5000" w:type="pct"/>
                  <w:tcBorders>
                    <w:top w:val="nil"/>
                    <w:bottom w:val="nil"/>
                  </w:tcBorders>
                </w:tcPr>
                <w:p w:rsidR="006E7C15" w:rsidRPr="00950439" w:rsidRDefault="00F06596" w:rsidP="0027264A">
                  <w:pPr>
                    <w:pStyle w:val="Figure"/>
                    <w:spacing w:before="60" w:after="60"/>
                    <w:rPr>
                      <w:i/>
                    </w:rPr>
                  </w:pPr>
                  <w:r>
                    <w:rPr>
                      <w:i/>
                      <w:noProof/>
                    </w:rPr>
                    <w:drawing>
                      <wp:inline distT="0" distB="0" distL="0" distR="0" wp14:anchorId="6CE5B16F" wp14:editId="42D4F06D">
                        <wp:extent cx="5353050" cy="2676525"/>
                        <wp:effectExtent l="0" t="0" r="0" b="9525"/>
                        <wp:docPr id="42" name="Picture 42" descr="Figure 4.42 School leaver destination (15-24 year olds),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353050" cy="2676525"/>
                                </a:xfrm>
                                <a:prstGeom prst="rect">
                                  <a:avLst/>
                                </a:prstGeom>
                                <a:noFill/>
                                <a:ln>
                                  <a:noFill/>
                                </a:ln>
                              </pic:spPr>
                            </pic:pic>
                          </a:graphicData>
                        </a:graphic>
                      </wp:inline>
                    </w:drawing>
                  </w:r>
                </w:p>
              </w:tc>
            </w:tr>
          </w:tbl>
          <w:p w:rsidR="006E7C15" w:rsidRDefault="006E7C15" w:rsidP="0027264A">
            <w:pPr>
              <w:pStyle w:val="Figure"/>
            </w:pPr>
          </w:p>
        </w:tc>
      </w:tr>
      <w:tr w:rsidR="006E7C15" w:rsidRPr="00176D3F" w:rsidTr="0027264A">
        <w:tc>
          <w:tcPr>
            <w:tcW w:w="8771" w:type="dxa"/>
            <w:tcBorders>
              <w:top w:val="nil"/>
              <w:left w:val="nil"/>
              <w:bottom w:val="nil"/>
              <w:right w:val="nil"/>
            </w:tcBorders>
            <w:shd w:val="clear" w:color="auto" w:fill="auto"/>
          </w:tcPr>
          <w:p w:rsidR="006E7C15" w:rsidRPr="00176D3F" w:rsidRDefault="006E7C15" w:rsidP="007E4269">
            <w:pPr>
              <w:pStyle w:val="Note"/>
            </w:pPr>
            <w:r>
              <w:rPr>
                <w:rStyle w:val="NoteLabel"/>
              </w:rPr>
              <w:t>a</w:t>
            </w:r>
            <w:r>
              <w:t xml:space="preserve"> </w:t>
            </w:r>
            <w:r w:rsidR="00950439" w:rsidRPr="00950439">
              <w:t>Includes all people aged 15</w:t>
            </w:r>
            <w:r w:rsidR="0000677C">
              <w:t>–</w:t>
            </w:r>
            <w:r w:rsidR="00950439" w:rsidRPr="00950439">
              <w:t>24 years who are no longer in school.</w:t>
            </w:r>
            <w:r>
              <w:t xml:space="preserve"> </w:t>
            </w:r>
            <w:r>
              <w:rPr>
                <w:rStyle w:val="NoteLabel"/>
              </w:rPr>
              <w:t>b</w:t>
            </w:r>
            <w:r>
              <w:t xml:space="preserve"> </w:t>
            </w:r>
            <w:r w:rsidR="00950439" w:rsidRPr="00950439">
              <w:t xml:space="preserve">The ABS Survey of Education and Work is not conducted in </w:t>
            </w:r>
            <w:r w:rsidR="007E4269">
              <w:t>Aboriginal and Torres Strait Islander</w:t>
            </w:r>
            <w:r w:rsidR="00950439" w:rsidRPr="00950439">
              <w:t xml:space="preserve"> com</w:t>
            </w:r>
            <w:r w:rsidR="005A177C">
              <w:t xml:space="preserve">munities in very remote areas. </w:t>
            </w:r>
            <w:r w:rsidR="00950439" w:rsidRPr="00950439">
              <w:t>This has a minor impact on national or state and territory estimates, but affects the comparability of NT results as people from Indigenous communities in very remote areas account for around 15 per cent of the NT</w:t>
            </w:r>
            <w:r w:rsidR="007E4269">
              <w:t xml:space="preserve"> 15–74 year old</w:t>
            </w:r>
            <w:r w:rsidR="00950439" w:rsidRPr="00950439">
              <w:t xml:space="preserve"> population. See also table 4A.35 for the proportions of students attending schools in remote and very remote areas.</w:t>
            </w:r>
            <w:r w:rsidR="00950439">
              <w:t xml:space="preserve"> </w:t>
            </w:r>
            <w:r w:rsidR="00950439" w:rsidRPr="00950439">
              <w:rPr>
                <w:rStyle w:val="NoteLabel"/>
              </w:rPr>
              <w:t>c</w:t>
            </w:r>
            <w:r w:rsidR="00950439">
              <w:t xml:space="preserve"> </w:t>
            </w:r>
            <w:r w:rsidR="00950439" w:rsidRPr="00950439">
              <w:t>Total fully engaged includes people primarily engaged in full time formal study, people primarily engaged in full time employment, people engaged in full time formal study and full time employment, and people engaged in part time formal study and part time employment.</w:t>
            </w:r>
          </w:p>
        </w:tc>
      </w:tr>
      <w:tr w:rsidR="006E7C15" w:rsidRPr="00176D3F" w:rsidTr="0027264A">
        <w:tc>
          <w:tcPr>
            <w:tcW w:w="8771" w:type="dxa"/>
            <w:tcBorders>
              <w:top w:val="nil"/>
              <w:left w:val="nil"/>
              <w:bottom w:val="nil"/>
              <w:right w:val="nil"/>
            </w:tcBorders>
            <w:shd w:val="clear" w:color="auto" w:fill="auto"/>
          </w:tcPr>
          <w:p w:rsidR="006E7C15" w:rsidRPr="00176D3F" w:rsidRDefault="00950439" w:rsidP="007E4269">
            <w:pPr>
              <w:pStyle w:val="Source"/>
            </w:pPr>
            <w:r>
              <w:rPr>
                <w:i/>
              </w:rPr>
              <w:t>S</w:t>
            </w:r>
            <w:r w:rsidR="006E7C15" w:rsidRPr="00784A05">
              <w:rPr>
                <w:i/>
              </w:rPr>
              <w:t>ource</w:t>
            </w:r>
            <w:r w:rsidR="006E7C15" w:rsidRPr="00176D3F">
              <w:t xml:space="preserve">: </w:t>
            </w:r>
            <w:r w:rsidRPr="00950439">
              <w:t xml:space="preserve">ABS (unpublished, TableBuilder) Education </w:t>
            </w:r>
            <w:r w:rsidR="007E4269">
              <w:t>and Work, 2013, cat. no. 6227.0</w:t>
            </w:r>
            <w:r w:rsidR="00E35469">
              <w:t>; table 4A.193</w:t>
            </w:r>
            <w:r w:rsidRPr="00950439">
              <w:t>.</w:t>
            </w:r>
          </w:p>
        </w:tc>
      </w:tr>
      <w:tr w:rsidR="006E7C15" w:rsidTr="0027264A">
        <w:tc>
          <w:tcPr>
            <w:tcW w:w="8771" w:type="dxa"/>
            <w:tcBorders>
              <w:top w:val="nil"/>
              <w:left w:val="nil"/>
              <w:bottom w:val="single" w:sz="6" w:space="0" w:color="78A22F"/>
              <w:right w:val="nil"/>
            </w:tcBorders>
            <w:shd w:val="clear" w:color="auto" w:fill="auto"/>
          </w:tcPr>
          <w:p w:rsidR="006E7C15" w:rsidRDefault="006E7C15" w:rsidP="0027264A">
            <w:pPr>
              <w:pStyle w:val="Figurespace"/>
            </w:pPr>
          </w:p>
        </w:tc>
      </w:tr>
      <w:tr w:rsidR="006E7C15" w:rsidRPr="000863A5" w:rsidTr="0027264A">
        <w:tc>
          <w:tcPr>
            <w:tcW w:w="8771" w:type="dxa"/>
            <w:tcBorders>
              <w:top w:val="single" w:sz="6" w:space="0" w:color="78A22F"/>
              <w:left w:val="nil"/>
              <w:bottom w:val="nil"/>
              <w:right w:val="nil"/>
            </w:tcBorders>
          </w:tcPr>
          <w:p w:rsidR="006E7C15" w:rsidRPr="00626D32" w:rsidRDefault="006E7C15" w:rsidP="0027264A">
            <w:pPr>
              <w:pStyle w:val="BoxSpaceBelow"/>
            </w:pPr>
          </w:p>
        </w:tc>
      </w:tr>
    </w:tbl>
    <w:p w:rsidR="00C2397B" w:rsidRDefault="00C2397B" w:rsidP="00F72BEC">
      <w:pPr>
        <w:pStyle w:val="Heading6"/>
      </w:pPr>
      <w:r>
        <w:t>The proportion of school leavers aged 15</w:t>
      </w:r>
      <w:r w:rsidR="0000677C">
        <w:t>–</w:t>
      </w:r>
      <w:r>
        <w:t xml:space="preserve">24 who left school in the previous year, who are </w:t>
      </w:r>
      <w:r w:rsidR="0000677C">
        <w:t>participating in work or study</w:t>
      </w:r>
    </w:p>
    <w:p w:rsidR="00575D0B" w:rsidRPr="00F72BEC" w:rsidRDefault="00575D0B" w:rsidP="00C2397B">
      <w:pPr>
        <w:pStyle w:val="BodyText"/>
      </w:pPr>
      <w:r w:rsidRPr="00F72BEC">
        <w:t xml:space="preserve">The proportion of all school leavers who left school in 2012 who </w:t>
      </w:r>
      <w:r w:rsidR="00F72BEC">
        <w:t>wer</w:t>
      </w:r>
      <w:r w:rsidRPr="00F72BEC">
        <w:t xml:space="preserve">e working either full or part time in 2013 is 56.4 per cent and the proportion studying either full or part time is 59.0 per cent (some school leavers </w:t>
      </w:r>
      <w:r w:rsidR="00F72BEC">
        <w:t>we</w:t>
      </w:r>
      <w:r w:rsidRPr="00F72BEC">
        <w:t xml:space="preserve">re undertaking both work and study and some </w:t>
      </w:r>
      <w:r w:rsidR="00F72BEC">
        <w:t>were</w:t>
      </w:r>
      <w:r w:rsidRPr="00F72BEC">
        <w:t xml:space="preserve"> undertaking neither). Amongst all school leavers in 2012, 42.2 per cent were year 12 completer</w:t>
      </w:r>
      <w:r w:rsidR="00F72BEC" w:rsidRPr="00F72BEC">
        <w:t>s who were subsequently working in 2013,</w:t>
      </w:r>
      <w:r w:rsidRPr="00F72BEC">
        <w:t xml:space="preserve"> 49.5 per cent were year 12 completers who were subsequently </w:t>
      </w:r>
      <w:r w:rsidR="00F72BEC" w:rsidRPr="00F72BEC">
        <w:t xml:space="preserve">studying in 2013, 13.7 per cent were year 11 or below </w:t>
      </w:r>
      <w:r w:rsidR="00F72BEC">
        <w:t>completers</w:t>
      </w:r>
      <w:r w:rsidR="00F72BEC" w:rsidRPr="00F72BEC">
        <w:t xml:space="preserve"> who were subsequently working in 2013 and 9.4 per cent were year 11 and below </w:t>
      </w:r>
      <w:r w:rsidR="00F72BEC">
        <w:t>completers</w:t>
      </w:r>
      <w:r w:rsidR="00F72BEC" w:rsidRPr="00F72BEC">
        <w:t xml:space="preserve"> who were subsequently studying in 2013</w:t>
      </w:r>
      <w:r w:rsidR="00094925">
        <w:t xml:space="preserve"> </w:t>
      </w:r>
      <w:r w:rsidR="00F72BEC" w:rsidRPr="00F72BEC">
        <w:t>(table 4A.195).</w:t>
      </w:r>
    </w:p>
    <w:p w:rsidR="00F72BEC" w:rsidRDefault="00F72BEC" w:rsidP="00F72BEC">
      <w:pPr>
        <w:pStyle w:val="Heading6"/>
      </w:pPr>
      <w:r>
        <w:t>The proportions of 15–19 and 20–24 year olds who are not in school, who are participating in full or part time st</w:t>
      </w:r>
      <w:r w:rsidR="0000677C">
        <w:t>udy and full or part time work</w:t>
      </w:r>
    </w:p>
    <w:p w:rsidR="00094925" w:rsidRDefault="00F72BEC" w:rsidP="00C2397B">
      <w:pPr>
        <w:pStyle w:val="BodyText"/>
      </w:pPr>
      <w:r w:rsidRPr="006E7C15">
        <w:t xml:space="preserve">In 2011, 37.9 </w:t>
      </w:r>
      <w:r w:rsidR="00C2397B" w:rsidRPr="006E7C15">
        <w:t xml:space="preserve">per cent of </w:t>
      </w:r>
      <w:r w:rsidRPr="006E7C15">
        <w:t xml:space="preserve">all 15–19 year olds </w:t>
      </w:r>
      <w:r w:rsidR="00BA7D17" w:rsidRPr="006E7C15">
        <w:t xml:space="preserve">who were not undertaking </w:t>
      </w:r>
      <w:r w:rsidR="00094925" w:rsidRPr="006E7C15">
        <w:t>school education were participating in full time study and 10.2 per cent were participating in part time study. Of this group, 21.4 per cent were participating in full time employment and 27.</w:t>
      </w:r>
      <w:r w:rsidR="007E4269">
        <w:t xml:space="preserve">4 per cent were participating in </w:t>
      </w:r>
      <w:r w:rsidR="00094925" w:rsidRPr="006E7C15">
        <w:t xml:space="preserve">part time employment (individuals may be participating in both work and study simultaneously). Amongst this group, 10.6 per cent were unemployed and </w:t>
      </w:r>
      <w:r w:rsidR="00094925" w:rsidRPr="006E7C15">
        <w:lastRenderedPageBreak/>
        <w:t>7.8 per cent were not participating in the labour force or in study (figure 4.</w:t>
      </w:r>
      <w:r w:rsidR="006E7C15">
        <w:t>4</w:t>
      </w:r>
      <w:r w:rsidR="00354B10">
        <w:t>3</w:t>
      </w:r>
      <w:r w:rsidR="00094925" w:rsidRPr="006E7C15">
        <w:t>).</w:t>
      </w:r>
      <w:r w:rsidR="006E7C15">
        <w:t xml:space="preserve"> These proportions varied across jurisdictions. Table 4A.194 </w:t>
      </w:r>
      <w:r w:rsidR="00445835">
        <w:t>provides</w:t>
      </w:r>
      <w:r w:rsidR="006E7C15">
        <w:t xml:space="preserve"> data by highest level of qualification (post school higher education, post school TAFE, year 12 or equivalent, year 11 or below).</w:t>
      </w:r>
    </w:p>
    <w:p w:rsidR="006E7C15" w:rsidRDefault="006E7C15" w:rsidP="0027264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E7C15" w:rsidTr="0027264A">
        <w:tc>
          <w:tcPr>
            <w:tcW w:w="8771" w:type="dxa"/>
            <w:tcBorders>
              <w:top w:val="single" w:sz="6" w:space="0" w:color="78A22F"/>
              <w:left w:val="nil"/>
              <w:bottom w:val="nil"/>
              <w:right w:val="nil"/>
            </w:tcBorders>
            <w:shd w:val="clear" w:color="auto" w:fill="auto"/>
          </w:tcPr>
          <w:p w:rsidR="006E7C15" w:rsidRPr="00176D3F" w:rsidRDefault="006E7C15" w:rsidP="00166BCF">
            <w:pPr>
              <w:pStyle w:val="FigureTitle"/>
            </w:pPr>
            <w:r w:rsidRPr="00784A05">
              <w:rPr>
                <w:b w:val="0"/>
              </w:rPr>
              <w:t xml:space="preserve">Figure </w:t>
            </w:r>
            <w:r>
              <w:rPr>
                <w:b w:val="0"/>
              </w:rPr>
              <w:t>4.</w:t>
            </w:r>
            <w:r w:rsidR="005953B6">
              <w:rPr>
                <w:b w:val="0"/>
                <w:noProof/>
              </w:rPr>
              <w:t>43</w:t>
            </w:r>
            <w:r>
              <w:tab/>
            </w:r>
            <w:r w:rsidR="00166BCF" w:rsidRPr="00166BCF">
              <w:t>Study and employment destination for 15</w:t>
            </w:r>
            <w:r w:rsidR="00166BCF">
              <w:t>–</w:t>
            </w:r>
            <w:r w:rsidR="00166BCF" w:rsidRPr="00166BCF">
              <w:t>19 yea</w:t>
            </w:r>
            <w:r w:rsidR="00166BCF">
              <w:t>r olds not in school education, 2011</w:t>
            </w:r>
            <w:r w:rsidR="00166BCF" w:rsidRPr="00166BCF">
              <w:rPr>
                <w:rStyle w:val="NoteLabel"/>
                <w:b/>
              </w:rPr>
              <w:t>a, b, c, d</w:t>
            </w:r>
          </w:p>
        </w:tc>
      </w:tr>
      <w:tr w:rsidR="006E7C15" w:rsidTr="0027264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6E7C15" w:rsidTr="0027264A">
              <w:trPr>
                <w:jc w:val="center"/>
              </w:trPr>
              <w:tc>
                <w:tcPr>
                  <w:tcW w:w="5000" w:type="pct"/>
                  <w:tcBorders>
                    <w:top w:val="nil"/>
                    <w:bottom w:val="nil"/>
                  </w:tcBorders>
                </w:tcPr>
                <w:p w:rsidR="006E7C15" w:rsidRDefault="00F06596" w:rsidP="0027264A">
                  <w:pPr>
                    <w:pStyle w:val="Figure"/>
                    <w:spacing w:before="60" w:after="60"/>
                  </w:pPr>
                  <w:r>
                    <w:rPr>
                      <w:noProof/>
                    </w:rPr>
                    <w:drawing>
                      <wp:inline distT="0" distB="0" distL="0" distR="0" wp14:anchorId="7E185E3C" wp14:editId="07E41F6F">
                        <wp:extent cx="5353050" cy="2676525"/>
                        <wp:effectExtent l="0" t="0" r="0" b="9525"/>
                        <wp:docPr id="43" name="Picture 43" descr="Figure 4.43 Study and employment destination for 15-19 year olds not in school education,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353050" cy="2676525"/>
                                </a:xfrm>
                                <a:prstGeom prst="rect">
                                  <a:avLst/>
                                </a:prstGeom>
                                <a:noFill/>
                                <a:ln>
                                  <a:noFill/>
                                </a:ln>
                              </pic:spPr>
                            </pic:pic>
                          </a:graphicData>
                        </a:graphic>
                      </wp:inline>
                    </w:drawing>
                  </w:r>
                </w:p>
              </w:tc>
            </w:tr>
          </w:tbl>
          <w:p w:rsidR="006E7C15" w:rsidRDefault="006E7C15" w:rsidP="0027264A">
            <w:pPr>
              <w:pStyle w:val="Figure"/>
            </w:pPr>
          </w:p>
        </w:tc>
      </w:tr>
      <w:tr w:rsidR="006E7C15" w:rsidRPr="00176D3F" w:rsidTr="0027264A">
        <w:tc>
          <w:tcPr>
            <w:tcW w:w="8771" w:type="dxa"/>
            <w:tcBorders>
              <w:top w:val="nil"/>
              <w:left w:val="nil"/>
              <w:bottom w:val="nil"/>
              <w:right w:val="nil"/>
            </w:tcBorders>
            <w:shd w:val="clear" w:color="auto" w:fill="auto"/>
          </w:tcPr>
          <w:p w:rsidR="006E7C15" w:rsidRPr="00176D3F" w:rsidRDefault="006E7C15" w:rsidP="00166BCF">
            <w:pPr>
              <w:pStyle w:val="Note"/>
            </w:pPr>
            <w:r>
              <w:rPr>
                <w:rStyle w:val="NoteLabel"/>
              </w:rPr>
              <w:t>a</w:t>
            </w:r>
            <w:r>
              <w:t xml:space="preserve"> </w:t>
            </w:r>
            <w:r w:rsidR="00166BCF" w:rsidRPr="00166BCF">
              <w:t>The Census does not c</w:t>
            </w:r>
            <w:r w:rsidR="008169C2">
              <w:t xml:space="preserve">ollect level of current study, </w:t>
            </w:r>
            <w:r w:rsidR="00166BCF" w:rsidRPr="00166BCF">
              <w:t>but does collect institution attended, therefore all people identified as studying (excluding those studying at a school institution) are included in the calculations for this indicator. This may include some people in non­formal education or school level education.</w:t>
            </w:r>
            <w:r>
              <w:t xml:space="preserve"> </w:t>
            </w:r>
            <w:r>
              <w:rPr>
                <w:rStyle w:val="NoteLabel"/>
              </w:rPr>
              <w:t>b</w:t>
            </w:r>
            <w:r>
              <w:t xml:space="preserve"> </w:t>
            </w:r>
            <w:r w:rsidR="00166BCF" w:rsidRPr="00166BCF">
              <w:t>The categories for employment and enrolment are not exclusive. That is, for example, people enrolled may also be employed.</w:t>
            </w:r>
            <w:r w:rsidR="00166BCF">
              <w:t xml:space="preserve"> </w:t>
            </w:r>
            <w:r w:rsidR="00166BCF" w:rsidRPr="00166BCF">
              <w:rPr>
                <w:rStyle w:val="NoteLabel"/>
              </w:rPr>
              <w:t>c</w:t>
            </w:r>
            <w:r w:rsidR="00166BCF">
              <w:t xml:space="preserve"> </w:t>
            </w:r>
            <w:r w:rsidR="00166BCF" w:rsidRPr="00166BCF">
              <w:t>Australia includes 'Other territories'.</w:t>
            </w:r>
            <w:r w:rsidR="00166BCF">
              <w:t xml:space="preserve"> </w:t>
            </w:r>
            <w:r w:rsidR="00166BCF" w:rsidRPr="00166BCF">
              <w:rPr>
                <w:rStyle w:val="NoteLabel"/>
              </w:rPr>
              <w:t>d</w:t>
            </w:r>
            <w:r w:rsidR="00166BCF">
              <w:t xml:space="preserve"> </w:t>
            </w:r>
            <w:r w:rsidR="00166BCF" w:rsidRPr="009F0531">
              <w:t xml:space="preserve">For further information and caveats see table </w:t>
            </w:r>
            <w:r w:rsidR="00166BCF">
              <w:t>4A.194.</w:t>
            </w:r>
          </w:p>
        </w:tc>
      </w:tr>
      <w:tr w:rsidR="006E7C15" w:rsidRPr="00176D3F" w:rsidTr="0027264A">
        <w:tc>
          <w:tcPr>
            <w:tcW w:w="8771" w:type="dxa"/>
            <w:tcBorders>
              <w:top w:val="nil"/>
              <w:left w:val="nil"/>
              <w:bottom w:val="nil"/>
              <w:right w:val="nil"/>
            </w:tcBorders>
            <w:shd w:val="clear" w:color="auto" w:fill="auto"/>
          </w:tcPr>
          <w:p w:rsidR="006E7C15" w:rsidRPr="00176D3F" w:rsidRDefault="00166BCF" w:rsidP="00E35469">
            <w:pPr>
              <w:pStyle w:val="Source"/>
            </w:pPr>
            <w:r>
              <w:rPr>
                <w:i/>
              </w:rPr>
              <w:t>S</w:t>
            </w:r>
            <w:r w:rsidR="006E7C15" w:rsidRPr="00784A05">
              <w:rPr>
                <w:i/>
              </w:rPr>
              <w:t>ource</w:t>
            </w:r>
            <w:r w:rsidR="006E7C15" w:rsidRPr="00176D3F">
              <w:t xml:space="preserve">: </w:t>
            </w:r>
            <w:r w:rsidRPr="00166BCF">
              <w:t>ABS (unpublished TableBuilder) Census of Population and Housing, 2011, Canberra</w:t>
            </w:r>
            <w:r w:rsidR="00E35469">
              <w:t>; table 4A.194</w:t>
            </w:r>
            <w:r w:rsidRPr="00166BCF">
              <w:t>.</w:t>
            </w:r>
          </w:p>
        </w:tc>
      </w:tr>
      <w:tr w:rsidR="006E7C15" w:rsidTr="0027264A">
        <w:tc>
          <w:tcPr>
            <w:tcW w:w="8771" w:type="dxa"/>
            <w:tcBorders>
              <w:top w:val="nil"/>
              <w:left w:val="nil"/>
              <w:bottom w:val="single" w:sz="6" w:space="0" w:color="78A22F"/>
              <w:right w:val="nil"/>
            </w:tcBorders>
            <w:shd w:val="clear" w:color="auto" w:fill="auto"/>
          </w:tcPr>
          <w:p w:rsidR="006E7C15" w:rsidRDefault="006E7C15" w:rsidP="0027264A">
            <w:pPr>
              <w:pStyle w:val="Figurespace"/>
            </w:pPr>
          </w:p>
        </w:tc>
      </w:tr>
      <w:tr w:rsidR="006E7C15" w:rsidRPr="000863A5" w:rsidTr="0027264A">
        <w:tc>
          <w:tcPr>
            <w:tcW w:w="8771" w:type="dxa"/>
            <w:tcBorders>
              <w:top w:val="single" w:sz="6" w:space="0" w:color="78A22F"/>
              <w:left w:val="nil"/>
              <w:bottom w:val="nil"/>
              <w:right w:val="nil"/>
            </w:tcBorders>
          </w:tcPr>
          <w:p w:rsidR="006E7C15" w:rsidRPr="00626D32" w:rsidRDefault="006E7C15" w:rsidP="0027264A">
            <w:pPr>
              <w:pStyle w:val="BoxSpaceBelow"/>
            </w:pPr>
          </w:p>
        </w:tc>
      </w:tr>
    </w:tbl>
    <w:p w:rsidR="006E7C15" w:rsidRDefault="006E7C15" w:rsidP="006E7C15">
      <w:pPr>
        <w:pStyle w:val="BodyText"/>
      </w:pPr>
      <w:r w:rsidRPr="006E7C15">
        <w:t xml:space="preserve">In 2011, </w:t>
      </w:r>
      <w:r>
        <w:t>26</w:t>
      </w:r>
      <w:r w:rsidRPr="006E7C15">
        <w:t xml:space="preserve">.9 per cent of all </w:t>
      </w:r>
      <w:r>
        <w:t>20</w:t>
      </w:r>
      <w:r w:rsidRPr="006E7C15">
        <w:t>–</w:t>
      </w:r>
      <w:r>
        <w:t>24</w:t>
      </w:r>
      <w:r w:rsidRPr="006E7C15">
        <w:t xml:space="preserve"> year olds who were not undertaking school education were participating in full time study and </w:t>
      </w:r>
      <w:r>
        <w:t>8.7</w:t>
      </w:r>
      <w:r w:rsidRPr="006E7C15">
        <w:t xml:space="preserve"> per cent were participating in part time study. Of this group, </w:t>
      </w:r>
      <w:r>
        <w:t>38.3</w:t>
      </w:r>
      <w:r w:rsidRPr="006E7C15">
        <w:t xml:space="preserve"> per cent were participating in full time employment and </w:t>
      </w:r>
      <w:r>
        <w:t>24.2</w:t>
      </w:r>
      <w:r w:rsidRPr="006E7C15">
        <w:t xml:space="preserve"> per cent </w:t>
      </w:r>
      <w:r w:rsidR="0000677C">
        <w:t xml:space="preserve">were participating in </w:t>
      </w:r>
      <w:r w:rsidRPr="006E7C15">
        <w:t xml:space="preserve">part time employment (individuals may be participating in both work and study simultaneously). Amongst this group, </w:t>
      </w:r>
      <w:r>
        <w:t>7.2</w:t>
      </w:r>
      <w:r w:rsidRPr="006E7C15">
        <w:t xml:space="preserve"> per cent were unemployed and 7.</w:t>
      </w:r>
      <w:r>
        <w:t>9</w:t>
      </w:r>
      <w:r w:rsidRPr="006E7C15">
        <w:t> per</w:t>
      </w:r>
      <w:r>
        <w:t> </w:t>
      </w:r>
      <w:r w:rsidRPr="006E7C15">
        <w:t>cent were not participating in the labour force or in study (figure 4.</w:t>
      </w:r>
      <w:r>
        <w:t>4</w:t>
      </w:r>
      <w:r w:rsidR="00354B10">
        <w:t>4</w:t>
      </w:r>
      <w:r w:rsidRPr="006E7C15">
        <w:t>).</w:t>
      </w:r>
      <w:r>
        <w:t xml:space="preserve"> These proportions varied across jurisdictions. Table 4A.194 </w:t>
      </w:r>
      <w:r w:rsidR="00445835">
        <w:t>provide</w:t>
      </w:r>
      <w:r>
        <w:t>s data by highest level of qualification (post school higher education, post school TAFE, year 12 or equivalent, year</w:t>
      </w:r>
      <w:r w:rsidR="00315070">
        <w:t> </w:t>
      </w:r>
      <w:r>
        <w:t>11 or below).</w:t>
      </w:r>
    </w:p>
    <w:p w:rsidR="006E7C15" w:rsidRDefault="006E7C15" w:rsidP="0027264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E7C15" w:rsidTr="0027264A">
        <w:tc>
          <w:tcPr>
            <w:tcW w:w="8771" w:type="dxa"/>
            <w:tcBorders>
              <w:top w:val="single" w:sz="6" w:space="0" w:color="78A22F"/>
              <w:left w:val="nil"/>
              <w:bottom w:val="nil"/>
              <w:right w:val="nil"/>
            </w:tcBorders>
            <w:shd w:val="clear" w:color="auto" w:fill="auto"/>
          </w:tcPr>
          <w:p w:rsidR="006E7C15" w:rsidRPr="00176D3F" w:rsidRDefault="006E7C15" w:rsidP="00166BCF">
            <w:pPr>
              <w:pStyle w:val="FigureTitle"/>
            </w:pPr>
            <w:r w:rsidRPr="00784A05">
              <w:rPr>
                <w:b w:val="0"/>
              </w:rPr>
              <w:t xml:space="preserve">Figure </w:t>
            </w:r>
            <w:r>
              <w:rPr>
                <w:b w:val="0"/>
              </w:rPr>
              <w:t>4.</w:t>
            </w:r>
            <w:r w:rsidR="005953B6">
              <w:rPr>
                <w:b w:val="0"/>
                <w:noProof/>
              </w:rPr>
              <w:t>44</w:t>
            </w:r>
            <w:r>
              <w:tab/>
            </w:r>
            <w:r w:rsidR="00166BCF" w:rsidRPr="00166BCF">
              <w:t xml:space="preserve">Study and employment destination for </w:t>
            </w:r>
            <w:r w:rsidR="00166BCF">
              <w:t>20–24</w:t>
            </w:r>
            <w:r w:rsidR="00166BCF" w:rsidRPr="00166BCF">
              <w:t xml:space="preserve"> yea</w:t>
            </w:r>
            <w:r w:rsidR="00166BCF">
              <w:t>r olds not in school education, 2011</w:t>
            </w:r>
            <w:r w:rsidR="00166BCF" w:rsidRPr="00166BCF">
              <w:rPr>
                <w:rStyle w:val="NoteLabel"/>
                <w:b/>
              </w:rPr>
              <w:t>a, b, c, d</w:t>
            </w:r>
          </w:p>
        </w:tc>
      </w:tr>
      <w:tr w:rsidR="006E7C15" w:rsidTr="0027264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6E7C15" w:rsidTr="0027264A">
              <w:trPr>
                <w:jc w:val="center"/>
              </w:trPr>
              <w:tc>
                <w:tcPr>
                  <w:tcW w:w="5000" w:type="pct"/>
                  <w:tcBorders>
                    <w:top w:val="nil"/>
                    <w:bottom w:val="nil"/>
                  </w:tcBorders>
                </w:tcPr>
                <w:p w:rsidR="006E7C15" w:rsidRDefault="00F06596" w:rsidP="0027264A">
                  <w:pPr>
                    <w:pStyle w:val="Figure"/>
                    <w:spacing w:before="60" w:after="60"/>
                  </w:pPr>
                  <w:r>
                    <w:rPr>
                      <w:noProof/>
                    </w:rPr>
                    <w:drawing>
                      <wp:inline distT="0" distB="0" distL="0" distR="0" wp14:anchorId="55968D8F" wp14:editId="0BC1958C">
                        <wp:extent cx="5353050" cy="2676525"/>
                        <wp:effectExtent l="0" t="0" r="0" b="9525"/>
                        <wp:docPr id="44" name="Picture 44" descr="Figure 4.44 Study and employment destination for 20-24 year olds not in school education,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353050" cy="2676525"/>
                                </a:xfrm>
                                <a:prstGeom prst="rect">
                                  <a:avLst/>
                                </a:prstGeom>
                                <a:noFill/>
                                <a:ln>
                                  <a:noFill/>
                                </a:ln>
                              </pic:spPr>
                            </pic:pic>
                          </a:graphicData>
                        </a:graphic>
                      </wp:inline>
                    </w:drawing>
                  </w:r>
                </w:p>
              </w:tc>
            </w:tr>
          </w:tbl>
          <w:p w:rsidR="006E7C15" w:rsidRDefault="006E7C15" w:rsidP="0027264A">
            <w:pPr>
              <w:pStyle w:val="Figure"/>
            </w:pPr>
          </w:p>
        </w:tc>
      </w:tr>
      <w:tr w:rsidR="00166BCF" w:rsidRPr="00176D3F" w:rsidTr="0027264A">
        <w:tc>
          <w:tcPr>
            <w:tcW w:w="8771" w:type="dxa"/>
            <w:tcBorders>
              <w:top w:val="nil"/>
              <w:left w:val="nil"/>
              <w:bottom w:val="nil"/>
              <w:right w:val="nil"/>
            </w:tcBorders>
            <w:shd w:val="clear" w:color="auto" w:fill="auto"/>
          </w:tcPr>
          <w:p w:rsidR="00166BCF" w:rsidRPr="00176D3F" w:rsidRDefault="00166BCF" w:rsidP="0048153E">
            <w:pPr>
              <w:pStyle w:val="Note"/>
            </w:pPr>
            <w:r>
              <w:rPr>
                <w:rStyle w:val="NoteLabel"/>
              </w:rPr>
              <w:t>a</w:t>
            </w:r>
            <w:r>
              <w:t xml:space="preserve"> </w:t>
            </w:r>
            <w:r w:rsidRPr="00166BCF">
              <w:t>The Census does not c</w:t>
            </w:r>
            <w:r w:rsidR="008169C2">
              <w:t xml:space="preserve">ollect level of current study, </w:t>
            </w:r>
            <w:r w:rsidRPr="00166BCF">
              <w:t>but does collect institution attended, therefore all people identified as studying (excluding those studying at a school institution) are included in the calculations for this indicator. This may include some people in non­formal education or school level education</w:t>
            </w:r>
            <w:r>
              <w:t xml:space="preserve">. </w:t>
            </w:r>
            <w:r>
              <w:rPr>
                <w:rStyle w:val="NoteLabel"/>
              </w:rPr>
              <w:t>b</w:t>
            </w:r>
            <w:r>
              <w:t xml:space="preserve"> </w:t>
            </w:r>
            <w:r w:rsidRPr="00166BCF">
              <w:t>The categories for employment and enrolment are not exclusive. That is, for example, people enrolled may also be employed.</w:t>
            </w:r>
            <w:r>
              <w:t xml:space="preserve"> </w:t>
            </w:r>
            <w:r w:rsidRPr="00166BCF">
              <w:rPr>
                <w:rStyle w:val="NoteLabel"/>
              </w:rPr>
              <w:t>c</w:t>
            </w:r>
            <w:r>
              <w:t xml:space="preserve"> </w:t>
            </w:r>
            <w:r w:rsidRPr="00166BCF">
              <w:t>Australia includes 'Other territories'.</w:t>
            </w:r>
            <w:r>
              <w:t xml:space="preserve"> </w:t>
            </w:r>
            <w:r w:rsidRPr="00166BCF">
              <w:rPr>
                <w:rStyle w:val="NoteLabel"/>
              </w:rPr>
              <w:t>d</w:t>
            </w:r>
            <w:r>
              <w:t xml:space="preserve"> </w:t>
            </w:r>
            <w:r w:rsidRPr="009F0531">
              <w:t xml:space="preserve">For further information and caveats see table </w:t>
            </w:r>
            <w:r>
              <w:t>4A.194.</w:t>
            </w:r>
          </w:p>
        </w:tc>
      </w:tr>
      <w:tr w:rsidR="00166BCF" w:rsidRPr="00176D3F" w:rsidTr="0027264A">
        <w:tc>
          <w:tcPr>
            <w:tcW w:w="8771" w:type="dxa"/>
            <w:tcBorders>
              <w:top w:val="nil"/>
              <w:left w:val="nil"/>
              <w:bottom w:val="nil"/>
              <w:right w:val="nil"/>
            </w:tcBorders>
            <w:shd w:val="clear" w:color="auto" w:fill="auto"/>
          </w:tcPr>
          <w:p w:rsidR="00166BCF" w:rsidRPr="00176D3F" w:rsidRDefault="00166BCF" w:rsidP="007E4269">
            <w:pPr>
              <w:pStyle w:val="Source"/>
            </w:pPr>
            <w:r>
              <w:rPr>
                <w:i/>
              </w:rPr>
              <w:t>S</w:t>
            </w:r>
            <w:r w:rsidRPr="00784A05">
              <w:rPr>
                <w:i/>
              </w:rPr>
              <w:t>ource</w:t>
            </w:r>
            <w:r w:rsidRPr="00176D3F">
              <w:t xml:space="preserve">: </w:t>
            </w:r>
            <w:r w:rsidRPr="00166BCF">
              <w:t>ABS (unpublished TableBuilder) Census of Populat</w:t>
            </w:r>
            <w:r w:rsidR="0041092E">
              <w:t>ion and Housing, 2011</w:t>
            </w:r>
            <w:r w:rsidR="007E4269">
              <w:t>;</w:t>
            </w:r>
            <w:r w:rsidR="0041092E">
              <w:t xml:space="preserve"> table 4A.194</w:t>
            </w:r>
          </w:p>
        </w:tc>
      </w:tr>
      <w:tr w:rsidR="006E7C15" w:rsidTr="0027264A">
        <w:tc>
          <w:tcPr>
            <w:tcW w:w="8771" w:type="dxa"/>
            <w:tcBorders>
              <w:top w:val="nil"/>
              <w:left w:val="nil"/>
              <w:bottom w:val="single" w:sz="6" w:space="0" w:color="78A22F"/>
              <w:right w:val="nil"/>
            </w:tcBorders>
            <w:shd w:val="clear" w:color="auto" w:fill="auto"/>
          </w:tcPr>
          <w:p w:rsidR="006E7C15" w:rsidRDefault="006E7C15" w:rsidP="0027264A">
            <w:pPr>
              <w:pStyle w:val="Figurespace"/>
            </w:pPr>
          </w:p>
        </w:tc>
      </w:tr>
      <w:tr w:rsidR="006E7C15" w:rsidRPr="000863A5" w:rsidTr="0027264A">
        <w:tc>
          <w:tcPr>
            <w:tcW w:w="8771" w:type="dxa"/>
            <w:tcBorders>
              <w:top w:val="single" w:sz="6" w:space="0" w:color="78A22F"/>
              <w:left w:val="nil"/>
              <w:bottom w:val="nil"/>
              <w:right w:val="nil"/>
            </w:tcBorders>
          </w:tcPr>
          <w:p w:rsidR="006E7C15" w:rsidRPr="00626D32" w:rsidRDefault="006E7C15" w:rsidP="0027264A">
            <w:pPr>
              <w:pStyle w:val="BoxSpaceBelow"/>
            </w:pPr>
          </w:p>
        </w:tc>
      </w:tr>
    </w:tbl>
    <w:p w:rsidR="00666ECE" w:rsidRPr="00560C42" w:rsidRDefault="00666ECE" w:rsidP="007D6009">
      <w:pPr>
        <w:pStyle w:val="BodyText"/>
      </w:pPr>
      <w:bookmarkStart w:id="25" w:name="OLE_LINK74"/>
      <w:bookmarkStart w:id="26" w:name="OLE_LINK61"/>
      <w:r w:rsidRPr="007D6009">
        <w:rPr>
          <w:shd w:val="clear" w:color="auto" w:fill="FFFFFF" w:themeFill="background1"/>
        </w:rPr>
        <w:t xml:space="preserve">The </w:t>
      </w:r>
      <w:r w:rsidR="009D7D07" w:rsidRPr="007D6009">
        <w:rPr>
          <w:shd w:val="clear" w:color="auto" w:fill="FFFFFF" w:themeFill="background1"/>
        </w:rPr>
        <w:t>Child care</w:t>
      </w:r>
      <w:r w:rsidR="0093337F" w:rsidRPr="007D6009">
        <w:rPr>
          <w:shd w:val="clear" w:color="auto" w:fill="FFFFFF" w:themeFill="background1"/>
        </w:rPr>
        <w:t>, education and training</w:t>
      </w:r>
      <w:r w:rsidRPr="007D6009">
        <w:rPr>
          <w:shd w:val="clear" w:color="auto" w:fill="FFFFFF" w:themeFill="background1"/>
        </w:rPr>
        <w:t xml:space="preserve"> </w:t>
      </w:r>
      <w:r w:rsidR="003932A0" w:rsidRPr="007D6009">
        <w:rPr>
          <w:shd w:val="clear" w:color="auto" w:fill="FFFFFF" w:themeFill="background1"/>
        </w:rPr>
        <w:t>sector overview</w:t>
      </w:r>
      <w:r w:rsidRPr="007D6009">
        <w:rPr>
          <w:shd w:val="clear" w:color="auto" w:fill="FFFFFF" w:themeFill="background1"/>
        </w:rPr>
        <w:t xml:space="preserve"> of this Report includes 201</w:t>
      </w:r>
      <w:r w:rsidR="00560C42" w:rsidRPr="007D6009">
        <w:rPr>
          <w:shd w:val="clear" w:color="auto" w:fill="FFFFFF" w:themeFill="background1"/>
        </w:rPr>
        <w:t>3</w:t>
      </w:r>
      <w:r w:rsidRPr="007D6009">
        <w:rPr>
          <w:shd w:val="clear" w:color="auto" w:fill="FFFFFF" w:themeFill="background1"/>
        </w:rPr>
        <w:t xml:space="preserve"> </w:t>
      </w:r>
      <w:r w:rsidR="007E4269" w:rsidRPr="007D6009">
        <w:rPr>
          <w:shd w:val="clear" w:color="auto" w:fill="FFFFFF" w:themeFill="background1"/>
        </w:rPr>
        <w:t xml:space="preserve">SEW </w:t>
      </w:r>
      <w:r w:rsidRPr="007D6009">
        <w:rPr>
          <w:shd w:val="clear" w:color="auto" w:fill="FFFFFF" w:themeFill="background1"/>
        </w:rPr>
        <w:t xml:space="preserve">national school leaver destination data for </w:t>
      </w:r>
      <w:r w:rsidR="007E4269" w:rsidRPr="007D6009">
        <w:rPr>
          <w:shd w:val="clear" w:color="auto" w:fill="FFFFFF" w:themeFill="background1"/>
        </w:rPr>
        <w:t>15–19 year olds</w:t>
      </w:r>
      <w:r w:rsidRPr="007D6009">
        <w:rPr>
          <w:shd w:val="clear" w:color="auto" w:fill="FFFFFF" w:themeFill="background1"/>
        </w:rPr>
        <w:t xml:space="preserve"> who attended school at any time previously</w:t>
      </w:r>
      <w:r w:rsidR="00415476" w:rsidRPr="007D6009">
        <w:rPr>
          <w:shd w:val="clear" w:color="auto" w:fill="FFFFFF" w:themeFill="background1"/>
        </w:rPr>
        <w:t>,</w:t>
      </w:r>
      <w:r w:rsidRPr="007D6009">
        <w:rPr>
          <w:shd w:val="clear" w:color="auto" w:fill="FFFFFF" w:themeFill="background1"/>
        </w:rPr>
        <w:t xml:space="preserve"> and examines the </w:t>
      </w:r>
      <w:r w:rsidR="007E4269" w:rsidRPr="007D6009">
        <w:rPr>
          <w:shd w:val="clear" w:color="auto" w:fill="FFFFFF" w:themeFill="background1"/>
        </w:rPr>
        <w:t xml:space="preserve">national </w:t>
      </w:r>
      <w:r w:rsidRPr="007D6009">
        <w:rPr>
          <w:shd w:val="clear" w:color="auto" w:fill="FFFFFF" w:themeFill="background1"/>
        </w:rPr>
        <w:t xml:space="preserve">proportions of </w:t>
      </w:r>
      <w:r w:rsidR="007E4269" w:rsidRPr="007D6009">
        <w:rPr>
          <w:shd w:val="clear" w:color="auto" w:fill="FFFFFF" w:themeFill="background1"/>
        </w:rPr>
        <w:t xml:space="preserve">15–19 year old and 15–24 year old </w:t>
      </w:r>
      <w:r w:rsidRPr="007D6009">
        <w:rPr>
          <w:shd w:val="clear" w:color="auto" w:fill="FFFFFF" w:themeFill="background1"/>
        </w:rPr>
        <w:t xml:space="preserve">male and female students </w:t>
      </w:r>
      <w:r w:rsidR="007E4269" w:rsidRPr="007D6009">
        <w:rPr>
          <w:shd w:val="clear" w:color="auto" w:fill="FFFFFF" w:themeFill="background1"/>
        </w:rPr>
        <w:t>enrolled in education and training in 2013</w:t>
      </w:r>
      <w:r w:rsidRPr="007D6009">
        <w:rPr>
          <w:shd w:val="clear" w:color="auto" w:fill="FFFFFF" w:themeFill="background1"/>
        </w:rPr>
        <w:t xml:space="preserve"> after leaving school (table</w:t>
      </w:r>
      <w:r w:rsidR="0000677C" w:rsidRPr="007D6009">
        <w:rPr>
          <w:shd w:val="clear" w:color="auto" w:fill="FFFFFF" w:themeFill="background1"/>
        </w:rPr>
        <w:t>s</w:t>
      </w:r>
      <w:r w:rsidRPr="007D6009">
        <w:rPr>
          <w:shd w:val="clear" w:color="auto" w:fill="FFFFFF" w:themeFill="background1"/>
        </w:rPr>
        <w:t> BA.</w:t>
      </w:r>
      <w:r w:rsidR="00560C42" w:rsidRPr="007D6009">
        <w:rPr>
          <w:shd w:val="clear" w:color="auto" w:fill="FFFFFF" w:themeFill="background1"/>
        </w:rPr>
        <w:t>19</w:t>
      </w:r>
      <w:r w:rsidR="00EC06F7" w:rsidRPr="007D6009">
        <w:rPr>
          <w:shd w:val="clear" w:color="auto" w:fill="FFFFFF" w:themeFill="background1"/>
        </w:rPr>
        <w:t>–</w:t>
      </w:r>
      <w:r w:rsidR="00871957" w:rsidRPr="007D6009">
        <w:rPr>
          <w:shd w:val="clear" w:color="auto" w:fill="FFFFFF" w:themeFill="background1"/>
        </w:rPr>
        <w:t>2</w:t>
      </w:r>
      <w:r w:rsidR="00560C42" w:rsidRPr="007D6009">
        <w:rPr>
          <w:shd w:val="clear" w:color="auto" w:fill="FFFFFF" w:themeFill="background1"/>
        </w:rPr>
        <w:t>1</w:t>
      </w:r>
      <w:r w:rsidRPr="007D6009">
        <w:rPr>
          <w:shd w:val="clear" w:color="auto" w:fill="FFFFFF" w:themeFill="background1"/>
        </w:rPr>
        <w:t>).</w:t>
      </w:r>
    </w:p>
    <w:bookmarkEnd w:id="25"/>
    <w:bookmarkEnd w:id="26"/>
    <w:p w:rsidR="00701AD6" w:rsidRPr="00567A3B" w:rsidRDefault="00666ECE" w:rsidP="00701AD6">
      <w:pPr>
        <w:pStyle w:val="BodyText"/>
      </w:pPr>
      <w:r w:rsidRPr="00567A3B">
        <w:t>Box 4.1</w:t>
      </w:r>
      <w:r w:rsidR="005A177C">
        <w:t>7</w:t>
      </w:r>
      <w:r w:rsidRPr="00567A3B">
        <w:t xml:space="preserve"> summarises school leaver destination survey results from s</w:t>
      </w:r>
      <w:r w:rsidR="008169C2">
        <w:t>even</w:t>
      </w:r>
      <w:r w:rsidRPr="00567A3B">
        <w:t xml:space="preserve"> jurisdictions. </w:t>
      </w:r>
      <w:r w:rsidR="00560C42">
        <w:t>E</w:t>
      </w:r>
      <w:r w:rsidR="00415476" w:rsidRPr="00567A3B">
        <w:t>ach jurisdiction uses</w:t>
      </w:r>
      <w:r w:rsidRPr="00567A3B">
        <w:t xml:space="preserve"> different research methods and data collection instruments, and </w:t>
      </w:r>
      <w:r w:rsidR="00415476" w:rsidRPr="00567A3B">
        <w:t xml:space="preserve">the surveys </w:t>
      </w:r>
      <w:r w:rsidR="00560C42">
        <w:t>a</w:t>
      </w:r>
      <w:r w:rsidRPr="00567A3B">
        <w:t xml:space="preserve">re not designed for comparative national reporting. These data are presented as supplementary information to the </w:t>
      </w:r>
      <w:r w:rsidR="0093337F" w:rsidRPr="00567A3B">
        <w:t xml:space="preserve">Survey of Education and Work </w:t>
      </w:r>
      <w:r w:rsidR="0092436D" w:rsidRPr="00567A3B">
        <w:t xml:space="preserve">and Census of Population and Housing </w:t>
      </w:r>
      <w:r w:rsidR="0093337F" w:rsidRPr="00567A3B">
        <w:t>data</w:t>
      </w:r>
      <w:r w:rsidRPr="00567A3B">
        <w:t>.</w:t>
      </w:r>
      <w:r w:rsidR="0066655C" w:rsidRPr="00567A3B">
        <w:t xml:space="preserve"> </w:t>
      </w:r>
    </w:p>
    <w:p w:rsidR="0092436D" w:rsidRDefault="0092436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2436D" w:rsidTr="001D0F72">
        <w:tc>
          <w:tcPr>
            <w:tcW w:w="8771" w:type="dxa"/>
            <w:tcBorders>
              <w:top w:val="single" w:sz="6" w:space="0" w:color="78A22F"/>
              <w:left w:val="nil"/>
              <w:bottom w:val="nil"/>
              <w:right w:val="nil"/>
            </w:tcBorders>
            <w:shd w:val="clear" w:color="auto" w:fill="F2F2F2"/>
          </w:tcPr>
          <w:p w:rsidR="0092436D" w:rsidRDefault="0092436D">
            <w:pPr>
              <w:pStyle w:val="BoxTitle"/>
            </w:pPr>
            <w:r>
              <w:rPr>
                <w:b w:val="0"/>
              </w:rPr>
              <w:t xml:space="preserve">Box </w:t>
            </w:r>
            <w:r w:rsidR="00B70781">
              <w:rPr>
                <w:b w:val="0"/>
              </w:rPr>
              <w:t>4.</w:t>
            </w:r>
            <w:r w:rsidR="005953B6">
              <w:rPr>
                <w:b w:val="0"/>
                <w:noProof/>
              </w:rPr>
              <w:t>17</w:t>
            </w:r>
            <w:r>
              <w:tab/>
            </w:r>
            <w:r w:rsidRPr="0092436D">
              <w:t>School leaver destination survey results</w:t>
            </w:r>
          </w:p>
        </w:tc>
      </w:tr>
      <w:tr w:rsidR="0092436D" w:rsidTr="001D0F72">
        <w:trPr>
          <w:cantSplit/>
        </w:trPr>
        <w:tc>
          <w:tcPr>
            <w:tcW w:w="8771" w:type="dxa"/>
            <w:tcBorders>
              <w:top w:val="nil"/>
              <w:left w:val="nil"/>
              <w:bottom w:val="nil"/>
              <w:right w:val="nil"/>
            </w:tcBorders>
            <w:shd w:val="clear" w:color="auto" w:fill="F2F2F2"/>
          </w:tcPr>
          <w:p w:rsidR="0092436D" w:rsidRPr="0092436D" w:rsidRDefault="0092436D" w:rsidP="0092436D">
            <w:pPr>
              <w:pStyle w:val="BoxHeading1"/>
            </w:pPr>
            <w:r w:rsidRPr="0092436D">
              <w:t>New South Wales</w:t>
            </w:r>
          </w:p>
          <w:p w:rsidR="0092436D" w:rsidRPr="0092436D" w:rsidRDefault="0092436D" w:rsidP="0092436D">
            <w:pPr>
              <w:pStyle w:val="Box"/>
            </w:pPr>
            <w:r w:rsidRPr="0092436D">
              <w:t xml:space="preserve">Surveys of post-school destinations </w:t>
            </w:r>
            <w:r w:rsidR="00857D89">
              <w:t xml:space="preserve">for students from </w:t>
            </w:r>
            <w:r w:rsidR="00857D89" w:rsidRPr="0092436D">
              <w:t xml:space="preserve">government, Catholic and independent schools </w:t>
            </w:r>
            <w:r w:rsidRPr="0092436D">
              <w:t>were conducted by telephone in 2010, 2013 and 2014. The surveys identify the aspirations and expectations for post-school pathways, and student destinations</w:t>
            </w:r>
            <w:r w:rsidR="00857D89">
              <w:t>.</w:t>
            </w:r>
            <w:r w:rsidRPr="0092436D">
              <w:t xml:space="preserve"> In 201</w:t>
            </w:r>
            <w:r w:rsidR="00161054">
              <w:t>4</w:t>
            </w:r>
            <w:r w:rsidRPr="0092436D">
              <w:t>, th</w:t>
            </w:r>
            <w:r w:rsidR="00857D89">
              <w:t>e sample</w:t>
            </w:r>
            <w:r w:rsidRPr="0092436D">
              <w:t xml:space="preserve"> comprised </w:t>
            </w:r>
            <w:r w:rsidR="00857D89">
              <w:t>y</w:t>
            </w:r>
            <w:r w:rsidRPr="0092436D">
              <w:t xml:space="preserve">ear 12 completers </w:t>
            </w:r>
            <w:r w:rsidR="00161054">
              <w:t xml:space="preserve">and </w:t>
            </w:r>
            <w:r w:rsidRPr="0092436D">
              <w:t xml:space="preserve">early leavers, </w:t>
            </w:r>
            <w:r w:rsidR="00161054" w:rsidRPr="00161054">
              <w:t xml:space="preserve">as well as current </w:t>
            </w:r>
            <w:r w:rsidR="00857D89">
              <w:t>y</w:t>
            </w:r>
            <w:r w:rsidR="00161054" w:rsidRPr="00161054">
              <w:t>ear</w:t>
            </w:r>
            <w:r w:rsidR="00161054">
              <w:t xml:space="preserve"> 10 students and their teachers</w:t>
            </w:r>
            <w:r w:rsidRPr="0092436D">
              <w:t xml:space="preserve">. </w:t>
            </w:r>
          </w:p>
          <w:p w:rsidR="0092436D" w:rsidRPr="0092436D" w:rsidRDefault="00161054" w:rsidP="0092436D">
            <w:pPr>
              <w:pStyle w:val="Box"/>
            </w:pPr>
            <w:r w:rsidRPr="00161054">
              <w:t xml:space="preserve">In 2014, 52.5 per cent of </w:t>
            </w:r>
            <w:r w:rsidR="00857D89">
              <w:t>y</w:t>
            </w:r>
            <w:r w:rsidRPr="00161054">
              <w:t xml:space="preserve">ear 12 completers were studying a Bachelor degree, while 20.3 per cent were studying a vocational education and training (VET) program (including apprenticeships and traineeships). The most common VET qualifications were Certificate IV, Diploma or Advanced Diploma, with 7.3 per cent of Year 12 completers enrolled in these courses, compared with 3.7 per cent in Certificates I, II and III, 4.9 per cent in apprenticeships and 4.4 per cent in traineeships. The majority of </w:t>
            </w:r>
            <w:r w:rsidR="00857D89">
              <w:t>y</w:t>
            </w:r>
            <w:r w:rsidRPr="00161054">
              <w:t>ear 12 completers not in education or training were employed or actively looking for work. About 2.6 per cent were not in the labour force, education or training.</w:t>
            </w:r>
          </w:p>
          <w:p w:rsidR="0092436D" w:rsidRPr="0092436D" w:rsidRDefault="00A76E4F" w:rsidP="0092436D">
            <w:pPr>
              <w:pStyle w:val="BoxHeading1"/>
            </w:pPr>
            <w:r>
              <w:t>Victoria</w:t>
            </w:r>
          </w:p>
          <w:p w:rsidR="0092436D" w:rsidRPr="0092436D" w:rsidRDefault="0092436D" w:rsidP="0092436D">
            <w:pPr>
              <w:pStyle w:val="Box"/>
            </w:pPr>
            <w:r w:rsidRPr="0092436D">
              <w:t>In Victoria, a survey of post-school destinations (On Track) has been conducted annually since 2003. Consenting year 12 or equivalent completers and early leavers (from years 10, 11 and 12) from all Victorian schools participate in a telephone survey early in the year after they leave school.</w:t>
            </w:r>
          </w:p>
          <w:p w:rsidR="0092436D" w:rsidRPr="0092436D" w:rsidRDefault="0092436D" w:rsidP="0092436D">
            <w:pPr>
              <w:pStyle w:val="Box"/>
            </w:pPr>
            <w:r w:rsidRPr="0092436D">
              <w:t>The 2014 On Track Survey contacted 32 183 (59.2 per cent) of the eligible 2013 year 12 or equivalent cohort from 569 schools, both government and non</w:t>
            </w:r>
            <w:r w:rsidRPr="0092436D">
              <w:rPr>
                <w:rFonts w:hint="eastAsia"/>
              </w:rPr>
              <w:noBreakHyphen/>
            </w:r>
            <w:r w:rsidRPr="0092436D">
              <w:t>government, as well as TAFE and Adult Community Education providers. Of these students, 77.4 per cent were in further education and training (54.3 per cent were enrolled at university, 16.1 per cent were TAFE enrolled and 7.0 per cent had taken up apprenticeships or traineeships). Of the 22.6 per cent who were not in further education and training, 9.1 per cent were in full or part time employment, 9.4 per cent had deferred a tertiary place and 3.7 per cent were looking for work.</w:t>
            </w:r>
          </w:p>
          <w:p w:rsidR="0092436D" w:rsidRDefault="00A76E4F" w:rsidP="0092436D">
            <w:pPr>
              <w:pStyle w:val="BoxHeading1"/>
            </w:pPr>
            <w:r>
              <w:t>Queensland</w:t>
            </w:r>
          </w:p>
          <w:p w:rsidR="0092436D" w:rsidRPr="0092436D" w:rsidRDefault="0092436D" w:rsidP="0092436D">
            <w:pPr>
              <w:pStyle w:val="Box"/>
            </w:pPr>
            <w:r w:rsidRPr="0092436D">
              <w:t xml:space="preserve">The annual Queensland Next Step survey, first conducted in 2005, targets all students who completed </w:t>
            </w:r>
            <w:r w:rsidR="00857D89">
              <w:t>y</w:t>
            </w:r>
            <w:r w:rsidRPr="0092436D">
              <w:t xml:space="preserve">ear 12 in government and non-government schools approximately six months after the completion of </w:t>
            </w:r>
            <w:r w:rsidR="00857D89">
              <w:t>y</w:t>
            </w:r>
            <w:r w:rsidRPr="0092436D">
              <w:t>ear 12.</w:t>
            </w:r>
          </w:p>
          <w:p w:rsidR="0092436D" w:rsidRPr="008753B7" w:rsidRDefault="0092436D" w:rsidP="00857D89">
            <w:pPr>
              <w:pStyle w:val="Box"/>
            </w:pPr>
            <w:r w:rsidRPr="0092436D">
              <w:t xml:space="preserve">The 2014 Next Step survey collected responses from 39 639 </w:t>
            </w:r>
            <w:r w:rsidR="00857D89">
              <w:t>y</w:t>
            </w:r>
            <w:r w:rsidRPr="0092436D">
              <w:t xml:space="preserve">ear 12 completers, an 81.1 per cent response rate. The results showed that 61.2 per cent were in some recognised form of education or training in the year after completing </w:t>
            </w:r>
            <w:r w:rsidR="00857D89">
              <w:t>y</w:t>
            </w:r>
            <w:r w:rsidRPr="0092436D">
              <w:t>ear 12. This comprised 39.1 per cent undertaking a Bachelor Degree, 13.0 per cent undertaking campus-based vocational education and training (VET), with 7.5 per cent studying at Certificate IV level or higher. A further 9.1 per cent were in employment-based VET, either as an apprentice (6.2 per cent) or trainee (2.9 per cent). The remaining 38.8 per cent did not enter post-school education or training and were either employed (25.7 per cent), seeking work (10.8 per cent), or not in the labour force, education or training (2.3 per cent). Young people who deferred a university offer represented 7.2 per cent of the total cohort, most of whom were working (79.2 per cent).</w:t>
            </w:r>
          </w:p>
        </w:tc>
      </w:tr>
      <w:tr w:rsidR="0092436D" w:rsidTr="001D0F72">
        <w:trPr>
          <w:cantSplit/>
        </w:trPr>
        <w:tc>
          <w:tcPr>
            <w:tcW w:w="8771" w:type="dxa"/>
            <w:tcBorders>
              <w:top w:val="nil"/>
              <w:left w:val="nil"/>
              <w:bottom w:val="nil"/>
              <w:right w:val="nil"/>
            </w:tcBorders>
            <w:shd w:val="clear" w:color="auto" w:fill="F2F2F2"/>
          </w:tcPr>
          <w:p w:rsidR="0092436D" w:rsidRPr="00315070" w:rsidRDefault="00315070" w:rsidP="00315070">
            <w:pPr>
              <w:pStyle w:val="BoxSource"/>
              <w:jc w:val="right"/>
            </w:pPr>
            <w:r>
              <w:t>(c</w:t>
            </w:r>
            <w:r w:rsidR="00491C19" w:rsidRPr="00315070">
              <w:t>ontinued on next page</w:t>
            </w:r>
            <w:r>
              <w:t>)</w:t>
            </w:r>
          </w:p>
        </w:tc>
      </w:tr>
      <w:tr w:rsidR="0092436D" w:rsidTr="001D0F72">
        <w:trPr>
          <w:cantSplit/>
        </w:trPr>
        <w:tc>
          <w:tcPr>
            <w:tcW w:w="8771" w:type="dxa"/>
            <w:tcBorders>
              <w:top w:val="nil"/>
              <w:left w:val="nil"/>
              <w:bottom w:val="single" w:sz="6" w:space="0" w:color="78A22F"/>
              <w:right w:val="nil"/>
            </w:tcBorders>
            <w:shd w:val="clear" w:color="auto" w:fill="F2F2F2"/>
          </w:tcPr>
          <w:p w:rsidR="0092436D" w:rsidRDefault="0092436D">
            <w:pPr>
              <w:pStyle w:val="Box"/>
              <w:spacing w:before="0" w:line="120" w:lineRule="exact"/>
            </w:pPr>
          </w:p>
        </w:tc>
      </w:tr>
      <w:tr w:rsidR="0092436D" w:rsidRPr="000863A5" w:rsidTr="001D0F72">
        <w:tc>
          <w:tcPr>
            <w:tcW w:w="8771" w:type="dxa"/>
            <w:tcBorders>
              <w:top w:val="single" w:sz="6" w:space="0" w:color="78A22F"/>
              <w:left w:val="nil"/>
              <w:bottom w:val="nil"/>
              <w:right w:val="nil"/>
            </w:tcBorders>
          </w:tcPr>
          <w:p w:rsidR="0092436D" w:rsidRPr="00626D32" w:rsidRDefault="0092436D" w:rsidP="001D0F72">
            <w:pPr>
              <w:pStyle w:val="BoxSpaceBelow"/>
            </w:pPr>
          </w:p>
        </w:tc>
      </w:tr>
    </w:tbl>
    <w:p w:rsidR="000421CD" w:rsidRDefault="000421C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421CD" w:rsidTr="001D0F72">
        <w:tc>
          <w:tcPr>
            <w:tcW w:w="8771" w:type="dxa"/>
            <w:tcBorders>
              <w:top w:val="single" w:sz="6" w:space="0" w:color="78A22F"/>
              <w:left w:val="nil"/>
              <w:bottom w:val="nil"/>
              <w:right w:val="nil"/>
            </w:tcBorders>
            <w:shd w:val="clear" w:color="auto" w:fill="F2F2F2"/>
          </w:tcPr>
          <w:p w:rsidR="000421CD" w:rsidRDefault="000421CD" w:rsidP="005A177C">
            <w:pPr>
              <w:pStyle w:val="BoxTitle"/>
            </w:pPr>
            <w:r>
              <w:rPr>
                <w:b w:val="0"/>
              </w:rPr>
              <w:t xml:space="preserve">Box </w:t>
            </w:r>
            <w:r w:rsidR="00B70781">
              <w:rPr>
                <w:b w:val="0"/>
              </w:rPr>
              <w:t>4.</w:t>
            </w:r>
            <w:r w:rsidR="00701AD6">
              <w:rPr>
                <w:b w:val="0"/>
              </w:rPr>
              <w:t>1</w:t>
            </w:r>
            <w:r w:rsidR="005A177C">
              <w:rPr>
                <w:b w:val="0"/>
              </w:rPr>
              <w:t>7</w:t>
            </w:r>
            <w:r>
              <w:tab/>
            </w:r>
            <w:r w:rsidR="00491C19" w:rsidRPr="00315070">
              <w:rPr>
                <w:b w:val="0"/>
                <w:sz w:val="18"/>
                <w:szCs w:val="18"/>
              </w:rPr>
              <w:t>(</w:t>
            </w:r>
            <w:r w:rsidR="00315070">
              <w:rPr>
                <w:b w:val="0"/>
                <w:sz w:val="18"/>
                <w:szCs w:val="18"/>
              </w:rPr>
              <w:t>c</w:t>
            </w:r>
            <w:r w:rsidR="00491C19" w:rsidRPr="00315070">
              <w:rPr>
                <w:b w:val="0"/>
                <w:sz w:val="18"/>
                <w:szCs w:val="18"/>
              </w:rPr>
              <w:t>ontinued)</w:t>
            </w:r>
          </w:p>
        </w:tc>
      </w:tr>
      <w:tr w:rsidR="000421CD" w:rsidTr="001D0F72">
        <w:trPr>
          <w:cantSplit/>
        </w:trPr>
        <w:tc>
          <w:tcPr>
            <w:tcW w:w="8771" w:type="dxa"/>
            <w:tcBorders>
              <w:top w:val="nil"/>
              <w:left w:val="nil"/>
              <w:bottom w:val="nil"/>
              <w:right w:val="nil"/>
            </w:tcBorders>
            <w:shd w:val="clear" w:color="auto" w:fill="F2F2F2"/>
          </w:tcPr>
          <w:p w:rsidR="000421CD" w:rsidRPr="000421CD" w:rsidRDefault="000421CD" w:rsidP="000421CD">
            <w:pPr>
              <w:pStyle w:val="BoxHeading1"/>
            </w:pPr>
            <w:r w:rsidRPr="000421CD">
              <w:t>Western Australia</w:t>
            </w:r>
          </w:p>
          <w:p w:rsidR="000421CD" w:rsidRPr="000421CD" w:rsidRDefault="000421CD" w:rsidP="000421CD">
            <w:pPr>
              <w:pStyle w:val="Box"/>
            </w:pPr>
            <w:r w:rsidRPr="000421CD">
              <w:t xml:space="preserve">The WA School Leaver Destinations survey has been conducted annually since 1996. This telephone survey is combined with University and TAFE enrolment data to determine destinations of </w:t>
            </w:r>
            <w:r w:rsidR="00857D89">
              <w:t>y</w:t>
            </w:r>
            <w:r w:rsidRPr="000421CD">
              <w:t>ear 12 completers. In 2014 the survey spanned all government schools, most Catholic schools and some independent schools. Information was collected from 14 698</w:t>
            </w:r>
            <w:r w:rsidR="00857D89">
              <w:t> </w:t>
            </w:r>
            <w:r w:rsidRPr="000421CD">
              <w:t xml:space="preserve">students representing 61.4 per cent of the total Year 12 student population as at Semester 2, 2013 (75.9 per cent of public school students and private schools </w:t>
            </w:r>
            <w:r w:rsidR="00857D89">
              <w:t>—</w:t>
            </w:r>
            <w:r w:rsidRPr="000421CD">
              <w:t xml:space="preserve"> 42.1 per cent of private school students).</w:t>
            </w:r>
          </w:p>
          <w:p w:rsidR="000421CD" w:rsidRPr="000421CD" w:rsidRDefault="000421CD" w:rsidP="000421CD">
            <w:pPr>
              <w:pStyle w:val="Box"/>
            </w:pPr>
            <w:r w:rsidRPr="000421CD">
              <w:t xml:space="preserve">Of the responses, 83.6 per cent were in either education or training, with 47.4 per cent at university, 4.5 per cent studying an apprenticeship or a traineeship, 29.6 per cent studying another type of nationally accredited training qualification, 0.8 per cent repeating </w:t>
            </w:r>
            <w:r w:rsidR="00857D89">
              <w:t>y</w:t>
            </w:r>
            <w:r w:rsidRPr="000421CD">
              <w:t>ear 12 studies or engaged in non-accredited training and 1.3 per cent who had deferred their education or training. In addition, 3.7 per cent were engaged exclusively in full time employment, 7.8</w:t>
            </w:r>
            <w:r w:rsidR="0048153E">
              <w:t> </w:t>
            </w:r>
            <w:r w:rsidRPr="000421CD">
              <w:t>per</w:t>
            </w:r>
            <w:r w:rsidR="0048153E">
              <w:t> </w:t>
            </w:r>
            <w:r w:rsidRPr="000421CD">
              <w:t>cent in part time employment, and 4.9 per cent were n</w:t>
            </w:r>
            <w:r w:rsidR="00857D89">
              <w:t>either</w:t>
            </w:r>
            <w:r w:rsidRPr="000421CD">
              <w:t xml:space="preserve"> working </w:t>
            </w:r>
            <w:r w:rsidR="00857D89">
              <w:t>n</w:t>
            </w:r>
            <w:r w:rsidRPr="000421CD">
              <w:t>or studying.</w:t>
            </w:r>
          </w:p>
          <w:p w:rsidR="000421CD" w:rsidRPr="000421CD" w:rsidRDefault="00A76E4F" w:rsidP="000421CD">
            <w:pPr>
              <w:pStyle w:val="BoxHeading1"/>
            </w:pPr>
            <w:r>
              <w:t>Tasmania</w:t>
            </w:r>
          </w:p>
          <w:p w:rsidR="000421CD" w:rsidRPr="000421CD" w:rsidRDefault="005A41AD" w:rsidP="000421CD">
            <w:pPr>
              <w:pStyle w:val="Box"/>
            </w:pPr>
            <w:r w:rsidRPr="005A41AD">
              <w:t xml:space="preserve">Since 2007, all </w:t>
            </w:r>
            <w:r w:rsidR="00857D89">
              <w:t>y</w:t>
            </w:r>
            <w:r w:rsidRPr="005A41AD">
              <w:t>ear 10 students lodge a participation plan with the Tasmanian Qualifications Authority in the year they complete this final year of compulsory school. Students are required to be in an eligible option (education, training or employment) until they turn 17. Since 2008, the Authority has collected attainment data from all providers of post-</w:t>
            </w:r>
            <w:r w:rsidR="00857D89">
              <w:t>y</w:t>
            </w:r>
            <w:r w:rsidRPr="005A41AD">
              <w:t xml:space="preserve">ear 10 education and training. Of the </w:t>
            </w:r>
            <w:r w:rsidR="00857D89">
              <w:t>y</w:t>
            </w:r>
            <w:r w:rsidRPr="005A41AD">
              <w:t xml:space="preserve">ear 10 cohort in 2011, 71.2 per cent continued in education or training at half time or better in 2012 and 56.7 per cent continued at half time or better in 2013. Of the 2012 </w:t>
            </w:r>
            <w:r w:rsidR="00857D89">
              <w:t>y</w:t>
            </w:r>
            <w:r w:rsidRPr="005A41AD">
              <w:t xml:space="preserve">ear 10 cohort, 74.5 per cent continued in education or training at half time or better in 2013. A telephone survey of </w:t>
            </w:r>
            <w:r w:rsidR="00857D89">
              <w:t>y</w:t>
            </w:r>
            <w:r w:rsidRPr="005A41AD">
              <w:t>ear</w:t>
            </w:r>
            <w:r w:rsidR="00857D89">
              <w:t>s</w:t>
            </w:r>
            <w:r w:rsidRPr="005A41AD">
              <w:t xml:space="preserve"> 10 and 11 leavers (persons not recorded as continuing in education and training from the previous year) and all </w:t>
            </w:r>
            <w:r w:rsidR="00857D89">
              <w:t>y</w:t>
            </w:r>
            <w:r w:rsidRPr="005A41AD">
              <w:t>ear 12 leavers was conducted in 2011, 2012 and 2013.</w:t>
            </w:r>
          </w:p>
          <w:p w:rsidR="000421CD" w:rsidRPr="000421CD" w:rsidRDefault="00A76E4F" w:rsidP="000421CD">
            <w:pPr>
              <w:pStyle w:val="BoxHeading1"/>
            </w:pPr>
            <w:r>
              <w:t>Australian Capital Territory</w:t>
            </w:r>
          </w:p>
          <w:p w:rsidR="000421CD" w:rsidRPr="000421CD" w:rsidRDefault="000421CD" w:rsidP="00857D89">
            <w:pPr>
              <w:pStyle w:val="Box"/>
            </w:pPr>
            <w:r w:rsidRPr="000421CD">
              <w:t>Since 2007, the ACT has conducted a telephone-based survey of government and non</w:t>
            </w:r>
            <w:r w:rsidRPr="000421CD">
              <w:noBreakHyphen/>
              <w:t xml:space="preserve">government students who successfully completed an ACT </w:t>
            </w:r>
            <w:r w:rsidR="00857D89">
              <w:t>y</w:t>
            </w:r>
            <w:r w:rsidRPr="000421CD">
              <w:t xml:space="preserve">ear 12 </w:t>
            </w:r>
            <w:r w:rsidR="00857D89">
              <w:t>c</w:t>
            </w:r>
            <w:r w:rsidRPr="000421CD">
              <w:t>ertificate in the preceding year. The survey seeks information on the destinations of students six months after completion of year 12 and satisfaction with their experience in year</w:t>
            </w:r>
            <w:r w:rsidR="00857D89">
              <w:t>s</w:t>
            </w:r>
            <w:r w:rsidRPr="000421CD">
              <w:t xml:space="preserve"> 11 and 12. In 2014, responses were received from 72 per cent of the 2013 graduates who were contacted. The 2014 survey found that 92 per cent of 2013 graduates were employed or studying in 2014 and overall 95 per cent found year</w:t>
            </w:r>
            <w:r w:rsidR="00857D89">
              <w:t>s</w:t>
            </w:r>
            <w:r w:rsidRPr="000421CD">
              <w:t xml:space="preserve"> 11 and 12 worthwhile. Of the 59 per cent of 2013 graduates studying in 2014, 66 per cent reported that they were studying at a Bachelor level or higher and 14 per cent at Certificate III level. Of the 41 per cent of graduates who were not studying in 2014, 80 per cent intended to start some study in the next two years. Students who speak a language other than English at home were more likely to be studying (78 per cent) than t</w:t>
            </w:r>
            <w:r w:rsidR="005A41AD">
              <w:t>hose who did not (56 per cent).</w:t>
            </w:r>
          </w:p>
        </w:tc>
      </w:tr>
      <w:tr w:rsidR="00315070" w:rsidTr="001D0F72">
        <w:trPr>
          <w:cantSplit/>
        </w:trPr>
        <w:tc>
          <w:tcPr>
            <w:tcW w:w="8771" w:type="dxa"/>
            <w:tcBorders>
              <w:top w:val="nil"/>
              <w:left w:val="nil"/>
              <w:bottom w:val="nil"/>
              <w:right w:val="nil"/>
            </w:tcBorders>
            <w:shd w:val="clear" w:color="auto" w:fill="F2F2F2"/>
          </w:tcPr>
          <w:p w:rsidR="00315070" w:rsidRPr="00315070" w:rsidRDefault="00315070" w:rsidP="0034666A">
            <w:pPr>
              <w:pStyle w:val="BoxSource"/>
              <w:jc w:val="right"/>
            </w:pPr>
            <w:r>
              <w:t>(c</w:t>
            </w:r>
            <w:r w:rsidRPr="00315070">
              <w:t>ontinued on next page</w:t>
            </w:r>
            <w:r>
              <w:t>)</w:t>
            </w:r>
          </w:p>
        </w:tc>
      </w:tr>
      <w:tr w:rsidR="000421CD" w:rsidTr="001D0F72">
        <w:trPr>
          <w:cantSplit/>
        </w:trPr>
        <w:tc>
          <w:tcPr>
            <w:tcW w:w="8771" w:type="dxa"/>
            <w:tcBorders>
              <w:top w:val="nil"/>
              <w:left w:val="nil"/>
              <w:bottom w:val="single" w:sz="6" w:space="0" w:color="78A22F"/>
              <w:right w:val="nil"/>
            </w:tcBorders>
            <w:shd w:val="clear" w:color="auto" w:fill="F2F2F2"/>
          </w:tcPr>
          <w:p w:rsidR="000421CD" w:rsidRDefault="000421CD">
            <w:pPr>
              <w:pStyle w:val="Box"/>
              <w:spacing w:before="0" w:line="120" w:lineRule="exact"/>
            </w:pPr>
          </w:p>
        </w:tc>
      </w:tr>
      <w:tr w:rsidR="000421CD" w:rsidRPr="000863A5" w:rsidTr="001D0F72">
        <w:tc>
          <w:tcPr>
            <w:tcW w:w="8771" w:type="dxa"/>
            <w:tcBorders>
              <w:top w:val="single" w:sz="6" w:space="0" w:color="78A22F"/>
              <w:left w:val="nil"/>
              <w:bottom w:val="nil"/>
              <w:right w:val="nil"/>
            </w:tcBorders>
          </w:tcPr>
          <w:p w:rsidR="000421CD" w:rsidRPr="00626D32" w:rsidRDefault="000421CD" w:rsidP="001D0F72">
            <w:pPr>
              <w:pStyle w:val="BoxSpaceBelow"/>
            </w:pPr>
          </w:p>
        </w:tc>
      </w:tr>
    </w:tbl>
    <w:p w:rsidR="005A41AD" w:rsidRDefault="005A41A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A41AD" w:rsidTr="00D66FBA">
        <w:tc>
          <w:tcPr>
            <w:tcW w:w="8771" w:type="dxa"/>
            <w:tcBorders>
              <w:top w:val="single" w:sz="6" w:space="0" w:color="78A22F"/>
              <w:left w:val="nil"/>
              <w:bottom w:val="nil"/>
              <w:right w:val="nil"/>
            </w:tcBorders>
            <w:shd w:val="clear" w:color="auto" w:fill="F2F2F2"/>
          </w:tcPr>
          <w:p w:rsidR="005A41AD" w:rsidRDefault="00AF1E86" w:rsidP="005A177C">
            <w:pPr>
              <w:pStyle w:val="BoxTitle"/>
            </w:pPr>
            <w:r w:rsidRPr="00AF1E86">
              <w:rPr>
                <w:b w:val="0"/>
              </w:rPr>
              <w:t>Box 4.1</w:t>
            </w:r>
            <w:r w:rsidR="005A177C">
              <w:rPr>
                <w:b w:val="0"/>
              </w:rPr>
              <w:t>7</w:t>
            </w:r>
            <w:r w:rsidRPr="00AF1E86">
              <w:rPr>
                <w:b w:val="0"/>
              </w:rPr>
              <w:tab/>
            </w:r>
            <w:r w:rsidRPr="00315070">
              <w:rPr>
                <w:b w:val="0"/>
                <w:sz w:val="18"/>
                <w:szCs w:val="18"/>
              </w:rPr>
              <w:t>(</w:t>
            </w:r>
            <w:r w:rsidR="00315070" w:rsidRPr="00315070">
              <w:rPr>
                <w:b w:val="0"/>
                <w:sz w:val="18"/>
                <w:szCs w:val="18"/>
              </w:rPr>
              <w:t>c</w:t>
            </w:r>
            <w:r w:rsidRPr="00315070">
              <w:rPr>
                <w:b w:val="0"/>
                <w:sz w:val="18"/>
                <w:szCs w:val="18"/>
              </w:rPr>
              <w:t>ontinued)</w:t>
            </w:r>
          </w:p>
        </w:tc>
      </w:tr>
      <w:tr w:rsidR="005A41AD" w:rsidTr="00D66FBA">
        <w:trPr>
          <w:cantSplit/>
        </w:trPr>
        <w:tc>
          <w:tcPr>
            <w:tcW w:w="8771" w:type="dxa"/>
            <w:tcBorders>
              <w:top w:val="nil"/>
              <w:left w:val="nil"/>
              <w:bottom w:val="nil"/>
              <w:right w:val="nil"/>
            </w:tcBorders>
            <w:shd w:val="clear" w:color="auto" w:fill="F2F2F2"/>
          </w:tcPr>
          <w:p w:rsidR="005A41AD" w:rsidRPr="005A41AD" w:rsidRDefault="00A76E4F" w:rsidP="005A41AD">
            <w:pPr>
              <w:pStyle w:val="BoxHeading1"/>
              <w:rPr>
                <w:u w:val="dotted"/>
              </w:rPr>
            </w:pPr>
            <w:r>
              <w:t>Northern Territory</w:t>
            </w:r>
          </w:p>
          <w:p w:rsidR="005A41AD" w:rsidRPr="00315070" w:rsidRDefault="005A41AD" w:rsidP="00857D89">
            <w:pPr>
              <w:pStyle w:val="Box"/>
            </w:pPr>
            <w:r w:rsidRPr="00315070">
              <w:t xml:space="preserve">Post school destination surveys of </w:t>
            </w:r>
            <w:r w:rsidR="00857D89">
              <w:t>y</w:t>
            </w:r>
            <w:r w:rsidRPr="00315070">
              <w:t>ear 12 Northern Territory Certificate of Education and Training (NTCET) completers were carried out from late April to early May 2014, some five to six months after the NTCET students had completed school. The 2014 survey had a 12 per cent response rate from a total cohort of 1244 students. From the responses collected, 59 per cent of the young people were in employment (35 per cent were employed full</w:t>
            </w:r>
            <w:r w:rsidR="00A76E4F" w:rsidRPr="00315070">
              <w:t xml:space="preserve"> </w:t>
            </w:r>
            <w:r w:rsidRPr="00315070">
              <w:t>time, and 65 per cent in part time or casual employment). Amongst respondents, 71 per cent of NTCET completers applied for University/TAFE, of which 88 per cent received an offer. Of those students who received an offer, 67 per cent accepted the offer, 29 per cent deferred and 4 per cent either declined or entered another study option. Of those who entered into further education or training, 80 per cent were studying a degree level course.</w:t>
            </w:r>
          </w:p>
        </w:tc>
      </w:tr>
      <w:tr w:rsidR="005A41AD" w:rsidTr="00D66FBA">
        <w:trPr>
          <w:cantSplit/>
        </w:trPr>
        <w:tc>
          <w:tcPr>
            <w:tcW w:w="8771" w:type="dxa"/>
            <w:tcBorders>
              <w:top w:val="nil"/>
              <w:left w:val="nil"/>
              <w:bottom w:val="nil"/>
              <w:right w:val="nil"/>
            </w:tcBorders>
            <w:shd w:val="clear" w:color="auto" w:fill="F2F2F2"/>
          </w:tcPr>
          <w:p w:rsidR="005A41AD" w:rsidRDefault="005A41AD" w:rsidP="00D66FBA">
            <w:pPr>
              <w:pStyle w:val="BoxSource"/>
            </w:pPr>
            <w:r>
              <w:rPr>
                <w:i/>
              </w:rPr>
              <w:t>Source</w:t>
            </w:r>
            <w:r w:rsidRPr="00167F06">
              <w:t xml:space="preserve">: </w:t>
            </w:r>
            <w:r w:rsidRPr="000421CD">
              <w:t>State and Territory governments (unpublished).</w:t>
            </w:r>
          </w:p>
        </w:tc>
      </w:tr>
      <w:tr w:rsidR="005A41AD" w:rsidTr="00D66FBA">
        <w:trPr>
          <w:cantSplit/>
        </w:trPr>
        <w:tc>
          <w:tcPr>
            <w:tcW w:w="8771" w:type="dxa"/>
            <w:tcBorders>
              <w:top w:val="nil"/>
              <w:left w:val="nil"/>
              <w:bottom w:val="single" w:sz="6" w:space="0" w:color="78A22F"/>
              <w:right w:val="nil"/>
            </w:tcBorders>
            <w:shd w:val="clear" w:color="auto" w:fill="F2F2F2"/>
          </w:tcPr>
          <w:p w:rsidR="005A41AD" w:rsidRDefault="005A41AD">
            <w:pPr>
              <w:pStyle w:val="Box"/>
              <w:spacing w:before="0" w:line="120" w:lineRule="exact"/>
            </w:pPr>
          </w:p>
        </w:tc>
      </w:tr>
      <w:tr w:rsidR="005A41AD" w:rsidRPr="000863A5" w:rsidTr="00D66FBA">
        <w:tc>
          <w:tcPr>
            <w:tcW w:w="8771" w:type="dxa"/>
            <w:tcBorders>
              <w:top w:val="single" w:sz="6" w:space="0" w:color="78A22F"/>
              <w:left w:val="nil"/>
              <w:bottom w:val="nil"/>
              <w:right w:val="nil"/>
            </w:tcBorders>
          </w:tcPr>
          <w:p w:rsidR="005A41AD" w:rsidRPr="00626D32" w:rsidRDefault="005A41AD" w:rsidP="00D66FBA">
            <w:pPr>
              <w:pStyle w:val="BoxSpaceBelow"/>
            </w:pPr>
          </w:p>
        </w:tc>
      </w:tr>
    </w:tbl>
    <w:p w:rsidR="00666ECE" w:rsidRPr="007B0AE2" w:rsidRDefault="007B0AE2" w:rsidP="007B0AE2">
      <w:pPr>
        <w:pStyle w:val="Heading2nosectionno"/>
      </w:pPr>
      <w:bookmarkStart w:id="27" w:name="_Toc405974308"/>
      <w:r>
        <w:t>4.4</w:t>
      </w:r>
      <w:r>
        <w:tab/>
      </w:r>
      <w:r w:rsidR="00666ECE" w:rsidRPr="007B0AE2">
        <w:t>Future directions in performance reporting</w:t>
      </w:r>
      <w:bookmarkEnd w:id="27"/>
    </w:p>
    <w:p w:rsidR="00666ECE" w:rsidRPr="00DD6565" w:rsidRDefault="00666ECE" w:rsidP="00DD6565">
      <w:pPr>
        <w:pStyle w:val="Heading3"/>
      </w:pPr>
      <w:r w:rsidRPr="00DD6565">
        <w:t>COAG developments</w:t>
      </w:r>
    </w:p>
    <w:p w:rsidR="00666ECE" w:rsidRPr="00666ECE" w:rsidRDefault="00567A3B" w:rsidP="000421CD">
      <w:pPr>
        <w:pStyle w:val="Heading4"/>
      </w:pPr>
      <w:r>
        <w:t xml:space="preserve">Education Council </w:t>
      </w:r>
      <w:r w:rsidR="00280C38">
        <w:t>review of Key Performance Measurement Framework</w:t>
      </w:r>
    </w:p>
    <w:p w:rsidR="00666ECE" w:rsidRPr="00666ECE" w:rsidRDefault="00280C38" w:rsidP="00257C8E">
      <w:pPr>
        <w:pStyle w:val="BodyText"/>
      </w:pPr>
      <w:r>
        <w:t>Future revisions may occur as a result of</w:t>
      </w:r>
      <w:r w:rsidR="00666ECE" w:rsidRPr="00666ECE">
        <w:t xml:space="preserve"> </w:t>
      </w:r>
      <w:r w:rsidR="00FF3391">
        <w:t xml:space="preserve">ongoing </w:t>
      </w:r>
      <w:r w:rsidR="000421CD">
        <w:t>Education Council</w:t>
      </w:r>
      <w:r w:rsidR="00666ECE" w:rsidRPr="00666ECE">
        <w:t xml:space="preserve"> review of its Key Performance Measurement Framework relating to the Melbourne Declaration and COAG agreed measures.</w:t>
      </w:r>
      <w:r>
        <w:t xml:space="preserve"> The Steering Committee will consider any implications of this review for future reports.</w:t>
      </w:r>
    </w:p>
    <w:p w:rsidR="00666ECE" w:rsidRPr="00FF3391" w:rsidRDefault="00FF3391" w:rsidP="000421CD">
      <w:pPr>
        <w:pStyle w:val="Heading4"/>
      </w:pPr>
      <w:r w:rsidRPr="00FF3391">
        <w:t xml:space="preserve">Attendance rates, </w:t>
      </w:r>
      <w:r w:rsidR="00735213">
        <w:t xml:space="preserve">students with disability, </w:t>
      </w:r>
      <w:r w:rsidRPr="00FF3391">
        <w:t>c</w:t>
      </w:r>
      <w:r w:rsidR="00666ECE" w:rsidRPr="00FF3391">
        <w:t xml:space="preserve">ompletion rates, </w:t>
      </w:r>
      <w:r w:rsidR="0093337F" w:rsidRPr="00FF3391">
        <w:t>p</w:t>
      </w:r>
      <w:r w:rsidR="00666ECE" w:rsidRPr="00FF3391">
        <w:t>articipation</w:t>
      </w:r>
      <w:r w:rsidR="00735213">
        <w:t xml:space="preserve"> and </w:t>
      </w:r>
      <w:r w:rsidR="00666ECE" w:rsidRPr="00FF3391">
        <w:t xml:space="preserve">retention </w:t>
      </w:r>
      <w:r w:rsidR="00BF47EB">
        <w:t>data</w:t>
      </w:r>
    </w:p>
    <w:p w:rsidR="00FF3391" w:rsidRDefault="00FF3391" w:rsidP="00257C8E">
      <w:pPr>
        <w:pStyle w:val="BodyText"/>
      </w:pPr>
      <w:r w:rsidRPr="00FF3391">
        <w:t xml:space="preserve">New nationally comparable attendance data </w:t>
      </w:r>
      <w:r w:rsidR="00C35FD6">
        <w:t>are</w:t>
      </w:r>
      <w:r w:rsidR="00491C19">
        <w:t xml:space="preserve"> expected to be available </w:t>
      </w:r>
      <w:r w:rsidRPr="00FF3391">
        <w:t xml:space="preserve">for </w:t>
      </w:r>
      <w:r w:rsidR="00C35FD6">
        <w:t xml:space="preserve">inclusion in </w:t>
      </w:r>
      <w:r w:rsidRPr="00FF3391">
        <w:t>the 201</w:t>
      </w:r>
      <w:r w:rsidR="00652B79">
        <w:t>6</w:t>
      </w:r>
      <w:r w:rsidRPr="00FF3391">
        <w:t xml:space="preserve"> Report. </w:t>
      </w:r>
    </w:p>
    <w:p w:rsidR="00857D89" w:rsidRDefault="00857D89" w:rsidP="00857D89">
      <w:pPr>
        <w:pStyle w:val="BodyText"/>
        <w:rPr>
          <w:shd w:val="clear" w:color="auto" w:fill="FFFFFF" w:themeFill="background1"/>
        </w:rPr>
      </w:pPr>
      <w:r w:rsidRPr="00FF3391">
        <w:rPr>
          <w:shd w:val="clear" w:color="auto" w:fill="FFFFFF" w:themeFill="background1"/>
        </w:rPr>
        <w:t>Nationally consistent data on students with disability for students’ outcomes reporting is under development.</w:t>
      </w:r>
      <w:r>
        <w:rPr>
          <w:shd w:val="clear" w:color="auto" w:fill="FFFFFF" w:themeFill="background1"/>
        </w:rPr>
        <w:t xml:space="preserve"> </w:t>
      </w:r>
    </w:p>
    <w:p w:rsidR="00666ECE" w:rsidRPr="00FF3391" w:rsidRDefault="00666ECE" w:rsidP="00257C8E">
      <w:pPr>
        <w:pStyle w:val="BodyText"/>
      </w:pPr>
      <w:r w:rsidRPr="00FF3391">
        <w:t xml:space="preserve">The year 12 completion rate included in this Report </w:t>
      </w:r>
      <w:r w:rsidR="00857D89">
        <w:t>is</w:t>
      </w:r>
      <w:r w:rsidR="00FF3391" w:rsidRPr="00FF3391">
        <w:t xml:space="preserve"> under review</w:t>
      </w:r>
      <w:r w:rsidRPr="00FF3391">
        <w:t xml:space="preserve"> and a nationally comparable measure </w:t>
      </w:r>
      <w:r w:rsidR="00FF3391" w:rsidRPr="00FF3391">
        <w:t>is anticipated to be included</w:t>
      </w:r>
      <w:r w:rsidRPr="00FF3391">
        <w:t xml:space="preserve"> in future Reports.</w:t>
      </w:r>
    </w:p>
    <w:p w:rsidR="00666ECE" w:rsidRDefault="00666ECE" w:rsidP="00257C8E">
      <w:pPr>
        <w:pStyle w:val="BodyText"/>
      </w:pPr>
      <w:r w:rsidRPr="00FF3391">
        <w:t>The participation rate for 14–19 year old</w:t>
      </w:r>
      <w:r w:rsidR="0093337F" w:rsidRPr="00FF3391">
        <w:t xml:space="preserve"> student</w:t>
      </w:r>
      <w:r w:rsidRPr="00FF3391">
        <w:t>s includes part time students. However, the year 7/8 to year 12 apparent retention rate, and the year</w:t>
      </w:r>
      <w:r w:rsidR="00280C38" w:rsidRPr="00FF3391">
        <w:t> </w:t>
      </w:r>
      <w:r w:rsidRPr="00FF3391">
        <w:t>10</w:t>
      </w:r>
      <w:r w:rsidR="00857D89">
        <w:t xml:space="preserve"> to year </w:t>
      </w:r>
      <w:r w:rsidRPr="00FF3391">
        <w:t xml:space="preserve">12 apparent retention </w:t>
      </w:r>
      <w:r w:rsidRPr="00FF3391">
        <w:lastRenderedPageBreak/>
        <w:t>rate, are bas</w:t>
      </w:r>
      <w:r w:rsidR="00857D89">
        <w:t>ed on full time school students</w:t>
      </w:r>
      <w:r w:rsidRPr="00FF3391">
        <w:t>.</w:t>
      </w:r>
      <w:r w:rsidR="00857D89">
        <w:t xml:space="preserve"> the inclusion of part time students in all rates is under investigation.</w:t>
      </w:r>
    </w:p>
    <w:p w:rsidR="00666ECE" w:rsidRPr="007B0AE2" w:rsidRDefault="00666ECE" w:rsidP="007B0AE2">
      <w:pPr>
        <w:pStyle w:val="Heading2nosectionno"/>
      </w:pPr>
      <w:bookmarkStart w:id="28" w:name="_Toc405974309"/>
      <w:r w:rsidRPr="007B0AE2">
        <w:t>4.5</w:t>
      </w:r>
      <w:r w:rsidRPr="007B0AE2">
        <w:tab/>
        <w:t>Jurisdictions’ comments</w:t>
      </w:r>
      <w:bookmarkEnd w:id="28"/>
    </w:p>
    <w:p w:rsidR="00666ECE" w:rsidRPr="00666ECE" w:rsidRDefault="00666ECE" w:rsidP="00666ECE">
      <w:pPr>
        <w:spacing w:before="240" w:line="320" w:lineRule="atLeast"/>
        <w:jc w:val="both"/>
        <w:rPr>
          <w:szCs w:val="20"/>
        </w:rPr>
      </w:pPr>
      <w:r w:rsidRPr="00666ECE">
        <w:rPr>
          <w:szCs w:val="20"/>
        </w:rPr>
        <w:t xml:space="preserve">This section provides comments from each jurisdiction on the services covered in this chapter. </w:t>
      </w:r>
    </w:p>
    <w:p w:rsidR="00A76E4F" w:rsidRDefault="00A76E4F">
      <w:pPr>
        <w:rPr>
          <w:szCs w:val="20"/>
        </w:rPr>
      </w:pPr>
      <w:r>
        <w:br w:type="page"/>
      </w:r>
    </w:p>
    <w:tbl>
      <w:tblPr>
        <w:tblW w:w="10632" w:type="dxa"/>
        <w:tblInd w:w="-885" w:type="dxa"/>
        <w:tblLayout w:type="fixed"/>
        <w:tblLook w:val="01E0" w:firstRow="1" w:lastRow="1" w:firstColumn="1" w:lastColumn="1" w:noHBand="0" w:noVBand="0"/>
      </w:tblPr>
      <w:tblGrid>
        <w:gridCol w:w="992"/>
        <w:gridCol w:w="8789"/>
        <w:gridCol w:w="851"/>
      </w:tblGrid>
      <w:tr w:rsidR="00666ECE" w:rsidRPr="00666ECE" w:rsidTr="0019297C">
        <w:tc>
          <w:tcPr>
            <w:tcW w:w="992" w:type="dxa"/>
            <w:vMerge w:val="restart"/>
            <w:shd w:val="clear" w:color="auto" w:fill="auto"/>
          </w:tcPr>
          <w:p w:rsidR="00666ECE" w:rsidRPr="00666ECE" w:rsidRDefault="00666ECE" w:rsidP="00666ECE">
            <w:pPr>
              <w:spacing w:before="240" w:line="320" w:lineRule="atLeast"/>
              <w:jc w:val="both"/>
              <w:rPr>
                <w:b/>
                <w:sz w:val="132"/>
                <w:szCs w:val="132"/>
              </w:rPr>
            </w:pPr>
            <w:r w:rsidRPr="00666ECE">
              <w:rPr>
                <w:b/>
                <w:sz w:val="132"/>
                <w:szCs w:val="132"/>
              </w:rPr>
              <w:lastRenderedPageBreak/>
              <w:t>“</w:t>
            </w:r>
          </w:p>
        </w:tc>
        <w:tc>
          <w:tcPr>
            <w:tcW w:w="8789" w:type="dxa"/>
            <w:shd w:val="clear" w:color="auto" w:fill="auto"/>
          </w:tcPr>
          <w:p w:rsidR="00666ECE" w:rsidRPr="00666ECE" w:rsidRDefault="00666ECE" w:rsidP="00666ECE">
            <w:pPr>
              <w:spacing w:after="140" w:line="320" w:lineRule="atLeast"/>
              <w:jc w:val="both"/>
              <w:rPr>
                <w:rFonts w:ascii="Arial" w:hAnsi="Arial"/>
                <w:b/>
                <w:szCs w:val="20"/>
                <w:lang w:eastAsia="en-US"/>
              </w:rPr>
            </w:pPr>
            <w:r w:rsidRPr="00666ECE">
              <w:rPr>
                <w:rFonts w:ascii="Arial" w:hAnsi="Arial"/>
                <w:b/>
                <w:szCs w:val="20"/>
                <w:lang w:eastAsia="en-US"/>
              </w:rPr>
              <w:t>Australian Government comments</w:t>
            </w:r>
          </w:p>
        </w:tc>
        <w:tc>
          <w:tcPr>
            <w:tcW w:w="851" w:type="dxa"/>
            <w:vMerge w:val="restart"/>
            <w:shd w:val="clear" w:color="auto" w:fill="auto"/>
          </w:tcPr>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b/>
                <w:sz w:val="132"/>
                <w:szCs w:val="132"/>
              </w:rPr>
            </w:pPr>
            <w:r w:rsidRPr="00666ECE">
              <w:rPr>
                <w:b/>
                <w:sz w:val="132"/>
                <w:szCs w:val="132"/>
              </w:rPr>
              <w:t>”</w:t>
            </w:r>
          </w:p>
        </w:tc>
      </w:tr>
      <w:tr w:rsidR="00666ECE" w:rsidRPr="00666ECE" w:rsidTr="0019297C">
        <w:trPr>
          <w:trHeight w:val="262"/>
        </w:trPr>
        <w:tc>
          <w:tcPr>
            <w:tcW w:w="992" w:type="dxa"/>
            <w:vMerge/>
            <w:shd w:val="clear" w:color="auto" w:fill="auto"/>
          </w:tcPr>
          <w:p w:rsidR="00666ECE" w:rsidRPr="00666ECE" w:rsidRDefault="00666ECE" w:rsidP="00666ECE">
            <w:pPr>
              <w:spacing w:before="240" w:line="320" w:lineRule="atLeast"/>
              <w:jc w:val="both"/>
              <w:rPr>
                <w:szCs w:val="20"/>
              </w:rPr>
            </w:pPr>
          </w:p>
        </w:tc>
        <w:tc>
          <w:tcPr>
            <w:tcW w:w="8789" w:type="dxa"/>
            <w:shd w:val="clear" w:color="auto" w:fill="auto"/>
          </w:tcPr>
          <w:p w:rsidR="001B5FF2" w:rsidRPr="001B5FF2" w:rsidRDefault="001B5FF2" w:rsidP="001B5FF2">
            <w:pPr>
              <w:spacing w:after="120"/>
              <w:jc w:val="both"/>
              <w:rPr>
                <w:rFonts w:ascii="Arial" w:hAnsi="Arial"/>
                <w:szCs w:val="20"/>
                <w:lang w:eastAsia="en-US"/>
              </w:rPr>
            </w:pPr>
            <w:r w:rsidRPr="001B5FF2">
              <w:rPr>
                <w:rFonts w:ascii="Arial" w:hAnsi="Arial"/>
                <w:szCs w:val="20"/>
                <w:lang w:eastAsia="en-US"/>
              </w:rPr>
              <w:t>The Australian Government is committed to working collaboratively with State and Territory governments and the non-government sector to improve outcomes in Australian schools. Under the Government’s Students First package of reforms, there is a focus on four key areas that will improve student outcomes: teacher quality, school autonomy, engaging parents in education, and strengthening the Australian Curriculum. This includes ensuring that mainstream schools policy, programmes and service delivery contribute to improvements in outcomes for Aboriginal and Torres Strait Islander students.</w:t>
            </w:r>
          </w:p>
          <w:p w:rsidR="001B5FF2" w:rsidRPr="001B5FF2" w:rsidRDefault="001B5FF2" w:rsidP="001B5FF2">
            <w:pPr>
              <w:spacing w:after="120"/>
              <w:jc w:val="both"/>
              <w:rPr>
                <w:rFonts w:ascii="Arial" w:hAnsi="Arial"/>
                <w:szCs w:val="20"/>
                <w:lang w:val="en" w:eastAsia="en-US"/>
              </w:rPr>
            </w:pPr>
            <w:r w:rsidRPr="001B5FF2">
              <w:rPr>
                <w:rFonts w:ascii="Arial" w:hAnsi="Arial"/>
                <w:szCs w:val="20"/>
                <w:lang w:val="en" w:eastAsia="en-US"/>
              </w:rPr>
              <w:t>The Government is supporting high quality student outcomes with needs-based, stable and sustainable funding for all schools through delivering the funding model contained within the Australian Education Act 2013. These funding arrangements in place from January 2014 also ensure that schools with students needing extra support will attract additional payment loadings.</w:t>
            </w:r>
          </w:p>
          <w:p w:rsidR="001B5FF2" w:rsidRPr="001B5FF2" w:rsidRDefault="001B5FF2" w:rsidP="001B5FF2">
            <w:pPr>
              <w:spacing w:after="120"/>
              <w:jc w:val="both"/>
              <w:rPr>
                <w:rFonts w:ascii="Arial" w:hAnsi="Arial"/>
                <w:szCs w:val="20"/>
                <w:lang w:val="en" w:eastAsia="en-US"/>
              </w:rPr>
            </w:pPr>
            <w:r w:rsidRPr="001B5FF2">
              <w:rPr>
                <w:rFonts w:ascii="Arial" w:hAnsi="Arial"/>
                <w:szCs w:val="20"/>
                <w:lang w:eastAsia="en-US"/>
              </w:rPr>
              <w:t>For the Australian Curriculum, a Review was established in January 2014 to evaluate its</w:t>
            </w:r>
            <w:r w:rsidRPr="001B5FF2">
              <w:rPr>
                <w:rFonts w:ascii="Arial" w:hAnsi="Arial"/>
                <w:szCs w:val="20"/>
                <w:lang w:val="en" w:eastAsia="en-US"/>
              </w:rPr>
              <w:t xml:space="preserve"> robustness, independence and balance and to understand whether it is delivering what students need, parents expect and the nation requires in an increasingly competitive world. The Review’s Final Report was released in October 2014 along with an initial government response and will be considered with its recommendations by all Australian education ministers.</w:t>
            </w:r>
          </w:p>
          <w:p w:rsidR="001B5FF2" w:rsidRPr="001B5FF2" w:rsidRDefault="001B5FF2" w:rsidP="001B5FF2">
            <w:pPr>
              <w:spacing w:after="120"/>
              <w:jc w:val="both"/>
              <w:rPr>
                <w:rFonts w:ascii="Arial" w:hAnsi="Arial"/>
                <w:szCs w:val="20"/>
                <w:lang w:val="en" w:eastAsia="en-US"/>
              </w:rPr>
            </w:pPr>
            <w:r w:rsidRPr="001B5FF2">
              <w:rPr>
                <w:rFonts w:ascii="Arial" w:hAnsi="Arial"/>
                <w:szCs w:val="20"/>
                <w:lang w:eastAsia="en-US"/>
              </w:rPr>
              <w:t xml:space="preserve">The Government extended the More Support for Students with Disabilities National Partnership with the provision of a further $100 million for the 2014 school year for government and non-government education authorities to build the capacity of schools and teachers to better address the needs of students with disability. This funding also contributed towards phasing in the Nationally </w:t>
            </w:r>
            <w:r w:rsidRPr="001B5FF2">
              <w:rPr>
                <w:rFonts w:ascii="Arial" w:hAnsi="Arial"/>
                <w:szCs w:val="20"/>
                <w:lang w:val="en" w:eastAsia="en-US"/>
              </w:rPr>
              <w:t>Consistent Collection of Data on Students with Disability.</w:t>
            </w:r>
          </w:p>
          <w:p w:rsidR="001B5FF2" w:rsidRPr="001B5FF2" w:rsidRDefault="001B5FF2" w:rsidP="001B5FF2">
            <w:pPr>
              <w:spacing w:after="120"/>
              <w:jc w:val="both"/>
              <w:rPr>
                <w:rFonts w:ascii="Arial" w:hAnsi="Arial"/>
                <w:szCs w:val="20"/>
                <w:lang w:eastAsia="en-US"/>
              </w:rPr>
            </w:pPr>
            <w:r w:rsidRPr="001B5FF2">
              <w:rPr>
                <w:rFonts w:ascii="Arial" w:hAnsi="Arial"/>
                <w:szCs w:val="20"/>
                <w:lang w:val="en" w:eastAsia="en-US"/>
              </w:rPr>
              <w:t>The</w:t>
            </w:r>
            <w:r w:rsidRPr="001B5FF2">
              <w:rPr>
                <w:rFonts w:ascii="Arial" w:hAnsi="Arial"/>
                <w:szCs w:val="20"/>
                <w:lang w:eastAsia="en-US"/>
              </w:rPr>
              <w:t xml:space="preserve"> Government is also supporting initiatives to ensure children receive quality teaching at school. The Teach for Australia programme was established to introduce employment-based pathways into the teaching profession and attract high-calibre graduates. On completion of their two-year placement, participants are awarded a postgraduate qualification. Reflecting the Government’s commitment to ongoing support for Teach for Australia, a new contract for a further three intakes of participants was signed in June 2014. </w:t>
            </w:r>
          </w:p>
          <w:p w:rsidR="001B5FF2" w:rsidRPr="001B5FF2" w:rsidRDefault="001B5FF2" w:rsidP="001B5FF2">
            <w:pPr>
              <w:spacing w:after="120"/>
              <w:jc w:val="both"/>
              <w:rPr>
                <w:rFonts w:ascii="Arial" w:hAnsi="Arial"/>
                <w:szCs w:val="20"/>
                <w:lang w:eastAsia="en-US"/>
              </w:rPr>
            </w:pPr>
            <w:r w:rsidRPr="001B5FF2">
              <w:rPr>
                <w:rFonts w:ascii="Arial" w:hAnsi="Arial"/>
                <w:szCs w:val="20"/>
                <w:lang w:eastAsia="en-US"/>
              </w:rPr>
              <w:t>The Government is committed to working with all governments to provide principals and school leaders with more autonomy to respond to local community needs and increase parental engagement in schools. The $70 million Independent Public Schools initiative provides funding to increase the autonomy and independence of their government schools.</w:t>
            </w:r>
          </w:p>
          <w:p w:rsidR="00666ECE" w:rsidRPr="00666ECE" w:rsidRDefault="001B5FF2" w:rsidP="001B5FF2">
            <w:pPr>
              <w:spacing w:after="120"/>
              <w:jc w:val="both"/>
              <w:rPr>
                <w:rFonts w:ascii="Arial" w:hAnsi="Arial"/>
                <w:szCs w:val="20"/>
                <w:lang w:eastAsia="en-US"/>
              </w:rPr>
            </w:pPr>
            <w:r w:rsidRPr="001B5FF2">
              <w:rPr>
                <w:rFonts w:ascii="Arial" w:hAnsi="Arial"/>
                <w:szCs w:val="20"/>
                <w:lang w:eastAsia="en-US"/>
              </w:rPr>
              <w:t>To help keep students engaged in school and create links between schools, communities, and local industry and employers, on 23 January 2014 the Government confirmed funding of over $209 million for 136 trade training projects servicing 224 schools. These new projects will be called Trades Skills Centres to reflect the Government’s commitment to strong industry linkages.</w:t>
            </w:r>
          </w:p>
        </w:tc>
        <w:tc>
          <w:tcPr>
            <w:tcW w:w="851" w:type="dxa"/>
            <w:vMerge/>
            <w:tcBorders>
              <w:left w:val="nil"/>
            </w:tcBorders>
            <w:shd w:val="clear" w:color="auto" w:fill="auto"/>
          </w:tcPr>
          <w:p w:rsidR="00666ECE" w:rsidRPr="00666ECE" w:rsidRDefault="00666ECE" w:rsidP="00666ECE">
            <w:pPr>
              <w:spacing w:before="240" w:line="320" w:lineRule="atLeast"/>
              <w:jc w:val="both"/>
              <w:rPr>
                <w:szCs w:val="20"/>
              </w:rPr>
            </w:pPr>
          </w:p>
        </w:tc>
      </w:tr>
    </w:tbl>
    <w:p w:rsidR="00666ECE" w:rsidRPr="00666ECE" w:rsidRDefault="00666ECE" w:rsidP="00666ECE">
      <w:pPr>
        <w:spacing w:line="320" w:lineRule="atLeast"/>
        <w:jc w:val="both"/>
        <w:rPr>
          <w:sz w:val="12"/>
          <w:szCs w:val="12"/>
        </w:rPr>
      </w:pPr>
    </w:p>
    <w:tbl>
      <w:tblPr>
        <w:tblW w:w="10632" w:type="dxa"/>
        <w:tblInd w:w="-885" w:type="dxa"/>
        <w:tblLayout w:type="fixed"/>
        <w:tblLook w:val="01E0" w:firstRow="1" w:lastRow="1" w:firstColumn="1" w:lastColumn="1" w:noHBand="0" w:noVBand="0"/>
      </w:tblPr>
      <w:tblGrid>
        <w:gridCol w:w="992"/>
        <w:gridCol w:w="8789"/>
        <w:gridCol w:w="851"/>
      </w:tblGrid>
      <w:tr w:rsidR="00666ECE" w:rsidRPr="00666ECE" w:rsidTr="0019297C">
        <w:tc>
          <w:tcPr>
            <w:tcW w:w="992" w:type="dxa"/>
            <w:vMerge w:val="restart"/>
            <w:shd w:val="clear" w:color="auto" w:fill="auto"/>
          </w:tcPr>
          <w:p w:rsidR="00666ECE" w:rsidRPr="00666ECE" w:rsidRDefault="00666ECE" w:rsidP="00666ECE">
            <w:pPr>
              <w:spacing w:before="240" w:line="320" w:lineRule="atLeast"/>
              <w:jc w:val="both"/>
              <w:rPr>
                <w:b/>
                <w:sz w:val="132"/>
                <w:szCs w:val="132"/>
              </w:rPr>
            </w:pPr>
            <w:r w:rsidRPr="00666ECE">
              <w:rPr>
                <w:b/>
                <w:sz w:val="132"/>
                <w:szCs w:val="132"/>
              </w:rPr>
              <w:lastRenderedPageBreak/>
              <w:t>“</w:t>
            </w:r>
          </w:p>
        </w:tc>
        <w:tc>
          <w:tcPr>
            <w:tcW w:w="8789" w:type="dxa"/>
            <w:shd w:val="clear" w:color="auto" w:fill="auto"/>
          </w:tcPr>
          <w:p w:rsidR="00666ECE" w:rsidRPr="00666ECE" w:rsidRDefault="00666ECE" w:rsidP="00666ECE">
            <w:pPr>
              <w:spacing w:after="140" w:line="320" w:lineRule="atLeast"/>
              <w:jc w:val="both"/>
              <w:rPr>
                <w:rFonts w:ascii="Arial" w:hAnsi="Arial"/>
                <w:b/>
                <w:szCs w:val="20"/>
                <w:lang w:eastAsia="en-US"/>
              </w:rPr>
            </w:pPr>
            <w:r w:rsidRPr="00666ECE">
              <w:rPr>
                <w:rFonts w:ascii="Arial" w:hAnsi="Arial"/>
                <w:b/>
                <w:szCs w:val="20"/>
                <w:lang w:eastAsia="en-US"/>
              </w:rPr>
              <w:t>New South Wales Government comments</w:t>
            </w:r>
          </w:p>
        </w:tc>
        <w:tc>
          <w:tcPr>
            <w:tcW w:w="851" w:type="dxa"/>
            <w:vMerge w:val="restart"/>
            <w:shd w:val="clear" w:color="auto" w:fill="auto"/>
          </w:tcPr>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Default="00666ECE" w:rsidP="00666ECE">
            <w:pPr>
              <w:spacing w:before="240" w:line="320" w:lineRule="atLeast"/>
              <w:jc w:val="both"/>
              <w:rPr>
                <w:szCs w:val="20"/>
              </w:rPr>
            </w:pPr>
          </w:p>
          <w:p w:rsidR="00CA71F0" w:rsidRPr="00666ECE" w:rsidRDefault="00CA71F0" w:rsidP="00666ECE">
            <w:pPr>
              <w:spacing w:before="240" w:line="320" w:lineRule="atLeast"/>
              <w:jc w:val="both"/>
              <w:rPr>
                <w:szCs w:val="20"/>
              </w:rPr>
            </w:pPr>
          </w:p>
          <w:p w:rsidR="00666ECE" w:rsidRPr="00666ECE" w:rsidRDefault="00F170F6" w:rsidP="00666ECE">
            <w:pPr>
              <w:spacing w:before="240" w:line="320" w:lineRule="atLeast"/>
              <w:jc w:val="both"/>
              <w:rPr>
                <w:szCs w:val="20"/>
              </w:rPr>
            </w:pPr>
            <w:r w:rsidRPr="00666ECE">
              <w:rPr>
                <w:b/>
                <w:sz w:val="132"/>
                <w:szCs w:val="132"/>
              </w:rPr>
              <w:t>”</w:t>
            </w:r>
          </w:p>
          <w:p w:rsidR="00666ECE" w:rsidRPr="00666ECE" w:rsidRDefault="00666ECE" w:rsidP="00666ECE">
            <w:pPr>
              <w:spacing w:before="240" w:line="320" w:lineRule="atLeast"/>
              <w:jc w:val="both"/>
              <w:rPr>
                <w:b/>
                <w:sz w:val="132"/>
                <w:szCs w:val="132"/>
              </w:rPr>
            </w:pPr>
          </w:p>
        </w:tc>
      </w:tr>
      <w:tr w:rsidR="00666ECE" w:rsidRPr="00666ECE" w:rsidTr="0019297C">
        <w:tc>
          <w:tcPr>
            <w:tcW w:w="992" w:type="dxa"/>
            <w:vMerge/>
            <w:shd w:val="clear" w:color="auto" w:fill="auto"/>
          </w:tcPr>
          <w:p w:rsidR="00666ECE" w:rsidRPr="00666ECE" w:rsidRDefault="00666ECE" w:rsidP="00666ECE">
            <w:pPr>
              <w:spacing w:before="240" w:line="320" w:lineRule="atLeast"/>
              <w:jc w:val="both"/>
              <w:rPr>
                <w:szCs w:val="20"/>
              </w:rPr>
            </w:pPr>
          </w:p>
        </w:tc>
        <w:tc>
          <w:tcPr>
            <w:tcW w:w="8789" w:type="dxa"/>
            <w:shd w:val="clear" w:color="auto" w:fill="auto"/>
          </w:tcPr>
          <w:p w:rsidR="0013490E" w:rsidRDefault="0013490E" w:rsidP="0013490E">
            <w:pPr>
              <w:pStyle w:val="Jurisdictioncommentsbodytext"/>
            </w:pPr>
            <w:r w:rsidRPr="0055686F">
              <w:t>In 2014</w:t>
            </w:r>
            <w:r>
              <w:t xml:space="preserve"> NAPLAN tests</w:t>
            </w:r>
            <w:r w:rsidRPr="0055686F">
              <w:t>, the participation rates for NSW were the highest of all jurisdic</w:t>
            </w:r>
            <w:r>
              <w:t>tions for every test domain and y</w:t>
            </w:r>
            <w:r w:rsidRPr="0055686F">
              <w:t>ear level, with the exception of Y</w:t>
            </w:r>
            <w:r>
              <w:t>ear 9 N</w:t>
            </w:r>
            <w:r w:rsidRPr="0055686F">
              <w:t xml:space="preserve">umeracy where NSW ranked second. NSW students improved substantially in </w:t>
            </w:r>
            <w:r w:rsidRPr="0055686F">
              <w:rPr>
                <w:color w:val="000000"/>
              </w:rPr>
              <w:t>Grammar and Punctuation for Year 3 between 2008 and 2014.</w:t>
            </w:r>
            <w:r w:rsidRPr="0055686F">
              <w:t xml:space="preserve"> There has been a gradual increase in means between 2008 and 2014 for Year 3 and Year 5 Reading, Year 5 and Year 9 Spelling, and Year 7 Grammar and Punctuation.</w:t>
            </w:r>
          </w:p>
          <w:p w:rsidR="0013490E" w:rsidRDefault="0013490E" w:rsidP="0013490E">
            <w:pPr>
              <w:pStyle w:val="Jurisdictioncommentsbodytext"/>
              <w:rPr>
                <w:color w:val="000000"/>
              </w:rPr>
            </w:pPr>
            <w:r w:rsidRPr="004F2507">
              <w:rPr>
                <w:color w:val="000000"/>
              </w:rPr>
              <w:t xml:space="preserve">The NSW Government continued to support a five year </w:t>
            </w:r>
            <w:r w:rsidRPr="004F2507">
              <w:rPr>
                <w:i/>
                <w:iCs/>
                <w:color w:val="000000"/>
              </w:rPr>
              <w:t>Literacy and Numeracy Action Plan</w:t>
            </w:r>
            <w:r w:rsidRPr="004F2507">
              <w:rPr>
                <w:color w:val="000000"/>
              </w:rPr>
              <w:t xml:space="preserve"> in 337 targeted government, Catholic and independent schools. All targeted schools are using an evidence-based three-tiered approach to drive a whole school approach to lifting the literacy and numeracy performance of students, especially those at risk of not achieving expected outcomes.</w:t>
            </w:r>
          </w:p>
          <w:p w:rsidR="0013490E" w:rsidRPr="0099185A" w:rsidRDefault="0013490E" w:rsidP="0013490E">
            <w:pPr>
              <w:pStyle w:val="Jurisdictioncommentsbodytext"/>
              <w:rPr>
                <w:bCs/>
                <w:iCs/>
              </w:rPr>
            </w:pPr>
            <w:r w:rsidRPr="0099185A">
              <w:rPr>
                <w:bCs/>
                <w:iCs/>
              </w:rPr>
              <w:t>NSW continues on its ambitious program of reform with Great Teaching, Inspired Learning, the NSW Government’s blueprint for improving the quality of teaching and learning in NSW schools, and the Rural and Remote Education blueprint</w:t>
            </w:r>
            <w:r w:rsidRPr="0099185A">
              <w:t>, the NSW Government’s plan to improve student learning in rural and remote public schools across NSW.</w:t>
            </w:r>
          </w:p>
          <w:p w:rsidR="0013490E" w:rsidRDefault="0013490E" w:rsidP="0013490E">
            <w:pPr>
              <w:pStyle w:val="Jurisdictioncommentsbodytext"/>
            </w:pPr>
            <w:r w:rsidRPr="002F6D17">
              <w:t>The NSW Government strategy Every Stud</w:t>
            </w:r>
            <w:r>
              <w:t xml:space="preserve">ent, Every School, also continued to </w:t>
            </w:r>
            <w:r w:rsidRPr="002F6D17">
              <w:t xml:space="preserve">strengthen support for students with disability. </w:t>
            </w:r>
            <w:r>
              <w:t>More than 76 per cent</w:t>
            </w:r>
            <w:r w:rsidRPr="002F6D17">
              <w:t xml:space="preserve"> of NSW public schools were supported to participate in the </w:t>
            </w:r>
            <w:r>
              <w:t>second</w:t>
            </w:r>
            <w:r w:rsidRPr="002F6D17">
              <w:t xml:space="preserve"> </w:t>
            </w:r>
            <w:r>
              <w:t xml:space="preserve">implementation </w:t>
            </w:r>
            <w:r w:rsidRPr="002F6D17">
              <w:t>phase of the Nationally Consistent Collection of Data for School Students with Disability</w:t>
            </w:r>
            <w:r>
              <w:t xml:space="preserve"> in 2014</w:t>
            </w:r>
            <w:r w:rsidRPr="002F6D17">
              <w:t xml:space="preserve">. This process has improved school practices in assessing and responding to the needs of students with disability. </w:t>
            </w:r>
          </w:p>
          <w:p w:rsidR="0013490E" w:rsidRDefault="0013490E" w:rsidP="0013490E">
            <w:pPr>
              <w:pStyle w:val="Jurisdictioncommentsbodytext"/>
            </w:pPr>
            <w:r>
              <w:t xml:space="preserve">NSW remains committed to closing the gap in educational outcomes between Aboriginal students and other students. The </w:t>
            </w:r>
            <w:r>
              <w:rPr>
                <w:i/>
                <w:iCs/>
              </w:rPr>
              <w:t xml:space="preserve">Aboriginal and Torres Strait Islander Education Action Plan </w:t>
            </w:r>
            <w:r>
              <w:t xml:space="preserve">and the Department’s Partnership Agreement with the NSW Aboriginal Education Consultative Group Inc. are key drivers of the approach employed in NSW to meet this commitment. </w:t>
            </w:r>
          </w:p>
          <w:p w:rsidR="0013490E" w:rsidRPr="00683954" w:rsidRDefault="0013490E" w:rsidP="0013490E">
            <w:pPr>
              <w:pStyle w:val="Jurisdictioncommentsbodytext"/>
            </w:pPr>
            <w:r w:rsidRPr="00683954">
              <w:t xml:space="preserve">The Local Schools, Local Decisions reform continues to be implemented in NSW public schools to place students at the centre of school decision making. This is supported by the new resource allocation model (RAM) which </w:t>
            </w:r>
            <w:r>
              <w:t>is distributing</w:t>
            </w:r>
            <w:r w:rsidRPr="00683954">
              <w:t xml:space="preserve"> resources </w:t>
            </w:r>
            <w:r>
              <w:t xml:space="preserve">to NSW public schools </w:t>
            </w:r>
            <w:r w:rsidRPr="00683954">
              <w:t>based on student need. Principals and their school communities are working together to develop new school planning processes that focus on delivering comprehensive school plans and annual reports connected to student learning outcomes and the school budget.</w:t>
            </w:r>
          </w:p>
          <w:p w:rsidR="00666ECE" w:rsidRPr="00666ECE" w:rsidRDefault="00666ECE" w:rsidP="00C4109F">
            <w:pPr>
              <w:spacing w:after="140"/>
              <w:jc w:val="both"/>
              <w:rPr>
                <w:rFonts w:ascii="Arial" w:hAnsi="Arial"/>
                <w:szCs w:val="20"/>
                <w:lang w:eastAsia="en-US"/>
              </w:rPr>
            </w:pPr>
          </w:p>
        </w:tc>
        <w:tc>
          <w:tcPr>
            <w:tcW w:w="851" w:type="dxa"/>
            <w:vMerge/>
            <w:tcBorders>
              <w:left w:val="nil"/>
            </w:tcBorders>
            <w:shd w:val="clear" w:color="auto" w:fill="auto"/>
          </w:tcPr>
          <w:p w:rsidR="00666ECE" w:rsidRPr="00666ECE" w:rsidRDefault="00666ECE" w:rsidP="00666ECE">
            <w:pPr>
              <w:spacing w:before="240" w:line="320" w:lineRule="atLeast"/>
              <w:jc w:val="both"/>
              <w:rPr>
                <w:szCs w:val="20"/>
              </w:rPr>
            </w:pPr>
          </w:p>
        </w:tc>
      </w:tr>
    </w:tbl>
    <w:p w:rsidR="00666ECE" w:rsidRPr="00666ECE" w:rsidRDefault="00666ECE" w:rsidP="00666ECE">
      <w:pPr>
        <w:spacing w:line="320" w:lineRule="atLeast"/>
        <w:jc w:val="both"/>
        <w:rPr>
          <w:sz w:val="12"/>
          <w:szCs w:val="12"/>
        </w:rPr>
      </w:pPr>
    </w:p>
    <w:tbl>
      <w:tblPr>
        <w:tblW w:w="10632" w:type="dxa"/>
        <w:tblInd w:w="-885" w:type="dxa"/>
        <w:tblLayout w:type="fixed"/>
        <w:tblLook w:val="01E0" w:firstRow="1" w:lastRow="1" w:firstColumn="1" w:lastColumn="1" w:noHBand="0" w:noVBand="0"/>
      </w:tblPr>
      <w:tblGrid>
        <w:gridCol w:w="992"/>
        <w:gridCol w:w="8789"/>
        <w:gridCol w:w="851"/>
      </w:tblGrid>
      <w:tr w:rsidR="00666ECE" w:rsidRPr="00666ECE" w:rsidTr="0019297C">
        <w:tc>
          <w:tcPr>
            <w:tcW w:w="992" w:type="dxa"/>
            <w:vMerge w:val="restart"/>
            <w:shd w:val="clear" w:color="auto" w:fill="auto"/>
          </w:tcPr>
          <w:p w:rsidR="00666ECE" w:rsidRPr="00666ECE" w:rsidRDefault="00666ECE" w:rsidP="00666ECE">
            <w:pPr>
              <w:spacing w:before="240" w:line="320" w:lineRule="atLeast"/>
              <w:jc w:val="both"/>
              <w:rPr>
                <w:b/>
                <w:sz w:val="132"/>
                <w:szCs w:val="132"/>
              </w:rPr>
            </w:pPr>
            <w:r w:rsidRPr="00666ECE">
              <w:rPr>
                <w:b/>
                <w:sz w:val="132"/>
                <w:szCs w:val="132"/>
              </w:rPr>
              <w:lastRenderedPageBreak/>
              <w:t>“</w:t>
            </w:r>
          </w:p>
        </w:tc>
        <w:tc>
          <w:tcPr>
            <w:tcW w:w="8789" w:type="dxa"/>
            <w:shd w:val="clear" w:color="auto" w:fill="auto"/>
          </w:tcPr>
          <w:p w:rsidR="00666ECE" w:rsidRPr="00666ECE" w:rsidRDefault="00666ECE" w:rsidP="00666ECE">
            <w:pPr>
              <w:spacing w:after="140" w:line="320" w:lineRule="atLeast"/>
              <w:jc w:val="both"/>
              <w:rPr>
                <w:rFonts w:ascii="Arial" w:hAnsi="Arial"/>
                <w:b/>
                <w:szCs w:val="20"/>
                <w:lang w:eastAsia="en-US"/>
              </w:rPr>
            </w:pPr>
            <w:r w:rsidRPr="00666ECE">
              <w:rPr>
                <w:rFonts w:ascii="Arial" w:hAnsi="Arial"/>
                <w:b/>
                <w:szCs w:val="20"/>
                <w:lang w:eastAsia="en-US"/>
              </w:rPr>
              <w:t>Victorian Government comments</w:t>
            </w:r>
          </w:p>
        </w:tc>
        <w:tc>
          <w:tcPr>
            <w:tcW w:w="851" w:type="dxa"/>
            <w:vMerge w:val="restart"/>
            <w:shd w:val="clear" w:color="auto" w:fill="auto"/>
          </w:tcPr>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Default="00666ECE" w:rsidP="00666ECE">
            <w:pPr>
              <w:spacing w:before="240" w:line="320" w:lineRule="atLeast"/>
              <w:jc w:val="both"/>
              <w:rPr>
                <w:szCs w:val="20"/>
              </w:rPr>
            </w:pPr>
          </w:p>
          <w:p w:rsidR="00CA71F0" w:rsidRPr="00666ECE" w:rsidRDefault="00CA71F0"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b/>
                <w:sz w:val="132"/>
                <w:szCs w:val="132"/>
              </w:rPr>
            </w:pPr>
            <w:r w:rsidRPr="00666ECE">
              <w:rPr>
                <w:b/>
                <w:sz w:val="132"/>
                <w:szCs w:val="132"/>
              </w:rPr>
              <w:t>”</w:t>
            </w:r>
          </w:p>
        </w:tc>
      </w:tr>
      <w:tr w:rsidR="00666ECE" w:rsidRPr="00666ECE" w:rsidTr="0019297C">
        <w:tc>
          <w:tcPr>
            <w:tcW w:w="992" w:type="dxa"/>
            <w:vMerge/>
            <w:shd w:val="clear" w:color="auto" w:fill="auto"/>
          </w:tcPr>
          <w:p w:rsidR="00666ECE" w:rsidRPr="00666ECE" w:rsidRDefault="00666ECE" w:rsidP="00666ECE">
            <w:pPr>
              <w:spacing w:before="240" w:line="320" w:lineRule="atLeast"/>
              <w:jc w:val="both"/>
              <w:rPr>
                <w:szCs w:val="20"/>
              </w:rPr>
            </w:pPr>
          </w:p>
        </w:tc>
        <w:tc>
          <w:tcPr>
            <w:tcW w:w="8789" w:type="dxa"/>
            <w:shd w:val="clear" w:color="auto" w:fill="auto"/>
          </w:tcPr>
          <w:p w:rsidR="00CA71F0" w:rsidRPr="00CA71F0" w:rsidRDefault="00CA71F0" w:rsidP="00CA71F0">
            <w:pPr>
              <w:pStyle w:val="Jurisdictioncommentsbodytext"/>
            </w:pPr>
            <w:r w:rsidRPr="00CA71F0">
              <w:t>Victorian government schools work within a School Performance Framework to continually improve their performance by engaging their peers in a cycle of performance feedback that includes self-evaluation, review, planning, reporting and sharing exemplary practice across the system.</w:t>
            </w:r>
          </w:p>
          <w:p w:rsidR="00CA71F0" w:rsidRPr="00CA71F0" w:rsidRDefault="00CA71F0" w:rsidP="00CA71F0">
            <w:pPr>
              <w:pStyle w:val="Jurisdictioncommentsbodytext"/>
            </w:pPr>
            <w:r w:rsidRPr="00CA71F0">
              <w:t>Th</w:t>
            </w:r>
            <w:r w:rsidR="005B78E8">
              <w:t xml:space="preserve">is </w:t>
            </w:r>
            <w:r w:rsidRPr="00CA71F0">
              <w:t>process is designed to support teachers and principal class employees to develop the professional practices that have the greatest impact on improving teaching and learning.</w:t>
            </w:r>
          </w:p>
          <w:p w:rsidR="00CA71F0" w:rsidRPr="00CA71F0" w:rsidRDefault="00CA71F0" w:rsidP="00CA71F0">
            <w:pPr>
              <w:pStyle w:val="Jurisdictioncommentsbodytext"/>
            </w:pPr>
            <w:r w:rsidRPr="00CA71F0">
              <w:t>Teachers across Victoria are now working towards delivering the first iteration of AusVELS, the Victorian Essential Learning Standards incorporating the Australian Curriculum for English, Mathematics, Science and History.  Implementation is supported by a new Curriculum Planning Portal which includes a range of resources to support planning and documentation of a school-wide curriculum.</w:t>
            </w:r>
          </w:p>
          <w:p w:rsidR="00CA71F0" w:rsidRPr="00CA71F0" w:rsidRDefault="00CA71F0" w:rsidP="00CA71F0">
            <w:pPr>
              <w:pStyle w:val="Jurisdictioncommentsbodytext"/>
            </w:pPr>
            <w:bookmarkStart w:id="29" w:name="_GoBack"/>
            <w:bookmarkEnd w:id="29"/>
            <w:r w:rsidRPr="00CA71F0">
              <w:t>Student health and wellbeing has been a key focus in the last year with ‘Building Resilience: A Model to Support Children and Young People’ launched to support schools to easily access programs, tools and resources designed to enhance the resilience of children and young people.  Teachers are also being provided additional support through a blended learning course that builds their skills and knowledge about maintaining a safe and orderly classroom environment for meaningful learning.</w:t>
            </w:r>
          </w:p>
          <w:p w:rsidR="00CA71F0" w:rsidRPr="00CA71F0" w:rsidRDefault="00CA71F0" w:rsidP="00CA71F0">
            <w:pPr>
              <w:pStyle w:val="Jurisdictioncommentsbodytext"/>
            </w:pPr>
            <w:r w:rsidRPr="00CA71F0">
              <w:t>Implementation of The Victorian Government's Vision for Languages Education has resulted in significant growth in the number of government schools offering languages programs. In 2014, 74</w:t>
            </w:r>
            <w:r>
              <w:t xml:space="preserve"> per cent</w:t>
            </w:r>
            <w:r w:rsidRPr="00CA71F0">
              <w:t xml:space="preserve"> of government primary schools offered a language compared with 60</w:t>
            </w:r>
            <w:r>
              <w:t xml:space="preserve"> per cent</w:t>
            </w:r>
            <w:r w:rsidRPr="00CA71F0">
              <w:t xml:space="preserve"> in 2012. Year 9 students are also learning to live and work in a globalised world through the Victorian Young Leaders to China Program. In 2014, 150 students visited China and improved their Mandarin language proficiency and develop leadership skills, global knowledge and intercultural understanding.</w:t>
            </w:r>
          </w:p>
          <w:p w:rsidR="00F8111F" w:rsidRPr="00666ECE" w:rsidRDefault="00F8111F" w:rsidP="003C000E">
            <w:pPr>
              <w:pStyle w:val="Jurisdictioncommentslistbullet"/>
              <w:numPr>
                <w:ilvl w:val="0"/>
                <w:numId w:val="0"/>
              </w:numPr>
              <w:spacing w:after="0"/>
            </w:pPr>
          </w:p>
        </w:tc>
        <w:tc>
          <w:tcPr>
            <w:tcW w:w="851" w:type="dxa"/>
            <w:vMerge/>
            <w:tcBorders>
              <w:left w:val="nil"/>
            </w:tcBorders>
            <w:shd w:val="clear" w:color="auto" w:fill="auto"/>
          </w:tcPr>
          <w:p w:rsidR="00666ECE" w:rsidRPr="00666ECE" w:rsidRDefault="00666ECE" w:rsidP="00666ECE">
            <w:pPr>
              <w:spacing w:before="240" w:line="320" w:lineRule="atLeast"/>
              <w:jc w:val="both"/>
              <w:rPr>
                <w:szCs w:val="20"/>
              </w:rPr>
            </w:pPr>
          </w:p>
        </w:tc>
      </w:tr>
    </w:tbl>
    <w:p w:rsidR="00666ECE" w:rsidRPr="00666ECE" w:rsidRDefault="00666ECE" w:rsidP="00E73CA5">
      <w:pPr>
        <w:spacing w:line="320" w:lineRule="atLeast"/>
        <w:jc w:val="both"/>
        <w:rPr>
          <w:sz w:val="12"/>
          <w:szCs w:val="12"/>
        </w:rPr>
      </w:pPr>
    </w:p>
    <w:tbl>
      <w:tblPr>
        <w:tblW w:w="10632" w:type="dxa"/>
        <w:tblInd w:w="-885" w:type="dxa"/>
        <w:tblLayout w:type="fixed"/>
        <w:tblLook w:val="01E0" w:firstRow="1" w:lastRow="1" w:firstColumn="1" w:lastColumn="1" w:noHBand="0" w:noVBand="0"/>
      </w:tblPr>
      <w:tblGrid>
        <w:gridCol w:w="992"/>
        <w:gridCol w:w="8821"/>
        <w:gridCol w:w="819"/>
      </w:tblGrid>
      <w:tr w:rsidR="00666ECE" w:rsidRPr="00666ECE" w:rsidTr="0019297C">
        <w:tc>
          <w:tcPr>
            <w:tcW w:w="992" w:type="dxa"/>
            <w:vMerge w:val="restart"/>
            <w:shd w:val="clear" w:color="auto" w:fill="auto"/>
          </w:tcPr>
          <w:p w:rsidR="00666ECE" w:rsidRPr="00666ECE" w:rsidRDefault="00666ECE" w:rsidP="00666ECE">
            <w:pPr>
              <w:spacing w:before="240" w:line="320" w:lineRule="atLeast"/>
              <w:jc w:val="both"/>
              <w:rPr>
                <w:b/>
                <w:sz w:val="132"/>
                <w:szCs w:val="132"/>
              </w:rPr>
            </w:pPr>
            <w:r w:rsidRPr="00666ECE">
              <w:rPr>
                <w:b/>
                <w:sz w:val="132"/>
                <w:szCs w:val="132"/>
              </w:rPr>
              <w:t>“</w:t>
            </w:r>
          </w:p>
        </w:tc>
        <w:tc>
          <w:tcPr>
            <w:tcW w:w="8821" w:type="dxa"/>
            <w:shd w:val="clear" w:color="auto" w:fill="auto"/>
          </w:tcPr>
          <w:p w:rsidR="00666ECE" w:rsidRPr="00666ECE" w:rsidRDefault="00666ECE" w:rsidP="00590BF6">
            <w:pPr>
              <w:spacing w:after="120" w:line="320" w:lineRule="atLeast"/>
              <w:jc w:val="both"/>
              <w:rPr>
                <w:rFonts w:ascii="Arial" w:hAnsi="Arial"/>
                <w:b/>
                <w:szCs w:val="20"/>
                <w:lang w:eastAsia="en-US"/>
              </w:rPr>
            </w:pPr>
            <w:r w:rsidRPr="00666ECE">
              <w:rPr>
                <w:rFonts w:ascii="Arial" w:hAnsi="Arial"/>
                <w:b/>
                <w:szCs w:val="20"/>
                <w:lang w:eastAsia="en-US"/>
              </w:rPr>
              <w:t>Queensland Government comments</w:t>
            </w:r>
          </w:p>
        </w:tc>
        <w:tc>
          <w:tcPr>
            <w:tcW w:w="819" w:type="dxa"/>
            <w:vMerge w:val="restart"/>
            <w:shd w:val="clear" w:color="auto" w:fill="auto"/>
          </w:tcPr>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Default="00666ECE" w:rsidP="00666ECE">
            <w:pPr>
              <w:spacing w:before="240" w:line="320" w:lineRule="atLeast"/>
              <w:jc w:val="both"/>
              <w:rPr>
                <w:szCs w:val="20"/>
              </w:rPr>
            </w:pPr>
          </w:p>
          <w:p w:rsidR="003B4524" w:rsidRDefault="003B4524" w:rsidP="00666ECE">
            <w:pPr>
              <w:spacing w:before="240" w:line="320" w:lineRule="atLeast"/>
              <w:jc w:val="both"/>
              <w:rPr>
                <w:szCs w:val="20"/>
              </w:rPr>
            </w:pPr>
          </w:p>
          <w:p w:rsidR="003B4524" w:rsidRDefault="003B4524" w:rsidP="00666ECE">
            <w:pPr>
              <w:spacing w:before="240" w:line="320" w:lineRule="atLeast"/>
              <w:jc w:val="both"/>
              <w:rPr>
                <w:szCs w:val="20"/>
              </w:rPr>
            </w:pPr>
          </w:p>
          <w:p w:rsidR="003B4524" w:rsidRDefault="003B4524" w:rsidP="00666ECE">
            <w:pPr>
              <w:spacing w:before="240" w:line="320" w:lineRule="atLeast"/>
              <w:jc w:val="both"/>
              <w:rPr>
                <w:szCs w:val="20"/>
              </w:rPr>
            </w:pPr>
          </w:p>
          <w:p w:rsidR="00FC2FDF" w:rsidRPr="00666ECE" w:rsidRDefault="00FC2FDF"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b/>
                <w:sz w:val="132"/>
                <w:szCs w:val="132"/>
              </w:rPr>
            </w:pPr>
            <w:r w:rsidRPr="00666ECE">
              <w:rPr>
                <w:b/>
                <w:sz w:val="132"/>
                <w:szCs w:val="132"/>
              </w:rPr>
              <w:t>”</w:t>
            </w:r>
          </w:p>
        </w:tc>
      </w:tr>
      <w:tr w:rsidR="00666ECE" w:rsidRPr="00666ECE" w:rsidTr="0019297C">
        <w:tc>
          <w:tcPr>
            <w:tcW w:w="992" w:type="dxa"/>
            <w:vMerge/>
            <w:shd w:val="clear" w:color="auto" w:fill="auto"/>
          </w:tcPr>
          <w:p w:rsidR="00666ECE" w:rsidRPr="00666ECE" w:rsidRDefault="00666ECE" w:rsidP="00666ECE">
            <w:pPr>
              <w:spacing w:before="240" w:line="320" w:lineRule="atLeast"/>
              <w:jc w:val="both"/>
              <w:rPr>
                <w:szCs w:val="20"/>
              </w:rPr>
            </w:pPr>
          </w:p>
        </w:tc>
        <w:tc>
          <w:tcPr>
            <w:tcW w:w="8821" w:type="dxa"/>
            <w:shd w:val="clear" w:color="auto" w:fill="auto"/>
          </w:tcPr>
          <w:p w:rsidR="00E73CA5" w:rsidRPr="001A5A0A" w:rsidRDefault="00E73CA5" w:rsidP="00E73CA5">
            <w:pPr>
              <w:pStyle w:val="Jurisdictioncommentsbodytext"/>
            </w:pPr>
            <w:r w:rsidRPr="001A5A0A">
              <w:t xml:space="preserve">The Queensland Government is committed to providing high quality </w:t>
            </w:r>
            <w:r>
              <w:t>educational services</w:t>
            </w:r>
            <w:r w:rsidRPr="001A5A0A">
              <w:t xml:space="preserve">, </w:t>
            </w:r>
            <w:r w:rsidRPr="00E73CA5">
              <w:t>focused</w:t>
            </w:r>
            <w:r w:rsidRPr="001A5A0A">
              <w:t xml:space="preserve"> on preparing Queensland</w:t>
            </w:r>
            <w:r>
              <w:t xml:space="preserve"> students</w:t>
            </w:r>
            <w:r w:rsidRPr="001A5A0A">
              <w:t xml:space="preserve"> with the knowledge, skills and confidence to participate effectively in the community and the economy.</w:t>
            </w:r>
          </w:p>
          <w:p w:rsidR="00E73CA5" w:rsidRPr="00B70F17" w:rsidRDefault="00E73CA5" w:rsidP="00E73CA5">
            <w:pPr>
              <w:pStyle w:val="Jurisdictioncommentsbodytext"/>
            </w:pPr>
            <w:r w:rsidRPr="00B70F17">
              <w:t xml:space="preserve">Queensland students continue to demonstrate positive outcomes in 2014, with the latest NAPLAN results showing a continued broad pattern of improvement.  Queensland students achieved their highest result on record for mean scale score in 10 of the 20 test areas, and recorded results 'above' </w:t>
            </w:r>
            <w:r>
              <w:t>the baseline</w:t>
            </w:r>
            <w:r w:rsidRPr="00B70F17">
              <w:t xml:space="preserve"> in 9 of the 20 tests areas and 'substantially above' the baseline in one </w:t>
            </w:r>
            <w:r>
              <w:t>test area</w:t>
            </w:r>
            <w:r w:rsidRPr="00B70F17">
              <w:t xml:space="preserve"> </w:t>
            </w:r>
            <w:r>
              <w:t>—</w:t>
            </w:r>
            <w:r w:rsidRPr="00B70F17">
              <w:t xml:space="preserve"> the only jurisdiction to achieve this level of improvement in any test area. </w:t>
            </w:r>
          </w:p>
          <w:p w:rsidR="00E73CA5" w:rsidRPr="002F730B" w:rsidRDefault="00E73CA5" w:rsidP="00E73CA5">
            <w:pPr>
              <w:pStyle w:val="Jurisdictioncommentsbodytext"/>
            </w:pPr>
            <w:r w:rsidRPr="002F730B">
              <w:t xml:space="preserve">The 2014 </w:t>
            </w:r>
            <w:r w:rsidRPr="002F730B">
              <w:rPr>
                <w:i/>
              </w:rPr>
              <w:t>Next Step Survey</w:t>
            </w:r>
            <w:r w:rsidRPr="002F730B">
              <w:t xml:space="preserve"> indicates that the vast majority of young Queenslanders who completed Year 12 in 2013 were engaged in study or work approximately six months after completing school.</w:t>
            </w:r>
          </w:p>
          <w:p w:rsidR="00E73CA5" w:rsidRPr="001A5A0A" w:rsidRDefault="00E73CA5" w:rsidP="00E73CA5">
            <w:pPr>
              <w:pStyle w:val="Jurisdictioncommentsbodytext"/>
            </w:pPr>
            <w:r w:rsidRPr="001A5A0A">
              <w:t>Throughout 2014, Queensland implemented initiatives and continued reforms in line with the state’s approach to driving improved student outcomes. Key initiatives include:</w:t>
            </w:r>
          </w:p>
          <w:p w:rsidR="00E73CA5" w:rsidRPr="00564C95" w:rsidRDefault="00E73CA5" w:rsidP="00E73CA5">
            <w:pPr>
              <w:pStyle w:val="Jurisdictioncommentslistbullet"/>
              <w:spacing w:after="0"/>
            </w:pPr>
            <w:r w:rsidRPr="00564C95">
              <w:rPr>
                <w:i/>
              </w:rPr>
              <w:t>Education Accord</w:t>
            </w:r>
            <w:r w:rsidRPr="00564C95">
              <w:t xml:space="preserve"> –</w:t>
            </w:r>
            <w:r>
              <w:t xml:space="preserve"> setting out</w:t>
            </w:r>
            <w:r w:rsidRPr="00564C95">
              <w:t xml:space="preserve"> the community’s 30 year vision</w:t>
            </w:r>
            <w:r>
              <w:t xml:space="preserve"> for school education in Queensland</w:t>
            </w:r>
          </w:p>
          <w:p w:rsidR="00E73CA5" w:rsidRPr="00864033" w:rsidRDefault="00E73CA5" w:rsidP="00E73CA5">
            <w:pPr>
              <w:pStyle w:val="Jurisdictioncommentslistbullet"/>
              <w:spacing w:after="0"/>
              <w:rPr>
                <w:rFonts w:cs="Arial"/>
                <w:szCs w:val="24"/>
              </w:rPr>
            </w:pPr>
            <w:r w:rsidRPr="00B70F17">
              <w:rPr>
                <w:i/>
              </w:rPr>
              <w:t>Great teachers = Great results</w:t>
            </w:r>
            <w:r w:rsidRPr="00B70F17">
              <w:t xml:space="preserve"> </w:t>
            </w:r>
            <w:r>
              <w:t>—</w:t>
            </w:r>
            <w:r w:rsidRPr="00B70F17">
              <w:t xml:space="preserve"> </w:t>
            </w:r>
            <w:r>
              <w:t>supporting</w:t>
            </w:r>
            <w:r w:rsidRPr="00B70F17">
              <w:t xml:space="preserve"> professional </w:t>
            </w:r>
            <w:r w:rsidRPr="006516E8">
              <w:t>teaching</w:t>
            </w:r>
            <w:r w:rsidRPr="001A5A0A">
              <w:t xml:space="preserve"> </w:t>
            </w:r>
            <w:r w:rsidRPr="00B70F17">
              <w:t>excellence</w:t>
            </w:r>
            <w:r>
              <w:t>,</w:t>
            </w:r>
            <w:r w:rsidRPr="00B70F17">
              <w:t xml:space="preserve"> including an annual performance review and the Ment</w:t>
            </w:r>
            <w:r>
              <w:t>oring Beginning Teachers program</w:t>
            </w:r>
          </w:p>
          <w:p w:rsidR="00E73CA5" w:rsidRPr="001A5A0A" w:rsidRDefault="00E73CA5" w:rsidP="00E73CA5">
            <w:pPr>
              <w:pStyle w:val="Jurisdictioncommentslistbullet"/>
              <w:spacing w:after="0"/>
            </w:pPr>
            <w:r w:rsidRPr="00B70F17">
              <w:rPr>
                <w:i/>
              </w:rPr>
              <w:t>Great Results Guarantee</w:t>
            </w:r>
            <w:r w:rsidRPr="00B70F17">
              <w:t xml:space="preserve"> </w:t>
            </w:r>
            <w:r>
              <w:t xml:space="preserve">— providing </w:t>
            </w:r>
            <w:r w:rsidRPr="00B70F17">
              <w:t xml:space="preserve">$131 million in Australian Government </w:t>
            </w:r>
            <w:r w:rsidRPr="00B70F17">
              <w:rPr>
                <w:i/>
              </w:rPr>
              <w:t>Students First</w:t>
            </w:r>
            <w:r>
              <w:t xml:space="preserve"> funding</w:t>
            </w:r>
            <w:r w:rsidRPr="00B70F17">
              <w:t xml:space="preserve"> direct</w:t>
            </w:r>
            <w:r>
              <w:t>ly</w:t>
            </w:r>
            <w:r w:rsidRPr="00B70F17">
              <w:t xml:space="preserve"> to Queensland state schools</w:t>
            </w:r>
            <w:r>
              <w:t xml:space="preserve"> enabling flexibility and autonomy to allocate funding to improve student performance, balanced by accountability to the </w:t>
            </w:r>
            <w:r w:rsidRPr="001A5A0A">
              <w:t>school community</w:t>
            </w:r>
          </w:p>
          <w:p w:rsidR="00E73CA5" w:rsidRPr="00B70F17" w:rsidRDefault="00E73CA5" w:rsidP="00E73CA5">
            <w:pPr>
              <w:pStyle w:val="Jurisdictioncommentslistbullet"/>
              <w:spacing w:after="0"/>
            </w:pPr>
            <w:r w:rsidRPr="00B70F17">
              <w:rPr>
                <w:i/>
                <w:iCs/>
              </w:rPr>
              <w:t>Independent Public Schools</w:t>
            </w:r>
            <w:r w:rsidRPr="00B70F17">
              <w:t xml:space="preserve"> </w:t>
            </w:r>
            <w:r>
              <w:t xml:space="preserve">— </w:t>
            </w:r>
            <w:r w:rsidRPr="00B70F17">
              <w:t>empower</w:t>
            </w:r>
            <w:r>
              <w:t xml:space="preserve">ing schools and their </w:t>
            </w:r>
            <w:r w:rsidRPr="00B70F17">
              <w:t xml:space="preserve">communities through greater autonomy, </w:t>
            </w:r>
            <w:r>
              <w:t>with</w:t>
            </w:r>
            <w:r w:rsidRPr="00B70F17">
              <w:t xml:space="preserve"> 80 Queensland state schools </w:t>
            </w:r>
            <w:r>
              <w:t>on board in 2014</w:t>
            </w:r>
          </w:p>
          <w:p w:rsidR="00E73CA5" w:rsidRPr="00B70F17" w:rsidRDefault="00E73CA5" w:rsidP="00E73CA5">
            <w:pPr>
              <w:pStyle w:val="Jurisdictioncommentslistbullet"/>
              <w:spacing w:after="0"/>
            </w:pPr>
            <w:r w:rsidRPr="00B70F17">
              <w:rPr>
                <w:i/>
              </w:rPr>
              <w:t>Flying start</w:t>
            </w:r>
            <w:r w:rsidRPr="00B70F17">
              <w:t xml:space="preserve"> </w:t>
            </w:r>
            <w:r>
              <w:t>— implementing</w:t>
            </w:r>
            <w:r w:rsidRPr="001A5A0A">
              <w:t xml:space="preserve"> a package of reforms aimed at early years and transition points, including </w:t>
            </w:r>
            <w:r w:rsidRPr="00B70F17">
              <w:t>the move of Year 7 to high s</w:t>
            </w:r>
            <w:r>
              <w:t>chool across Queensland in 2015</w:t>
            </w:r>
          </w:p>
          <w:p w:rsidR="00E73CA5" w:rsidRPr="001A5A0A" w:rsidRDefault="00E73CA5" w:rsidP="00E73CA5">
            <w:pPr>
              <w:pStyle w:val="Jurisdictioncommentslistbullet"/>
              <w:spacing w:after="0"/>
            </w:pPr>
            <w:r w:rsidRPr="00B70F17">
              <w:rPr>
                <w:i/>
              </w:rPr>
              <w:t>Red Tape Reduction in Queensland state schools</w:t>
            </w:r>
            <w:r w:rsidRPr="001A5A0A">
              <w:t xml:space="preserve"> </w:t>
            </w:r>
            <w:r>
              <w:t>—</w:t>
            </w:r>
            <w:r w:rsidRPr="001A5A0A">
              <w:t xml:space="preserve"> reducing un</w:t>
            </w:r>
            <w:r>
              <w:t xml:space="preserve">necessary administrative tasks and </w:t>
            </w:r>
            <w:r w:rsidRPr="001A5A0A">
              <w:t xml:space="preserve">ensuring effective use of resources to allow </w:t>
            </w:r>
            <w:r>
              <w:t>schools</w:t>
            </w:r>
            <w:r w:rsidRPr="001A5A0A">
              <w:t xml:space="preserve"> to </w:t>
            </w:r>
            <w:r>
              <w:t xml:space="preserve">focus </w:t>
            </w:r>
            <w:r w:rsidRPr="001A5A0A">
              <w:t>on deliverin</w:t>
            </w:r>
            <w:r>
              <w:t>g quality education to students</w:t>
            </w:r>
          </w:p>
          <w:p w:rsidR="00E73CA5" w:rsidRPr="00B70F17" w:rsidRDefault="00E73CA5" w:rsidP="00E73CA5">
            <w:pPr>
              <w:pStyle w:val="Jurisdictioncommentslistbullet"/>
              <w:spacing w:after="0"/>
            </w:pPr>
            <w:r w:rsidRPr="00B70F17">
              <w:rPr>
                <w:i/>
              </w:rPr>
              <w:t xml:space="preserve">School Performance Assessment Framework </w:t>
            </w:r>
            <w:r>
              <w:rPr>
                <w:i/>
              </w:rPr>
              <w:t>—</w:t>
            </w:r>
            <w:r w:rsidRPr="001A5A0A">
              <w:t xml:space="preserve"> </w:t>
            </w:r>
            <w:r>
              <w:t xml:space="preserve">delivering </w:t>
            </w:r>
            <w:r w:rsidRPr="001A5A0A">
              <w:t>a new statewide performance measurement and reporting system to help drive school improvement and accountability</w:t>
            </w:r>
          </w:p>
          <w:p w:rsidR="00E73CA5" w:rsidRDefault="00E73CA5" w:rsidP="00E73CA5">
            <w:pPr>
              <w:pStyle w:val="Jurisdictioncommentslistbullet"/>
            </w:pPr>
            <w:r w:rsidRPr="00E0113D">
              <w:rPr>
                <w:i/>
              </w:rPr>
              <w:t xml:space="preserve">Global Schools </w:t>
            </w:r>
            <w:r>
              <w:rPr>
                <w:i/>
              </w:rPr>
              <w:t>—</w:t>
            </w:r>
            <w:r w:rsidRPr="00E0113D">
              <w:rPr>
                <w:i/>
              </w:rPr>
              <w:t xml:space="preserve"> Creating successful global citizens </w:t>
            </w:r>
            <w:r>
              <w:rPr>
                <w:i/>
              </w:rPr>
              <w:t>—</w:t>
            </w:r>
            <w:r w:rsidRPr="001A5A0A">
              <w:t xml:space="preserve"> </w:t>
            </w:r>
            <w:r>
              <w:t>a proposal which envisages a system in which all state primary schools will offer languages from Prep and requires all Queensland state schools to provide a language in years 5</w:t>
            </w:r>
            <w:r w:rsidR="00E308C4">
              <w:t>–</w:t>
            </w:r>
            <w:r>
              <w:t>8 from 2015.</w:t>
            </w:r>
          </w:p>
          <w:p w:rsidR="00666ECE" w:rsidRPr="00666ECE" w:rsidRDefault="00666ECE" w:rsidP="00E73CA5">
            <w:pPr>
              <w:pStyle w:val="Jurisdictioncommentslistbullet"/>
              <w:numPr>
                <w:ilvl w:val="0"/>
                <w:numId w:val="0"/>
              </w:numPr>
              <w:spacing w:after="0"/>
              <w:ind w:left="318"/>
            </w:pPr>
          </w:p>
        </w:tc>
        <w:tc>
          <w:tcPr>
            <w:tcW w:w="819" w:type="dxa"/>
            <w:vMerge/>
            <w:tcBorders>
              <w:left w:val="nil"/>
            </w:tcBorders>
            <w:shd w:val="clear" w:color="auto" w:fill="auto"/>
          </w:tcPr>
          <w:p w:rsidR="00666ECE" w:rsidRPr="00666ECE" w:rsidRDefault="00666ECE" w:rsidP="00666ECE">
            <w:pPr>
              <w:spacing w:before="240" w:line="320" w:lineRule="atLeast"/>
              <w:jc w:val="both"/>
              <w:rPr>
                <w:szCs w:val="20"/>
              </w:rPr>
            </w:pPr>
          </w:p>
        </w:tc>
      </w:tr>
    </w:tbl>
    <w:p w:rsidR="00666ECE" w:rsidRPr="00666ECE" w:rsidRDefault="00666ECE" w:rsidP="00E73CA5">
      <w:pPr>
        <w:spacing w:line="320" w:lineRule="atLeast"/>
        <w:jc w:val="both"/>
        <w:rPr>
          <w:sz w:val="12"/>
          <w:szCs w:val="12"/>
        </w:rPr>
      </w:pPr>
    </w:p>
    <w:tbl>
      <w:tblPr>
        <w:tblW w:w="10632" w:type="dxa"/>
        <w:tblInd w:w="-885" w:type="dxa"/>
        <w:tblLayout w:type="fixed"/>
        <w:tblLook w:val="01E0" w:firstRow="1" w:lastRow="1" w:firstColumn="1" w:lastColumn="1" w:noHBand="0" w:noVBand="0"/>
      </w:tblPr>
      <w:tblGrid>
        <w:gridCol w:w="992"/>
        <w:gridCol w:w="8789"/>
        <w:gridCol w:w="851"/>
      </w:tblGrid>
      <w:tr w:rsidR="00666ECE" w:rsidRPr="00666ECE" w:rsidTr="0019297C">
        <w:tc>
          <w:tcPr>
            <w:tcW w:w="992" w:type="dxa"/>
            <w:vMerge w:val="restart"/>
            <w:shd w:val="clear" w:color="auto" w:fill="auto"/>
          </w:tcPr>
          <w:p w:rsidR="00666ECE" w:rsidRPr="00666ECE" w:rsidRDefault="00666ECE" w:rsidP="00666ECE">
            <w:pPr>
              <w:spacing w:before="240" w:line="320" w:lineRule="atLeast"/>
              <w:jc w:val="both"/>
              <w:rPr>
                <w:b/>
                <w:sz w:val="132"/>
                <w:szCs w:val="132"/>
              </w:rPr>
            </w:pPr>
            <w:r w:rsidRPr="00666ECE">
              <w:rPr>
                <w:b/>
                <w:sz w:val="132"/>
                <w:szCs w:val="132"/>
              </w:rPr>
              <w:t>“</w:t>
            </w:r>
          </w:p>
        </w:tc>
        <w:tc>
          <w:tcPr>
            <w:tcW w:w="8789" w:type="dxa"/>
            <w:shd w:val="clear" w:color="auto" w:fill="auto"/>
          </w:tcPr>
          <w:p w:rsidR="00666ECE" w:rsidRPr="00666ECE" w:rsidRDefault="00666ECE" w:rsidP="00666ECE">
            <w:pPr>
              <w:spacing w:after="140" w:line="320" w:lineRule="atLeast"/>
              <w:jc w:val="both"/>
              <w:rPr>
                <w:rFonts w:ascii="Arial" w:hAnsi="Arial"/>
                <w:b/>
                <w:szCs w:val="20"/>
                <w:lang w:eastAsia="en-US"/>
              </w:rPr>
            </w:pPr>
            <w:r w:rsidRPr="00666ECE">
              <w:rPr>
                <w:rFonts w:ascii="Arial" w:hAnsi="Arial"/>
                <w:b/>
                <w:szCs w:val="20"/>
                <w:lang w:eastAsia="en-US"/>
              </w:rPr>
              <w:t>Western Australian Government comments</w:t>
            </w:r>
          </w:p>
        </w:tc>
        <w:tc>
          <w:tcPr>
            <w:tcW w:w="851" w:type="dxa"/>
            <w:vMerge w:val="restart"/>
            <w:shd w:val="clear" w:color="auto" w:fill="auto"/>
          </w:tcPr>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Default="00666ECE" w:rsidP="00666ECE">
            <w:pPr>
              <w:spacing w:before="240" w:line="320" w:lineRule="atLeast"/>
              <w:jc w:val="both"/>
              <w:rPr>
                <w:szCs w:val="20"/>
              </w:rPr>
            </w:pPr>
          </w:p>
          <w:p w:rsidR="00685E65" w:rsidRPr="00666ECE" w:rsidRDefault="00685E65" w:rsidP="00666ECE">
            <w:pPr>
              <w:spacing w:before="240" w:line="320" w:lineRule="atLeast"/>
              <w:jc w:val="both"/>
              <w:rPr>
                <w:szCs w:val="20"/>
              </w:rPr>
            </w:pPr>
          </w:p>
          <w:p w:rsidR="00666ECE" w:rsidRPr="00666ECE" w:rsidRDefault="00666ECE" w:rsidP="00666ECE">
            <w:pPr>
              <w:spacing w:before="240" w:line="320" w:lineRule="atLeast"/>
              <w:jc w:val="both"/>
              <w:rPr>
                <w:b/>
                <w:sz w:val="132"/>
                <w:szCs w:val="132"/>
              </w:rPr>
            </w:pPr>
            <w:r w:rsidRPr="00666ECE">
              <w:rPr>
                <w:b/>
                <w:sz w:val="132"/>
                <w:szCs w:val="132"/>
              </w:rPr>
              <w:t>”</w:t>
            </w:r>
          </w:p>
        </w:tc>
      </w:tr>
      <w:tr w:rsidR="00666ECE" w:rsidRPr="00666ECE" w:rsidTr="0019297C">
        <w:tc>
          <w:tcPr>
            <w:tcW w:w="992" w:type="dxa"/>
            <w:vMerge/>
            <w:shd w:val="clear" w:color="auto" w:fill="auto"/>
          </w:tcPr>
          <w:p w:rsidR="00666ECE" w:rsidRPr="00666ECE" w:rsidRDefault="00666ECE" w:rsidP="00666ECE">
            <w:pPr>
              <w:spacing w:before="240" w:line="320" w:lineRule="atLeast"/>
              <w:jc w:val="both"/>
              <w:rPr>
                <w:szCs w:val="20"/>
              </w:rPr>
            </w:pPr>
          </w:p>
        </w:tc>
        <w:tc>
          <w:tcPr>
            <w:tcW w:w="8789" w:type="dxa"/>
            <w:shd w:val="clear" w:color="auto" w:fill="auto"/>
          </w:tcPr>
          <w:p w:rsidR="00E013F0" w:rsidRPr="00A36B0F" w:rsidRDefault="00E013F0" w:rsidP="00E013F0">
            <w:pPr>
              <w:pStyle w:val="Jurisdictioncommentsbodytext"/>
            </w:pPr>
            <w:r w:rsidRPr="00A36B0F">
              <w:t xml:space="preserve">Many of the key reforms the Western Australian Government has been implementing </w:t>
            </w:r>
            <w:r>
              <w:t>in recent years</w:t>
            </w:r>
            <w:r w:rsidRPr="00A36B0F">
              <w:rPr>
                <w:i/>
                <w:iCs/>
              </w:rPr>
              <w:t xml:space="preserve"> </w:t>
            </w:r>
            <w:r w:rsidRPr="00A36B0F">
              <w:t xml:space="preserve">are </w:t>
            </w:r>
            <w:r>
              <w:t xml:space="preserve">now </w:t>
            </w:r>
            <w:r w:rsidRPr="00A36B0F">
              <w:t xml:space="preserve">coming to fruition.   </w:t>
            </w:r>
          </w:p>
          <w:p w:rsidR="00E013F0" w:rsidRDefault="00E013F0" w:rsidP="00E013F0">
            <w:pPr>
              <w:pStyle w:val="Jurisdictioncommentsbodytext"/>
            </w:pPr>
            <w:r w:rsidRPr="00A36B0F">
              <w:t>The importance of a child’s early years to their future educational success is well known.</w:t>
            </w:r>
            <w:r>
              <w:t xml:space="preserve"> </w:t>
            </w:r>
            <w:r w:rsidRPr="00A36B0F">
              <w:t xml:space="preserve">Pre-primary is now compulsory in Western Australia and there is </w:t>
            </w:r>
            <w:r>
              <w:t xml:space="preserve">extensive </w:t>
            </w:r>
            <w:r w:rsidRPr="00A36B0F">
              <w:t>participation in school-based Kindergarten.</w:t>
            </w:r>
            <w:r>
              <w:t xml:space="preserve"> </w:t>
            </w:r>
            <w:r w:rsidRPr="00A36B0F">
              <w:t xml:space="preserve">To </w:t>
            </w:r>
            <w:r>
              <w:t xml:space="preserve">further </w:t>
            </w:r>
            <w:r w:rsidRPr="00A36B0F">
              <w:t xml:space="preserve">ensure children </w:t>
            </w:r>
            <w:r>
              <w:t xml:space="preserve">in </w:t>
            </w:r>
            <w:r w:rsidRPr="00A36B0F">
              <w:t xml:space="preserve">communities with the greatest need get the best possible start to life, 16 Child and Parent Centres began operating in </w:t>
            </w:r>
            <w:r>
              <w:t xml:space="preserve">2014 in </w:t>
            </w:r>
            <w:r w:rsidRPr="00A36B0F">
              <w:t>government primary schools across Western Australia.</w:t>
            </w:r>
            <w:r>
              <w:t xml:space="preserve"> </w:t>
            </w:r>
            <w:r w:rsidRPr="00A36B0F">
              <w:t>These innovative, family-friendly centres provid</w:t>
            </w:r>
            <w:r>
              <w:t>e</w:t>
            </w:r>
            <w:r w:rsidRPr="00A36B0F">
              <w:t xml:space="preserve"> convenient</w:t>
            </w:r>
            <w:r>
              <w:t xml:space="preserve"> access to a range of integrated </w:t>
            </w:r>
            <w:r w:rsidRPr="00A36B0F">
              <w:t xml:space="preserve">services such as child health </w:t>
            </w:r>
            <w:r>
              <w:t>professionals</w:t>
            </w:r>
            <w:r w:rsidRPr="00A36B0F">
              <w:t>, playgroups, parent support groups, physiotherapists and speech pathologists</w:t>
            </w:r>
            <w:r>
              <w:t>, tailored specifically to the local community’s needs</w:t>
            </w:r>
            <w:r w:rsidRPr="00A36B0F">
              <w:t>.</w:t>
            </w:r>
          </w:p>
          <w:p w:rsidR="00E013F0" w:rsidRPr="00A36B0F" w:rsidRDefault="00E013F0" w:rsidP="00E013F0">
            <w:pPr>
              <w:pStyle w:val="Jurisdictioncommentsbodytext"/>
            </w:pPr>
            <w:r w:rsidRPr="00A36B0F">
              <w:t>Western Australia’s reforms towards a more empowered public education system continue</w:t>
            </w:r>
            <w:r>
              <w:t>d in 2014</w:t>
            </w:r>
            <w:r w:rsidRPr="00A36B0F">
              <w:t>, with an additional 178 government schools to become Independent Public Schools in 2015.</w:t>
            </w:r>
            <w:r>
              <w:t xml:space="preserve"> </w:t>
            </w:r>
            <w:r w:rsidRPr="00A36B0F">
              <w:t>This will take the total number of Independent Public Schools to 442, representing 57</w:t>
            </w:r>
            <w:r>
              <w:t xml:space="preserve"> per cent</w:t>
            </w:r>
            <w:r w:rsidRPr="00A36B0F">
              <w:t xml:space="preserve"> of all Western Australian government schools.</w:t>
            </w:r>
            <w:r>
              <w:t xml:space="preserve"> </w:t>
            </w:r>
          </w:p>
          <w:p w:rsidR="00E013F0" w:rsidRPr="00A36B0F" w:rsidRDefault="00E013F0" w:rsidP="00E013F0">
            <w:pPr>
              <w:pStyle w:val="Jurisdictioncommentsbodytext"/>
            </w:pPr>
            <w:r w:rsidRPr="00A36B0F">
              <w:t xml:space="preserve">A new student-centred funding model will be implemented in Western Australian government schools </w:t>
            </w:r>
            <w:r>
              <w:t>from</w:t>
            </w:r>
            <w:r w:rsidRPr="00A36B0F">
              <w:t xml:space="preserve"> 2015.</w:t>
            </w:r>
            <w:r>
              <w:t xml:space="preserve"> </w:t>
            </w:r>
            <w:r w:rsidRPr="00A36B0F">
              <w:t>The new model is fairer</w:t>
            </w:r>
            <w:r>
              <w:t xml:space="preserve"> and more</w:t>
            </w:r>
            <w:r w:rsidRPr="00A36B0F">
              <w:t xml:space="preserve"> responsive, funding schools on a per</w:t>
            </w:r>
            <w:r>
              <w:t>-</w:t>
            </w:r>
            <w:r w:rsidRPr="00A36B0F">
              <w:t>student basis with loadings for students with additional educational needs.</w:t>
            </w:r>
            <w:r>
              <w:t xml:space="preserve"> </w:t>
            </w:r>
            <w:r w:rsidRPr="00A36B0F">
              <w:t>For the first time, all Western Australian government schools will receive their resources through one-line budgets, giving principals more flexibility and control over their resources so they can make the best decisions for their students and be more accountable for how their school performs.</w:t>
            </w:r>
          </w:p>
          <w:p w:rsidR="00E013F0" w:rsidRPr="00A36B0F" w:rsidRDefault="00E013F0" w:rsidP="00E013F0">
            <w:pPr>
              <w:pStyle w:val="Jurisdictioncommentsbodytext"/>
            </w:pPr>
            <w:r w:rsidRPr="00A36B0F">
              <w:t>From 2015, Year 7 students in Western Australian government schools will move to secondary school.</w:t>
            </w:r>
            <w:r>
              <w:t xml:space="preserve"> </w:t>
            </w:r>
            <w:r w:rsidRPr="00A36B0F">
              <w:t xml:space="preserve">This will give them access to specialist teaching and facilities, providing them with </w:t>
            </w:r>
            <w:r>
              <w:t xml:space="preserve">better </w:t>
            </w:r>
            <w:r w:rsidRPr="00A36B0F">
              <w:t>learning environment</w:t>
            </w:r>
            <w:r>
              <w:t>s</w:t>
            </w:r>
            <w:r w:rsidRPr="00A36B0F">
              <w:t xml:space="preserve"> for the new Australian Curriculum.</w:t>
            </w:r>
          </w:p>
          <w:p w:rsidR="00E013F0" w:rsidRPr="00A36B0F" w:rsidRDefault="00E013F0" w:rsidP="00E013F0">
            <w:pPr>
              <w:pStyle w:val="Jurisdictioncommentsbodytext"/>
            </w:pPr>
            <w:r w:rsidRPr="00A36B0F">
              <w:t>T</w:t>
            </w:r>
            <w:r>
              <w:t xml:space="preserve">o ensure </w:t>
            </w:r>
            <w:r w:rsidRPr="00A36B0F">
              <w:t>young people finish school with real skills and knowledge</w:t>
            </w:r>
            <w:r>
              <w:t xml:space="preserve">, Western Australia introduced </w:t>
            </w:r>
            <w:r w:rsidRPr="00A36B0F">
              <w:t>a minimum literacy and</w:t>
            </w:r>
            <w:r>
              <w:t xml:space="preserve"> numeracy assessment in Year 10 in 2014. S</w:t>
            </w:r>
            <w:r w:rsidRPr="00A36B0F">
              <w:t xml:space="preserve">tudents will have to pass the assessment or achieve Band 8 or higher on </w:t>
            </w:r>
            <w:r>
              <w:t xml:space="preserve">Year 9 </w:t>
            </w:r>
            <w:r w:rsidRPr="00A36B0F">
              <w:t xml:space="preserve">NAPLAN to be eligible for a Western Australian Certificate of Education </w:t>
            </w:r>
            <w:r>
              <w:t xml:space="preserve">(WACE) </w:t>
            </w:r>
            <w:r w:rsidRPr="00A36B0F">
              <w:t>from 2016.</w:t>
            </w:r>
            <w:r>
              <w:t xml:space="preserve"> </w:t>
            </w:r>
            <w:r w:rsidRPr="00A36B0F">
              <w:t xml:space="preserve">The assessment enables </w:t>
            </w:r>
            <w:r>
              <w:t xml:space="preserve">students that </w:t>
            </w:r>
            <w:r w:rsidRPr="00A36B0F">
              <w:t>requir</w:t>
            </w:r>
            <w:r>
              <w:t>e</w:t>
            </w:r>
            <w:r w:rsidRPr="00A36B0F">
              <w:t xml:space="preserve"> extra support to be given targeted education</w:t>
            </w:r>
            <w:r>
              <w:t>al</w:t>
            </w:r>
            <w:r w:rsidRPr="00A36B0F">
              <w:t xml:space="preserve"> programs </w:t>
            </w:r>
            <w:r>
              <w:t xml:space="preserve">during </w:t>
            </w:r>
            <w:r w:rsidRPr="00A36B0F">
              <w:t>the rest of their schooling and ongoing reassessment to meet graduation eligibility.</w:t>
            </w:r>
            <w:r>
              <w:t xml:space="preserve"> </w:t>
            </w:r>
          </w:p>
          <w:p w:rsidR="003B4524" w:rsidRPr="00666ECE" w:rsidRDefault="00E013F0" w:rsidP="00E013F0">
            <w:pPr>
              <w:pStyle w:val="Jurisdictioncommentsbodytext"/>
            </w:pPr>
            <w:r w:rsidRPr="00A36B0F">
              <w:t xml:space="preserve">In addition, every Year 12 student must achieve either an Australian Tertiary Admission Rank or a Certificate II or higher training qualification to get a </w:t>
            </w:r>
            <w:r>
              <w:t>WACE from 2016</w:t>
            </w:r>
            <w:r w:rsidRPr="00A36B0F">
              <w:t>.</w:t>
            </w:r>
            <w:r>
              <w:t xml:space="preserve"> </w:t>
            </w:r>
            <w:r w:rsidRPr="00A36B0F">
              <w:t xml:space="preserve">Complementing these reforms are fundamental changes to </w:t>
            </w:r>
            <w:r>
              <w:t xml:space="preserve">Western Australia’s </w:t>
            </w:r>
            <w:r w:rsidRPr="00A36B0F">
              <w:t>Year 11 courses in 2015 and Year 12 courses in 2016 to ensure senior secondary students are engaged in rigorous educational programs that prepare them better for life after school.</w:t>
            </w:r>
            <w:r>
              <w:t xml:space="preserve"> </w:t>
            </w:r>
          </w:p>
        </w:tc>
        <w:tc>
          <w:tcPr>
            <w:tcW w:w="851" w:type="dxa"/>
            <w:vMerge/>
            <w:tcBorders>
              <w:left w:val="nil"/>
            </w:tcBorders>
            <w:shd w:val="clear" w:color="auto" w:fill="auto"/>
          </w:tcPr>
          <w:p w:rsidR="00666ECE" w:rsidRPr="00666ECE" w:rsidRDefault="00666ECE" w:rsidP="00666ECE">
            <w:pPr>
              <w:spacing w:before="240" w:line="320" w:lineRule="atLeast"/>
              <w:jc w:val="both"/>
              <w:rPr>
                <w:szCs w:val="20"/>
              </w:rPr>
            </w:pPr>
          </w:p>
        </w:tc>
      </w:tr>
    </w:tbl>
    <w:p w:rsidR="00666ECE" w:rsidRPr="00666ECE" w:rsidRDefault="00666ECE" w:rsidP="00666ECE">
      <w:pPr>
        <w:spacing w:line="320" w:lineRule="atLeast"/>
        <w:jc w:val="both"/>
        <w:rPr>
          <w:sz w:val="12"/>
          <w:szCs w:val="12"/>
        </w:rPr>
      </w:pPr>
    </w:p>
    <w:tbl>
      <w:tblPr>
        <w:tblW w:w="10632" w:type="dxa"/>
        <w:tblInd w:w="-885" w:type="dxa"/>
        <w:tblLayout w:type="fixed"/>
        <w:tblLook w:val="01E0" w:firstRow="1" w:lastRow="1" w:firstColumn="1" w:lastColumn="1" w:noHBand="0" w:noVBand="0"/>
      </w:tblPr>
      <w:tblGrid>
        <w:gridCol w:w="992"/>
        <w:gridCol w:w="8789"/>
        <w:gridCol w:w="851"/>
      </w:tblGrid>
      <w:tr w:rsidR="00666ECE" w:rsidRPr="00666ECE" w:rsidTr="0019297C">
        <w:tc>
          <w:tcPr>
            <w:tcW w:w="992" w:type="dxa"/>
            <w:vMerge w:val="restart"/>
            <w:shd w:val="clear" w:color="auto" w:fill="auto"/>
          </w:tcPr>
          <w:p w:rsidR="00666ECE" w:rsidRPr="00666ECE" w:rsidRDefault="00666ECE" w:rsidP="00666ECE">
            <w:pPr>
              <w:spacing w:before="240" w:line="320" w:lineRule="atLeast"/>
              <w:jc w:val="both"/>
              <w:rPr>
                <w:b/>
                <w:sz w:val="132"/>
                <w:szCs w:val="132"/>
              </w:rPr>
            </w:pPr>
            <w:r w:rsidRPr="00666ECE">
              <w:rPr>
                <w:b/>
                <w:sz w:val="132"/>
                <w:szCs w:val="132"/>
              </w:rPr>
              <w:t>“</w:t>
            </w:r>
          </w:p>
        </w:tc>
        <w:tc>
          <w:tcPr>
            <w:tcW w:w="8789" w:type="dxa"/>
            <w:shd w:val="clear" w:color="auto" w:fill="auto"/>
          </w:tcPr>
          <w:p w:rsidR="00666ECE" w:rsidRPr="00666ECE" w:rsidRDefault="00666ECE" w:rsidP="00666ECE">
            <w:pPr>
              <w:spacing w:after="140" w:line="320" w:lineRule="atLeast"/>
              <w:jc w:val="both"/>
              <w:rPr>
                <w:rFonts w:ascii="Arial" w:hAnsi="Arial"/>
                <w:b/>
                <w:szCs w:val="20"/>
                <w:lang w:eastAsia="en-US"/>
              </w:rPr>
            </w:pPr>
            <w:r w:rsidRPr="00666ECE">
              <w:rPr>
                <w:rFonts w:ascii="Arial" w:hAnsi="Arial"/>
                <w:b/>
                <w:szCs w:val="20"/>
                <w:lang w:eastAsia="en-US"/>
              </w:rPr>
              <w:t>South Australian Government comments</w:t>
            </w:r>
          </w:p>
        </w:tc>
        <w:tc>
          <w:tcPr>
            <w:tcW w:w="851" w:type="dxa"/>
            <w:vMerge w:val="restart"/>
            <w:shd w:val="clear" w:color="auto" w:fill="auto"/>
          </w:tcPr>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Default="00666ECE" w:rsidP="00666ECE">
            <w:pPr>
              <w:spacing w:before="240" w:line="320" w:lineRule="atLeast"/>
              <w:jc w:val="both"/>
              <w:rPr>
                <w:szCs w:val="20"/>
              </w:rPr>
            </w:pPr>
          </w:p>
          <w:p w:rsidR="003B4524" w:rsidRPr="00666ECE" w:rsidRDefault="003B4524" w:rsidP="00666ECE">
            <w:pPr>
              <w:spacing w:before="240" w:line="320" w:lineRule="atLeast"/>
              <w:jc w:val="both"/>
              <w:rPr>
                <w:szCs w:val="20"/>
              </w:rPr>
            </w:pPr>
          </w:p>
          <w:p w:rsidR="00666ECE" w:rsidRDefault="00666ECE" w:rsidP="00666ECE">
            <w:pPr>
              <w:spacing w:before="240" w:line="320" w:lineRule="atLeast"/>
              <w:jc w:val="both"/>
              <w:rPr>
                <w:szCs w:val="20"/>
              </w:rPr>
            </w:pPr>
          </w:p>
          <w:p w:rsidR="003B4524" w:rsidRPr="00666ECE" w:rsidRDefault="003B4524"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Default="00666ECE" w:rsidP="00666ECE">
            <w:pPr>
              <w:spacing w:before="240" w:line="320" w:lineRule="atLeast"/>
              <w:jc w:val="both"/>
              <w:rPr>
                <w:szCs w:val="20"/>
              </w:rPr>
            </w:pPr>
          </w:p>
          <w:p w:rsidR="00685E65" w:rsidRDefault="00685E65" w:rsidP="00666ECE">
            <w:pPr>
              <w:spacing w:before="240" w:line="320" w:lineRule="atLeast"/>
              <w:jc w:val="both"/>
              <w:rPr>
                <w:szCs w:val="20"/>
              </w:rPr>
            </w:pPr>
          </w:p>
          <w:p w:rsidR="00F8111F" w:rsidRDefault="00F8111F" w:rsidP="00666ECE">
            <w:pPr>
              <w:spacing w:before="240" w:line="320" w:lineRule="atLeast"/>
              <w:jc w:val="both"/>
              <w:rPr>
                <w:szCs w:val="20"/>
              </w:rPr>
            </w:pPr>
          </w:p>
          <w:p w:rsidR="00F8111F" w:rsidRDefault="00F8111F" w:rsidP="00666ECE">
            <w:pPr>
              <w:spacing w:before="240" w:line="320" w:lineRule="atLeast"/>
              <w:jc w:val="both"/>
              <w:rPr>
                <w:szCs w:val="20"/>
              </w:rPr>
            </w:pPr>
          </w:p>
          <w:p w:rsidR="00F8111F" w:rsidRDefault="00F8111F" w:rsidP="00666ECE">
            <w:pPr>
              <w:spacing w:before="240" w:line="320" w:lineRule="atLeast"/>
              <w:jc w:val="both"/>
              <w:rPr>
                <w:szCs w:val="20"/>
              </w:rPr>
            </w:pPr>
          </w:p>
          <w:p w:rsidR="00FC2FDF" w:rsidRPr="00666ECE" w:rsidRDefault="00FC2FDF"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b/>
                <w:sz w:val="132"/>
                <w:szCs w:val="132"/>
              </w:rPr>
            </w:pPr>
            <w:r w:rsidRPr="00666ECE">
              <w:rPr>
                <w:b/>
                <w:sz w:val="132"/>
                <w:szCs w:val="132"/>
              </w:rPr>
              <w:t>”</w:t>
            </w:r>
          </w:p>
        </w:tc>
      </w:tr>
      <w:tr w:rsidR="00666ECE" w:rsidRPr="00666ECE" w:rsidTr="0019297C">
        <w:tc>
          <w:tcPr>
            <w:tcW w:w="992" w:type="dxa"/>
            <w:vMerge/>
            <w:shd w:val="clear" w:color="auto" w:fill="auto"/>
          </w:tcPr>
          <w:p w:rsidR="00666ECE" w:rsidRPr="00666ECE" w:rsidRDefault="00666ECE" w:rsidP="00666ECE">
            <w:pPr>
              <w:spacing w:before="240" w:line="320" w:lineRule="atLeast"/>
              <w:jc w:val="both"/>
              <w:rPr>
                <w:szCs w:val="20"/>
              </w:rPr>
            </w:pPr>
          </w:p>
        </w:tc>
        <w:tc>
          <w:tcPr>
            <w:tcW w:w="8789" w:type="dxa"/>
            <w:shd w:val="clear" w:color="auto" w:fill="auto"/>
          </w:tcPr>
          <w:p w:rsidR="00E44A6F" w:rsidRDefault="00E44A6F" w:rsidP="00E44A6F">
            <w:pPr>
              <w:pStyle w:val="Jurisdictioncommentsbodytext"/>
            </w:pPr>
            <w:r>
              <w:t>The Department for Education and Child Development’s (DECD) core purpose is to provide a range of integrated services and partnerships to address public education, child health, early childhood development and child protection to benefit families, children and young people in South Australia.</w:t>
            </w:r>
          </w:p>
          <w:p w:rsidR="00E44A6F" w:rsidRDefault="00E44A6F" w:rsidP="00E44A6F">
            <w:pPr>
              <w:pStyle w:val="Jurisdictioncommentsbodytext"/>
            </w:pPr>
            <w:r>
              <w:t xml:space="preserve">The </w:t>
            </w:r>
            <w:r w:rsidRPr="00E44A6F">
              <w:rPr>
                <w:b/>
              </w:rPr>
              <w:t>Birth to 18 Numeracy and Literacy Strategy</w:t>
            </w:r>
            <w:r>
              <w:t xml:space="preserve"> is positioned to enable all children and young people to confidently face an increasingly complex world in which being able to read, write, add, subtract, divide and multiply are not only crucial but are constantly evolving concepts and skills. The strategy challenges learners to achieve their best, learning as a collaboration between learners, educators, parents, carers and other family members. The state-wide strategy comprises a number of interrelated activities including:</w:t>
            </w:r>
          </w:p>
          <w:p w:rsidR="00E44A6F" w:rsidRPr="00E44A6F" w:rsidRDefault="00E44A6F" w:rsidP="00E44A6F">
            <w:pPr>
              <w:pStyle w:val="Jurisdictioncommentslistbullet"/>
            </w:pPr>
            <w:r w:rsidRPr="00E44A6F">
              <w:t>The Leading Numeracy and Literacy Improvement Project contributes to improved numeracy and literacy teaching and learning through the work of 118 coaches working across 134 primary and secondary schools</w:t>
            </w:r>
          </w:p>
          <w:p w:rsidR="00E44A6F" w:rsidRPr="00E44A6F" w:rsidRDefault="00E44A6F" w:rsidP="00E44A6F">
            <w:pPr>
              <w:pStyle w:val="Jurisdictioncommentslistbullet"/>
            </w:pPr>
            <w:r w:rsidRPr="00E44A6F">
              <w:t>Community Liaison Officers providing Culturally and Linguistically Diverse (CALD) parents with targeted support material on the Great Start website, increasing the number of CALD children and carers who attend playgroups.</w:t>
            </w:r>
            <w:r w:rsidR="00E013F0">
              <w:t xml:space="preserve"> </w:t>
            </w:r>
            <w:r w:rsidRPr="00E44A6F">
              <w:t>Building and supporting a Network of Numeracy and Literacy Leaders with strategic programs to improve data handling and response, supporting all learning areas with numeracy and literacy techniques and resources that contribute to measurable improvements.</w:t>
            </w:r>
            <w:r w:rsidR="00E013F0">
              <w:t xml:space="preserve"> </w:t>
            </w:r>
          </w:p>
          <w:p w:rsidR="00E44A6F" w:rsidRPr="00E44A6F" w:rsidRDefault="00E44A6F" w:rsidP="00E44A6F">
            <w:pPr>
              <w:pStyle w:val="Jurisdictioncommentslistbullet"/>
            </w:pPr>
            <w:r w:rsidRPr="00E44A6F">
              <w:t xml:space="preserve">The </w:t>
            </w:r>
            <w:r w:rsidRPr="00E44A6F">
              <w:rPr>
                <w:i/>
              </w:rPr>
              <w:t>Indicators of Pre-school Numeracy and Literacy Project</w:t>
            </w:r>
            <w:r w:rsidRPr="00E44A6F">
              <w:t xml:space="preserve"> is designed to assist pre-school teachers to track children’s numeracy and literacy development.</w:t>
            </w:r>
          </w:p>
          <w:p w:rsidR="00E44A6F" w:rsidRPr="00E44A6F" w:rsidRDefault="00E44A6F" w:rsidP="00E44A6F">
            <w:pPr>
              <w:pStyle w:val="Jurisdictioncommentslistbullet"/>
            </w:pPr>
            <w:r w:rsidRPr="00E44A6F">
              <w:t xml:space="preserve">The </w:t>
            </w:r>
            <w:r w:rsidRPr="00E44A6F">
              <w:rPr>
                <w:b/>
              </w:rPr>
              <w:t>Student Pathways Strategy</w:t>
            </w:r>
            <w:r w:rsidRPr="00E44A6F">
              <w:t xml:space="preserve"> will lift the achievement of young people through a South Australian Certificate of Education (SACE) Improvement initiative for schools, Vocational Education and Training (VET) pathways through the Industry Pathway Programs and the Trade Schools for the Future and Science, Technology, Engineering and Mathematics (STEM) engagement through STEM focus schools and career development.</w:t>
            </w:r>
          </w:p>
          <w:p w:rsidR="00E44A6F" w:rsidRPr="00E44A6F" w:rsidRDefault="00E44A6F" w:rsidP="00E44A6F">
            <w:pPr>
              <w:pStyle w:val="Jurisdictioncommentslistbullet"/>
            </w:pPr>
            <w:r w:rsidRPr="00E44A6F">
              <w:rPr>
                <w:b/>
              </w:rPr>
              <w:t>Implementation of the Australian Curriculum and Teaching for Effective Learning (TfEL) Framework:</w:t>
            </w:r>
            <w:r w:rsidRPr="00E44A6F">
              <w:t xml:space="preserve"> The implementation of the Australian Curriculum is a significant and strategically-resourced opportunity to improve the quality of student engagement, intellectual challenge, learning and achievement in every DECD school. </w:t>
            </w:r>
          </w:p>
          <w:p w:rsidR="00666ECE" w:rsidRPr="00666ECE" w:rsidRDefault="00E44A6F" w:rsidP="00E44A6F">
            <w:pPr>
              <w:pStyle w:val="Jurisdictioncommentslistbullet"/>
            </w:pPr>
            <w:r w:rsidRPr="00E44A6F">
              <w:rPr>
                <w:b/>
              </w:rPr>
              <w:t>South Australian implementation of the Aboriginal and Torres Strait Islander Education Action Plan 2010-2014 (ATSIEAP):</w:t>
            </w:r>
            <w:r w:rsidRPr="00E44A6F">
              <w:t xml:space="preserve"> Schools in the Anangu Pitjantjatjara Yankunytjatjara (APY) Lands have been designated as focus schools and have been identified to undertake specific actions to improve the education outcomes of Aboriginal students with selection based on Aborigina</w:t>
            </w:r>
            <w:r>
              <w:t>l enrolments and NAPLAN results</w:t>
            </w:r>
          </w:p>
        </w:tc>
        <w:tc>
          <w:tcPr>
            <w:tcW w:w="851" w:type="dxa"/>
            <w:vMerge/>
            <w:tcBorders>
              <w:left w:val="nil"/>
            </w:tcBorders>
            <w:shd w:val="clear" w:color="auto" w:fill="auto"/>
          </w:tcPr>
          <w:p w:rsidR="00666ECE" w:rsidRPr="00666ECE" w:rsidRDefault="00666ECE" w:rsidP="00666ECE">
            <w:pPr>
              <w:spacing w:before="240" w:line="320" w:lineRule="atLeast"/>
              <w:jc w:val="both"/>
              <w:rPr>
                <w:szCs w:val="20"/>
              </w:rPr>
            </w:pPr>
          </w:p>
        </w:tc>
      </w:tr>
    </w:tbl>
    <w:p w:rsidR="00666ECE" w:rsidRPr="00666ECE" w:rsidRDefault="00666ECE" w:rsidP="00666ECE">
      <w:pPr>
        <w:spacing w:line="320" w:lineRule="atLeast"/>
        <w:jc w:val="both"/>
        <w:rPr>
          <w:sz w:val="12"/>
          <w:szCs w:val="12"/>
        </w:rPr>
      </w:pPr>
    </w:p>
    <w:tbl>
      <w:tblPr>
        <w:tblW w:w="10632" w:type="dxa"/>
        <w:tblInd w:w="-885" w:type="dxa"/>
        <w:tblLayout w:type="fixed"/>
        <w:tblLook w:val="01E0" w:firstRow="1" w:lastRow="1" w:firstColumn="1" w:lastColumn="1" w:noHBand="0" w:noVBand="0"/>
      </w:tblPr>
      <w:tblGrid>
        <w:gridCol w:w="992"/>
        <w:gridCol w:w="8789"/>
        <w:gridCol w:w="851"/>
      </w:tblGrid>
      <w:tr w:rsidR="00666ECE" w:rsidRPr="00666ECE" w:rsidTr="0019297C">
        <w:tc>
          <w:tcPr>
            <w:tcW w:w="992" w:type="dxa"/>
            <w:vMerge w:val="restart"/>
            <w:shd w:val="clear" w:color="auto" w:fill="auto"/>
          </w:tcPr>
          <w:p w:rsidR="00666ECE" w:rsidRPr="00666ECE" w:rsidRDefault="00666ECE" w:rsidP="00666ECE">
            <w:pPr>
              <w:spacing w:before="240" w:line="320" w:lineRule="atLeast"/>
              <w:jc w:val="both"/>
              <w:rPr>
                <w:b/>
                <w:sz w:val="132"/>
                <w:szCs w:val="132"/>
              </w:rPr>
            </w:pPr>
            <w:r w:rsidRPr="00666ECE">
              <w:rPr>
                <w:b/>
                <w:sz w:val="132"/>
                <w:szCs w:val="132"/>
              </w:rPr>
              <w:t>“</w:t>
            </w:r>
          </w:p>
        </w:tc>
        <w:tc>
          <w:tcPr>
            <w:tcW w:w="8789" w:type="dxa"/>
            <w:shd w:val="clear" w:color="auto" w:fill="auto"/>
          </w:tcPr>
          <w:p w:rsidR="00666ECE" w:rsidRPr="00666ECE" w:rsidRDefault="00666ECE" w:rsidP="00666ECE">
            <w:pPr>
              <w:spacing w:after="120" w:line="320" w:lineRule="atLeast"/>
              <w:jc w:val="both"/>
              <w:rPr>
                <w:rFonts w:ascii="Arial" w:hAnsi="Arial"/>
                <w:b/>
                <w:szCs w:val="20"/>
                <w:lang w:eastAsia="en-US"/>
              </w:rPr>
            </w:pPr>
            <w:r w:rsidRPr="00666ECE">
              <w:rPr>
                <w:rFonts w:ascii="Arial" w:hAnsi="Arial"/>
                <w:b/>
                <w:szCs w:val="20"/>
                <w:lang w:eastAsia="en-US"/>
              </w:rPr>
              <w:t>Tasmanian Government comments</w:t>
            </w:r>
          </w:p>
        </w:tc>
        <w:tc>
          <w:tcPr>
            <w:tcW w:w="851" w:type="dxa"/>
            <w:vMerge w:val="restart"/>
            <w:shd w:val="clear" w:color="auto" w:fill="auto"/>
          </w:tcPr>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A07C80">
            <w:pPr>
              <w:spacing w:before="36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Default="00666ECE" w:rsidP="00A07C80">
            <w:pPr>
              <w:spacing w:before="360" w:line="320" w:lineRule="atLeast"/>
              <w:jc w:val="both"/>
              <w:rPr>
                <w:szCs w:val="20"/>
              </w:rPr>
            </w:pPr>
          </w:p>
          <w:p w:rsidR="0088029F" w:rsidRPr="00666ECE" w:rsidRDefault="0088029F" w:rsidP="00A07C80">
            <w:pPr>
              <w:spacing w:before="360" w:line="320" w:lineRule="atLeast"/>
              <w:jc w:val="both"/>
              <w:rPr>
                <w:szCs w:val="20"/>
              </w:rPr>
            </w:pPr>
          </w:p>
          <w:p w:rsidR="00666ECE" w:rsidRPr="00666ECE" w:rsidRDefault="00666ECE" w:rsidP="00A07C80">
            <w:pPr>
              <w:spacing w:before="360" w:line="320" w:lineRule="atLeast"/>
              <w:jc w:val="both"/>
              <w:rPr>
                <w:szCs w:val="20"/>
              </w:rPr>
            </w:pPr>
          </w:p>
          <w:p w:rsidR="00666ECE" w:rsidRDefault="00666ECE" w:rsidP="00666ECE">
            <w:pPr>
              <w:spacing w:before="240" w:line="320" w:lineRule="atLeast"/>
              <w:jc w:val="both"/>
              <w:rPr>
                <w:szCs w:val="20"/>
              </w:rPr>
            </w:pPr>
          </w:p>
          <w:p w:rsidR="00666ECE" w:rsidRPr="00666ECE" w:rsidRDefault="00666ECE" w:rsidP="00A07C80">
            <w:pPr>
              <w:spacing w:before="600" w:line="320" w:lineRule="atLeast"/>
              <w:jc w:val="both"/>
              <w:rPr>
                <w:b/>
                <w:sz w:val="132"/>
                <w:szCs w:val="132"/>
              </w:rPr>
            </w:pPr>
            <w:r w:rsidRPr="00666ECE">
              <w:rPr>
                <w:b/>
                <w:sz w:val="132"/>
                <w:szCs w:val="132"/>
              </w:rPr>
              <w:t>”</w:t>
            </w:r>
          </w:p>
        </w:tc>
      </w:tr>
      <w:tr w:rsidR="00666ECE" w:rsidRPr="00666ECE" w:rsidTr="0019297C">
        <w:tc>
          <w:tcPr>
            <w:tcW w:w="992" w:type="dxa"/>
            <w:vMerge/>
            <w:shd w:val="clear" w:color="auto" w:fill="auto"/>
          </w:tcPr>
          <w:p w:rsidR="00666ECE" w:rsidRPr="00666ECE" w:rsidRDefault="00666ECE" w:rsidP="00666ECE">
            <w:pPr>
              <w:spacing w:before="240" w:line="320" w:lineRule="atLeast"/>
              <w:jc w:val="both"/>
              <w:rPr>
                <w:szCs w:val="20"/>
              </w:rPr>
            </w:pPr>
          </w:p>
        </w:tc>
        <w:tc>
          <w:tcPr>
            <w:tcW w:w="8789" w:type="dxa"/>
            <w:shd w:val="clear" w:color="auto" w:fill="auto"/>
          </w:tcPr>
          <w:p w:rsidR="001B5FF2" w:rsidRDefault="001B5FF2" w:rsidP="001B5FF2">
            <w:pPr>
              <w:pStyle w:val="Jurisdictioncommentsbodytext"/>
            </w:pPr>
            <w:r w:rsidRPr="00DF1E66">
              <w:t xml:space="preserve">At the heart of the Tasmanian Department of Education’s strategic agenda is </w:t>
            </w:r>
            <w:r>
              <w:t xml:space="preserve">the </w:t>
            </w:r>
            <w:r w:rsidRPr="00754013">
              <w:rPr>
                <w:i/>
              </w:rPr>
              <w:t>Learners</w:t>
            </w:r>
            <w:r>
              <w:rPr>
                <w:i/>
              </w:rPr>
              <w:t xml:space="preserve"> First </w:t>
            </w:r>
            <w:r>
              <w:t>s</w:t>
            </w:r>
            <w:r w:rsidRPr="00754013">
              <w:t>trategy</w:t>
            </w:r>
            <w:r>
              <w:t xml:space="preserve"> with a </w:t>
            </w:r>
            <w:r w:rsidRPr="00DF1E66">
              <w:t xml:space="preserve">vision to develop successful, skilled and innovative citizens. It is </w:t>
            </w:r>
            <w:r>
              <w:t>essential</w:t>
            </w:r>
            <w:r w:rsidRPr="00DF1E66">
              <w:t xml:space="preserve"> that Tasmanian learners are equipped with the skills to allow them to participate in a modern economy, reach their personal potential and be able to determine their own futures.</w:t>
            </w:r>
            <w:r>
              <w:t xml:space="preserve"> </w:t>
            </w:r>
          </w:p>
          <w:p w:rsidR="001B5FF2" w:rsidRPr="00DF1E66" w:rsidRDefault="001B5FF2" w:rsidP="001B5FF2">
            <w:pPr>
              <w:pStyle w:val="Jurisdictioncommentsbodytext"/>
            </w:pPr>
            <w:r w:rsidRPr="00DF1E66">
              <w:t>The years before compulsory schooling are a critical time in a child’s development. The Tasmanian Government continues to invest in resources to support parents to give their children the best start in life. High quality education and care s</w:t>
            </w:r>
            <w:r>
              <w:t>ervices, strategically located Child and Family C</w:t>
            </w:r>
            <w:r w:rsidRPr="00DF1E66">
              <w:t>entres and Launching into Learning programs tailored to parents and their pre-schoolers are all hallmarks of Tasmania’s commitment to the early years.</w:t>
            </w:r>
          </w:p>
          <w:p w:rsidR="001B5FF2" w:rsidRPr="00DF1E66" w:rsidRDefault="001B5FF2" w:rsidP="001B5FF2">
            <w:pPr>
              <w:pStyle w:val="Jurisdictioncommentsbodytext"/>
            </w:pPr>
            <w:r w:rsidRPr="00DF1E66">
              <w:t xml:space="preserve">In order to succeed at school and through adulthood, learners need to </w:t>
            </w:r>
            <w:r>
              <w:t xml:space="preserve">develop </w:t>
            </w:r>
            <w:r w:rsidRPr="00DF1E66">
              <w:t xml:space="preserve">essential literacy and numeracy skills. Students in Tasmanian Government schools who need extra support to develop these skills will benefit from </w:t>
            </w:r>
            <w:r>
              <w:t>25</w:t>
            </w:r>
            <w:r w:rsidR="00E308C4">
              <w:t> </w:t>
            </w:r>
            <w:r w:rsidRPr="00DF1E66">
              <w:t>specialist literacy and numeracy teachers employed to address this important need.</w:t>
            </w:r>
            <w:r>
              <w:t xml:space="preserve"> Maintaining the focus on teacher quality will continue with an increase in funding to schools and the continuation of the Professional Learning Institute’s high quality professional learning programs.</w:t>
            </w:r>
          </w:p>
          <w:p w:rsidR="001B5FF2" w:rsidRPr="00DF1E66" w:rsidRDefault="001B5FF2" w:rsidP="001B5FF2">
            <w:pPr>
              <w:pStyle w:val="Jurisdictioncommentsbodytext"/>
            </w:pPr>
            <w:r w:rsidRPr="00DE2049">
              <w:t>To s</w:t>
            </w:r>
            <w:r>
              <w:t>upport</w:t>
            </w:r>
            <w:r w:rsidRPr="00DE2049">
              <w:t xml:space="preserve"> Tasmania’s emphasis on improving retention and attainment, </w:t>
            </w:r>
            <w:r>
              <w:t>investment</w:t>
            </w:r>
            <w:r w:rsidRPr="00DE2049">
              <w:t xml:space="preserve"> has </w:t>
            </w:r>
            <w:r>
              <w:t xml:space="preserve">been </w:t>
            </w:r>
            <w:r w:rsidR="0059510A">
              <w:t>focused</w:t>
            </w:r>
            <w:r>
              <w:t xml:space="preserve"> on extending</w:t>
            </w:r>
            <w:r w:rsidRPr="00DE2049">
              <w:t xml:space="preserve"> </w:t>
            </w:r>
            <w:r>
              <w:t>some</w:t>
            </w:r>
            <w:r w:rsidRPr="00DE2049">
              <w:t xml:space="preserve"> rural and regional high schools to year 12. </w:t>
            </w:r>
          </w:p>
          <w:p w:rsidR="001B5FF2" w:rsidRPr="00DF1E66" w:rsidRDefault="001B5FF2" w:rsidP="001B5FF2">
            <w:pPr>
              <w:pStyle w:val="Jurisdictioncommentsbodytext"/>
            </w:pPr>
            <w:r w:rsidRPr="00DF1E66">
              <w:t xml:space="preserve">The Tasmanian Department of Education places strong emphasis on the use of data to inform continuous improvement in teaching and learning. Through </w:t>
            </w:r>
            <w:r w:rsidRPr="00DF1E66">
              <w:rPr>
                <w:b/>
              </w:rPr>
              <w:t>ed</w:t>
            </w:r>
            <w:r w:rsidRPr="00DF1E66">
              <w:rPr>
                <w:b/>
                <w:i/>
              </w:rPr>
              <w:t>i</w:t>
            </w:r>
            <w:r w:rsidRPr="00DF1E66">
              <w:t xml:space="preserve">, a new and innovative web portal, Tasmanian Government school principals and their staff have </w:t>
            </w:r>
            <w:r>
              <w:t>easy</w:t>
            </w:r>
            <w:r w:rsidRPr="00DF1E66">
              <w:t xml:space="preserve"> </w:t>
            </w:r>
            <w:r>
              <w:t xml:space="preserve">and timely </w:t>
            </w:r>
            <w:r w:rsidRPr="00DF1E66">
              <w:t xml:space="preserve">access to </w:t>
            </w:r>
            <w:r>
              <w:t xml:space="preserve">real-time </w:t>
            </w:r>
            <w:r w:rsidRPr="00DF1E66">
              <w:t xml:space="preserve">data about student and school performance. This information is of immense value to schools </w:t>
            </w:r>
            <w:r>
              <w:t>as it</w:t>
            </w:r>
            <w:r w:rsidRPr="00DF1E66">
              <w:t xml:space="preserve"> </w:t>
            </w:r>
            <w:r>
              <w:t xml:space="preserve">assists school improvement </w:t>
            </w:r>
            <w:r w:rsidRPr="00DF1E66">
              <w:t>planning.</w:t>
            </w:r>
          </w:p>
          <w:p w:rsidR="001B5FF2" w:rsidRDefault="001B5FF2" w:rsidP="001B5FF2">
            <w:pPr>
              <w:pStyle w:val="Jurisdictioncommentsbodytext"/>
            </w:pPr>
            <w:r>
              <w:t>To continue to adapt and respond to advances in technology and public use of services provided by libraries and Online Access Centres (OACs), the department will be engaging with communities about current service delivery. In some circumstances, this will present an opportunity to re-locate services within local schools, enhancing the important role they play in supporting their communities. This co-located model of library service delivery has previously proven successful with the Lilydale Library and Sheffield Library and OAC both having moved to their local school site, providing services for all learners in the community.</w:t>
            </w:r>
          </w:p>
          <w:p w:rsidR="00EF028D" w:rsidRDefault="001B5FF2" w:rsidP="001B5FF2">
            <w:pPr>
              <w:pStyle w:val="Jurisdictioncommentsbodytext"/>
            </w:pPr>
            <w:r>
              <w:t>TasTAFE is a substantial provider of Vocational Education and Training Services across Tasmania. Its vision is to enable Tasmanians to gain the skills and qualifications needed for the state’s workforce and the community to succeed and prosper. TasTAFE is committed to delivering excellence in all aspects of training and assessment by meeting the changing skill needs of individuals and Tasmanian industry.</w:t>
            </w:r>
          </w:p>
          <w:p w:rsidR="001B5FF2" w:rsidRPr="00666ECE" w:rsidRDefault="001B5FF2" w:rsidP="001B5FF2">
            <w:pPr>
              <w:pStyle w:val="Jurisdictioncommentsbodytext"/>
              <w:spacing w:after="0"/>
            </w:pPr>
          </w:p>
        </w:tc>
        <w:tc>
          <w:tcPr>
            <w:tcW w:w="851" w:type="dxa"/>
            <w:vMerge/>
            <w:tcBorders>
              <w:left w:val="nil"/>
            </w:tcBorders>
            <w:shd w:val="clear" w:color="auto" w:fill="auto"/>
          </w:tcPr>
          <w:p w:rsidR="00666ECE" w:rsidRPr="00666ECE" w:rsidRDefault="00666ECE" w:rsidP="00666ECE">
            <w:pPr>
              <w:spacing w:before="240" w:line="320" w:lineRule="atLeast"/>
              <w:jc w:val="both"/>
              <w:rPr>
                <w:szCs w:val="20"/>
              </w:rPr>
            </w:pPr>
          </w:p>
        </w:tc>
      </w:tr>
    </w:tbl>
    <w:p w:rsidR="00666ECE" w:rsidRPr="00666ECE" w:rsidRDefault="00666ECE" w:rsidP="00666ECE">
      <w:pPr>
        <w:spacing w:line="320" w:lineRule="atLeast"/>
        <w:jc w:val="both"/>
        <w:rPr>
          <w:sz w:val="12"/>
          <w:szCs w:val="12"/>
        </w:rPr>
      </w:pPr>
    </w:p>
    <w:tbl>
      <w:tblPr>
        <w:tblW w:w="10632" w:type="dxa"/>
        <w:tblInd w:w="-885" w:type="dxa"/>
        <w:tblLayout w:type="fixed"/>
        <w:tblLook w:val="01E0" w:firstRow="1" w:lastRow="1" w:firstColumn="1" w:lastColumn="1" w:noHBand="0" w:noVBand="0"/>
      </w:tblPr>
      <w:tblGrid>
        <w:gridCol w:w="992"/>
        <w:gridCol w:w="8789"/>
        <w:gridCol w:w="851"/>
      </w:tblGrid>
      <w:tr w:rsidR="00666ECE" w:rsidRPr="00666ECE" w:rsidTr="0019297C">
        <w:tc>
          <w:tcPr>
            <w:tcW w:w="992" w:type="dxa"/>
            <w:vMerge w:val="restart"/>
            <w:shd w:val="clear" w:color="auto" w:fill="auto"/>
          </w:tcPr>
          <w:p w:rsidR="00666ECE" w:rsidRPr="00666ECE" w:rsidRDefault="00666ECE" w:rsidP="00666ECE">
            <w:pPr>
              <w:spacing w:before="240" w:line="320" w:lineRule="atLeast"/>
              <w:jc w:val="both"/>
              <w:rPr>
                <w:b/>
                <w:sz w:val="132"/>
                <w:szCs w:val="132"/>
              </w:rPr>
            </w:pPr>
            <w:r w:rsidRPr="00666ECE">
              <w:rPr>
                <w:b/>
                <w:sz w:val="132"/>
                <w:szCs w:val="132"/>
              </w:rPr>
              <w:t>“</w:t>
            </w:r>
          </w:p>
        </w:tc>
        <w:tc>
          <w:tcPr>
            <w:tcW w:w="8789" w:type="dxa"/>
            <w:shd w:val="clear" w:color="auto" w:fill="auto"/>
          </w:tcPr>
          <w:p w:rsidR="00666ECE" w:rsidRPr="00666ECE" w:rsidRDefault="00666ECE" w:rsidP="00666ECE">
            <w:pPr>
              <w:spacing w:after="140" w:line="320" w:lineRule="atLeast"/>
              <w:jc w:val="both"/>
              <w:rPr>
                <w:rFonts w:ascii="Arial" w:hAnsi="Arial"/>
                <w:b/>
                <w:szCs w:val="20"/>
                <w:lang w:eastAsia="en-US"/>
              </w:rPr>
            </w:pPr>
            <w:r w:rsidRPr="00666ECE">
              <w:rPr>
                <w:rFonts w:ascii="Arial" w:hAnsi="Arial"/>
                <w:b/>
                <w:szCs w:val="20"/>
                <w:lang w:eastAsia="en-US"/>
              </w:rPr>
              <w:t>Australian Capital Territory Government comments</w:t>
            </w:r>
          </w:p>
        </w:tc>
        <w:tc>
          <w:tcPr>
            <w:tcW w:w="851" w:type="dxa"/>
            <w:vMerge w:val="restart"/>
            <w:shd w:val="clear" w:color="auto" w:fill="auto"/>
          </w:tcPr>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Default="00666ECE" w:rsidP="00666ECE">
            <w:pPr>
              <w:spacing w:before="240" w:line="320" w:lineRule="atLeast"/>
              <w:jc w:val="both"/>
              <w:rPr>
                <w:szCs w:val="20"/>
              </w:rPr>
            </w:pPr>
          </w:p>
          <w:p w:rsidR="000421CD" w:rsidRDefault="000421CD" w:rsidP="00666ECE">
            <w:pPr>
              <w:spacing w:before="240" w:line="320" w:lineRule="atLeast"/>
              <w:jc w:val="both"/>
              <w:rPr>
                <w:szCs w:val="20"/>
              </w:rPr>
            </w:pPr>
          </w:p>
          <w:p w:rsidR="000421CD" w:rsidRDefault="000421CD" w:rsidP="00666ECE">
            <w:pPr>
              <w:spacing w:before="240" w:line="320" w:lineRule="atLeast"/>
              <w:jc w:val="both"/>
              <w:rPr>
                <w:szCs w:val="20"/>
              </w:rPr>
            </w:pPr>
          </w:p>
          <w:p w:rsidR="000421CD" w:rsidRDefault="000421CD"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b/>
                <w:sz w:val="132"/>
                <w:szCs w:val="132"/>
              </w:rPr>
            </w:pPr>
            <w:r w:rsidRPr="00666ECE">
              <w:rPr>
                <w:b/>
                <w:sz w:val="132"/>
                <w:szCs w:val="132"/>
              </w:rPr>
              <w:t>”</w:t>
            </w:r>
          </w:p>
        </w:tc>
      </w:tr>
      <w:tr w:rsidR="00666ECE" w:rsidRPr="00666ECE" w:rsidTr="0019297C">
        <w:tc>
          <w:tcPr>
            <w:tcW w:w="992" w:type="dxa"/>
            <w:vMerge/>
            <w:shd w:val="clear" w:color="auto" w:fill="auto"/>
          </w:tcPr>
          <w:p w:rsidR="00666ECE" w:rsidRPr="00666ECE" w:rsidRDefault="00666ECE" w:rsidP="00666ECE">
            <w:pPr>
              <w:spacing w:before="240" w:line="320" w:lineRule="atLeast"/>
              <w:jc w:val="both"/>
              <w:rPr>
                <w:szCs w:val="20"/>
              </w:rPr>
            </w:pPr>
          </w:p>
        </w:tc>
        <w:tc>
          <w:tcPr>
            <w:tcW w:w="8789" w:type="dxa"/>
            <w:shd w:val="clear" w:color="auto" w:fill="auto"/>
          </w:tcPr>
          <w:p w:rsidR="002D0C34" w:rsidRDefault="002D0C34" w:rsidP="002D0C34">
            <w:pPr>
              <w:pStyle w:val="Jurisdictioncommentsbodytext"/>
            </w:pPr>
            <w:r>
              <w:t>During 2013-14 the ACT Education and Training Directorate released its vision through the 2014</w:t>
            </w:r>
            <w:r w:rsidR="00E308C4">
              <w:t>–</w:t>
            </w:r>
            <w:r>
              <w:t xml:space="preserve">17 Strategic Plan, </w:t>
            </w:r>
            <w:r w:rsidRPr="00B61602">
              <w:rPr>
                <w:i/>
              </w:rPr>
              <w:t>Education Capital: Leading the Nation</w:t>
            </w:r>
            <w:r>
              <w:t>. The plan describes five priorities to increase education excellence in the ACT.</w:t>
            </w:r>
          </w:p>
          <w:p w:rsidR="002D0C34" w:rsidRDefault="002D0C34" w:rsidP="002D0C34">
            <w:pPr>
              <w:pStyle w:val="Jurisdictioncommentsbodytext"/>
            </w:pPr>
            <w:r>
              <w:t>The application of the quality learning priority in the 2013-14 year saw ACT students continuing to achieve at high levels, both nationally and internationally. The ACT topped the nation in NAPLAN results and consistently had the highest levels of achievement of all Australian states and territories. ACT students continued to display a high level of student satisfaction with their studies and the highest retention rate to year 12, with 89 per cent of students graduating with a Year 12 Certificate.</w:t>
            </w:r>
          </w:p>
          <w:p w:rsidR="002D0C34" w:rsidRDefault="002D0C34" w:rsidP="002D0C34">
            <w:pPr>
              <w:pStyle w:val="Jurisdictioncommentsbodytext"/>
            </w:pPr>
            <w:r>
              <w:t>The ACT demonstrated its commitment to the Australian Curriculum, with support given to all ACT schools by the Australian Curriculum Implementation Plan. Reporting on student progress for years 1 to 10 used National Achievement Standards for Phase 1 Curriculum subjects. The Digital Backpack supported teachers with a single sign-on access to the content and resources of the Australian Curriculum.</w:t>
            </w:r>
          </w:p>
          <w:p w:rsidR="002D0C34" w:rsidRDefault="002D0C34" w:rsidP="002D0C34">
            <w:pPr>
              <w:pStyle w:val="Jurisdictioncommentsbodytext"/>
            </w:pPr>
            <w:r>
              <w:t xml:space="preserve">The ACT built the capacities of teachers and leaders in schools in a number of ways. Refocussed induction programs were delivered to over 470 new teachers. The acceleration of outstanding classroom teachers occurred through a rigorous three stage assessment program in alignment with the Australian Professional Standards for Teachers. High quality professional learning was developed for teachers to meet the specific needs of students, including gifted and talented students, students with learning difficulties and students for whom English is an Additional Language or Dialect. The Disability Standards for Education e-learning package was made available. The ongoing leadership program, </w:t>
            </w:r>
            <w:r w:rsidRPr="00B61602">
              <w:rPr>
                <w:i/>
              </w:rPr>
              <w:t>Accepting the Challenge</w:t>
            </w:r>
            <w:r>
              <w:t xml:space="preserve">, raised cultural awareness and continued improvement of educational outcomes of Aboriginal and Torres Strait Islander students. </w:t>
            </w:r>
          </w:p>
          <w:p w:rsidR="002D0C34" w:rsidRDefault="002D0C34" w:rsidP="002D0C34">
            <w:pPr>
              <w:pStyle w:val="Jurisdictioncommentsbodytext"/>
            </w:pPr>
            <w:r>
              <w:t>The priority of high expectations, high performance for all students resulted in 92 per cent of year 12 graduates being employed or studying after leaving school. Targeted programs addressed learning needs and met educational outcomes. Aboriginal and Torres Strait Islander students displaying high academic achievement, leadership potential and consistent engagement in their schooling from years 5 to 12 were assisted by the Student Aspirations Program. The release of the Gifted and Talented Students’ Policy enabled those students to meet their potential.</w:t>
            </w:r>
          </w:p>
          <w:p w:rsidR="003B4524" w:rsidRPr="00666ECE" w:rsidRDefault="002D0C34" w:rsidP="002D0C34">
            <w:pPr>
              <w:pStyle w:val="Jurisdictioncommentsbodytext"/>
              <w:rPr>
                <w:color w:val="FF00FF"/>
              </w:rPr>
            </w:pPr>
            <w:r>
              <w:t xml:space="preserve">Partnership with families and engagement with the community continued as a priority with the introduction of online enrolment and a </w:t>
            </w:r>
            <w:r w:rsidRPr="00B61602">
              <w:rPr>
                <w:i/>
              </w:rPr>
              <w:t>Parents’ Guide to Enrolment</w:t>
            </w:r>
            <w:r>
              <w:t>. The Transition Action Plan supported families and students with disabilities to transition across school sectors.</w:t>
            </w:r>
          </w:p>
        </w:tc>
        <w:tc>
          <w:tcPr>
            <w:tcW w:w="851" w:type="dxa"/>
            <w:vMerge/>
            <w:tcBorders>
              <w:left w:val="nil"/>
            </w:tcBorders>
            <w:shd w:val="clear" w:color="auto" w:fill="auto"/>
          </w:tcPr>
          <w:p w:rsidR="00666ECE" w:rsidRPr="00666ECE" w:rsidRDefault="00666ECE" w:rsidP="00666ECE">
            <w:pPr>
              <w:spacing w:before="240" w:line="320" w:lineRule="atLeast"/>
              <w:jc w:val="both"/>
              <w:rPr>
                <w:szCs w:val="20"/>
              </w:rPr>
            </w:pPr>
          </w:p>
        </w:tc>
      </w:tr>
    </w:tbl>
    <w:p w:rsidR="00666ECE" w:rsidRPr="00666ECE" w:rsidRDefault="00666ECE" w:rsidP="007E3E6E">
      <w:pPr>
        <w:spacing w:line="220" w:lineRule="atLeast"/>
        <w:jc w:val="both"/>
        <w:rPr>
          <w:sz w:val="12"/>
          <w:szCs w:val="12"/>
        </w:rPr>
      </w:pPr>
    </w:p>
    <w:tbl>
      <w:tblPr>
        <w:tblW w:w="10632" w:type="dxa"/>
        <w:tblInd w:w="-885" w:type="dxa"/>
        <w:tblLayout w:type="fixed"/>
        <w:tblLook w:val="01E0" w:firstRow="1" w:lastRow="1" w:firstColumn="1" w:lastColumn="1" w:noHBand="0" w:noVBand="0"/>
      </w:tblPr>
      <w:tblGrid>
        <w:gridCol w:w="992"/>
        <w:gridCol w:w="8789"/>
        <w:gridCol w:w="851"/>
      </w:tblGrid>
      <w:tr w:rsidR="00666ECE" w:rsidRPr="00666ECE" w:rsidTr="0019297C">
        <w:tc>
          <w:tcPr>
            <w:tcW w:w="992" w:type="dxa"/>
            <w:vMerge w:val="restart"/>
            <w:shd w:val="clear" w:color="auto" w:fill="auto"/>
          </w:tcPr>
          <w:p w:rsidR="00666ECE" w:rsidRPr="00666ECE" w:rsidRDefault="00666ECE" w:rsidP="00666ECE">
            <w:pPr>
              <w:spacing w:before="240" w:line="320" w:lineRule="atLeast"/>
              <w:jc w:val="both"/>
              <w:rPr>
                <w:b/>
                <w:sz w:val="132"/>
                <w:szCs w:val="132"/>
              </w:rPr>
            </w:pPr>
            <w:r w:rsidRPr="00666ECE">
              <w:rPr>
                <w:b/>
                <w:sz w:val="132"/>
                <w:szCs w:val="132"/>
              </w:rPr>
              <w:lastRenderedPageBreak/>
              <w:t>“</w:t>
            </w:r>
          </w:p>
        </w:tc>
        <w:tc>
          <w:tcPr>
            <w:tcW w:w="8789" w:type="dxa"/>
            <w:shd w:val="clear" w:color="auto" w:fill="auto"/>
          </w:tcPr>
          <w:p w:rsidR="00666ECE" w:rsidRPr="00666ECE" w:rsidRDefault="00666ECE" w:rsidP="00666ECE">
            <w:pPr>
              <w:spacing w:after="140" w:line="320" w:lineRule="atLeast"/>
              <w:jc w:val="both"/>
              <w:rPr>
                <w:rFonts w:ascii="Arial" w:hAnsi="Arial"/>
                <w:b/>
                <w:szCs w:val="20"/>
                <w:lang w:eastAsia="en-US"/>
              </w:rPr>
            </w:pPr>
            <w:r w:rsidRPr="00666ECE">
              <w:rPr>
                <w:rFonts w:ascii="Arial" w:hAnsi="Arial"/>
                <w:b/>
                <w:szCs w:val="20"/>
                <w:lang w:eastAsia="en-US"/>
              </w:rPr>
              <w:t>Northern Territory Government comments</w:t>
            </w:r>
          </w:p>
        </w:tc>
        <w:tc>
          <w:tcPr>
            <w:tcW w:w="851" w:type="dxa"/>
            <w:vMerge w:val="restart"/>
            <w:shd w:val="clear" w:color="auto" w:fill="auto"/>
          </w:tcPr>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Default="00666ECE" w:rsidP="00666ECE">
            <w:pPr>
              <w:spacing w:before="240" w:line="320" w:lineRule="atLeast"/>
              <w:jc w:val="both"/>
              <w:rPr>
                <w:szCs w:val="20"/>
              </w:rPr>
            </w:pPr>
          </w:p>
          <w:p w:rsidR="00971C91" w:rsidRDefault="00971C91" w:rsidP="00666ECE">
            <w:pPr>
              <w:spacing w:before="240" w:line="320" w:lineRule="atLeast"/>
              <w:jc w:val="both"/>
              <w:rPr>
                <w:szCs w:val="20"/>
              </w:rPr>
            </w:pPr>
          </w:p>
          <w:p w:rsidR="00971C91" w:rsidRPr="00666ECE" w:rsidRDefault="00971C91" w:rsidP="00666ECE">
            <w:pPr>
              <w:spacing w:before="240" w:line="320" w:lineRule="atLeast"/>
              <w:jc w:val="both"/>
              <w:rPr>
                <w:szCs w:val="20"/>
              </w:rPr>
            </w:pPr>
          </w:p>
          <w:p w:rsidR="00666ECE" w:rsidRPr="00666ECE" w:rsidRDefault="00666ECE" w:rsidP="00666ECE">
            <w:pPr>
              <w:spacing w:before="240" w:line="320" w:lineRule="atLeast"/>
              <w:jc w:val="both"/>
              <w:rPr>
                <w:szCs w:val="20"/>
              </w:rPr>
            </w:pPr>
          </w:p>
          <w:p w:rsidR="00666ECE" w:rsidRPr="00666ECE" w:rsidRDefault="00666ECE" w:rsidP="00666ECE">
            <w:pPr>
              <w:spacing w:before="240" w:line="320" w:lineRule="atLeast"/>
              <w:jc w:val="both"/>
              <w:rPr>
                <w:b/>
                <w:sz w:val="132"/>
                <w:szCs w:val="132"/>
              </w:rPr>
            </w:pPr>
            <w:r w:rsidRPr="00666ECE">
              <w:rPr>
                <w:b/>
                <w:sz w:val="132"/>
                <w:szCs w:val="132"/>
              </w:rPr>
              <w:t>”</w:t>
            </w:r>
          </w:p>
        </w:tc>
      </w:tr>
      <w:tr w:rsidR="00666ECE" w:rsidRPr="00666ECE" w:rsidTr="00926D58">
        <w:tc>
          <w:tcPr>
            <w:tcW w:w="992" w:type="dxa"/>
            <w:vMerge/>
            <w:shd w:val="clear" w:color="auto" w:fill="auto"/>
          </w:tcPr>
          <w:p w:rsidR="00666ECE" w:rsidRPr="00666ECE" w:rsidRDefault="00666ECE" w:rsidP="00666ECE">
            <w:pPr>
              <w:spacing w:before="240" w:line="320" w:lineRule="atLeast"/>
              <w:jc w:val="both"/>
              <w:rPr>
                <w:szCs w:val="20"/>
              </w:rPr>
            </w:pPr>
          </w:p>
        </w:tc>
        <w:tc>
          <w:tcPr>
            <w:tcW w:w="8789" w:type="dxa"/>
            <w:shd w:val="clear" w:color="auto" w:fill="FFFFFF" w:themeFill="background1"/>
          </w:tcPr>
          <w:p w:rsidR="008E648F" w:rsidRPr="008E648F" w:rsidRDefault="008E648F" w:rsidP="008E648F">
            <w:pPr>
              <w:pStyle w:val="Jurisdictioncommentsbodytext"/>
            </w:pPr>
            <w:r w:rsidRPr="008E648F">
              <w:t>The role of the department is to deliver services to children and young people to maximise their educational outcomes, safety and wellbeing from their early years though to senior years of schooling. The Department’s Strategic Plan 2013</w:t>
            </w:r>
            <w:r w:rsidR="00E308C4">
              <w:t>—</w:t>
            </w:r>
            <w:r w:rsidRPr="008E648F">
              <w:t xml:space="preserve">2015 — </w:t>
            </w:r>
            <w:r w:rsidRPr="008E648F">
              <w:rPr>
                <w:i/>
              </w:rPr>
              <w:t>Creating Success Together</w:t>
            </w:r>
            <w:r w:rsidRPr="008E648F">
              <w:t>; shapes the strategic initiatives and focus on achieving the best possible outcomes and pathways for children and young people in the Northern Territory.</w:t>
            </w:r>
          </w:p>
          <w:p w:rsidR="008E648F" w:rsidRPr="008E648F" w:rsidRDefault="008E648F" w:rsidP="008E648F">
            <w:pPr>
              <w:pStyle w:val="Jurisdictioncommentsbodytext"/>
            </w:pPr>
            <w:r w:rsidRPr="008E648F">
              <w:t xml:space="preserve">A significant achievement in 2014 has been the completion of the review of Indigenous education in the Territory. The review report’s recommendations, covering all stages of education and education support, have shaped a 10-year Indigenous education strategy, </w:t>
            </w:r>
            <w:r w:rsidRPr="008E648F">
              <w:rPr>
                <w:i/>
              </w:rPr>
              <w:t>A Share in the Future</w:t>
            </w:r>
            <w:r w:rsidRPr="008E648F">
              <w:t>, to deliver clear and effective programs that are proven to make a difference for Indigenous students.</w:t>
            </w:r>
          </w:p>
          <w:p w:rsidR="008E648F" w:rsidRPr="008E648F" w:rsidRDefault="008E648F" w:rsidP="008E648F">
            <w:pPr>
              <w:pStyle w:val="Jurisdictioncommentsbodytext"/>
            </w:pPr>
            <w:r w:rsidRPr="008E648F">
              <w:t>There is a strong focus on improving student attendance, particularly in remote and very remote schools, through targeted attendance and enrolment strategies. The Remote Schools Attendance Strategy, introduced in partnership with the Australian Government in 2014, has been implemented in 30 Northern Territory Government schools and has made progress on improving attendance.</w:t>
            </w:r>
          </w:p>
          <w:p w:rsidR="008E648F" w:rsidRPr="008E648F" w:rsidRDefault="008E648F" w:rsidP="008E648F">
            <w:pPr>
              <w:pStyle w:val="Jurisdictioncommentsbodytext"/>
            </w:pPr>
            <w:r w:rsidRPr="008E648F">
              <w:t>Significant work on increasing school autonomy is underway with global school budgets to commence in all schools in 2015. Global school budgets will provide a simple, transparent and fair student needs-based funding model with greater flexibility for schools in allocating their resources. The introduction of independent public schools in 2015 will allow six selected schools to assume greater responsibly in the delivery of their education services.</w:t>
            </w:r>
          </w:p>
          <w:p w:rsidR="008E648F" w:rsidRPr="008E648F" w:rsidRDefault="008E648F" w:rsidP="008E648F">
            <w:pPr>
              <w:pStyle w:val="Jurisdictioncommentsbodytext"/>
            </w:pPr>
            <w:r w:rsidRPr="008E648F">
              <w:t>A review of middle years schooling in 2014 has resulted in recommendations about structural frameworks; learning environments and behaviour management; curriculum delivery and subject offerings; middle years pedagogy; and assessment practices and influencing school culture. Implementation is planned to strengthen the quality, effectiveness and efficiency of education for students in their middle years of schooling in the Territory.</w:t>
            </w:r>
          </w:p>
          <w:p w:rsidR="008E648F" w:rsidRPr="008E648F" w:rsidRDefault="008E648F" w:rsidP="008E648F">
            <w:pPr>
              <w:pStyle w:val="Jurisdictioncommentsbodytext"/>
            </w:pPr>
            <w:r w:rsidRPr="008E648F">
              <w:t xml:space="preserve">NAPLAN results in 2014 show stable performance with no significant changes at the jurisdiction level in mean scale scores compared to either 2013 or the 2008 base year. The results indicate a large gap in literacy and numeracy achievement between Indigenous students in the Northern Territory and Indigenous students elsewhere in Australia, and work under the </w:t>
            </w:r>
            <w:r w:rsidRPr="008E648F">
              <w:rPr>
                <w:i/>
              </w:rPr>
              <w:t>A Share in the Future</w:t>
            </w:r>
            <w:r w:rsidRPr="008E648F">
              <w:t xml:space="preserve"> strategy is intended to address this through a range of targeted programs that will focus effort on sustained improvement.</w:t>
            </w:r>
          </w:p>
          <w:p w:rsidR="003B4524" w:rsidRDefault="008E648F" w:rsidP="008E648F">
            <w:pPr>
              <w:pStyle w:val="Jurisdictioncommentsbodytext"/>
            </w:pPr>
            <w:r w:rsidRPr="008E648F">
              <w:t>A Teacher Performance Development Framework has been introduced to build teacher capacity to achieve enhanced student outcomes. The framework is aligned with the Australian Professional Standards for Teachers. An online system and resources support teachers at all stages of their careers to gather evidence and build portfolios to support registration processes, record professional development and plan career development.</w:t>
            </w:r>
          </w:p>
          <w:p w:rsidR="00EF028D" w:rsidRPr="006730CC" w:rsidRDefault="00EF028D" w:rsidP="00526EC7">
            <w:pPr>
              <w:pStyle w:val="Jurisdictioncommentsbodytext"/>
              <w:spacing w:after="0"/>
              <w:rPr>
                <w:rStyle w:val="DraftingNote"/>
              </w:rPr>
            </w:pPr>
          </w:p>
        </w:tc>
        <w:tc>
          <w:tcPr>
            <w:tcW w:w="851" w:type="dxa"/>
            <w:vMerge/>
            <w:tcBorders>
              <w:left w:val="nil"/>
            </w:tcBorders>
            <w:shd w:val="clear" w:color="auto" w:fill="auto"/>
          </w:tcPr>
          <w:p w:rsidR="00666ECE" w:rsidRPr="00666ECE" w:rsidRDefault="00666ECE" w:rsidP="00666ECE">
            <w:pPr>
              <w:spacing w:before="240" w:line="320" w:lineRule="atLeast"/>
              <w:jc w:val="both"/>
              <w:rPr>
                <w:szCs w:val="20"/>
              </w:rPr>
            </w:pPr>
          </w:p>
        </w:tc>
      </w:tr>
    </w:tbl>
    <w:p w:rsidR="00666ECE" w:rsidRPr="00666ECE" w:rsidRDefault="007B0AE2" w:rsidP="007B0AE2">
      <w:pPr>
        <w:pStyle w:val="Heading2nosectionno"/>
      </w:pPr>
      <w:bookmarkStart w:id="30" w:name="_Toc405974310"/>
      <w:r>
        <w:lastRenderedPageBreak/>
        <w:t>4.6</w:t>
      </w:r>
      <w:r>
        <w:tab/>
      </w:r>
      <w:r w:rsidR="00666ECE" w:rsidRPr="00666ECE">
        <w:t>Definitions of key terms</w:t>
      </w:r>
      <w:bookmarkEnd w:id="30"/>
      <w:r w:rsidR="00666ECE" w:rsidRPr="00666ECE">
        <w:t xml:space="preserve"> </w:t>
      </w:r>
    </w:p>
    <w:tbl>
      <w:tblPr>
        <w:tblW w:w="0" w:type="auto"/>
        <w:tblLayout w:type="fixed"/>
        <w:tblCellMar>
          <w:left w:w="0" w:type="dxa"/>
          <w:right w:w="0" w:type="dxa"/>
        </w:tblCellMar>
        <w:tblLook w:val="0000" w:firstRow="0" w:lastRow="0" w:firstColumn="0" w:lastColumn="0" w:noHBand="0" w:noVBand="0"/>
      </w:tblPr>
      <w:tblGrid>
        <w:gridCol w:w="2410"/>
        <w:gridCol w:w="6379"/>
      </w:tblGrid>
      <w:tr w:rsidR="00666ECE" w:rsidRPr="00666ECE" w:rsidTr="003A2619">
        <w:tc>
          <w:tcPr>
            <w:tcW w:w="2410" w:type="dxa"/>
          </w:tcPr>
          <w:p w:rsidR="00666ECE" w:rsidRPr="00666ECE" w:rsidRDefault="00666ECE" w:rsidP="00666ECE">
            <w:pPr>
              <w:keepNext/>
              <w:keepLines/>
              <w:spacing w:before="60" w:after="60" w:line="220" w:lineRule="atLeast"/>
              <w:ind w:right="113"/>
              <w:rPr>
                <w:rFonts w:ascii="Arial" w:hAnsi="Arial"/>
                <w:b/>
                <w:sz w:val="20"/>
                <w:szCs w:val="20"/>
              </w:rPr>
            </w:pPr>
            <w:r w:rsidRPr="00666ECE">
              <w:rPr>
                <w:rFonts w:ascii="Arial" w:hAnsi="Arial"/>
                <w:b/>
                <w:sz w:val="20"/>
                <w:szCs w:val="20"/>
              </w:rPr>
              <w:t>Apparent retention rates</w:t>
            </w:r>
          </w:p>
        </w:tc>
        <w:tc>
          <w:tcPr>
            <w:tcW w:w="6379" w:type="dxa"/>
          </w:tcPr>
          <w:p w:rsidR="00666ECE" w:rsidRPr="00666ECE" w:rsidRDefault="00666ECE" w:rsidP="00353C55">
            <w:pPr>
              <w:keepNext/>
              <w:keepLines/>
              <w:spacing w:before="60" w:after="60" w:line="220" w:lineRule="atLeast"/>
              <w:ind w:right="28"/>
              <w:rPr>
                <w:rFonts w:ascii="Arial" w:hAnsi="Arial"/>
                <w:sz w:val="20"/>
                <w:szCs w:val="20"/>
              </w:rPr>
            </w:pPr>
            <w:r w:rsidRPr="00666ECE">
              <w:rPr>
                <w:rFonts w:ascii="Arial" w:hAnsi="Arial"/>
                <w:sz w:val="20"/>
                <w:szCs w:val="20"/>
              </w:rPr>
              <w:t xml:space="preserve">The number of full time students in a designated year of schooling, expressed as a percentage of their respective cohort group at an earlier base year. For example, the year </w:t>
            </w:r>
            <w:r w:rsidR="000C2ECE">
              <w:rPr>
                <w:rFonts w:ascii="Arial" w:hAnsi="Arial"/>
                <w:sz w:val="20"/>
                <w:szCs w:val="20"/>
              </w:rPr>
              <w:t>10-</w:t>
            </w:r>
            <w:r w:rsidRPr="00666ECE">
              <w:rPr>
                <w:rFonts w:ascii="Arial" w:hAnsi="Arial"/>
                <w:sz w:val="20"/>
                <w:szCs w:val="20"/>
              </w:rPr>
              <w:t>12 retention rate is calculated by dividing the total number of full time students in year 12 in the target year by the total number of full time students in year 10 two years before the target year.</w:t>
            </w:r>
          </w:p>
        </w:tc>
      </w:tr>
      <w:tr w:rsidR="003A2619" w:rsidRPr="00CD50C4" w:rsidTr="00197701">
        <w:tblPrEx>
          <w:tblCellMar>
            <w:left w:w="108" w:type="dxa"/>
            <w:right w:w="108" w:type="dxa"/>
          </w:tblCellMar>
        </w:tblPrEx>
        <w:trPr>
          <w:cantSplit/>
        </w:trPr>
        <w:tc>
          <w:tcPr>
            <w:tcW w:w="2410" w:type="dxa"/>
            <w:shd w:val="clear" w:color="auto" w:fill="FFFFFF" w:themeFill="background1"/>
          </w:tcPr>
          <w:p w:rsidR="003A2619" w:rsidRPr="00197701" w:rsidRDefault="003A2619" w:rsidP="00197701">
            <w:pPr>
              <w:pStyle w:val="TableBodyText"/>
              <w:spacing w:beforeLines="60" w:before="144" w:after="60"/>
              <w:ind w:left="-108"/>
              <w:jc w:val="left"/>
              <w:rPr>
                <w:b/>
                <w:sz w:val="20"/>
              </w:rPr>
            </w:pPr>
            <w:r w:rsidRPr="00197701">
              <w:rPr>
                <w:b/>
                <w:sz w:val="20"/>
              </w:rPr>
              <w:t>Comparability</w:t>
            </w:r>
          </w:p>
        </w:tc>
        <w:tc>
          <w:tcPr>
            <w:tcW w:w="6379" w:type="dxa"/>
            <w:shd w:val="clear" w:color="auto" w:fill="FFFFFF" w:themeFill="background1"/>
          </w:tcPr>
          <w:p w:rsidR="003A2619" w:rsidRPr="00B34EF1" w:rsidRDefault="00B34EF1" w:rsidP="00197701">
            <w:pPr>
              <w:pStyle w:val="TableBodyText"/>
              <w:spacing w:before="60" w:after="60" w:line="220" w:lineRule="atLeast"/>
              <w:ind w:left="-108" w:right="57"/>
              <w:jc w:val="left"/>
              <w:rPr>
                <w:sz w:val="20"/>
              </w:rPr>
            </w:pPr>
            <w:r w:rsidRPr="00B34EF1">
              <w:rPr>
                <w:sz w:val="20"/>
              </w:rPr>
              <w:t>Data are considered comparable if, (subject to caveats) they can be used to inform an assessment of comparative performance. Typically, data are considered comparable when they are collected in the same way and in accordance with the same definitions. For comparable indicators or measures, significant differences in reported results allow an assessment of differences in performance, rather than being the result of anomalies in the data.</w:t>
            </w:r>
          </w:p>
        </w:tc>
      </w:tr>
      <w:tr w:rsidR="003A2619" w:rsidRPr="00CD50C4" w:rsidTr="007D6009">
        <w:tblPrEx>
          <w:tblCellMar>
            <w:left w:w="108" w:type="dxa"/>
            <w:right w:w="108" w:type="dxa"/>
          </w:tblCellMar>
        </w:tblPrEx>
        <w:trPr>
          <w:cantSplit/>
        </w:trPr>
        <w:tc>
          <w:tcPr>
            <w:tcW w:w="2410" w:type="dxa"/>
            <w:shd w:val="clear" w:color="auto" w:fill="FFFFFF" w:themeFill="background1"/>
          </w:tcPr>
          <w:p w:rsidR="003A2619" w:rsidRPr="00197701" w:rsidRDefault="003A2619" w:rsidP="00197701">
            <w:pPr>
              <w:pStyle w:val="TableBodyText"/>
              <w:spacing w:beforeLines="60" w:before="144" w:after="60"/>
              <w:ind w:left="-108"/>
              <w:jc w:val="left"/>
              <w:rPr>
                <w:b/>
                <w:sz w:val="20"/>
              </w:rPr>
            </w:pPr>
            <w:r w:rsidRPr="00197701">
              <w:rPr>
                <w:b/>
                <w:sz w:val="20"/>
              </w:rPr>
              <w:t>Completeness</w:t>
            </w:r>
          </w:p>
        </w:tc>
        <w:tc>
          <w:tcPr>
            <w:tcW w:w="6379" w:type="dxa"/>
            <w:shd w:val="clear" w:color="auto" w:fill="FFFFFF" w:themeFill="background1"/>
          </w:tcPr>
          <w:p w:rsidR="003A2619" w:rsidRPr="00B34EF1" w:rsidRDefault="00B34EF1" w:rsidP="00B34EF1">
            <w:pPr>
              <w:pStyle w:val="TableBodyText"/>
              <w:spacing w:before="60" w:after="60" w:line="220" w:lineRule="atLeast"/>
              <w:ind w:left="-108" w:right="57"/>
              <w:jc w:val="left"/>
              <w:rPr>
                <w:sz w:val="20"/>
              </w:rPr>
            </w:pPr>
            <w:r w:rsidRPr="00B34EF1">
              <w:rPr>
                <w:sz w:val="20"/>
              </w:rPr>
              <w:t>Data are considered complete if all required data are available for all jurisdictions that provide the service.</w:t>
            </w:r>
          </w:p>
        </w:tc>
      </w:tr>
      <w:tr w:rsidR="00666ECE" w:rsidRPr="00666ECE" w:rsidTr="003A2619">
        <w:tc>
          <w:tcPr>
            <w:tcW w:w="2410" w:type="dxa"/>
          </w:tcPr>
          <w:p w:rsidR="00666ECE" w:rsidRPr="00666ECE" w:rsidRDefault="00666ECE" w:rsidP="00666ECE">
            <w:pPr>
              <w:keepNext/>
              <w:keepLines/>
              <w:spacing w:before="60" w:after="60" w:line="220" w:lineRule="atLeast"/>
              <w:ind w:right="113"/>
              <w:rPr>
                <w:rFonts w:ascii="Arial" w:hAnsi="Arial"/>
                <w:b/>
                <w:sz w:val="20"/>
                <w:szCs w:val="20"/>
              </w:rPr>
            </w:pPr>
            <w:r w:rsidRPr="00666ECE">
              <w:rPr>
                <w:rFonts w:ascii="Arial" w:hAnsi="Arial"/>
                <w:b/>
                <w:sz w:val="20"/>
                <w:szCs w:val="20"/>
              </w:rPr>
              <w:t>Full time equivalent student</w:t>
            </w:r>
          </w:p>
        </w:tc>
        <w:tc>
          <w:tcPr>
            <w:tcW w:w="6379" w:type="dxa"/>
          </w:tcPr>
          <w:p w:rsidR="00666ECE" w:rsidRPr="00666ECE" w:rsidRDefault="00666ECE" w:rsidP="00666ECE">
            <w:pPr>
              <w:keepNext/>
              <w:keepLines/>
              <w:spacing w:before="60" w:after="60" w:line="220" w:lineRule="atLeast"/>
              <w:ind w:right="28"/>
              <w:rPr>
                <w:rFonts w:ascii="Arial" w:hAnsi="Arial"/>
                <w:sz w:val="20"/>
                <w:szCs w:val="20"/>
              </w:rPr>
            </w:pPr>
            <w:r w:rsidRPr="00666ECE">
              <w:rPr>
                <w:rFonts w:ascii="Arial" w:hAnsi="Arial"/>
                <w:sz w:val="20"/>
                <w:szCs w:val="20"/>
              </w:rPr>
              <w:t>The FTE of a full time student is 1.0. The method of converting part time student numbers into FTEs is based on the student’s workload compared with the workload usually undertaken by a full time student.</w:t>
            </w:r>
          </w:p>
        </w:tc>
      </w:tr>
      <w:tr w:rsidR="00666ECE" w:rsidRPr="00666ECE" w:rsidTr="003A2619">
        <w:tc>
          <w:tcPr>
            <w:tcW w:w="2410" w:type="dxa"/>
          </w:tcPr>
          <w:p w:rsidR="00666ECE" w:rsidRPr="00666ECE" w:rsidRDefault="00666ECE" w:rsidP="00666ECE">
            <w:pPr>
              <w:keepNext/>
              <w:keepLines/>
              <w:spacing w:before="60" w:after="60" w:line="220" w:lineRule="atLeast"/>
              <w:ind w:right="113"/>
              <w:rPr>
                <w:rFonts w:ascii="Arial" w:hAnsi="Arial"/>
                <w:b/>
                <w:sz w:val="20"/>
                <w:szCs w:val="20"/>
              </w:rPr>
            </w:pPr>
            <w:r w:rsidRPr="00666ECE">
              <w:rPr>
                <w:rFonts w:ascii="Arial" w:hAnsi="Arial"/>
                <w:b/>
                <w:sz w:val="20"/>
                <w:szCs w:val="20"/>
              </w:rPr>
              <w:t>Full time student</w:t>
            </w:r>
          </w:p>
        </w:tc>
        <w:tc>
          <w:tcPr>
            <w:tcW w:w="6379" w:type="dxa"/>
          </w:tcPr>
          <w:p w:rsidR="00666ECE" w:rsidRPr="00666ECE" w:rsidRDefault="00666ECE" w:rsidP="00666ECE">
            <w:pPr>
              <w:keepNext/>
              <w:keepLines/>
              <w:spacing w:before="60" w:after="60" w:line="220" w:lineRule="atLeast"/>
              <w:ind w:right="28"/>
              <w:rPr>
                <w:rFonts w:ascii="Arial" w:hAnsi="Arial"/>
                <w:sz w:val="20"/>
                <w:szCs w:val="20"/>
              </w:rPr>
            </w:pPr>
            <w:r w:rsidRPr="00666ECE">
              <w:rPr>
                <w:rFonts w:ascii="Arial" w:hAnsi="Arial"/>
                <w:sz w:val="20"/>
                <w:szCs w:val="20"/>
              </w:rPr>
              <w:t>A person who satisfies the definition of a student and undertakes a workload equivalent to, or greater than, that usually undertaken by a student of that year level. The definition of full time student varies across jurisdictions.</w:t>
            </w:r>
          </w:p>
        </w:tc>
      </w:tr>
      <w:tr w:rsidR="00666ECE" w:rsidRPr="00666ECE" w:rsidTr="003A2619">
        <w:tc>
          <w:tcPr>
            <w:tcW w:w="2410" w:type="dxa"/>
          </w:tcPr>
          <w:p w:rsidR="00666ECE" w:rsidRPr="00666ECE" w:rsidRDefault="00666ECE" w:rsidP="00666ECE">
            <w:pPr>
              <w:keepNext/>
              <w:keepLines/>
              <w:spacing w:before="60" w:after="60" w:line="220" w:lineRule="atLeast"/>
              <w:ind w:right="113"/>
              <w:rPr>
                <w:rFonts w:ascii="Arial" w:hAnsi="Arial"/>
                <w:b/>
                <w:sz w:val="20"/>
                <w:szCs w:val="20"/>
              </w:rPr>
            </w:pPr>
            <w:r w:rsidRPr="00666ECE">
              <w:rPr>
                <w:rFonts w:ascii="Arial" w:hAnsi="Arial"/>
                <w:b/>
                <w:sz w:val="20"/>
                <w:szCs w:val="20"/>
              </w:rPr>
              <w:t>Geographic classification</w:t>
            </w:r>
          </w:p>
        </w:tc>
        <w:tc>
          <w:tcPr>
            <w:tcW w:w="6379" w:type="dxa"/>
          </w:tcPr>
          <w:p w:rsidR="00666ECE" w:rsidRPr="00666ECE" w:rsidRDefault="00666ECE" w:rsidP="00666ECE">
            <w:pPr>
              <w:keepNext/>
              <w:keepLines/>
              <w:spacing w:before="60" w:after="60" w:line="220" w:lineRule="atLeast"/>
              <w:ind w:right="113"/>
              <w:rPr>
                <w:rFonts w:ascii="Arial" w:hAnsi="Arial"/>
                <w:sz w:val="20"/>
                <w:szCs w:val="20"/>
              </w:rPr>
            </w:pPr>
            <w:r w:rsidRPr="00666ECE">
              <w:rPr>
                <w:rFonts w:ascii="Arial" w:hAnsi="Arial"/>
                <w:sz w:val="20"/>
                <w:szCs w:val="20"/>
              </w:rPr>
              <w:t>Geographic categorisation is based on the agreed MCEECDYA Geographic Location Classification which, at the highest level, divides Australia into three zones (the metropolitan, provincial and remote zones). A further disaggregation comprises five categories: metropolitan and provincial zones each subdivided into two categories, and the remote zone. Further subdivisions of the two provincial zone categories and the remote zone category provide additional, more detailed, classification options. When data permit, a separate very remote zone can be reported along with the metropolitan, provincial and remote zones, as follows.</w:t>
            </w:r>
          </w:p>
          <w:p w:rsidR="00666ECE" w:rsidRPr="00666ECE" w:rsidRDefault="00666ECE" w:rsidP="00666ECE">
            <w:pPr>
              <w:keepNext/>
              <w:keepLines/>
              <w:spacing w:before="60" w:after="60" w:line="220" w:lineRule="atLeast"/>
              <w:ind w:right="113"/>
              <w:rPr>
                <w:rFonts w:ascii="Arial" w:hAnsi="Arial"/>
                <w:sz w:val="20"/>
                <w:szCs w:val="20"/>
              </w:rPr>
            </w:pPr>
            <w:r w:rsidRPr="00666ECE">
              <w:rPr>
                <w:rFonts w:ascii="Arial" w:hAnsi="Arial"/>
                <w:sz w:val="20"/>
                <w:szCs w:val="20"/>
              </w:rPr>
              <w:t>A. Metropolitan zone</w:t>
            </w:r>
          </w:p>
          <w:p w:rsidR="00666ECE" w:rsidRPr="00666ECE" w:rsidRDefault="00666ECE" w:rsidP="00666ECE">
            <w:pPr>
              <w:keepNext/>
              <w:keepLines/>
              <w:numPr>
                <w:ilvl w:val="0"/>
                <w:numId w:val="22"/>
              </w:numPr>
              <w:spacing w:after="40" w:line="220" w:lineRule="atLeast"/>
              <w:ind w:right="113"/>
              <w:rPr>
                <w:rFonts w:ascii="Arial" w:hAnsi="Arial"/>
                <w:sz w:val="20"/>
                <w:szCs w:val="20"/>
              </w:rPr>
            </w:pPr>
            <w:r w:rsidRPr="00666ECE">
              <w:rPr>
                <w:rFonts w:ascii="Arial" w:hAnsi="Arial"/>
                <w:sz w:val="20"/>
                <w:szCs w:val="20"/>
              </w:rPr>
              <w:t>Mainland State capital city regions (Statistical Divisions (SDs)): Sydney, Melbourne, Brisbane, Adelaide and Perth SDs.</w:t>
            </w:r>
          </w:p>
          <w:p w:rsidR="00666ECE" w:rsidRPr="00666ECE" w:rsidRDefault="00666ECE" w:rsidP="00666ECE">
            <w:pPr>
              <w:keepNext/>
              <w:keepLines/>
              <w:numPr>
                <w:ilvl w:val="0"/>
                <w:numId w:val="22"/>
              </w:numPr>
              <w:spacing w:after="40" w:line="220" w:lineRule="atLeast"/>
              <w:ind w:right="113"/>
              <w:rPr>
                <w:rFonts w:ascii="Arial" w:hAnsi="Arial"/>
                <w:sz w:val="20"/>
                <w:szCs w:val="20"/>
              </w:rPr>
            </w:pPr>
            <w:r w:rsidRPr="00666ECE">
              <w:rPr>
                <w:rFonts w:ascii="Arial" w:hAnsi="Arial"/>
                <w:sz w:val="20"/>
                <w:szCs w:val="20"/>
              </w:rPr>
              <w:t>Major urban Statistical Districts (100 000 or more population): ACT–Queanbeyan, Cairns, Gold Coast–Tweed, Geelong, Hobart, Newcastle, Sunshine Coast, Townsville, Wollongong.</w:t>
            </w:r>
          </w:p>
          <w:p w:rsidR="00666ECE" w:rsidRPr="00666ECE" w:rsidRDefault="00666ECE" w:rsidP="00666ECE">
            <w:pPr>
              <w:keepNext/>
              <w:keepLines/>
              <w:spacing w:before="60" w:after="60" w:line="220" w:lineRule="atLeast"/>
              <w:ind w:right="113"/>
              <w:rPr>
                <w:rFonts w:ascii="Arial" w:hAnsi="Arial"/>
                <w:sz w:val="20"/>
                <w:szCs w:val="20"/>
                <w:lang w:val="fr-FR"/>
              </w:rPr>
            </w:pPr>
            <w:r w:rsidRPr="00666ECE">
              <w:rPr>
                <w:rFonts w:ascii="Arial" w:hAnsi="Arial"/>
                <w:sz w:val="20"/>
                <w:szCs w:val="20"/>
                <w:lang w:val="fr-FR"/>
              </w:rPr>
              <w:t>B. Provincial zone (non-remote)</w:t>
            </w:r>
          </w:p>
          <w:p w:rsidR="00666ECE" w:rsidRPr="00666ECE" w:rsidRDefault="00666ECE" w:rsidP="00666ECE">
            <w:pPr>
              <w:keepNext/>
              <w:keepLines/>
              <w:numPr>
                <w:ilvl w:val="0"/>
                <w:numId w:val="22"/>
              </w:numPr>
              <w:spacing w:after="40" w:line="220" w:lineRule="atLeast"/>
              <w:ind w:right="113"/>
              <w:rPr>
                <w:rFonts w:ascii="Arial" w:hAnsi="Arial"/>
                <w:sz w:val="20"/>
                <w:szCs w:val="20"/>
              </w:rPr>
            </w:pPr>
            <w:r w:rsidRPr="00666ECE">
              <w:rPr>
                <w:rFonts w:ascii="Arial" w:hAnsi="Arial"/>
                <w:sz w:val="20"/>
                <w:szCs w:val="20"/>
              </w:rPr>
              <w:t xml:space="preserve">Provincial city Statistical Districts plus Darwin SD. </w:t>
            </w:r>
          </w:p>
          <w:p w:rsidR="00666ECE" w:rsidRPr="00666ECE" w:rsidRDefault="00666ECE" w:rsidP="00666ECE">
            <w:pPr>
              <w:keepNext/>
              <w:keepLines/>
              <w:numPr>
                <w:ilvl w:val="0"/>
                <w:numId w:val="22"/>
              </w:numPr>
              <w:tabs>
                <w:tab w:val="left" w:pos="425"/>
              </w:tabs>
              <w:spacing w:after="40" w:line="220" w:lineRule="atLeast"/>
              <w:ind w:left="425" w:right="113" w:hanging="283"/>
              <w:rPr>
                <w:rFonts w:ascii="Arial" w:hAnsi="Arial"/>
                <w:sz w:val="20"/>
                <w:szCs w:val="20"/>
              </w:rPr>
            </w:pPr>
            <w:r w:rsidRPr="00666ECE">
              <w:rPr>
                <w:rFonts w:ascii="Arial" w:hAnsi="Arial"/>
                <w:sz w:val="20"/>
                <w:szCs w:val="20"/>
              </w:rPr>
              <w:t>Provincial city statistical districts and Darwin statistical division (50 000–99 999 population): Albury–Wodonga, Ballarat, Bathurst–Orange, Burnie-Devonport, Bundaberg, Bendigo, Darwin, Launceston, La Trobe Valley, Mackay, Rockhampton, Toowoomba, Wagga Wagga.</w:t>
            </w:r>
          </w:p>
          <w:p w:rsidR="00666ECE" w:rsidRPr="00666ECE" w:rsidRDefault="00666ECE" w:rsidP="00666ECE">
            <w:pPr>
              <w:keepNext/>
              <w:keepLines/>
              <w:numPr>
                <w:ilvl w:val="0"/>
                <w:numId w:val="22"/>
              </w:numPr>
              <w:tabs>
                <w:tab w:val="left" w:pos="425"/>
              </w:tabs>
              <w:spacing w:after="40" w:line="220" w:lineRule="atLeast"/>
              <w:ind w:left="425" w:right="113" w:hanging="283"/>
              <w:rPr>
                <w:rFonts w:ascii="Arial" w:hAnsi="Arial"/>
                <w:sz w:val="20"/>
                <w:szCs w:val="20"/>
              </w:rPr>
            </w:pPr>
            <w:r w:rsidRPr="00666ECE">
              <w:rPr>
                <w:rFonts w:ascii="Arial" w:hAnsi="Arial"/>
                <w:sz w:val="20"/>
                <w:szCs w:val="20"/>
              </w:rPr>
              <w:t>Provincial City Statistical Districts (25 000–49 999 population): Bunbury, Coffs Harbour, Dubbo, Geraldton, Gladstone, Shepparton, Hervey Bay, Kalgoorlie–Boulder, Lismore, Mandurah, Mildura, Nowra–Bomaderry, Port Macquarie, Tamworth, Warrnambool.</w:t>
            </w:r>
          </w:p>
          <w:p w:rsidR="00666ECE" w:rsidRPr="00666ECE" w:rsidRDefault="00666ECE" w:rsidP="00666ECE">
            <w:pPr>
              <w:keepNext/>
              <w:keepLines/>
              <w:numPr>
                <w:ilvl w:val="0"/>
                <w:numId w:val="22"/>
              </w:numPr>
              <w:spacing w:after="40" w:line="220" w:lineRule="atLeast"/>
              <w:ind w:right="113"/>
              <w:rPr>
                <w:rFonts w:ascii="Arial" w:hAnsi="Arial"/>
                <w:sz w:val="20"/>
                <w:szCs w:val="20"/>
              </w:rPr>
            </w:pPr>
            <w:r w:rsidRPr="00666ECE">
              <w:rPr>
                <w:rFonts w:ascii="Arial" w:hAnsi="Arial"/>
                <w:sz w:val="20"/>
                <w:szCs w:val="20"/>
              </w:rPr>
              <w:t xml:space="preserve">Other provincial areas (CD ARIA Plus score </w:t>
            </w:r>
            <w:r w:rsidRPr="00666ECE">
              <w:rPr>
                <w:rFonts w:ascii="Arial" w:hAnsi="Arial"/>
                <w:sz w:val="20"/>
                <w:szCs w:val="20"/>
                <w:u w:val="single"/>
              </w:rPr>
              <w:t>&lt;</w:t>
            </w:r>
            <w:r w:rsidRPr="00666ECE">
              <w:rPr>
                <w:rFonts w:ascii="Arial" w:hAnsi="Arial"/>
                <w:sz w:val="20"/>
                <w:szCs w:val="20"/>
              </w:rPr>
              <w:t xml:space="preserve"> 5.92)</w:t>
            </w:r>
          </w:p>
          <w:p w:rsidR="00666ECE" w:rsidRPr="00666ECE" w:rsidRDefault="00666ECE" w:rsidP="00666ECE">
            <w:pPr>
              <w:keepNext/>
              <w:keepLines/>
              <w:numPr>
                <w:ilvl w:val="0"/>
                <w:numId w:val="22"/>
              </w:numPr>
              <w:tabs>
                <w:tab w:val="left" w:pos="425"/>
              </w:tabs>
              <w:spacing w:after="40" w:line="220" w:lineRule="atLeast"/>
              <w:ind w:right="113" w:hanging="28"/>
              <w:rPr>
                <w:rFonts w:ascii="Arial" w:hAnsi="Arial"/>
                <w:sz w:val="20"/>
                <w:szCs w:val="20"/>
              </w:rPr>
            </w:pPr>
            <w:r w:rsidRPr="00666ECE">
              <w:rPr>
                <w:rFonts w:ascii="Arial" w:hAnsi="Arial"/>
                <w:sz w:val="20"/>
                <w:szCs w:val="20"/>
              </w:rPr>
              <w:t xml:space="preserve">Inner provincial areas (CD ARIA Plus score </w:t>
            </w:r>
            <w:r w:rsidRPr="00666ECE">
              <w:rPr>
                <w:rFonts w:ascii="Arial" w:hAnsi="Arial"/>
                <w:sz w:val="20"/>
                <w:szCs w:val="20"/>
                <w:u w:val="single"/>
              </w:rPr>
              <w:t>&lt;</w:t>
            </w:r>
            <w:r w:rsidRPr="00666ECE">
              <w:rPr>
                <w:rFonts w:ascii="Arial" w:hAnsi="Arial"/>
                <w:sz w:val="20"/>
                <w:szCs w:val="20"/>
              </w:rPr>
              <w:t xml:space="preserve"> 2.4)</w:t>
            </w:r>
          </w:p>
          <w:p w:rsidR="00666ECE" w:rsidRPr="00666ECE" w:rsidRDefault="00666ECE" w:rsidP="00666ECE">
            <w:pPr>
              <w:keepNext/>
              <w:keepLines/>
              <w:numPr>
                <w:ilvl w:val="0"/>
                <w:numId w:val="22"/>
              </w:numPr>
              <w:tabs>
                <w:tab w:val="left" w:pos="425"/>
              </w:tabs>
              <w:spacing w:after="40" w:line="220" w:lineRule="atLeast"/>
              <w:ind w:right="113" w:hanging="28"/>
              <w:rPr>
                <w:rFonts w:ascii="Arial" w:hAnsi="Arial"/>
                <w:sz w:val="20"/>
                <w:szCs w:val="20"/>
              </w:rPr>
            </w:pPr>
            <w:r w:rsidRPr="00666ECE">
              <w:rPr>
                <w:rFonts w:ascii="Arial" w:hAnsi="Arial"/>
                <w:sz w:val="20"/>
                <w:szCs w:val="20"/>
              </w:rPr>
              <w:lastRenderedPageBreak/>
              <w:t xml:space="preserve">Outer provincial areas (CD ARIA Plus score &gt; 2.4 and </w:t>
            </w:r>
            <w:r w:rsidRPr="00666ECE">
              <w:rPr>
                <w:rFonts w:ascii="Arial" w:hAnsi="Arial"/>
                <w:sz w:val="20"/>
                <w:szCs w:val="20"/>
                <w:u w:val="single"/>
              </w:rPr>
              <w:t>&lt;</w:t>
            </w:r>
            <w:r w:rsidRPr="00666ECE">
              <w:rPr>
                <w:rFonts w:ascii="Arial" w:hAnsi="Arial"/>
                <w:sz w:val="20"/>
                <w:szCs w:val="20"/>
              </w:rPr>
              <w:t xml:space="preserve"> 5.92)</w:t>
            </w:r>
          </w:p>
          <w:p w:rsidR="00666ECE" w:rsidRPr="00666ECE" w:rsidRDefault="00666ECE" w:rsidP="00666ECE">
            <w:pPr>
              <w:keepNext/>
              <w:keepLines/>
              <w:spacing w:before="60" w:after="60" w:line="220" w:lineRule="atLeast"/>
              <w:ind w:right="113"/>
              <w:rPr>
                <w:rFonts w:ascii="Arial" w:hAnsi="Arial"/>
                <w:sz w:val="20"/>
                <w:szCs w:val="20"/>
              </w:rPr>
            </w:pPr>
            <w:r w:rsidRPr="00666ECE">
              <w:rPr>
                <w:rFonts w:ascii="Arial" w:hAnsi="Arial"/>
                <w:sz w:val="20"/>
                <w:szCs w:val="20"/>
              </w:rPr>
              <w:t>C. Remote zone</w:t>
            </w:r>
          </w:p>
          <w:p w:rsidR="00666ECE" w:rsidRPr="00666ECE" w:rsidRDefault="00666ECE" w:rsidP="00666ECE">
            <w:pPr>
              <w:keepNext/>
              <w:keepLines/>
              <w:numPr>
                <w:ilvl w:val="0"/>
                <w:numId w:val="22"/>
              </w:numPr>
              <w:spacing w:after="40" w:line="220" w:lineRule="atLeast"/>
              <w:ind w:right="113"/>
              <w:rPr>
                <w:rFonts w:ascii="Arial" w:hAnsi="Arial"/>
                <w:sz w:val="20"/>
                <w:szCs w:val="20"/>
                <w:lang w:val="fr-FR"/>
              </w:rPr>
            </w:pPr>
            <w:r w:rsidRPr="00666ECE">
              <w:rPr>
                <w:rFonts w:ascii="Arial" w:hAnsi="Arial"/>
                <w:sz w:val="20"/>
                <w:szCs w:val="20"/>
                <w:lang w:val="fr-FR"/>
              </w:rPr>
              <w:t>Remote zone (CD ARIA Plus score &gt; 5.92)</w:t>
            </w:r>
          </w:p>
          <w:p w:rsidR="00666ECE" w:rsidRPr="00666ECE" w:rsidRDefault="00666ECE" w:rsidP="00666ECE">
            <w:pPr>
              <w:keepNext/>
              <w:keepLines/>
              <w:numPr>
                <w:ilvl w:val="0"/>
                <w:numId w:val="22"/>
              </w:numPr>
              <w:tabs>
                <w:tab w:val="left" w:pos="425"/>
              </w:tabs>
              <w:spacing w:after="40" w:line="220" w:lineRule="atLeast"/>
              <w:ind w:right="113" w:hanging="28"/>
              <w:rPr>
                <w:rFonts w:ascii="Arial" w:hAnsi="Arial"/>
                <w:sz w:val="20"/>
                <w:szCs w:val="20"/>
              </w:rPr>
            </w:pPr>
            <w:r w:rsidRPr="00666ECE">
              <w:rPr>
                <w:rFonts w:ascii="Arial" w:hAnsi="Arial"/>
                <w:sz w:val="20"/>
                <w:szCs w:val="20"/>
              </w:rPr>
              <w:t xml:space="preserve">Remote areas (CD ARIA Plus score &gt; 5.92 and </w:t>
            </w:r>
            <w:r w:rsidRPr="00666ECE">
              <w:rPr>
                <w:rFonts w:ascii="Arial" w:hAnsi="Arial"/>
                <w:sz w:val="20"/>
                <w:szCs w:val="20"/>
                <w:u w:val="single"/>
              </w:rPr>
              <w:t xml:space="preserve">&lt; </w:t>
            </w:r>
            <w:r w:rsidRPr="00666ECE">
              <w:rPr>
                <w:rFonts w:ascii="Arial" w:hAnsi="Arial"/>
                <w:sz w:val="20"/>
                <w:szCs w:val="20"/>
              </w:rPr>
              <w:t>10.53)</w:t>
            </w:r>
          </w:p>
          <w:p w:rsidR="00666ECE" w:rsidRPr="00666ECE" w:rsidRDefault="00666ECE" w:rsidP="00666ECE">
            <w:pPr>
              <w:keepNext/>
              <w:keepLines/>
              <w:numPr>
                <w:ilvl w:val="0"/>
                <w:numId w:val="22"/>
              </w:numPr>
              <w:tabs>
                <w:tab w:val="left" w:pos="425"/>
              </w:tabs>
              <w:spacing w:after="40" w:line="220" w:lineRule="atLeast"/>
              <w:ind w:right="113" w:hanging="28"/>
              <w:rPr>
                <w:rFonts w:ascii="Arial" w:hAnsi="Arial"/>
                <w:sz w:val="20"/>
                <w:szCs w:val="20"/>
              </w:rPr>
            </w:pPr>
            <w:r w:rsidRPr="00666ECE">
              <w:rPr>
                <w:rFonts w:ascii="Arial" w:hAnsi="Arial"/>
                <w:sz w:val="20"/>
                <w:szCs w:val="20"/>
              </w:rPr>
              <w:t>Very remote areas (CD ARIA Plus score &gt; 10.53)</w:t>
            </w:r>
          </w:p>
          <w:p w:rsidR="00666ECE" w:rsidRPr="00666ECE" w:rsidRDefault="00666ECE" w:rsidP="00666ECE">
            <w:pPr>
              <w:keepNext/>
              <w:keepLines/>
              <w:tabs>
                <w:tab w:val="left" w:pos="425"/>
              </w:tabs>
              <w:spacing w:after="40" w:line="220" w:lineRule="atLeast"/>
              <w:ind w:left="142" w:right="113"/>
              <w:rPr>
                <w:rFonts w:ascii="Arial" w:hAnsi="Arial"/>
                <w:sz w:val="20"/>
                <w:szCs w:val="20"/>
              </w:rPr>
            </w:pPr>
          </w:p>
        </w:tc>
      </w:tr>
      <w:tr w:rsidR="00666ECE" w:rsidRPr="00666ECE" w:rsidTr="003A2619">
        <w:tc>
          <w:tcPr>
            <w:tcW w:w="2410" w:type="dxa"/>
          </w:tcPr>
          <w:p w:rsidR="00666ECE" w:rsidRPr="00666ECE" w:rsidRDefault="00666ECE" w:rsidP="00666ECE">
            <w:pPr>
              <w:keepNext/>
              <w:keepLines/>
              <w:spacing w:before="60" w:after="60" w:line="220" w:lineRule="atLeast"/>
              <w:ind w:right="113"/>
              <w:rPr>
                <w:rFonts w:ascii="Arial" w:hAnsi="Arial"/>
                <w:b/>
                <w:sz w:val="20"/>
                <w:szCs w:val="20"/>
              </w:rPr>
            </w:pPr>
            <w:r w:rsidRPr="00666ECE">
              <w:rPr>
                <w:rFonts w:ascii="Arial" w:hAnsi="Arial"/>
                <w:b/>
                <w:sz w:val="20"/>
                <w:szCs w:val="20"/>
              </w:rPr>
              <w:lastRenderedPageBreak/>
              <w:t>Government recurrent expenditure per full time equivalent student</w:t>
            </w:r>
          </w:p>
        </w:tc>
        <w:tc>
          <w:tcPr>
            <w:tcW w:w="6379" w:type="dxa"/>
          </w:tcPr>
          <w:p w:rsidR="00666ECE" w:rsidRPr="00666ECE" w:rsidRDefault="00666ECE" w:rsidP="003B6788">
            <w:pPr>
              <w:keepNext/>
              <w:keepLines/>
              <w:spacing w:before="60" w:after="60" w:line="220" w:lineRule="atLeast"/>
              <w:ind w:right="113"/>
              <w:rPr>
                <w:rFonts w:ascii="Arial" w:hAnsi="Arial"/>
                <w:sz w:val="20"/>
                <w:szCs w:val="20"/>
              </w:rPr>
            </w:pPr>
            <w:r w:rsidRPr="00666ECE">
              <w:rPr>
                <w:rFonts w:ascii="Arial" w:hAnsi="Arial"/>
                <w:sz w:val="20"/>
                <w:szCs w:val="20"/>
              </w:rPr>
              <w:t>Total government recurrent expenditure divided by the total number of FTE students. Expenditure is based on the National School Statistics Collection (</w:t>
            </w:r>
            <w:r w:rsidR="00F73140">
              <w:rPr>
                <w:rFonts w:ascii="Arial" w:hAnsi="Arial"/>
                <w:sz w:val="20"/>
                <w:szCs w:val="20"/>
              </w:rPr>
              <w:t>SCSEEC</w:t>
            </w:r>
            <w:r w:rsidRPr="00666ECE">
              <w:rPr>
                <w:rFonts w:ascii="Arial" w:hAnsi="Arial"/>
                <w:sz w:val="20"/>
                <w:szCs w:val="20"/>
              </w:rPr>
              <w:t xml:space="preserve"> unpublished), with adjustments for notional UCC charges and payroll tax. Notional UCC is included for all jurisdictions and payroll tax estimates are included for those jurisdictions not subject to it (WA and the ACT). Expenditure figures are in financial years and student numbers are in calendar years, so the total number of students is taken as the average of the two years spanned by the calendar year. When calculating the </w:t>
            </w:r>
            <w:r w:rsidR="00F73140">
              <w:rPr>
                <w:rFonts w:ascii="Arial" w:hAnsi="Arial"/>
                <w:sz w:val="20"/>
                <w:szCs w:val="20"/>
              </w:rPr>
              <w:t>201</w:t>
            </w:r>
            <w:r w:rsidR="003B6788">
              <w:rPr>
                <w:rFonts w:ascii="Arial" w:hAnsi="Arial"/>
                <w:sz w:val="20"/>
                <w:szCs w:val="20"/>
              </w:rPr>
              <w:t>2</w:t>
            </w:r>
            <w:r w:rsidR="00F73140">
              <w:rPr>
                <w:rFonts w:ascii="Arial" w:hAnsi="Arial"/>
                <w:sz w:val="20"/>
                <w:szCs w:val="20"/>
              </w:rPr>
              <w:t>-1</w:t>
            </w:r>
            <w:r w:rsidR="003B6788">
              <w:rPr>
                <w:rFonts w:ascii="Arial" w:hAnsi="Arial"/>
                <w:sz w:val="20"/>
                <w:szCs w:val="20"/>
              </w:rPr>
              <w:t>3</w:t>
            </w:r>
            <w:r w:rsidRPr="00666ECE">
              <w:rPr>
                <w:rFonts w:ascii="Arial" w:hAnsi="Arial"/>
                <w:sz w:val="20"/>
                <w:szCs w:val="20"/>
              </w:rPr>
              <w:t xml:space="preserve"> average expenditure per student, for example, the total expenditure figure is at </w:t>
            </w:r>
            <w:r w:rsidR="00F73140">
              <w:rPr>
                <w:rFonts w:ascii="Arial" w:hAnsi="Arial"/>
                <w:sz w:val="20"/>
                <w:szCs w:val="20"/>
              </w:rPr>
              <w:t>201</w:t>
            </w:r>
            <w:r w:rsidR="003B6788">
              <w:rPr>
                <w:rFonts w:ascii="Arial" w:hAnsi="Arial"/>
                <w:sz w:val="20"/>
                <w:szCs w:val="20"/>
              </w:rPr>
              <w:t>2</w:t>
            </w:r>
            <w:r w:rsidR="00F73140">
              <w:rPr>
                <w:rFonts w:ascii="Arial" w:hAnsi="Arial"/>
                <w:sz w:val="20"/>
                <w:szCs w:val="20"/>
              </w:rPr>
              <w:t>-1</w:t>
            </w:r>
            <w:r w:rsidR="003B6788">
              <w:rPr>
                <w:rFonts w:ascii="Arial" w:hAnsi="Arial"/>
                <w:sz w:val="20"/>
                <w:szCs w:val="20"/>
              </w:rPr>
              <w:t>3</w:t>
            </w:r>
            <w:r w:rsidRPr="00666ECE">
              <w:rPr>
                <w:rFonts w:ascii="Arial" w:hAnsi="Arial"/>
                <w:sz w:val="20"/>
                <w:szCs w:val="20"/>
              </w:rPr>
              <w:t xml:space="preserve"> but the total student number figure is the average of student numbers from 20</w:t>
            </w:r>
            <w:r w:rsidR="00F73140">
              <w:rPr>
                <w:rFonts w:ascii="Arial" w:hAnsi="Arial"/>
                <w:sz w:val="20"/>
                <w:szCs w:val="20"/>
              </w:rPr>
              <w:t>1</w:t>
            </w:r>
            <w:r w:rsidR="003B6788">
              <w:rPr>
                <w:rFonts w:ascii="Arial" w:hAnsi="Arial"/>
                <w:sz w:val="20"/>
                <w:szCs w:val="20"/>
              </w:rPr>
              <w:t>2</w:t>
            </w:r>
            <w:r w:rsidRPr="00666ECE">
              <w:rPr>
                <w:rFonts w:ascii="Arial" w:hAnsi="Arial"/>
                <w:sz w:val="20"/>
                <w:szCs w:val="20"/>
              </w:rPr>
              <w:t xml:space="preserve"> and 201</w:t>
            </w:r>
            <w:r w:rsidR="003B6788">
              <w:rPr>
                <w:rFonts w:ascii="Arial" w:hAnsi="Arial"/>
                <w:sz w:val="20"/>
                <w:szCs w:val="20"/>
              </w:rPr>
              <w:t>3</w:t>
            </w:r>
            <w:r w:rsidRPr="00666ECE">
              <w:rPr>
                <w:rFonts w:ascii="Arial" w:hAnsi="Arial"/>
                <w:sz w:val="20"/>
                <w:szCs w:val="20"/>
              </w:rPr>
              <w:t>.</w:t>
            </w:r>
          </w:p>
        </w:tc>
      </w:tr>
      <w:tr w:rsidR="00666ECE" w:rsidRPr="00666ECE" w:rsidTr="003A2619">
        <w:tc>
          <w:tcPr>
            <w:tcW w:w="2410" w:type="dxa"/>
          </w:tcPr>
          <w:p w:rsidR="00666ECE" w:rsidRPr="00666ECE" w:rsidRDefault="000C2ECE" w:rsidP="00666ECE">
            <w:pPr>
              <w:keepNext/>
              <w:keepLines/>
              <w:spacing w:before="60" w:after="60" w:line="220" w:lineRule="atLeast"/>
              <w:ind w:right="113"/>
              <w:rPr>
                <w:rFonts w:ascii="Arial" w:hAnsi="Arial"/>
                <w:b/>
                <w:sz w:val="20"/>
                <w:szCs w:val="20"/>
              </w:rPr>
            </w:pPr>
            <w:r>
              <w:rPr>
                <w:rFonts w:ascii="Arial" w:hAnsi="Arial"/>
                <w:b/>
                <w:sz w:val="20"/>
                <w:szCs w:val="20"/>
              </w:rPr>
              <w:t>Aboriginal and Torres Strait Islander</w:t>
            </w:r>
            <w:r w:rsidR="00666ECE" w:rsidRPr="00666ECE">
              <w:rPr>
                <w:rFonts w:ascii="Arial" w:hAnsi="Arial"/>
                <w:b/>
                <w:sz w:val="20"/>
                <w:szCs w:val="20"/>
              </w:rPr>
              <w:t xml:space="preserve"> student</w:t>
            </w:r>
            <w:r>
              <w:rPr>
                <w:rFonts w:ascii="Arial" w:hAnsi="Arial"/>
                <w:b/>
                <w:sz w:val="20"/>
                <w:szCs w:val="20"/>
              </w:rPr>
              <w:t>s</w:t>
            </w:r>
          </w:p>
        </w:tc>
        <w:tc>
          <w:tcPr>
            <w:tcW w:w="6379" w:type="dxa"/>
          </w:tcPr>
          <w:p w:rsidR="00666ECE" w:rsidRPr="00666ECE" w:rsidRDefault="000C2ECE" w:rsidP="000C2ECE">
            <w:pPr>
              <w:keepNext/>
              <w:keepLines/>
              <w:spacing w:before="60" w:after="60" w:line="220" w:lineRule="atLeast"/>
              <w:ind w:right="28"/>
              <w:rPr>
                <w:rFonts w:ascii="Arial" w:hAnsi="Arial"/>
                <w:sz w:val="20"/>
                <w:szCs w:val="20"/>
              </w:rPr>
            </w:pPr>
            <w:r>
              <w:rPr>
                <w:rFonts w:ascii="Arial" w:hAnsi="Arial"/>
                <w:sz w:val="20"/>
                <w:szCs w:val="20"/>
              </w:rPr>
              <w:t>Students</w:t>
            </w:r>
            <w:r w:rsidR="00666ECE" w:rsidRPr="00666ECE">
              <w:rPr>
                <w:rFonts w:ascii="Arial" w:hAnsi="Arial"/>
                <w:sz w:val="20"/>
                <w:szCs w:val="20"/>
              </w:rPr>
              <w:t xml:space="preserve"> of Aboriginal or Torres Strait Islander origin who identif</w:t>
            </w:r>
            <w:r>
              <w:rPr>
                <w:rFonts w:ascii="Arial" w:hAnsi="Arial"/>
                <w:sz w:val="20"/>
                <w:szCs w:val="20"/>
              </w:rPr>
              <w:t>y</w:t>
            </w:r>
            <w:r w:rsidR="00666ECE" w:rsidRPr="00666ECE">
              <w:rPr>
                <w:rFonts w:ascii="Arial" w:hAnsi="Arial"/>
                <w:sz w:val="20"/>
                <w:szCs w:val="20"/>
              </w:rPr>
              <w:t xml:space="preserve"> as being an Aboriginal or Torres Strait Islander or from an Aboriginal and Torres Strait Islander background. Administrative processes for determining Indigenous status vary across jurisdictions. For NAPLAN data, a student is considered to be 'Indigenous' if he or she identifies as being of Aboriginal and/or Torres Strait Islander origin.</w:t>
            </w:r>
          </w:p>
        </w:tc>
      </w:tr>
      <w:tr w:rsidR="00666ECE" w:rsidRPr="00666ECE" w:rsidTr="003A2619">
        <w:tc>
          <w:tcPr>
            <w:tcW w:w="2410" w:type="dxa"/>
          </w:tcPr>
          <w:p w:rsidR="00666ECE" w:rsidRPr="00666ECE" w:rsidRDefault="00666ECE" w:rsidP="00666ECE">
            <w:pPr>
              <w:keepNext/>
              <w:keepLines/>
              <w:spacing w:before="60" w:after="60" w:line="220" w:lineRule="atLeast"/>
              <w:ind w:right="113"/>
              <w:rPr>
                <w:rFonts w:ascii="Arial" w:hAnsi="Arial"/>
                <w:b/>
                <w:sz w:val="20"/>
                <w:szCs w:val="20"/>
              </w:rPr>
            </w:pPr>
            <w:r w:rsidRPr="00666ECE">
              <w:rPr>
                <w:rFonts w:ascii="Arial" w:hAnsi="Arial"/>
                <w:b/>
                <w:sz w:val="20"/>
                <w:szCs w:val="20"/>
              </w:rPr>
              <w:t>In-school costs</w:t>
            </w:r>
          </w:p>
        </w:tc>
        <w:tc>
          <w:tcPr>
            <w:tcW w:w="6379" w:type="dxa"/>
          </w:tcPr>
          <w:p w:rsidR="00666ECE" w:rsidRPr="00666ECE" w:rsidRDefault="00666ECE" w:rsidP="00666ECE">
            <w:pPr>
              <w:keepNext/>
              <w:keepLines/>
              <w:spacing w:before="60" w:after="60" w:line="220" w:lineRule="atLeast"/>
              <w:ind w:right="113"/>
              <w:rPr>
                <w:rFonts w:ascii="Arial" w:hAnsi="Arial"/>
                <w:sz w:val="20"/>
                <w:szCs w:val="20"/>
              </w:rPr>
            </w:pPr>
            <w:r w:rsidRPr="00666ECE">
              <w:rPr>
                <w:rFonts w:ascii="Arial" w:hAnsi="Arial"/>
                <w:sz w:val="20"/>
                <w:szCs w:val="20"/>
              </w:rPr>
              <w:t xml:space="preserve">Costs relating directly to schools. Staff, for example, are categorised as being either in-school or out-of-school. They are categorised as </w:t>
            </w:r>
            <w:r w:rsidRPr="00666ECE">
              <w:rPr>
                <w:rFonts w:ascii="Arial" w:hAnsi="Arial"/>
                <w:sz w:val="20"/>
                <w:szCs w:val="20"/>
              </w:rPr>
              <w:br/>
              <w:t>in-school if they usually spend more than half of their time actively engaged in duties at one or more schools or ancillary education establishments. In-school employee related expenses, for example, represent all salaries, wages awards, allowances and related on costs paid to in-school staff.</w:t>
            </w:r>
          </w:p>
        </w:tc>
      </w:tr>
      <w:tr w:rsidR="00666ECE" w:rsidRPr="00666ECE" w:rsidTr="003A2619">
        <w:tc>
          <w:tcPr>
            <w:tcW w:w="2410" w:type="dxa"/>
          </w:tcPr>
          <w:p w:rsidR="00666ECE" w:rsidRPr="00666ECE" w:rsidRDefault="00666ECE" w:rsidP="00666ECE">
            <w:pPr>
              <w:keepNext/>
              <w:keepLines/>
              <w:spacing w:before="60" w:after="60" w:line="220" w:lineRule="atLeast"/>
              <w:ind w:right="113"/>
              <w:rPr>
                <w:rFonts w:ascii="Arial" w:hAnsi="Arial"/>
                <w:b/>
                <w:sz w:val="20"/>
                <w:szCs w:val="20"/>
              </w:rPr>
            </w:pPr>
            <w:r w:rsidRPr="00666ECE">
              <w:rPr>
                <w:rFonts w:ascii="Arial" w:hAnsi="Arial"/>
                <w:b/>
                <w:sz w:val="20"/>
                <w:szCs w:val="20"/>
              </w:rPr>
              <w:t>Language background other than English (LBOTE) student</w:t>
            </w:r>
          </w:p>
        </w:tc>
        <w:tc>
          <w:tcPr>
            <w:tcW w:w="6379" w:type="dxa"/>
          </w:tcPr>
          <w:p w:rsidR="00666ECE" w:rsidRPr="00666ECE" w:rsidRDefault="00666ECE" w:rsidP="0066655C">
            <w:pPr>
              <w:keepNext/>
              <w:keepLines/>
              <w:spacing w:before="60" w:after="60" w:line="220" w:lineRule="atLeast"/>
              <w:ind w:right="28"/>
              <w:rPr>
                <w:rFonts w:ascii="Arial" w:hAnsi="Arial"/>
                <w:sz w:val="20"/>
                <w:szCs w:val="20"/>
              </w:rPr>
            </w:pPr>
            <w:r w:rsidRPr="00666ECE">
              <w:rPr>
                <w:rFonts w:ascii="Arial" w:hAnsi="Arial"/>
                <w:sz w:val="20"/>
                <w:szCs w:val="20"/>
              </w:rPr>
              <w:t xml:space="preserve">A status that is determined by administrative processes that vary across jurisdictions. For NAPLAN data, a student is considered to be 'LBOTE' if either the student or parents/guardians speak a language other than English at home. </w:t>
            </w:r>
            <w:r w:rsidR="00F73140">
              <w:rPr>
                <w:rFonts w:ascii="Arial" w:hAnsi="Arial"/>
                <w:sz w:val="20"/>
                <w:szCs w:val="20"/>
              </w:rPr>
              <w:t>Separately, data are also sourced from the 2011 Census of Population and Housing</w:t>
            </w:r>
            <w:r w:rsidR="0066655C">
              <w:rPr>
                <w:rFonts w:ascii="Arial" w:hAnsi="Arial"/>
                <w:sz w:val="20"/>
                <w:szCs w:val="20"/>
              </w:rPr>
              <w:t>.</w:t>
            </w:r>
          </w:p>
        </w:tc>
      </w:tr>
      <w:tr w:rsidR="00666ECE" w:rsidRPr="00666ECE" w:rsidTr="003A2619">
        <w:tc>
          <w:tcPr>
            <w:tcW w:w="2410" w:type="dxa"/>
          </w:tcPr>
          <w:p w:rsidR="00666ECE" w:rsidRPr="00666ECE" w:rsidRDefault="00666ECE" w:rsidP="00666ECE">
            <w:pPr>
              <w:keepNext/>
              <w:keepLines/>
              <w:spacing w:before="60" w:after="60" w:line="220" w:lineRule="atLeast"/>
              <w:ind w:right="113"/>
              <w:rPr>
                <w:rFonts w:ascii="Arial" w:hAnsi="Arial"/>
                <w:b/>
                <w:sz w:val="20"/>
                <w:szCs w:val="20"/>
              </w:rPr>
            </w:pPr>
            <w:r w:rsidRPr="00666ECE">
              <w:rPr>
                <w:rFonts w:ascii="Arial" w:hAnsi="Arial"/>
                <w:b/>
                <w:sz w:val="20"/>
                <w:szCs w:val="20"/>
              </w:rPr>
              <w:t>Out-of-school costs</w:t>
            </w:r>
          </w:p>
        </w:tc>
        <w:tc>
          <w:tcPr>
            <w:tcW w:w="6379" w:type="dxa"/>
          </w:tcPr>
          <w:p w:rsidR="00666ECE" w:rsidRPr="00666ECE" w:rsidRDefault="00666ECE" w:rsidP="00666ECE">
            <w:pPr>
              <w:keepNext/>
              <w:keepLines/>
              <w:spacing w:before="60" w:after="60" w:line="220" w:lineRule="atLeast"/>
              <w:ind w:right="113"/>
              <w:rPr>
                <w:rFonts w:ascii="Arial" w:hAnsi="Arial"/>
                <w:sz w:val="20"/>
                <w:szCs w:val="20"/>
              </w:rPr>
            </w:pPr>
            <w:r w:rsidRPr="00666ECE">
              <w:rPr>
                <w:rFonts w:ascii="Arial" w:hAnsi="Arial"/>
                <w:sz w:val="20"/>
                <w:szCs w:val="20"/>
              </w:rPr>
              <w:t>Costs relating indirectly to schools. Staff, for example, are categorised as being either in-school or out-of-school. They are categorised as out-of-school if they do not usually spend more than half of their time actively engaged in duties at one or more schools or ancillary education establishments. Out-of-school employee related expenses, for example, represent all salaries, wages awards, allowances and related on costs paid to out-of-school staff.</w:t>
            </w:r>
          </w:p>
        </w:tc>
      </w:tr>
      <w:tr w:rsidR="00666ECE" w:rsidRPr="00666ECE" w:rsidTr="003A2619">
        <w:tc>
          <w:tcPr>
            <w:tcW w:w="2410" w:type="dxa"/>
          </w:tcPr>
          <w:p w:rsidR="00666ECE" w:rsidRPr="00666ECE" w:rsidRDefault="00666ECE" w:rsidP="00666ECE">
            <w:pPr>
              <w:keepNext/>
              <w:keepLines/>
              <w:spacing w:before="60" w:after="60" w:line="220" w:lineRule="atLeast"/>
              <w:ind w:right="113"/>
              <w:rPr>
                <w:rFonts w:ascii="Arial" w:hAnsi="Arial"/>
                <w:b/>
                <w:sz w:val="20"/>
                <w:szCs w:val="20"/>
              </w:rPr>
            </w:pPr>
            <w:r w:rsidRPr="00666ECE">
              <w:rPr>
                <w:rFonts w:ascii="Arial" w:hAnsi="Arial"/>
                <w:b/>
                <w:sz w:val="20"/>
                <w:szCs w:val="20"/>
              </w:rPr>
              <w:t>Part time student</w:t>
            </w:r>
          </w:p>
        </w:tc>
        <w:tc>
          <w:tcPr>
            <w:tcW w:w="6379" w:type="dxa"/>
          </w:tcPr>
          <w:p w:rsidR="00666ECE" w:rsidRPr="00666ECE" w:rsidRDefault="00666ECE" w:rsidP="00666ECE">
            <w:pPr>
              <w:keepNext/>
              <w:keepLines/>
              <w:spacing w:before="60" w:after="60" w:line="220" w:lineRule="atLeast"/>
              <w:ind w:right="28"/>
              <w:rPr>
                <w:rFonts w:ascii="Arial" w:hAnsi="Arial"/>
                <w:sz w:val="20"/>
                <w:szCs w:val="20"/>
              </w:rPr>
            </w:pPr>
            <w:r w:rsidRPr="00666ECE">
              <w:rPr>
                <w:rFonts w:ascii="Arial" w:hAnsi="Arial"/>
                <w:sz w:val="20"/>
                <w:szCs w:val="20"/>
              </w:rPr>
              <w:t>A student undertaking a workload that is less than that specified as being full time in the jurisdiction</w:t>
            </w:r>
            <w:r w:rsidR="00AF6FB4">
              <w:rPr>
                <w:rFonts w:ascii="Arial" w:hAnsi="Arial"/>
                <w:sz w:val="20"/>
                <w:szCs w:val="20"/>
              </w:rPr>
              <w:t>.</w:t>
            </w:r>
          </w:p>
        </w:tc>
      </w:tr>
      <w:tr w:rsidR="00666ECE" w:rsidRPr="00666ECE" w:rsidTr="003A2619">
        <w:tc>
          <w:tcPr>
            <w:tcW w:w="2410" w:type="dxa"/>
          </w:tcPr>
          <w:p w:rsidR="00666ECE" w:rsidRPr="00666ECE" w:rsidRDefault="00666ECE" w:rsidP="00666ECE">
            <w:pPr>
              <w:keepNext/>
              <w:keepLines/>
              <w:spacing w:before="60" w:after="60" w:line="220" w:lineRule="atLeast"/>
              <w:ind w:right="113"/>
              <w:rPr>
                <w:rFonts w:ascii="Arial" w:hAnsi="Arial"/>
                <w:b/>
                <w:sz w:val="20"/>
                <w:szCs w:val="20"/>
              </w:rPr>
            </w:pPr>
            <w:r w:rsidRPr="00666ECE">
              <w:rPr>
                <w:rFonts w:ascii="Arial" w:hAnsi="Arial"/>
                <w:b/>
                <w:sz w:val="20"/>
                <w:szCs w:val="20"/>
              </w:rPr>
              <w:t>Participation rate</w:t>
            </w:r>
          </w:p>
        </w:tc>
        <w:tc>
          <w:tcPr>
            <w:tcW w:w="6379" w:type="dxa"/>
          </w:tcPr>
          <w:p w:rsidR="00666ECE" w:rsidRPr="00666ECE" w:rsidRDefault="00666ECE" w:rsidP="00666ECE">
            <w:pPr>
              <w:keepNext/>
              <w:keepLines/>
              <w:spacing w:before="60" w:after="60" w:line="220" w:lineRule="atLeast"/>
              <w:ind w:right="113"/>
              <w:rPr>
                <w:rFonts w:ascii="Arial" w:hAnsi="Arial"/>
                <w:sz w:val="20"/>
                <w:szCs w:val="20"/>
              </w:rPr>
            </w:pPr>
            <w:r w:rsidRPr="00666ECE">
              <w:rPr>
                <w:rFonts w:ascii="Arial" w:hAnsi="Arial"/>
                <w:sz w:val="20"/>
                <w:szCs w:val="20"/>
              </w:rPr>
              <w:t>The number of full time and part time school students of a particular age (as at 1 July), expressed as a proportion of the estimated resident population of the same age (as at 30 June).</w:t>
            </w:r>
          </w:p>
        </w:tc>
      </w:tr>
      <w:tr w:rsidR="00666ECE" w:rsidRPr="00666ECE" w:rsidTr="003A2619">
        <w:tc>
          <w:tcPr>
            <w:tcW w:w="2410" w:type="dxa"/>
          </w:tcPr>
          <w:p w:rsidR="00666ECE" w:rsidRPr="00666ECE" w:rsidRDefault="00666ECE" w:rsidP="00666ECE">
            <w:pPr>
              <w:keepNext/>
              <w:keepLines/>
              <w:spacing w:before="60" w:after="60" w:line="220" w:lineRule="atLeast"/>
              <w:ind w:right="113"/>
              <w:rPr>
                <w:rFonts w:ascii="Arial" w:hAnsi="Arial"/>
                <w:b/>
                <w:sz w:val="20"/>
                <w:szCs w:val="20"/>
              </w:rPr>
            </w:pPr>
            <w:r w:rsidRPr="00666ECE">
              <w:rPr>
                <w:rFonts w:ascii="Arial" w:hAnsi="Arial"/>
                <w:b/>
                <w:sz w:val="20"/>
                <w:szCs w:val="20"/>
              </w:rPr>
              <w:t>Potential year 12 population</w:t>
            </w:r>
          </w:p>
        </w:tc>
        <w:tc>
          <w:tcPr>
            <w:tcW w:w="6379" w:type="dxa"/>
          </w:tcPr>
          <w:p w:rsidR="00666ECE" w:rsidRDefault="00666ECE" w:rsidP="00666ECE">
            <w:pPr>
              <w:keepNext/>
              <w:keepLines/>
              <w:spacing w:before="60" w:after="60" w:line="220" w:lineRule="atLeast"/>
              <w:ind w:right="113"/>
              <w:rPr>
                <w:rFonts w:ascii="Arial" w:hAnsi="Arial"/>
                <w:sz w:val="20"/>
                <w:szCs w:val="20"/>
              </w:rPr>
            </w:pPr>
            <w:r w:rsidRPr="00666ECE">
              <w:rPr>
                <w:rFonts w:ascii="Arial" w:hAnsi="Arial"/>
                <w:sz w:val="20"/>
                <w:szCs w:val="20"/>
              </w:rPr>
              <w:t>An estimate of a single-year age group that could have participated in year 12 that year, defined as the estimated resident population aged 15–19 years, divided by 5.</w:t>
            </w:r>
          </w:p>
          <w:p w:rsidR="008F4CC2" w:rsidRPr="00666ECE" w:rsidRDefault="008F4CC2" w:rsidP="00666ECE">
            <w:pPr>
              <w:keepNext/>
              <w:keepLines/>
              <w:spacing w:before="60" w:after="60" w:line="220" w:lineRule="atLeast"/>
              <w:ind w:right="113"/>
              <w:rPr>
                <w:rFonts w:ascii="Arial" w:hAnsi="Arial"/>
                <w:sz w:val="20"/>
                <w:szCs w:val="20"/>
              </w:rPr>
            </w:pPr>
          </w:p>
        </w:tc>
      </w:tr>
      <w:tr w:rsidR="00666ECE" w:rsidRPr="00666ECE" w:rsidTr="003A2619">
        <w:tc>
          <w:tcPr>
            <w:tcW w:w="2410" w:type="dxa"/>
          </w:tcPr>
          <w:p w:rsidR="00666ECE" w:rsidRPr="00666ECE" w:rsidRDefault="00666ECE" w:rsidP="00666ECE">
            <w:pPr>
              <w:keepNext/>
              <w:keepLines/>
              <w:spacing w:before="60" w:after="60" w:line="220" w:lineRule="atLeast"/>
              <w:ind w:right="113"/>
              <w:rPr>
                <w:rFonts w:ascii="Arial" w:hAnsi="Arial"/>
                <w:b/>
                <w:sz w:val="20"/>
                <w:szCs w:val="20"/>
              </w:rPr>
            </w:pPr>
            <w:r w:rsidRPr="00666ECE">
              <w:rPr>
                <w:rFonts w:ascii="Arial" w:hAnsi="Arial"/>
                <w:b/>
                <w:sz w:val="20"/>
                <w:szCs w:val="20"/>
              </w:rPr>
              <w:lastRenderedPageBreak/>
              <w:t>Real expenditure</w:t>
            </w:r>
          </w:p>
        </w:tc>
        <w:tc>
          <w:tcPr>
            <w:tcW w:w="6379" w:type="dxa"/>
          </w:tcPr>
          <w:p w:rsidR="00666ECE" w:rsidRPr="00666ECE" w:rsidRDefault="00666ECE" w:rsidP="00666ECE">
            <w:pPr>
              <w:keepNext/>
              <w:keepLines/>
              <w:spacing w:before="60" w:after="60" w:line="220" w:lineRule="atLeast"/>
              <w:ind w:right="28"/>
              <w:rPr>
                <w:rFonts w:ascii="Arial" w:hAnsi="Arial"/>
                <w:sz w:val="20"/>
                <w:szCs w:val="20"/>
              </w:rPr>
            </w:pPr>
            <w:r w:rsidRPr="00666ECE">
              <w:rPr>
                <w:rFonts w:ascii="Arial" w:hAnsi="Arial"/>
                <w:sz w:val="20"/>
                <w:szCs w:val="20"/>
              </w:rPr>
              <w:t>Nominal expenditure adjusted for changes in prices, using the GDP price deflator and expressed in terms of final year prices.</w:t>
            </w:r>
          </w:p>
        </w:tc>
      </w:tr>
      <w:tr w:rsidR="00666ECE" w:rsidRPr="00666ECE" w:rsidTr="003A2619">
        <w:tc>
          <w:tcPr>
            <w:tcW w:w="2410" w:type="dxa"/>
          </w:tcPr>
          <w:p w:rsidR="00666ECE" w:rsidRPr="00666ECE" w:rsidRDefault="00666ECE" w:rsidP="00666ECE">
            <w:pPr>
              <w:keepNext/>
              <w:keepLines/>
              <w:spacing w:before="60" w:after="60" w:line="220" w:lineRule="atLeast"/>
              <w:ind w:right="113"/>
              <w:rPr>
                <w:rFonts w:ascii="Arial" w:hAnsi="Arial"/>
                <w:b/>
                <w:sz w:val="20"/>
                <w:szCs w:val="20"/>
              </w:rPr>
            </w:pPr>
            <w:r w:rsidRPr="00666ECE">
              <w:rPr>
                <w:rFonts w:ascii="Arial" w:hAnsi="Arial"/>
                <w:b/>
                <w:sz w:val="20"/>
                <w:szCs w:val="20"/>
              </w:rPr>
              <w:t>Science literacy</w:t>
            </w:r>
          </w:p>
        </w:tc>
        <w:tc>
          <w:tcPr>
            <w:tcW w:w="6379" w:type="dxa"/>
          </w:tcPr>
          <w:p w:rsidR="00666ECE" w:rsidRPr="00666ECE" w:rsidRDefault="00666ECE" w:rsidP="00666ECE">
            <w:pPr>
              <w:keepNext/>
              <w:keepLines/>
              <w:spacing w:before="60" w:after="60" w:line="220" w:lineRule="atLeast"/>
              <w:ind w:right="113"/>
              <w:rPr>
                <w:rFonts w:ascii="Arial" w:hAnsi="Arial"/>
                <w:sz w:val="20"/>
                <w:szCs w:val="20"/>
              </w:rPr>
            </w:pPr>
            <w:r w:rsidRPr="00666ECE">
              <w:rPr>
                <w:rFonts w:ascii="Arial" w:hAnsi="Arial"/>
                <w:sz w:val="20"/>
                <w:szCs w:val="20"/>
              </w:rPr>
              <w:t>Science literacy and scientific literacy: the application of broad conceptual understandings of science to make sense of the world, understand natural phenomena, and interpret media reports about scientific issues. It also includes asking investigable questions, conducting investigations, collecting and interpreting data and making decisions.</w:t>
            </w:r>
          </w:p>
        </w:tc>
      </w:tr>
      <w:tr w:rsidR="00666ECE" w:rsidRPr="00666ECE" w:rsidTr="003A2619">
        <w:tc>
          <w:tcPr>
            <w:tcW w:w="2410" w:type="dxa"/>
          </w:tcPr>
          <w:p w:rsidR="00666ECE" w:rsidRPr="00666ECE" w:rsidRDefault="00666ECE" w:rsidP="00666ECE">
            <w:pPr>
              <w:keepNext/>
              <w:keepLines/>
              <w:spacing w:before="60" w:after="60" w:line="220" w:lineRule="atLeast"/>
              <w:ind w:right="113"/>
              <w:rPr>
                <w:rFonts w:ascii="Arial" w:hAnsi="Arial"/>
                <w:b/>
                <w:sz w:val="20"/>
                <w:szCs w:val="20"/>
              </w:rPr>
            </w:pPr>
            <w:r w:rsidRPr="00666ECE">
              <w:rPr>
                <w:rFonts w:ascii="Arial" w:hAnsi="Arial"/>
                <w:b/>
                <w:sz w:val="20"/>
                <w:szCs w:val="20"/>
              </w:rPr>
              <w:t>Socio</w:t>
            </w:r>
            <w:r w:rsidR="009131A4">
              <w:rPr>
                <w:rFonts w:ascii="Arial" w:hAnsi="Arial"/>
                <w:b/>
                <w:sz w:val="20"/>
                <w:szCs w:val="20"/>
              </w:rPr>
              <w:t>-</w:t>
            </w:r>
            <w:r w:rsidRPr="00666ECE">
              <w:rPr>
                <w:rFonts w:ascii="Arial" w:hAnsi="Arial"/>
                <w:b/>
                <w:sz w:val="20"/>
                <w:szCs w:val="20"/>
              </w:rPr>
              <w:t>economic status</w:t>
            </w:r>
          </w:p>
        </w:tc>
        <w:tc>
          <w:tcPr>
            <w:tcW w:w="6379" w:type="dxa"/>
          </w:tcPr>
          <w:p w:rsidR="00666ECE" w:rsidRPr="00666ECE" w:rsidRDefault="00666ECE" w:rsidP="00666ECE">
            <w:pPr>
              <w:keepNext/>
              <w:keepLines/>
              <w:spacing w:before="60" w:after="60" w:line="220" w:lineRule="atLeast"/>
              <w:ind w:right="28"/>
              <w:rPr>
                <w:rFonts w:ascii="Arial" w:hAnsi="Arial"/>
                <w:sz w:val="20"/>
                <w:szCs w:val="20"/>
              </w:rPr>
            </w:pPr>
            <w:r w:rsidRPr="00666ECE">
              <w:rPr>
                <w:rFonts w:ascii="Arial" w:hAnsi="Arial"/>
                <w:sz w:val="20"/>
                <w:szCs w:val="20"/>
              </w:rPr>
              <w:t>As identified in footnotes to specific tables.</w:t>
            </w:r>
          </w:p>
        </w:tc>
      </w:tr>
      <w:tr w:rsidR="00666ECE" w:rsidRPr="00666ECE" w:rsidTr="003A2619">
        <w:tc>
          <w:tcPr>
            <w:tcW w:w="2410" w:type="dxa"/>
          </w:tcPr>
          <w:p w:rsidR="00666ECE" w:rsidRPr="00666ECE" w:rsidRDefault="00666ECE" w:rsidP="00666ECE">
            <w:pPr>
              <w:keepNext/>
              <w:keepLines/>
              <w:spacing w:before="60" w:after="60" w:line="220" w:lineRule="atLeast"/>
              <w:ind w:right="113"/>
              <w:rPr>
                <w:rFonts w:ascii="Arial" w:hAnsi="Arial"/>
                <w:b/>
                <w:sz w:val="20"/>
                <w:szCs w:val="20"/>
              </w:rPr>
            </w:pPr>
            <w:r w:rsidRPr="00666ECE">
              <w:rPr>
                <w:rFonts w:ascii="Arial" w:hAnsi="Arial"/>
                <w:b/>
                <w:sz w:val="20"/>
                <w:szCs w:val="20"/>
              </w:rPr>
              <w:t>Source of income</w:t>
            </w:r>
          </w:p>
        </w:tc>
        <w:tc>
          <w:tcPr>
            <w:tcW w:w="6379" w:type="dxa"/>
          </w:tcPr>
          <w:p w:rsidR="00666ECE" w:rsidRPr="00666ECE" w:rsidRDefault="00666ECE" w:rsidP="00666ECE">
            <w:pPr>
              <w:keepNext/>
              <w:keepLines/>
              <w:spacing w:before="60" w:after="60" w:line="220" w:lineRule="atLeast"/>
              <w:ind w:right="113"/>
              <w:rPr>
                <w:rFonts w:ascii="Arial" w:hAnsi="Arial"/>
                <w:sz w:val="20"/>
                <w:szCs w:val="20"/>
              </w:rPr>
            </w:pPr>
            <w:r w:rsidRPr="00666ECE">
              <w:rPr>
                <w:rFonts w:ascii="Arial" w:hAnsi="Arial"/>
                <w:sz w:val="20"/>
                <w:szCs w:val="20"/>
              </w:rPr>
              <w:t>In this chapter, income from either the Australian Government or State and Territory governments. Australian Government expenditure is derived from specific purpose payments (current and capital) for schools. This funding indicates the level of monies allocated, not necessarily the level of expenditure incurred in any given financial year. The data therefore provide only a broad indication of the level of Australian Government funding.</w:t>
            </w:r>
          </w:p>
        </w:tc>
      </w:tr>
      <w:tr w:rsidR="00666ECE" w:rsidRPr="00666ECE" w:rsidTr="003A2619">
        <w:tc>
          <w:tcPr>
            <w:tcW w:w="2410" w:type="dxa"/>
          </w:tcPr>
          <w:p w:rsidR="00666ECE" w:rsidRPr="00666ECE" w:rsidRDefault="00666ECE" w:rsidP="00666ECE">
            <w:pPr>
              <w:keepNext/>
              <w:keepLines/>
              <w:spacing w:before="60" w:after="60" w:line="220" w:lineRule="atLeast"/>
              <w:ind w:right="113"/>
              <w:rPr>
                <w:rFonts w:ascii="Arial" w:hAnsi="Arial"/>
                <w:b/>
                <w:sz w:val="20"/>
                <w:szCs w:val="20"/>
              </w:rPr>
            </w:pPr>
            <w:r w:rsidRPr="00666ECE">
              <w:rPr>
                <w:rFonts w:ascii="Arial" w:hAnsi="Arial"/>
                <w:b/>
                <w:sz w:val="20"/>
                <w:szCs w:val="20"/>
              </w:rPr>
              <w:t>Student-to-staff ratios</w:t>
            </w:r>
          </w:p>
        </w:tc>
        <w:tc>
          <w:tcPr>
            <w:tcW w:w="6379" w:type="dxa"/>
          </w:tcPr>
          <w:p w:rsidR="00666ECE" w:rsidRPr="00666ECE" w:rsidRDefault="00666ECE" w:rsidP="00666ECE">
            <w:pPr>
              <w:keepNext/>
              <w:keepLines/>
              <w:pBdr>
                <w:right w:val="single" w:sz="6" w:space="4" w:color="auto"/>
              </w:pBdr>
              <w:spacing w:before="60" w:after="60" w:line="220" w:lineRule="atLeast"/>
              <w:ind w:right="28"/>
              <w:rPr>
                <w:rFonts w:ascii="Arial" w:hAnsi="Arial"/>
                <w:sz w:val="20"/>
                <w:szCs w:val="20"/>
              </w:rPr>
            </w:pPr>
            <w:r w:rsidRPr="00666ECE">
              <w:rPr>
                <w:rFonts w:ascii="Arial" w:hAnsi="Arial"/>
                <w:sz w:val="20"/>
                <w:szCs w:val="20"/>
              </w:rPr>
              <w:t>The number of FTE students per FTE teaching staff. Students at special schools are allocated to primary and secondary (see below). The FTE of staff includes those who are generally active in schools and ancillary education establishments.</w:t>
            </w:r>
          </w:p>
        </w:tc>
      </w:tr>
      <w:tr w:rsidR="00666ECE" w:rsidRPr="00666ECE" w:rsidTr="003A2619">
        <w:tc>
          <w:tcPr>
            <w:tcW w:w="2410" w:type="dxa"/>
          </w:tcPr>
          <w:p w:rsidR="00666ECE" w:rsidRPr="00666ECE" w:rsidRDefault="00666ECE" w:rsidP="00666ECE">
            <w:pPr>
              <w:keepNext/>
              <w:keepLines/>
              <w:spacing w:before="60" w:after="60" w:line="220" w:lineRule="atLeast"/>
              <w:ind w:right="113"/>
              <w:rPr>
                <w:rFonts w:ascii="Arial" w:hAnsi="Arial"/>
                <w:b/>
                <w:sz w:val="20"/>
                <w:szCs w:val="20"/>
              </w:rPr>
            </w:pPr>
            <w:r w:rsidRPr="00666ECE">
              <w:rPr>
                <w:rFonts w:ascii="Arial" w:hAnsi="Arial"/>
                <w:b/>
                <w:sz w:val="20"/>
                <w:szCs w:val="20"/>
              </w:rPr>
              <w:t>Student</w:t>
            </w:r>
          </w:p>
        </w:tc>
        <w:tc>
          <w:tcPr>
            <w:tcW w:w="6379" w:type="dxa"/>
          </w:tcPr>
          <w:p w:rsidR="00666ECE" w:rsidRPr="00666ECE" w:rsidRDefault="00666ECE" w:rsidP="00666ECE">
            <w:pPr>
              <w:keepNext/>
              <w:keepLines/>
              <w:spacing w:before="60" w:after="60" w:line="220" w:lineRule="atLeast"/>
              <w:ind w:right="28"/>
              <w:rPr>
                <w:rFonts w:ascii="Arial" w:hAnsi="Arial"/>
                <w:sz w:val="20"/>
                <w:szCs w:val="20"/>
              </w:rPr>
            </w:pPr>
            <w:r w:rsidRPr="00666ECE">
              <w:rPr>
                <w:rFonts w:ascii="Arial" w:hAnsi="Arial"/>
                <w:sz w:val="20"/>
                <w:szCs w:val="20"/>
              </w:rPr>
              <w:t>A person who is formally (officially) enrolled or registered at a school, and is also active in a primary, secondary or special education program at that school. Students at special schools are allocated to primary and secondary on the basis of their actual grade (if assigned); whether or not they are receiving primary or secondary curriculum instruction; or, as a last resort, whether they are of primary or secondary school age.</w:t>
            </w:r>
          </w:p>
        </w:tc>
      </w:tr>
      <w:tr w:rsidR="00666ECE" w:rsidRPr="00666ECE" w:rsidTr="003A2619">
        <w:tc>
          <w:tcPr>
            <w:tcW w:w="2410" w:type="dxa"/>
          </w:tcPr>
          <w:p w:rsidR="00666ECE" w:rsidRPr="00666ECE" w:rsidRDefault="00666ECE" w:rsidP="00666ECE">
            <w:pPr>
              <w:keepNext/>
              <w:keepLines/>
              <w:spacing w:before="60" w:after="60" w:line="220" w:lineRule="atLeast"/>
              <w:ind w:right="113"/>
              <w:rPr>
                <w:rFonts w:ascii="Arial" w:hAnsi="Arial"/>
                <w:b/>
                <w:sz w:val="20"/>
                <w:szCs w:val="20"/>
              </w:rPr>
            </w:pPr>
            <w:r w:rsidRPr="00666ECE">
              <w:rPr>
                <w:rFonts w:ascii="Arial" w:hAnsi="Arial"/>
                <w:b/>
                <w:sz w:val="20"/>
                <w:szCs w:val="20"/>
              </w:rPr>
              <w:t>Student, primary</w:t>
            </w:r>
          </w:p>
        </w:tc>
        <w:tc>
          <w:tcPr>
            <w:tcW w:w="6379" w:type="dxa"/>
          </w:tcPr>
          <w:p w:rsidR="00666ECE" w:rsidRPr="00666ECE" w:rsidRDefault="00666ECE" w:rsidP="00666ECE">
            <w:pPr>
              <w:keepNext/>
              <w:keepLines/>
              <w:spacing w:before="60" w:after="60" w:line="220" w:lineRule="atLeast"/>
              <w:ind w:right="28"/>
              <w:rPr>
                <w:rFonts w:ascii="Arial" w:hAnsi="Arial"/>
                <w:sz w:val="20"/>
                <w:szCs w:val="20"/>
              </w:rPr>
            </w:pPr>
            <w:r w:rsidRPr="00666ECE">
              <w:rPr>
                <w:rFonts w:ascii="Arial" w:hAnsi="Arial"/>
                <w:sz w:val="20"/>
                <w:szCs w:val="20"/>
              </w:rPr>
              <w:t>A student in primary education, which covers pre-year 1 to year 6 in NSW, Victoria, Tasmania, ACT and the NT, pre-year 1 to year 7 in Qld, WA and SA.</w:t>
            </w:r>
          </w:p>
        </w:tc>
      </w:tr>
      <w:tr w:rsidR="00666ECE" w:rsidRPr="00666ECE" w:rsidTr="003A2619">
        <w:tc>
          <w:tcPr>
            <w:tcW w:w="2410" w:type="dxa"/>
          </w:tcPr>
          <w:p w:rsidR="00666ECE" w:rsidRPr="00666ECE" w:rsidRDefault="00666ECE" w:rsidP="00666ECE">
            <w:pPr>
              <w:keepNext/>
              <w:keepLines/>
              <w:spacing w:before="60" w:after="60" w:line="220" w:lineRule="atLeast"/>
              <w:ind w:right="113"/>
              <w:rPr>
                <w:rFonts w:ascii="Arial" w:hAnsi="Arial"/>
                <w:b/>
                <w:sz w:val="20"/>
                <w:szCs w:val="20"/>
              </w:rPr>
            </w:pPr>
            <w:r w:rsidRPr="00666ECE">
              <w:rPr>
                <w:rFonts w:ascii="Arial" w:hAnsi="Arial"/>
                <w:b/>
                <w:sz w:val="20"/>
                <w:szCs w:val="20"/>
              </w:rPr>
              <w:t>Student, secondary</w:t>
            </w:r>
          </w:p>
        </w:tc>
        <w:tc>
          <w:tcPr>
            <w:tcW w:w="6379" w:type="dxa"/>
          </w:tcPr>
          <w:p w:rsidR="00666ECE" w:rsidRPr="00666ECE" w:rsidRDefault="00666ECE" w:rsidP="00666ECE">
            <w:pPr>
              <w:keepNext/>
              <w:keepLines/>
              <w:spacing w:before="60" w:after="60" w:line="220" w:lineRule="atLeast"/>
              <w:ind w:right="28"/>
              <w:rPr>
                <w:rFonts w:ascii="Arial" w:hAnsi="Arial"/>
                <w:sz w:val="20"/>
                <w:szCs w:val="20"/>
              </w:rPr>
            </w:pPr>
            <w:r w:rsidRPr="00666ECE">
              <w:rPr>
                <w:rFonts w:ascii="Arial" w:hAnsi="Arial"/>
                <w:sz w:val="20"/>
                <w:szCs w:val="20"/>
              </w:rPr>
              <w:t>A student in secondary education, which commences at year 7 in NSW, Victoria, Tasmania, ACT and the NT, and at year 8 in Queensland, WA, and SA.</w:t>
            </w:r>
          </w:p>
        </w:tc>
      </w:tr>
      <w:tr w:rsidR="00666ECE" w:rsidRPr="00666ECE" w:rsidTr="003A2619">
        <w:tc>
          <w:tcPr>
            <w:tcW w:w="2410" w:type="dxa"/>
          </w:tcPr>
          <w:p w:rsidR="00666ECE" w:rsidRPr="00666ECE" w:rsidRDefault="000C2ECE" w:rsidP="00666ECE">
            <w:pPr>
              <w:keepNext/>
              <w:keepLines/>
              <w:spacing w:before="60" w:after="60" w:line="220" w:lineRule="atLeast"/>
              <w:ind w:right="113"/>
              <w:rPr>
                <w:rFonts w:ascii="Arial" w:hAnsi="Arial"/>
                <w:b/>
                <w:sz w:val="20"/>
                <w:szCs w:val="20"/>
              </w:rPr>
            </w:pPr>
            <w:r>
              <w:rPr>
                <w:rFonts w:ascii="Arial" w:hAnsi="Arial"/>
                <w:b/>
                <w:sz w:val="20"/>
                <w:szCs w:val="20"/>
              </w:rPr>
              <w:t xml:space="preserve">Students with </w:t>
            </w:r>
            <w:r w:rsidR="00666ECE" w:rsidRPr="00666ECE">
              <w:rPr>
                <w:rFonts w:ascii="Arial" w:hAnsi="Arial"/>
                <w:b/>
                <w:sz w:val="20"/>
                <w:szCs w:val="20"/>
              </w:rPr>
              <w:t>disability</w:t>
            </w:r>
          </w:p>
        </w:tc>
        <w:tc>
          <w:tcPr>
            <w:tcW w:w="6379" w:type="dxa"/>
          </w:tcPr>
          <w:p w:rsidR="00666ECE" w:rsidRPr="00666ECE" w:rsidRDefault="00666ECE" w:rsidP="006B683F">
            <w:pPr>
              <w:keepNext/>
              <w:keepLines/>
              <w:spacing w:before="60" w:after="60" w:line="220" w:lineRule="atLeast"/>
              <w:ind w:right="28"/>
              <w:rPr>
                <w:rFonts w:ascii="Arial" w:hAnsi="Arial"/>
                <w:sz w:val="20"/>
                <w:szCs w:val="20"/>
              </w:rPr>
            </w:pPr>
            <w:r w:rsidRPr="00666ECE">
              <w:rPr>
                <w:rFonts w:ascii="Arial" w:hAnsi="Arial"/>
                <w:sz w:val="20"/>
                <w:szCs w:val="20"/>
              </w:rPr>
              <w:t xml:space="preserve">Students included in the annual system reports to </w:t>
            </w:r>
            <w:r w:rsidR="007D2D50">
              <w:rPr>
                <w:rFonts w:ascii="Arial" w:hAnsi="Arial"/>
                <w:sz w:val="20"/>
                <w:szCs w:val="20"/>
              </w:rPr>
              <w:t xml:space="preserve">the </w:t>
            </w:r>
            <w:r w:rsidR="007D2D50" w:rsidRPr="007D2D50">
              <w:rPr>
                <w:rFonts w:ascii="Arial" w:hAnsi="Arial"/>
                <w:sz w:val="20"/>
                <w:szCs w:val="20"/>
              </w:rPr>
              <w:t>Department of Education</w:t>
            </w:r>
            <w:r w:rsidRPr="00666ECE">
              <w:rPr>
                <w:rFonts w:ascii="Arial" w:hAnsi="Arial"/>
                <w:sz w:val="20"/>
                <w:szCs w:val="20"/>
              </w:rPr>
              <w:t xml:space="preserve">. The definitions of students with disabilities are based on individual State and Territory criteria, so data are not comparable across jurisdictions. </w:t>
            </w:r>
          </w:p>
        </w:tc>
      </w:tr>
      <w:tr w:rsidR="00666ECE" w:rsidRPr="00666ECE" w:rsidTr="003A2619">
        <w:tc>
          <w:tcPr>
            <w:tcW w:w="2410" w:type="dxa"/>
          </w:tcPr>
          <w:p w:rsidR="00666ECE" w:rsidRPr="00666ECE" w:rsidRDefault="00666ECE" w:rsidP="00666ECE">
            <w:pPr>
              <w:keepNext/>
              <w:keepLines/>
              <w:spacing w:before="60" w:after="60" w:line="220" w:lineRule="atLeast"/>
              <w:ind w:right="113"/>
              <w:rPr>
                <w:rFonts w:ascii="Arial" w:hAnsi="Arial"/>
                <w:b/>
                <w:sz w:val="20"/>
                <w:szCs w:val="20"/>
              </w:rPr>
            </w:pPr>
            <w:r w:rsidRPr="00666ECE">
              <w:rPr>
                <w:rFonts w:ascii="Arial" w:hAnsi="Arial"/>
                <w:b/>
                <w:sz w:val="20"/>
                <w:szCs w:val="20"/>
              </w:rPr>
              <w:t>Teacher</w:t>
            </w:r>
          </w:p>
        </w:tc>
        <w:tc>
          <w:tcPr>
            <w:tcW w:w="6379" w:type="dxa"/>
          </w:tcPr>
          <w:p w:rsidR="00666ECE" w:rsidRPr="00666ECE" w:rsidRDefault="00666ECE" w:rsidP="00AF6FB4">
            <w:pPr>
              <w:keepNext/>
              <w:keepLines/>
              <w:spacing w:before="60" w:after="60" w:line="220" w:lineRule="atLeast"/>
              <w:ind w:right="113"/>
              <w:rPr>
                <w:rFonts w:ascii="Arial" w:hAnsi="Arial"/>
                <w:sz w:val="20"/>
                <w:szCs w:val="20"/>
              </w:rPr>
            </w:pPr>
            <w:r w:rsidRPr="00666ECE">
              <w:rPr>
                <w:rFonts w:ascii="Arial" w:hAnsi="Arial"/>
                <w:sz w:val="20"/>
                <w:szCs w:val="20"/>
              </w:rPr>
              <w:t xml:space="preserve">Teaching staff have teaching duties (that is, they are engaged to impart the school curriculum) and spend the majority of their time in contact with students. They support students, either by direct class contact or on an individual basis. Teaching staff include principals, deputy principals and senior teachers mainly involved in administrative duties, but not specialist support staff (who may spend the majority of their time in contact with students but are not engaged to impart the school curriculum). For the </w:t>
            </w:r>
            <w:r w:rsidR="00AF6FB4">
              <w:rPr>
                <w:rFonts w:ascii="Arial" w:hAnsi="Arial"/>
                <w:sz w:val="20"/>
                <w:szCs w:val="20"/>
              </w:rPr>
              <w:t>NT</w:t>
            </w:r>
            <w:r w:rsidRPr="00666ECE">
              <w:rPr>
                <w:rFonts w:ascii="Arial" w:hAnsi="Arial"/>
                <w:sz w:val="20"/>
                <w:szCs w:val="20"/>
              </w:rPr>
              <w:t>, Assistant Teachers in Homeland Learning Centres and community school are included as teaching staff.</w:t>
            </w:r>
          </w:p>
        </w:tc>
      </w:tr>
      <w:tr w:rsidR="00666ECE" w:rsidRPr="00666ECE" w:rsidTr="003A2619">
        <w:tc>
          <w:tcPr>
            <w:tcW w:w="2410" w:type="dxa"/>
            <w:shd w:val="clear" w:color="auto" w:fill="auto"/>
          </w:tcPr>
          <w:p w:rsidR="00666ECE" w:rsidRPr="00666ECE" w:rsidRDefault="00666ECE" w:rsidP="00666ECE">
            <w:pPr>
              <w:keepNext/>
              <w:keepLines/>
              <w:spacing w:before="60" w:after="60" w:line="220" w:lineRule="atLeast"/>
              <w:ind w:right="113"/>
              <w:rPr>
                <w:rFonts w:ascii="Arial" w:hAnsi="Arial"/>
                <w:b/>
                <w:sz w:val="20"/>
                <w:szCs w:val="20"/>
              </w:rPr>
            </w:pPr>
            <w:r w:rsidRPr="00666ECE">
              <w:rPr>
                <w:rFonts w:ascii="Arial" w:hAnsi="Arial"/>
                <w:b/>
                <w:sz w:val="20"/>
                <w:szCs w:val="20"/>
              </w:rPr>
              <w:t>Ungraded student</w:t>
            </w:r>
          </w:p>
        </w:tc>
        <w:tc>
          <w:tcPr>
            <w:tcW w:w="6379" w:type="dxa"/>
            <w:shd w:val="clear" w:color="auto" w:fill="auto"/>
          </w:tcPr>
          <w:p w:rsidR="00666ECE" w:rsidRDefault="00666ECE" w:rsidP="00666ECE">
            <w:pPr>
              <w:keepNext/>
              <w:keepLines/>
              <w:spacing w:before="60" w:after="60" w:line="220" w:lineRule="atLeast"/>
              <w:ind w:right="28"/>
              <w:rPr>
                <w:rFonts w:ascii="Arial" w:hAnsi="Arial"/>
                <w:sz w:val="20"/>
                <w:szCs w:val="20"/>
              </w:rPr>
            </w:pPr>
            <w:r w:rsidRPr="00666ECE">
              <w:rPr>
                <w:rFonts w:ascii="Arial" w:hAnsi="Arial"/>
                <w:sz w:val="20"/>
                <w:szCs w:val="20"/>
              </w:rPr>
              <w:t>A student in ungraded classes who cannot readily be allocated to a year of education. These students are included as either ungraded primary or ungraded secondary, according to the typical age level in each jurisdiction.</w:t>
            </w:r>
          </w:p>
          <w:p w:rsidR="00610533" w:rsidRDefault="00610533" w:rsidP="00666ECE">
            <w:pPr>
              <w:keepNext/>
              <w:keepLines/>
              <w:spacing w:before="60" w:after="60" w:line="220" w:lineRule="atLeast"/>
              <w:ind w:right="28"/>
              <w:rPr>
                <w:rFonts w:ascii="Arial" w:hAnsi="Arial"/>
                <w:sz w:val="20"/>
                <w:szCs w:val="20"/>
              </w:rPr>
            </w:pPr>
          </w:p>
          <w:p w:rsidR="00610533" w:rsidRPr="00666ECE" w:rsidRDefault="00610533" w:rsidP="00666ECE">
            <w:pPr>
              <w:keepNext/>
              <w:keepLines/>
              <w:spacing w:before="60" w:after="60" w:line="220" w:lineRule="atLeast"/>
              <w:ind w:right="28"/>
              <w:rPr>
                <w:rFonts w:ascii="Arial" w:hAnsi="Arial"/>
                <w:sz w:val="20"/>
                <w:szCs w:val="20"/>
              </w:rPr>
            </w:pPr>
          </w:p>
        </w:tc>
      </w:tr>
      <w:tr w:rsidR="00666ECE" w:rsidRPr="00666ECE" w:rsidTr="003A2619">
        <w:tc>
          <w:tcPr>
            <w:tcW w:w="2410" w:type="dxa"/>
            <w:shd w:val="clear" w:color="auto" w:fill="auto"/>
          </w:tcPr>
          <w:p w:rsidR="00666ECE" w:rsidRPr="00666ECE" w:rsidRDefault="00666ECE" w:rsidP="00666ECE">
            <w:pPr>
              <w:keepNext/>
              <w:keepLines/>
              <w:spacing w:before="60" w:after="60" w:line="220" w:lineRule="atLeast"/>
              <w:ind w:right="113"/>
              <w:rPr>
                <w:rFonts w:ascii="Arial" w:hAnsi="Arial"/>
                <w:b/>
                <w:sz w:val="20"/>
                <w:szCs w:val="20"/>
              </w:rPr>
            </w:pPr>
            <w:r w:rsidRPr="00666ECE">
              <w:rPr>
                <w:rFonts w:ascii="Arial" w:hAnsi="Arial"/>
                <w:b/>
                <w:sz w:val="20"/>
                <w:szCs w:val="20"/>
              </w:rPr>
              <w:lastRenderedPageBreak/>
              <w:t>VET in Schools</w:t>
            </w:r>
          </w:p>
        </w:tc>
        <w:tc>
          <w:tcPr>
            <w:tcW w:w="6379" w:type="dxa"/>
            <w:shd w:val="clear" w:color="auto" w:fill="auto"/>
          </w:tcPr>
          <w:p w:rsidR="00666ECE" w:rsidRPr="00666ECE" w:rsidRDefault="00666ECE" w:rsidP="00666ECE">
            <w:pPr>
              <w:keepNext/>
              <w:keepLines/>
              <w:spacing w:before="60" w:line="220" w:lineRule="atLeast"/>
              <w:ind w:right="28"/>
              <w:rPr>
                <w:rFonts w:ascii="Arial" w:hAnsi="Arial"/>
                <w:sz w:val="20"/>
                <w:szCs w:val="20"/>
              </w:rPr>
            </w:pPr>
            <w:r w:rsidRPr="00666ECE">
              <w:rPr>
                <w:rFonts w:ascii="Arial" w:hAnsi="Arial"/>
                <w:sz w:val="20"/>
                <w:szCs w:val="20"/>
              </w:rPr>
              <w:t>VET in Schools is a program which allows students to combine vocational studies with their general education curriculum. Students participating in VET in Schools continue to work towards their senior secondary school certificate, while the VET component of their studies gives them credit towards a nationally recognised VET qualification. The program may involve structured work placements and includes the options of a school-based apprenticeship and traineeship or VET subjects and courses.</w:t>
            </w:r>
          </w:p>
        </w:tc>
      </w:tr>
    </w:tbl>
    <w:p w:rsidR="00666ECE" w:rsidRPr="00666ECE" w:rsidRDefault="00666ECE" w:rsidP="007B0AE2">
      <w:pPr>
        <w:pStyle w:val="Heading2nosectionno"/>
      </w:pPr>
      <w:bookmarkStart w:id="31" w:name="_Toc405974311"/>
      <w:r w:rsidRPr="00666ECE">
        <w:t>4.7</w:t>
      </w:r>
      <w:r w:rsidRPr="00666ECE">
        <w:tab/>
        <w:t>List of attachment tables</w:t>
      </w:r>
      <w:bookmarkEnd w:id="31"/>
    </w:p>
    <w:p w:rsidR="00666ECE" w:rsidRPr="00D6089B" w:rsidRDefault="00666ECE" w:rsidP="00666ECE">
      <w:pPr>
        <w:spacing w:before="240" w:after="120" w:line="320" w:lineRule="atLeast"/>
        <w:jc w:val="both"/>
        <w:rPr>
          <w:szCs w:val="20"/>
        </w:rPr>
      </w:pPr>
      <w:r w:rsidRPr="00666ECE">
        <w:rPr>
          <w:szCs w:val="20"/>
        </w:rPr>
        <w:t>Attachment tables are identified in references throughout this chapter by an ‘4A’ prefix (for example, table 4A.1). Attachment tables are available on the Review website (www.pc.gov.au/gsp).</w:t>
      </w:r>
    </w:p>
    <w:tbl>
      <w:tblPr>
        <w:tblW w:w="8968" w:type="dxa"/>
        <w:tblLook w:val="01E0" w:firstRow="1" w:lastRow="1" w:firstColumn="1" w:lastColumn="1" w:noHBand="0" w:noVBand="0"/>
      </w:tblPr>
      <w:tblGrid>
        <w:gridCol w:w="108"/>
        <w:gridCol w:w="1456"/>
        <w:gridCol w:w="7312"/>
        <w:gridCol w:w="92"/>
      </w:tblGrid>
      <w:tr w:rsidR="00D6089B" w:rsidRPr="00D6089B" w:rsidTr="000842AC">
        <w:trPr>
          <w:gridAfter w:val="1"/>
          <w:wAfter w:w="92" w:type="dxa"/>
          <w:trHeight w:val="405"/>
        </w:trPr>
        <w:tc>
          <w:tcPr>
            <w:tcW w:w="8876" w:type="dxa"/>
            <w:gridSpan w:val="3"/>
            <w:shd w:val="clear" w:color="auto" w:fill="auto"/>
            <w:noWrap/>
          </w:tcPr>
          <w:p w:rsidR="00666ECE" w:rsidRPr="00D6089B" w:rsidRDefault="00666ECE" w:rsidP="00666ECE">
            <w:pPr>
              <w:rPr>
                <w:rFonts w:ascii="Arial" w:hAnsi="Arial" w:cs="Arial"/>
                <w:b/>
                <w:bCs/>
                <w:sz w:val="32"/>
                <w:szCs w:val="32"/>
              </w:rPr>
            </w:pPr>
          </w:p>
        </w:tc>
      </w:tr>
      <w:tr w:rsidR="00D6089B" w:rsidRPr="00D6089B" w:rsidTr="000842AC">
        <w:tblPrEx>
          <w:tblLook w:val="04A0" w:firstRow="1" w:lastRow="0" w:firstColumn="1" w:lastColumn="0" w:noHBand="0" w:noVBand="1"/>
        </w:tblPrEx>
        <w:trPr>
          <w:gridBefore w:val="1"/>
          <w:wBefore w:w="108" w:type="dxa"/>
          <w:trHeight w:val="357"/>
        </w:trPr>
        <w:tc>
          <w:tcPr>
            <w:tcW w:w="1456" w:type="dxa"/>
            <w:tcBorders>
              <w:top w:val="nil"/>
              <w:left w:val="nil"/>
              <w:bottom w:val="nil"/>
              <w:right w:val="nil"/>
            </w:tcBorders>
            <w:shd w:val="clear" w:color="auto" w:fill="auto"/>
            <w:noWrap/>
            <w:hideMark/>
          </w:tcPr>
          <w:p w:rsidR="00123AC8" w:rsidRPr="00D6089B" w:rsidRDefault="00123AC8" w:rsidP="005B7022">
            <w:pPr>
              <w:spacing w:before="40" w:after="40"/>
              <w:rPr>
                <w:rFonts w:ascii="Arial" w:hAnsi="Arial" w:cs="Arial"/>
                <w:b/>
                <w:bCs/>
                <w:sz w:val="20"/>
                <w:szCs w:val="20"/>
              </w:rPr>
            </w:pPr>
            <w:r w:rsidRPr="00D6089B">
              <w:rPr>
                <w:rFonts w:ascii="Arial" w:hAnsi="Arial" w:cs="Arial"/>
                <w:b/>
                <w:bCs/>
                <w:sz w:val="20"/>
                <w:szCs w:val="20"/>
              </w:rPr>
              <w:t>Table 4A.1</w:t>
            </w:r>
          </w:p>
        </w:tc>
        <w:tc>
          <w:tcPr>
            <w:tcW w:w="7404" w:type="dxa"/>
            <w:gridSpan w:val="2"/>
            <w:tcBorders>
              <w:top w:val="nil"/>
              <w:left w:val="nil"/>
              <w:bottom w:val="nil"/>
              <w:right w:val="nil"/>
            </w:tcBorders>
            <w:shd w:val="clear" w:color="auto" w:fill="auto"/>
            <w:hideMark/>
          </w:tcPr>
          <w:p w:rsidR="00123AC8" w:rsidRPr="00D6089B" w:rsidRDefault="00123AC8" w:rsidP="005B7022">
            <w:pPr>
              <w:spacing w:before="40" w:after="40"/>
              <w:jc w:val="both"/>
              <w:rPr>
                <w:rFonts w:ascii="Arial" w:hAnsi="Arial" w:cs="Arial"/>
                <w:sz w:val="20"/>
                <w:szCs w:val="20"/>
              </w:rPr>
            </w:pPr>
            <w:r w:rsidRPr="00D6089B">
              <w:rPr>
                <w:rFonts w:ascii="Arial" w:hAnsi="Arial" w:cs="Arial"/>
                <w:sz w:val="20"/>
                <w:szCs w:val="20"/>
              </w:rPr>
              <w:t xml:space="preserve">Government schools: students, staff and school numbers </w:t>
            </w:r>
          </w:p>
        </w:tc>
      </w:tr>
      <w:tr w:rsidR="00D6089B" w:rsidRPr="00D6089B" w:rsidTr="000842AC">
        <w:tblPrEx>
          <w:tblLook w:val="04A0" w:firstRow="1" w:lastRow="0" w:firstColumn="1" w:lastColumn="0" w:noHBand="0" w:noVBand="1"/>
        </w:tblPrEx>
        <w:trPr>
          <w:gridBefore w:val="1"/>
          <w:wBefore w:w="108" w:type="dxa"/>
          <w:trHeight w:val="357"/>
        </w:trPr>
        <w:tc>
          <w:tcPr>
            <w:tcW w:w="1456" w:type="dxa"/>
            <w:tcBorders>
              <w:top w:val="nil"/>
              <w:left w:val="nil"/>
              <w:bottom w:val="nil"/>
              <w:right w:val="nil"/>
            </w:tcBorders>
            <w:shd w:val="clear" w:color="auto" w:fill="auto"/>
            <w:noWrap/>
            <w:hideMark/>
          </w:tcPr>
          <w:p w:rsidR="00123AC8" w:rsidRPr="00D6089B" w:rsidRDefault="00123AC8" w:rsidP="005B7022">
            <w:pPr>
              <w:spacing w:before="40" w:after="40"/>
              <w:rPr>
                <w:rFonts w:ascii="Arial" w:hAnsi="Arial" w:cs="Arial"/>
                <w:b/>
                <w:bCs/>
                <w:sz w:val="20"/>
                <w:szCs w:val="20"/>
              </w:rPr>
            </w:pPr>
            <w:r w:rsidRPr="00D6089B">
              <w:rPr>
                <w:rFonts w:ascii="Arial" w:hAnsi="Arial" w:cs="Arial"/>
                <w:b/>
                <w:bCs/>
                <w:sz w:val="20"/>
                <w:szCs w:val="20"/>
              </w:rPr>
              <w:t>Table 4A.2</w:t>
            </w:r>
          </w:p>
        </w:tc>
        <w:tc>
          <w:tcPr>
            <w:tcW w:w="7404" w:type="dxa"/>
            <w:gridSpan w:val="2"/>
            <w:tcBorders>
              <w:top w:val="nil"/>
              <w:left w:val="nil"/>
              <w:bottom w:val="nil"/>
              <w:right w:val="nil"/>
            </w:tcBorders>
            <w:shd w:val="clear" w:color="auto" w:fill="auto"/>
            <w:hideMark/>
          </w:tcPr>
          <w:p w:rsidR="00123AC8" w:rsidRPr="00D6089B" w:rsidRDefault="00123AC8" w:rsidP="005B7022">
            <w:pPr>
              <w:spacing w:before="40" w:after="40"/>
              <w:jc w:val="both"/>
              <w:rPr>
                <w:rFonts w:ascii="Arial" w:hAnsi="Arial" w:cs="Arial"/>
                <w:sz w:val="20"/>
                <w:szCs w:val="20"/>
              </w:rPr>
            </w:pPr>
            <w:r w:rsidRPr="00D6089B">
              <w:rPr>
                <w:rFonts w:ascii="Arial" w:hAnsi="Arial" w:cs="Arial"/>
                <w:sz w:val="20"/>
                <w:szCs w:val="20"/>
              </w:rPr>
              <w:t xml:space="preserve">Non-government schools: students, staff and school numbers </w:t>
            </w:r>
          </w:p>
        </w:tc>
      </w:tr>
      <w:tr w:rsidR="00D6089B" w:rsidRPr="00D6089B" w:rsidTr="000842AC">
        <w:tblPrEx>
          <w:tblLook w:val="04A0" w:firstRow="1" w:lastRow="0" w:firstColumn="1" w:lastColumn="0" w:noHBand="0" w:noVBand="1"/>
        </w:tblPrEx>
        <w:trPr>
          <w:gridBefore w:val="1"/>
          <w:wBefore w:w="108" w:type="dxa"/>
          <w:trHeight w:val="357"/>
        </w:trPr>
        <w:tc>
          <w:tcPr>
            <w:tcW w:w="1456" w:type="dxa"/>
            <w:tcBorders>
              <w:top w:val="nil"/>
              <w:left w:val="nil"/>
              <w:bottom w:val="nil"/>
              <w:right w:val="nil"/>
            </w:tcBorders>
            <w:shd w:val="clear" w:color="auto" w:fill="auto"/>
            <w:noWrap/>
            <w:hideMark/>
          </w:tcPr>
          <w:p w:rsidR="00123AC8" w:rsidRPr="00D6089B" w:rsidRDefault="00123AC8" w:rsidP="005B7022">
            <w:pPr>
              <w:spacing w:before="40" w:after="40"/>
              <w:rPr>
                <w:rFonts w:ascii="Arial" w:hAnsi="Arial" w:cs="Arial"/>
                <w:b/>
                <w:bCs/>
                <w:sz w:val="20"/>
                <w:szCs w:val="20"/>
              </w:rPr>
            </w:pPr>
            <w:r w:rsidRPr="00D6089B">
              <w:rPr>
                <w:rFonts w:ascii="Arial" w:hAnsi="Arial" w:cs="Arial"/>
                <w:b/>
                <w:bCs/>
                <w:sz w:val="20"/>
                <w:szCs w:val="20"/>
              </w:rPr>
              <w:t>Table 4A.3</w:t>
            </w:r>
          </w:p>
        </w:tc>
        <w:tc>
          <w:tcPr>
            <w:tcW w:w="7404" w:type="dxa"/>
            <w:gridSpan w:val="2"/>
            <w:tcBorders>
              <w:top w:val="nil"/>
              <w:left w:val="nil"/>
              <w:bottom w:val="nil"/>
              <w:right w:val="nil"/>
            </w:tcBorders>
            <w:shd w:val="clear" w:color="auto" w:fill="auto"/>
            <w:hideMark/>
          </w:tcPr>
          <w:p w:rsidR="00123AC8" w:rsidRPr="00D6089B" w:rsidRDefault="00123AC8" w:rsidP="005B7022">
            <w:pPr>
              <w:spacing w:before="40" w:after="40"/>
              <w:jc w:val="both"/>
              <w:rPr>
                <w:rFonts w:ascii="Arial" w:hAnsi="Arial" w:cs="Arial"/>
                <w:sz w:val="20"/>
                <w:szCs w:val="20"/>
              </w:rPr>
            </w:pPr>
            <w:r w:rsidRPr="00D6089B">
              <w:rPr>
                <w:rFonts w:ascii="Arial" w:hAnsi="Arial" w:cs="Arial"/>
                <w:sz w:val="20"/>
                <w:szCs w:val="20"/>
              </w:rPr>
              <w:t xml:space="preserve">All schools: students, staff and school numbers </w:t>
            </w:r>
          </w:p>
        </w:tc>
      </w:tr>
      <w:tr w:rsidR="00D6089B" w:rsidRPr="00D6089B" w:rsidTr="000842AC">
        <w:tblPrEx>
          <w:tblLook w:val="04A0" w:firstRow="1" w:lastRow="0" w:firstColumn="1" w:lastColumn="0" w:noHBand="0" w:noVBand="1"/>
        </w:tblPrEx>
        <w:trPr>
          <w:gridBefore w:val="1"/>
          <w:wBefore w:w="108" w:type="dxa"/>
          <w:trHeight w:val="357"/>
        </w:trPr>
        <w:tc>
          <w:tcPr>
            <w:tcW w:w="1456" w:type="dxa"/>
            <w:tcBorders>
              <w:top w:val="nil"/>
              <w:left w:val="nil"/>
              <w:bottom w:val="nil"/>
              <w:right w:val="nil"/>
            </w:tcBorders>
            <w:shd w:val="clear" w:color="auto" w:fill="auto"/>
            <w:noWrap/>
            <w:hideMark/>
          </w:tcPr>
          <w:p w:rsidR="00123AC8" w:rsidRPr="00D6089B" w:rsidRDefault="00123AC8" w:rsidP="005B7022">
            <w:pPr>
              <w:spacing w:before="40" w:after="40"/>
              <w:rPr>
                <w:rFonts w:ascii="Arial" w:hAnsi="Arial" w:cs="Arial"/>
                <w:b/>
                <w:bCs/>
                <w:sz w:val="20"/>
                <w:szCs w:val="20"/>
              </w:rPr>
            </w:pPr>
            <w:r w:rsidRPr="00D6089B">
              <w:rPr>
                <w:rFonts w:ascii="Arial" w:hAnsi="Arial" w:cs="Arial"/>
                <w:b/>
                <w:bCs/>
                <w:sz w:val="20"/>
                <w:szCs w:val="20"/>
              </w:rPr>
              <w:t>Table 4A.4</w:t>
            </w:r>
          </w:p>
        </w:tc>
        <w:tc>
          <w:tcPr>
            <w:tcW w:w="7404" w:type="dxa"/>
            <w:gridSpan w:val="2"/>
            <w:tcBorders>
              <w:top w:val="nil"/>
              <w:left w:val="nil"/>
              <w:bottom w:val="nil"/>
              <w:right w:val="nil"/>
            </w:tcBorders>
            <w:shd w:val="clear" w:color="auto" w:fill="auto"/>
            <w:hideMark/>
          </w:tcPr>
          <w:p w:rsidR="00123AC8" w:rsidRPr="00D6089B" w:rsidRDefault="00123AC8" w:rsidP="005B7022">
            <w:pPr>
              <w:spacing w:before="40" w:after="40"/>
              <w:jc w:val="both"/>
              <w:rPr>
                <w:rFonts w:ascii="Arial" w:hAnsi="Arial" w:cs="Arial"/>
                <w:sz w:val="20"/>
                <w:szCs w:val="20"/>
              </w:rPr>
            </w:pPr>
            <w:r w:rsidRPr="00D6089B">
              <w:rPr>
                <w:rFonts w:ascii="Arial" w:hAnsi="Arial" w:cs="Arial"/>
                <w:sz w:val="20"/>
                <w:szCs w:val="20"/>
              </w:rPr>
              <w:t>All schools: students time series, by sex</w:t>
            </w:r>
          </w:p>
        </w:tc>
      </w:tr>
      <w:tr w:rsidR="00D6089B" w:rsidRPr="00D6089B" w:rsidTr="000842AC">
        <w:tblPrEx>
          <w:tblLook w:val="04A0" w:firstRow="1" w:lastRow="0" w:firstColumn="1" w:lastColumn="0" w:noHBand="0" w:noVBand="1"/>
        </w:tblPrEx>
        <w:trPr>
          <w:gridBefore w:val="1"/>
          <w:wBefore w:w="108" w:type="dxa"/>
          <w:trHeight w:val="357"/>
        </w:trPr>
        <w:tc>
          <w:tcPr>
            <w:tcW w:w="1456" w:type="dxa"/>
            <w:tcBorders>
              <w:top w:val="nil"/>
              <w:left w:val="nil"/>
              <w:bottom w:val="nil"/>
              <w:right w:val="nil"/>
            </w:tcBorders>
            <w:shd w:val="clear" w:color="auto" w:fill="auto"/>
            <w:noWrap/>
            <w:hideMark/>
          </w:tcPr>
          <w:p w:rsidR="00123AC8" w:rsidRPr="00D6089B" w:rsidRDefault="00123AC8" w:rsidP="005B7022">
            <w:pPr>
              <w:spacing w:before="40" w:after="40"/>
              <w:rPr>
                <w:rFonts w:ascii="Arial" w:hAnsi="Arial" w:cs="Arial"/>
                <w:b/>
                <w:bCs/>
                <w:sz w:val="20"/>
                <w:szCs w:val="20"/>
              </w:rPr>
            </w:pPr>
            <w:r w:rsidRPr="00D6089B">
              <w:rPr>
                <w:rFonts w:ascii="Arial" w:hAnsi="Arial" w:cs="Arial"/>
                <w:b/>
                <w:bCs/>
                <w:sz w:val="20"/>
                <w:szCs w:val="20"/>
              </w:rPr>
              <w:t>Table 4A.5</w:t>
            </w:r>
          </w:p>
        </w:tc>
        <w:tc>
          <w:tcPr>
            <w:tcW w:w="7404" w:type="dxa"/>
            <w:gridSpan w:val="2"/>
            <w:tcBorders>
              <w:top w:val="nil"/>
              <w:left w:val="nil"/>
              <w:bottom w:val="nil"/>
              <w:right w:val="nil"/>
            </w:tcBorders>
            <w:shd w:val="clear" w:color="auto" w:fill="auto"/>
            <w:hideMark/>
          </w:tcPr>
          <w:p w:rsidR="00123AC8" w:rsidRPr="00D6089B" w:rsidRDefault="00123AC8" w:rsidP="005B7022">
            <w:pPr>
              <w:spacing w:before="40" w:after="40"/>
              <w:jc w:val="both"/>
              <w:rPr>
                <w:rFonts w:ascii="Arial" w:hAnsi="Arial" w:cs="Arial"/>
                <w:sz w:val="20"/>
                <w:szCs w:val="20"/>
              </w:rPr>
            </w:pPr>
            <w:r w:rsidRPr="00D6089B">
              <w:rPr>
                <w:rFonts w:ascii="Arial" w:hAnsi="Arial" w:cs="Arial"/>
                <w:sz w:val="20"/>
                <w:szCs w:val="20"/>
              </w:rPr>
              <w:t>Students as a proportion of the population, 2013 (per cent)</w:t>
            </w:r>
          </w:p>
        </w:tc>
      </w:tr>
      <w:tr w:rsidR="00D6089B" w:rsidRPr="00D6089B" w:rsidTr="000842AC">
        <w:tblPrEx>
          <w:tblLook w:val="04A0" w:firstRow="1" w:lastRow="0" w:firstColumn="1" w:lastColumn="0" w:noHBand="0" w:noVBand="1"/>
        </w:tblPrEx>
        <w:trPr>
          <w:gridBefore w:val="1"/>
          <w:wBefore w:w="108" w:type="dxa"/>
          <w:trHeight w:val="357"/>
        </w:trPr>
        <w:tc>
          <w:tcPr>
            <w:tcW w:w="1456" w:type="dxa"/>
            <w:tcBorders>
              <w:top w:val="nil"/>
              <w:left w:val="nil"/>
              <w:bottom w:val="nil"/>
              <w:right w:val="nil"/>
            </w:tcBorders>
            <w:shd w:val="clear" w:color="auto" w:fill="auto"/>
            <w:noWrap/>
            <w:hideMark/>
          </w:tcPr>
          <w:p w:rsidR="00123AC8" w:rsidRPr="00D6089B" w:rsidRDefault="00123AC8" w:rsidP="005B7022">
            <w:pPr>
              <w:spacing w:before="40" w:after="40"/>
              <w:rPr>
                <w:rFonts w:ascii="Arial" w:hAnsi="Arial" w:cs="Arial"/>
                <w:b/>
                <w:bCs/>
                <w:sz w:val="20"/>
                <w:szCs w:val="20"/>
              </w:rPr>
            </w:pPr>
            <w:r w:rsidRPr="00D6089B">
              <w:rPr>
                <w:rFonts w:ascii="Arial" w:hAnsi="Arial" w:cs="Arial"/>
                <w:b/>
                <w:bCs/>
                <w:sz w:val="20"/>
                <w:szCs w:val="20"/>
              </w:rPr>
              <w:t>Table 4A.6</w:t>
            </w:r>
          </w:p>
        </w:tc>
        <w:tc>
          <w:tcPr>
            <w:tcW w:w="7404" w:type="dxa"/>
            <w:gridSpan w:val="2"/>
            <w:tcBorders>
              <w:top w:val="nil"/>
              <w:left w:val="nil"/>
              <w:bottom w:val="nil"/>
              <w:right w:val="nil"/>
            </w:tcBorders>
            <w:shd w:val="clear" w:color="auto" w:fill="auto"/>
            <w:hideMark/>
          </w:tcPr>
          <w:p w:rsidR="00123AC8" w:rsidRPr="00D6089B" w:rsidRDefault="00123AC8" w:rsidP="005B7022">
            <w:pPr>
              <w:spacing w:before="40" w:after="40"/>
              <w:jc w:val="both"/>
              <w:rPr>
                <w:rFonts w:ascii="Arial" w:hAnsi="Arial" w:cs="Arial"/>
                <w:sz w:val="20"/>
                <w:szCs w:val="20"/>
              </w:rPr>
            </w:pPr>
            <w:r w:rsidRPr="00D6089B">
              <w:rPr>
                <w:rFonts w:ascii="Arial" w:hAnsi="Arial" w:cs="Arial"/>
                <w:sz w:val="20"/>
                <w:szCs w:val="20"/>
              </w:rPr>
              <w:t xml:space="preserve">Average FTE student population, by school sector </w:t>
            </w:r>
          </w:p>
        </w:tc>
      </w:tr>
      <w:tr w:rsidR="00D6089B" w:rsidRPr="00D6089B"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123AC8" w:rsidRPr="00D6089B" w:rsidRDefault="00123AC8" w:rsidP="005B7022">
            <w:pPr>
              <w:spacing w:before="40" w:after="40"/>
              <w:rPr>
                <w:rFonts w:ascii="Arial" w:hAnsi="Arial" w:cs="Arial"/>
                <w:b/>
                <w:bCs/>
                <w:sz w:val="20"/>
                <w:szCs w:val="20"/>
              </w:rPr>
            </w:pPr>
            <w:r w:rsidRPr="00D6089B">
              <w:rPr>
                <w:rFonts w:ascii="Arial" w:hAnsi="Arial" w:cs="Arial"/>
                <w:b/>
                <w:bCs/>
                <w:sz w:val="20"/>
                <w:szCs w:val="20"/>
              </w:rPr>
              <w:t>Table 4A.7</w:t>
            </w:r>
          </w:p>
        </w:tc>
        <w:tc>
          <w:tcPr>
            <w:tcW w:w="7404" w:type="dxa"/>
            <w:gridSpan w:val="2"/>
            <w:tcBorders>
              <w:top w:val="nil"/>
              <w:left w:val="nil"/>
              <w:bottom w:val="nil"/>
              <w:right w:val="nil"/>
            </w:tcBorders>
            <w:shd w:val="clear" w:color="auto" w:fill="auto"/>
            <w:hideMark/>
          </w:tcPr>
          <w:p w:rsidR="00123AC8" w:rsidRPr="00D6089B" w:rsidRDefault="00123AC8" w:rsidP="005B7022">
            <w:pPr>
              <w:spacing w:before="40" w:after="40"/>
              <w:jc w:val="both"/>
              <w:rPr>
                <w:rFonts w:ascii="Arial" w:hAnsi="Arial" w:cs="Arial"/>
                <w:sz w:val="20"/>
                <w:szCs w:val="20"/>
              </w:rPr>
            </w:pPr>
            <w:r w:rsidRPr="00D6089B">
              <w:rPr>
                <w:rFonts w:ascii="Arial" w:hAnsi="Arial" w:cs="Arial"/>
                <w:sz w:val="20"/>
                <w:szCs w:val="20"/>
              </w:rPr>
              <w:t xml:space="preserve">Real Australian, State and Territory government recurrent expenditure (2012-13 dollars) ($'000)   </w:t>
            </w:r>
          </w:p>
        </w:tc>
      </w:tr>
      <w:tr w:rsidR="00D6089B" w:rsidRPr="00D6089B" w:rsidTr="000842AC">
        <w:tblPrEx>
          <w:tblLook w:val="04A0" w:firstRow="1" w:lastRow="0" w:firstColumn="1" w:lastColumn="0" w:noHBand="0" w:noVBand="1"/>
        </w:tblPrEx>
        <w:trPr>
          <w:gridBefore w:val="1"/>
          <w:wBefore w:w="108" w:type="dxa"/>
          <w:trHeight w:val="357"/>
        </w:trPr>
        <w:tc>
          <w:tcPr>
            <w:tcW w:w="1456" w:type="dxa"/>
            <w:tcBorders>
              <w:top w:val="nil"/>
              <w:left w:val="nil"/>
              <w:bottom w:val="nil"/>
              <w:right w:val="nil"/>
            </w:tcBorders>
            <w:shd w:val="clear" w:color="auto" w:fill="auto"/>
            <w:noWrap/>
            <w:hideMark/>
          </w:tcPr>
          <w:p w:rsidR="00123AC8" w:rsidRPr="00D6089B" w:rsidRDefault="00123AC8" w:rsidP="005B7022">
            <w:pPr>
              <w:spacing w:before="40" w:after="40"/>
              <w:rPr>
                <w:rFonts w:ascii="Arial" w:hAnsi="Arial" w:cs="Arial"/>
                <w:b/>
                <w:bCs/>
                <w:sz w:val="20"/>
                <w:szCs w:val="20"/>
              </w:rPr>
            </w:pPr>
            <w:r w:rsidRPr="00D6089B">
              <w:rPr>
                <w:rFonts w:ascii="Arial" w:hAnsi="Arial" w:cs="Arial"/>
                <w:b/>
                <w:bCs/>
                <w:sz w:val="20"/>
                <w:szCs w:val="20"/>
              </w:rPr>
              <w:t>Table 4A.8</w:t>
            </w:r>
          </w:p>
        </w:tc>
        <w:tc>
          <w:tcPr>
            <w:tcW w:w="7404" w:type="dxa"/>
            <w:gridSpan w:val="2"/>
            <w:tcBorders>
              <w:top w:val="nil"/>
              <w:left w:val="nil"/>
              <w:bottom w:val="nil"/>
              <w:right w:val="nil"/>
            </w:tcBorders>
            <w:shd w:val="clear" w:color="auto" w:fill="auto"/>
            <w:hideMark/>
          </w:tcPr>
          <w:p w:rsidR="00123AC8" w:rsidRPr="00D6089B" w:rsidRDefault="00123AC8" w:rsidP="005B7022">
            <w:pPr>
              <w:spacing w:before="40" w:after="40"/>
              <w:jc w:val="both"/>
              <w:rPr>
                <w:rFonts w:ascii="Arial" w:hAnsi="Arial" w:cs="Arial"/>
                <w:sz w:val="20"/>
                <w:szCs w:val="20"/>
              </w:rPr>
            </w:pPr>
            <w:r w:rsidRPr="00D6089B">
              <w:rPr>
                <w:rFonts w:ascii="Arial" w:hAnsi="Arial" w:cs="Arial"/>
                <w:sz w:val="20"/>
                <w:szCs w:val="20"/>
              </w:rPr>
              <w:t xml:space="preserve">Nominal Australian, State and Territory government recurrent expenditure ($'000)  </w:t>
            </w:r>
          </w:p>
        </w:tc>
      </w:tr>
      <w:tr w:rsidR="00D6089B" w:rsidRPr="00D6089B" w:rsidTr="000842AC">
        <w:tblPrEx>
          <w:tblLook w:val="04A0" w:firstRow="1" w:lastRow="0" w:firstColumn="1" w:lastColumn="0" w:noHBand="0" w:noVBand="1"/>
        </w:tblPrEx>
        <w:trPr>
          <w:gridBefore w:val="1"/>
          <w:wBefore w:w="108" w:type="dxa"/>
          <w:trHeight w:val="357"/>
        </w:trPr>
        <w:tc>
          <w:tcPr>
            <w:tcW w:w="1456" w:type="dxa"/>
            <w:tcBorders>
              <w:top w:val="nil"/>
              <w:left w:val="nil"/>
              <w:bottom w:val="nil"/>
              <w:right w:val="nil"/>
            </w:tcBorders>
            <w:shd w:val="clear" w:color="auto" w:fill="auto"/>
            <w:noWrap/>
            <w:hideMark/>
          </w:tcPr>
          <w:p w:rsidR="00123AC8" w:rsidRPr="00D6089B" w:rsidRDefault="00123AC8" w:rsidP="005B7022">
            <w:pPr>
              <w:spacing w:before="40" w:after="40"/>
              <w:rPr>
                <w:rFonts w:ascii="Arial" w:hAnsi="Arial" w:cs="Arial"/>
                <w:b/>
                <w:bCs/>
                <w:sz w:val="20"/>
                <w:szCs w:val="20"/>
              </w:rPr>
            </w:pPr>
            <w:r w:rsidRPr="00D6089B">
              <w:rPr>
                <w:rFonts w:ascii="Arial" w:hAnsi="Arial" w:cs="Arial"/>
                <w:b/>
                <w:bCs/>
                <w:sz w:val="20"/>
                <w:szCs w:val="20"/>
              </w:rPr>
              <w:t>Table 4A.9</w:t>
            </w:r>
          </w:p>
        </w:tc>
        <w:tc>
          <w:tcPr>
            <w:tcW w:w="7404" w:type="dxa"/>
            <w:gridSpan w:val="2"/>
            <w:tcBorders>
              <w:top w:val="nil"/>
              <w:left w:val="nil"/>
              <w:bottom w:val="nil"/>
              <w:right w:val="nil"/>
            </w:tcBorders>
            <w:shd w:val="clear" w:color="auto" w:fill="auto"/>
            <w:hideMark/>
          </w:tcPr>
          <w:p w:rsidR="00123AC8" w:rsidRPr="00D6089B" w:rsidRDefault="00123AC8" w:rsidP="005B7022">
            <w:pPr>
              <w:spacing w:before="40" w:after="40"/>
              <w:jc w:val="both"/>
              <w:rPr>
                <w:rFonts w:ascii="Arial" w:hAnsi="Arial" w:cs="Arial"/>
                <w:sz w:val="20"/>
                <w:szCs w:val="20"/>
              </w:rPr>
            </w:pPr>
            <w:r w:rsidRPr="00D6089B">
              <w:rPr>
                <w:rFonts w:ascii="Arial" w:hAnsi="Arial" w:cs="Arial"/>
                <w:sz w:val="20"/>
                <w:szCs w:val="20"/>
              </w:rPr>
              <w:t xml:space="preserve">Australian Government specific purpose payments for schools, 2012-13  </w:t>
            </w:r>
          </w:p>
        </w:tc>
      </w:tr>
      <w:tr w:rsidR="00D6089B" w:rsidRPr="00D6089B"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123AC8" w:rsidRPr="00D6089B" w:rsidRDefault="00123AC8" w:rsidP="005B7022">
            <w:pPr>
              <w:spacing w:before="40" w:after="40"/>
              <w:rPr>
                <w:rFonts w:ascii="Arial" w:hAnsi="Arial" w:cs="Arial"/>
                <w:b/>
                <w:bCs/>
                <w:sz w:val="20"/>
                <w:szCs w:val="20"/>
              </w:rPr>
            </w:pPr>
            <w:r w:rsidRPr="00D6089B">
              <w:rPr>
                <w:rFonts w:ascii="Arial" w:hAnsi="Arial" w:cs="Arial"/>
                <w:b/>
                <w:bCs/>
                <w:sz w:val="20"/>
                <w:szCs w:val="20"/>
              </w:rPr>
              <w:t>Table 4A.10</w:t>
            </w:r>
          </w:p>
        </w:tc>
        <w:tc>
          <w:tcPr>
            <w:tcW w:w="7404" w:type="dxa"/>
            <w:gridSpan w:val="2"/>
            <w:tcBorders>
              <w:top w:val="nil"/>
              <w:left w:val="nil"/>
              <w:bottom w:val="nil"/>
              <w:right w:val="nil"/>
            </w:tcBorders>
            <w:shd w:val="clear" w:color="auto" w:fill="auto"/>
            <w:hideMark/>
          </w:tcPr>
          <w:p w:rsidR="00123AC8" w:rsidRPr="00D6089B" w:rsidRDefault="00123AC8" w:rsidP="005B7022">
            <w:pPr>
              <w:spacing w:before="40" w:after="40"/>
              <w:jc w:val="both"/>
              <w:rPr>
                <w:rFonts w:ascii="Arial" w:hAnsi="Arial" w:cs="Arial"/>
                <w:sz w:val="20"/>
                <w:szCs w:val="20"/>
              </w:rPr>
            </w:pPr>
            <w:r w:rsidRPr="00D6089B">
              <w:rPr>
                <w:rFonts w:ascii="Arial" w:hAnsi="Arial" w:cs="Arial"/>
                <w:sz w:val="20"/>
                <w:szCs w:val="20"/>
              </w:rPr>
              <w:t xml:space="preserve">Australian, State and Territory government recurrent expenditure on government schools, 2012-13     </w:t>
            </w:r>
          </w:p>
        </w:tc>
      </w:tr>
      <w:tr w:rsidR="00D6089B" w:rsidRPr="00D6089B"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123AC8" w:rsidRPr="00D6089B" w:rsidRDefault="00123AC8" w:rsidP="005B7022">
            <w:pPr>
              <w:spacing w:before="40" w:after="40"/>
              <w:rPr>
                <w:rFonts w:ascii="Arial" w:hAnsi="Arial" w:cs="Arial"/>
                <w:b/>
                <w:bCs/>
                <w:sz w:val="20"/>
                <w:szCs w:val="20"/>
              </w:rPr>
            </w:pPr>
            <w:r w:rsidRPr="00D6089B">
              <w:rPr>
                <w:rFonts w:ascii="Arial" w:hAnsi="Arial" w:cs="Arial"/>
                <w:b/>
                <w:bCs/>
                <w:sz w:val="20"/>
                <w:szCs w:val="20"/>
              </w:rPr>
              <w:t>Table 4A.11</w:t>
            </w:r>
          </w:p>
        </w:tc>
        <w:tc>
          <w:tcPr>
            <w:tcW w:w="7404" w:type="dxa"/>
            <w:gridSpan w:val="2"/>
            <w:tcBorders>
              <w:top w:val="nil"/>
              <w:left w:val="nil"/>
              <w:bottom w:val="nil"/>
              <w:right w:val="nil"/>
            </w:tcBorders>
            <w:shd w:val="clear" w:color="auto" w:fill="auto"/>
            <w:hideMark/>
          </w:tcPr>
          <w:p w:rsidR="00123AC8" w:rsidRPr="00D6089B" w:rsidRDefault="00123AC8" w:rsidP="005B7022">
            <w:pPr>
              <w:spacing w:before="40" w:after="40"/>
              <w:jc w:val="both"/>
              <w:rPr>
                <w:rFonts w:ascii="Arial" w:hAnsi="Arial" w:cs="Arial"/>
                <w:sz w:val="20"/>
                <w:szCs w:val="20"/>
              </w:rPr>
            </w:pPr>
            <w:r w:rsidRPr="00D6089B">
              <w:rPr>
                <w:rFonts w:ascii="Arial" w:hAnsi="Arial" w:cs="Arial"/>
                <w:sz w:val="20"/>
                <w:szCs w:val="20"/>
              </w:rPr>
              <w:t>Comparability of government expenditure on government schools — items included, 2012-13</w:t>
            </w:r>
          </w:p>
        </w:tc>
      </w:tr>
      <w:tr w:rsidR="00123AC8" w:rsidRPr="00123AC8"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123AC8" w:rsidRPr="00D6089B" w:rsidRDefault="00123AC8" w:rsidP="005B7022">
            <w:pPr>
              <w:spacing w:before="40" w:after="40"/>
              <w:rPr>
                <w:rFonts w:ascii="Arial" w:hAnsi="Arial" w:cs="Arial"/>
                <w:b/>
                <w:bCs/>
                <w:sz w:val="20"/>
                <w:szCs w:val="20"/>
              </w:rPr>
            </w:pPr>
            <w:r w:rsidRPr="00D6089B">
              <w:rPr>
                <w:rFonts w:ascii="Arial" w:hAnsi="Arial" w:cs="Arial"/>
                <w:b/>
                <w:bCs/>
                <w:sz w:val="20"/>
                <w:szCs w:val="20"/>
              </w:rPr>
              <w:t>Table 4A.12</w:t>
            </w:r>
          </w:p>
        </w:tc>
        <w:tc>
          <w:tcPr>
            <w:tcW w:w="7404" w:type="dxa"/>
            <w:gridSpan w:val="2"/>
            <w:tcBorders>
              <w:top w:val="nil"/>
              <w:left w:val="nil"/>
              <w:bottom w:val="nil"/>
              <w:right w:val="nil"/>
            </w:tcBorders>
            <w:shd w:val="clear" w:color="auto" w:fill="auto"/>
            <w:hideMark/>
          </w:tcPr>
          <w:p w:rsidR="00123AC8" w:rsidRPr="00D6089B" w:rsidRDefault="00123AC8" w:rsidP="005B7022">
            <w:pPr>
              <w:spacing w:before="40" w:after="40"/>
              <w:jc w:val="both"/>
              <w:rPr>
                <w:rFonts w:ascii="Arial" w:hAnsi="Arial" w:cs="Arial"/>
                <w:sz w:val="20"/>
                <w:szCs w:val="20"/>
              </w:rPr>
            </w:pPr>
            <w:r w:rsidRPr="00D6089B">
              <w:rPr>
                <w:rFonts w:ascii="Arial" w:hAnsi="Arial" w:cs="Arial"/>
                <w:sz w:val="20"/>
                <w:szCs w:val="20"/>
              </w:rPr>
              <w:t xml:space="preserve">Real Australian, State and Territory government recurrent expenditure per student, government schools (2012-13 dollars) ($ per FTE student)  </w:t>
            </w:r>
          </w:p>
        </w:tc>
      </w:tr>
      <w:tr w:rsidR="00123AC8" w:rsidRPr="00123AC8"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123AC8" w:rsidRPr="00D6089B" w:rsidRDefault="00123AC8" w:rsidP="005B7022">
            <w:pPr>
              <w:spacing w:before="40" w:after="40"/>
              <w:rPr>
                <w:rFonts w:ascii="Arial" w:hAnsi="Arial" w:cs="Arial"/>
                <w:b/>
                <w:bCs/>
                <w:sz w:val="20"/>
                <w:szCs w:val="20"/>
              </w:rPr>
            </w:pPr>
            <w:r w:rsidRPr="00D6089B">
              <w:rPr>
                <w:rFonts w:ascii="Arial" w:hAnsi="Arial" w:cs="Arial"/>
                <w:b/>
                <w:bCs/>
                <w:sz w:val="20"/>
                <w:szCs w:val="20"/>
              </w:rPr>
              <w:t>Table 4A.13</w:t>
            </w:r>
          </w:p>
        </w:tc>
        <w:tc>
          <w:tcPr>
            <w:tcW w:w="7404" w:type="dxa"/>
            <w:gridSpan w:val="2"/>
            <w:tcBorders>
              <w:top w:val="nil"/>
              <w:left w:val="nil"/>
              <w:bottom w:val="nil"/>
              <w:right w:val="nil"/>
            </w:tcBorders>
            <w:shd w:val="clear" w:color="auto" w:fill="auto"/>
            <w:hideMark/>
          </w:tcPr>
          <w:p w:rsidR="00123AC8" w:rsidRPr="00D6089B" w:rsidRDefault="00123AC8" w:rsidP="005B7022">
            <w:pPr>
              <w:spacing w:before="40" w:after="40"/>
              <w:jc w:val="both"/>
              <w:rPr>
                <w:rFonts w:ascii="Arial" w:hAnsi="Arial" w:cs="Arial"/>
                <w:sz w:val="20"/>
                <w:szCs w:val="20"/>
              </w:rPr>
            </w:pPr>
            <w:r w:rsidRPr="00D6089B">
              <w:rPr>
                <w:rFonts w:ascii="Arial" w:hAnsi="Arial" w:cs="Arial"/>
                <w:sz w:val="20"/>
                <w:szCs w:val="20"/>
              </w:rPr>
              <w:t xml:space="preserve">Nominal Australian, State and Territory government recurrent expenditure per student, government schools ($ per FTE student) </w:t>
            </w:r>
          </w:p>
        </w:tc>
      </w:tr>
      <w:tr w:rsidR="00123AC8" w:rsidRPr="00123AC8"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123AC8" w:rsidRPr="00D6089B" w:rsidRDefault="00123AC8" w:rsidP="005B7022">
            <w:pPr>
              <w:spacing w:before="40" w:after="40"/>
              <w:rPr>
                <w:rFonts w:ascii="Arial" w:hAnsi="Arial" w:cs="Arial"/>
                <w:b/>
                <w:bCs/>
                <w:sz w:val="20"/>
                <w:szCs w:val="20"/>
              </w:rPr>
            </w:pPr>
            <w:r w:rsidRPr="00D6089B">
              <w:rPr>
                <w:rFonts w:ascii="Arial" w:hAnsi="Arial" w:cs="Arial"/>
                <w:b/>
                <w:bCs/>
                <w:sz w:val="20"/>
                <w:szCs w:val="20"/>
              </w:rPr>
              <w:t>Table 4A.14</w:t>
            </w:r>
          </w:p>
        </w:tc>
        <w:tc>
          <w:tcPr>
            <w:tcW w:w="7404" w:type="dxa"/>
            <w:gridSpan w:val="2"/>
            <w:tcBorders>
              <w:top w:val="nil"/>
              <w:left w:val="nil"/>
              <w:bottom w:val="nil"/>
              <w:right w:val="nil"/>
            </w:tcBorders>
            <w:shd w:val="clear" w:color="auto" w:fill="auto"/>
            <w:hideMark/>
          </w:tcPr>
          <w:p w:rsidR="00123AC8" w:rsidRPr="00D6089B" w:rsidRDefault="00123AC8" w:rsidP="005B7022">
            <w:pPr>
              <w:spacing w:before="40" w:after="40"/>
              <w:jc w:val="both"/>
              <w:rPr>
                <w:rFonts w:ascii="Arial" w:hAnsi="Arial" w:cs="Arial"/>
                <w:sz w:val="20"/>
                <w:szCs w:val="20"/>
              </w:rPr>
            </w:pPr>
            <w:r w:rsidRPr="00D6089B">
              <w:rPr>
                <w:rFonts w:ascii="Arial" w:hAnsi="Arial" w:cs="Arial"/>
                <w:sz w:val="20"/>
                <w:szCs w:val="20"/>
              </w:rPr>
              <w:t xml:space="preserve">Australian, State and Territory government recurrent expenditure per student on government schools, 2012-13 ($ per FTE student)     </w:t>
            </w:r>
          </w:p>
        </w:tc>
      </w:tr>
      <w:tr w:rsidR="00123AC8" w:rsidRPr="00123AC8"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123AC8" w:rsidRPr="00D6089B" w:rsidRDefault="00123AC8" w:rsidP="005B7022">
            <w:pPr>
              <w:spacing w:before="40" w:after="40"/>
              <w:rPr>
                <w:rFonts w:ascii="Arial" w:hAnsi="Arial" w:cs="Arial"/>
                <w:b/>
                <w:bCs/>
                <w:sz w:val="20"/>
                <w:szCs w:val="20"/>
              </w:rPr>
            </w:pPr>
            <w:r w:rsidRPr="00D6089B">
              <w:rPr>
                <w:rFonts w:ascii="Arial" w:hAnsi="Arial" w:cs="Arial"/>
                <w:b/>
                <w:bCs/>
                <w:sz w:val="20"/>
                <w:szCs w:val="20"/>
              </w:rPr>
              <w:t>Table 4A.15</w:t>
            </w:r>
          </w:p>
        </w:tc>
        <w:tc>
          <w:tcPr>
            <w:tcW w:w="7404" w:type="dxa"/>
            <w:gridSpan w:val="2"/>
            <w:tcBorders>
              <w:top w:val="nil"/>
              <w:left w:val="nil"/>
              <w:bottom w:val="nil"/>
              <w:right w:val="nil"/>
            </w:tcBorders>
            <w:shd w:val="clear" w:color="auto" w:fill="auto"/>
            <w:hideMark/>
          </w:tcPr>
          <w:p w:rsidR="00123AC8" w:rsidRPr="00D6089B" w:rsidRDefault="00123AC8" w:rsidP="005B7022">
            <w:pPr>
              <w:spacing w:before="40" w:after="40"/>
              <w:jc w:val="both"/>
              <w:rPr>
                <w:rFonts w:ascii="Arial" w:hAnsi="Arial" w:cs="Arial"/>
                <w:sz w:val="20"/>
                <w:szCs w:val="20"/>
              </w:rPr>
            </w:pPr>
            <w:r w:rsidRPr="00D6089B">
              <w:rPr>
                <w:rFonts w:ascii="Arial" w:hAnsi="Arial" w:cs="Arial"/>
                <w:sz w:val="20"/>
                <w:szCs w:val="20"/>
              </w:rPr>
              <w:t xml:space="preserve">Real Australian, State and Territory government recurrent expenditure per student, non-government schools (2012-13 dollars) ($ per FTE student)   </w:t>
            </w:r>
          </w:p>
        </w:tc>
      </w:tr>
      <w:tr w:rsidR="00123AC8" w:rsidRPr="00123AC8"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123AC8" w:rsidRPr="00D6089B" w:rsidRDefault="00123AC8" w:rsidP="005B7022">
            <w:pPr>
              <w:spacing w:before="40" w:after="40"/>
              <w:rPr>
                <w:rFonts w:ascii="Arial" w:hAnsi="Arial" w:cs="Arial"/>
                <w:b/>
                <w:bCs/>
                <w:sz w:val="20"/>
                <w:szCs w:val="20"/>
              </w:rPr>
            </w:pPr>
            <w:r w:rsidRPr="00D6089B">
              <w:rPr>
                <w:rFonts w:ascii="Arial" w:hAnsi="Arial" w:cs="Arial"/>
                <w:b/>
                <w:bCs/>
                <w:sz w:val="20"/>
                <w:szCs w:val="20"/>
              </w:rPr>
              <w:t>Table 4A.16</w:t>
            </w:r>
          </w:p>
        </w:tc>
        <w:tc>
          <w:tcPr>
            <w:tcW w:w="7404" w:type="dxa"/>
            <w:gridSpan w:val="2"/>
            <w:tcBorders>
              <w:top w:val="nil"/>
              <w:left w:val="nil"/>
              <w:bottom w:val="nil"/>
              <w:right w:val="nil"/>
            </w:tcBorders>
            <w:shd w:val="clear" w:color="auto" w:fill="auto"/>
            <w:hideMark/>
          </w:tcPr>
          <w:p w:rsidR="00123AC8" w:rsidRPr="00D6089B" w:rsidRDefault="00123AC8" w:rsidP="005B7022">
            <w:pPr>
              <w:spacing w:before="40" w:after="40"/>
              <w:jc w:val="both"/>
              <w:rPr>
                <w:rFonts w:ascii="Arial" w:hAnsi="Arial" w:cs="Arial"/>
                <w:sz w:val="20"/>
                <w:szCs w:val="20"/>
              </w:rPr>
            </w:pPr>
            <w:r w:rsidRPr="00D6089B">
              <w:rPr>
                <w:rFonts w:ascii="Arial" w:hAnsi="Arial" w:cs="Arial"/>
                <w:sz w:val="20"/>
                <w:szCs w:val="20"/>
              </w:rPr>
              <w:t xml:space="preserve">Nominal Australian, State and Territory government recurrent expenditure per student, non-government schools ($ per FTE student)  </w:t>
            </w:r>
          </w:p>
        </w:tc>
      </w:tr>
      <w:tr w:rsidR="00123AC8" w:rsidRPr="00123AC8"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123AC8" w:rsidRPr="00D6089B" w:rsidRDefault="00123AC8" w:rsidP="005B7022">
            <w:pPr>
              <w:spacing w:before="40" w:after="40"/>
              <w:rPr>
                <w:rFonts w:ascii="Arial" w:hAnsi="Arial" w:cs="Arial"/>
                <w:b/>
                <w:bCs/>
                <w:sz w:val="20"/>
                <w:szCs w:val="20"/>
              </w:rPr>
            </w:pPr>
            <w:r w:rsidRPr="00D6089B">
              <w:rPr>
                <w:rFonts w:ascii="Arial" w:hAnsi="Arial" w:cs="Arial"/>
                <w:b/>
                <w:bCs/>
                <w:sz w:val="20"/>
                <w:szCs w:val="20"/>
              </w:rPr>
              <w:t>Table 4A.17</w:t>
            </w:r>
          </w:p>
        </w:tc>
        <w:tc>
          <w:tcPr>
            <w:tcW w:w="7404" w:type="dxa"/>
            <w:gridSpan w:val="2"/>
            <w:tcBorders>
              <w:top w:val="nil"/>
              <w:left w:val="nil"/>
              <w:bottom w:val="nil"/>
              <w:right w:val="nil"/>
            </w:tcBorders>
            <w:shd w:val="clear" w:color="auto" w:fill="auto"/>
            <w:hideMark/>
          </w:tcPr>
          <w:p w:rsidR="00123AC8" w:rsidRPr="00D6089B" w:rsidRDefault="00123AC8" w:rsidP="005B7022">
            <w:pPr>
              <w:spacing w:before="40" w:after="40"/>
              <w:jc w:val="both"/>
              <w:rPr>
                <w:rFonts w:ascii="Arial" w:hAnsi="Arial" w:cs="Arial"/>
                <w:sz w:val="20"/>
                <w:szCs w:val="20"/>
              </w:rPr>
            </w:pPr>
            <w:r w:rsidRPr="00D6089B">
              <w:rPr>
                <w:rFonts w:ascii="Arial" w:hAnsi="Arial" w:cs="Arial"/>
                <w:sz w:val="20"/>
                <w:szCs w:val="20"/>
              </w:rPr>
              <w:t xml:space="preserve">Real Australian, State and Territory government recurrent expenditure per student, all schools (2012-13 dollars) ($ per FTE student)    </w:t>
            </w:r>
          </w:p>
        </w:tc>
      </w:tr>
      <w:tr w:rsidR="00123AC8" w:rsidRPr="00123AC8"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123AC8" w:rsidRPr="00D6089B" w:rsidRDefault="00123AC8" w:rsidP="005B7022">
            <w:pPr>
              <w:spacing w:before="40" w:after="40"/>
              <w:rPr>
                <w:rFonts w:ascii="Arial" w:hAnsi="Arial" w:cs="Arial"/>
                <w:b/>
                <w:bCs/>
                <w:sz w:val="20"/>
                <w:szCs w:val="20"/>
              </w:rPr>
            </w:pPr>
            <w:r w:rsidRPr="00D6089B">
              <w:rPr>
                <w:rFonts w:ascii="Arial" w:hAnsi="Arial" w:cs="Arial"/>
                <w:b/>
                <w:bCs/>
                <w:sz w:val="20"/>
                <w:szCs w:val="20"/>
              </w:rPr>
              <w:lastRenderedPageBreak/>
              <w:t>Table 4A.18</w:t>
            </w:r>
          </w:p>
        </w:tc>
        <w:tc>
          <w:tcPr>
            <w:tcW w:w="7404" w:type="dxa"/>
            <w:gridSpan w:val="2"/>
            <w:tcBorders>
              <w:top w:val="nil"/>
              <w:left w:val="nil"/>
              <w:bottom w:val="nil"/>
              <w:right w:val="nil"/>
            </w:tcBorders>
            <w:shd w:val="clear" w:color="auto" w:fill="auto"/>
            <w:hideMark/>
          </w:tcPr>
          <w:p w:rsidR="00123AC8" w:rsidRPr="00D6089B" w:rsidRDefault="00123AC8" w:rsidP="005B7022">
            <w:pPr>
              <w:spacing w:before="40" w:after="40"/>
              <w:jc w:val="both"/>
              <w:rPr>
                <w:rFonts w:ascii="Arial" w:hAnsi="Arial" w:cs="Arial"/>
                <w:sz w:val="20"/>
                <w:szCs w:val="20"/>
              </w:rPr>
            </w:pPr>
            <w:r w:rsidRPr="00D6089B">
              <w:rPr>
                <w:rFonts w:ascii="Arial" w:hAnsi="Arial" w:cs="Arial"/>
                <w:sz w:val="20"/>
                <w:szCs w:val="20"/>
              </w:rPr>
              <w:t xml:space="preserve">Nominal Australian, State and Territory government recurrent expenditure per student, all schools ($ per FTE student)   </w:t>
            </w:r>
          </w:p>
        </w:tc>
      </w:tr>
      <w:tr w:rsidR="00123AC8" w:rsidRPr="00123AC8" w:rsidTr="000842AC">
        <w:tblPrEx>
          <w:tblLook w:val="04A0" w:firstRow="1" w:lastRow="0" w:firstColumn="1" w:lastColumn="0" w:noHBand="0" w:noVBand="1"/>
        </w:tblPrEx>
        <w:trPr>
          <w:gridBefore w:val="1"/>
          <w:wBefore w:w="108" w:type="dxa"/>
          <w:trHeight w:val="357"/>
        </w:trPr>
        <w:tc>
          <w:tcPr>
            <w:tcW w:w="1456" w:type="dxa"/>
            <w:tcBorders>
              <w:top w:val="nil"/>
              <w:left w:val="nil"/>
              <w:bottom w:val="nil"/>
              <w:right w:val="nil"/>
            </w:tcBorders>
            <w:shd w:val="clear" w:color="auto" w:fill="auto"/>
            <w:noWrap/>
            <w:hideMark/>
          </w:tcPr>
          <w:p w:rsidR="00123AC8" w:rsidRPr="00D6089B" w:rsidRDefault="00123AC8" w:rsidP="005B7022">
            <w:pPr>
              <w:spacing w:before="40" w:after="40"/>
              <w:rPr>
                <w:rFonts w:ascii="Arial" w:hAnsi="Arial" w:cs="Arial"/>
                <w:b/>
                <w:bCs/>
                <w:sz w:val="20"/>
                <w:szCs w:val="20"/>
              </w:rPr>
            </w:pPr>
            <w:r w:rsidRPr="00D6089B">
              <w:rPr>
                <w:rFonts w:ascii="Arial" w:hAnsi="Arial" w:cs="Arial"/>
                <w:b/>
                <w:bCs/>
                <w:sz w:val="20"/>
                <w:szCs w:val="20"/>
              </w:rPr>
              <w:t>Table 4A.19</w:t>
            </w:r>
          </w:p>
        </w:tc>
        <w:tc>
          <w:tcPr>
            <w:tcW w:w="7404" w:type="dxa"/>
            <w:gridSpan w:val="2"/>
            <w:tcBorders>
              <w:top w:val="nil"/>
              <w:left w:val="nil"/>
              <w:bottom w:val="nil"/>
              <w:right w:val="nil"/>
            </w:tcBorders>
            <w:shd w:val="clear" w:color="auto" w:fill="auto"/>
            <w:hideMark/>
          </w:tcPr>
          <w:p w:rsidR="00123AC8" w:rsidRPr="00D6089B" w:rsidRDefault="00123AC8" w:rsidP="005B7022">
            <w:pPr>
              <w:spacing w:before="40" w:after="40"/>
              <w:jc w:val="both"/>
              <w:rPr>
                <w:rFonts w:ascii="Arial" w:hAnsi="Arial" w:cs="Arial"/>
                <w:sz w:val="20"/>
                <w:szCs w:val="20"/>
              </w:rPr>
            </w:pPr>
            <w:r w:rsidRPr="00D6089B">
              <w:rPr>
                <w:rFonts w:ascii="Arial" w:hAnsi="Arial" w:cs="Arial"/>
                <w:sz w:val="20"/>
                <w:szCs w:val="20"/>
              </w:rPr>
              <w:t xml:space="preserve">Value of capital stock, government schools ($’000)  </w:t>
            </w:r>
          </w:p>
        </w:tc>
      </w:tr>
      <w:tr w:rsidR="00123AC8" w:rsidRPr="00123AC8" w:rsidTr="000842AC">
        <w:tblPrEx>
          <w:tblLook w:val="04A0" w:firstRow="1" w:lastRow="0" w:firstColumn="1" w:lastColumn="0" w:noHBand="0" w:noVBand="1"/>
        </w:tblPrEx>
        <w:trPr>
          <w:gridBefore w:val="1"/>
          <w:wBefore w:w="108" w:type="dxa"/>
          <w:trHeight w:val="357"/>
        </w:trPr>
        <w:tc>
          <w:tcPr>
            <w:tcW w:w="1456" w:type="dxa"/>
            <w:tcBorders>
              <w:top w:val="nil"/>
              <w:left w:val="nil"/>
              <w:bottom w:val="nil"/>
              <w:right w:val="nil"/>
            </w:tcBorders>
            <w:shd w:val="clear" w:color="auto" w:fill="auto"/>
            <w:noWrap/>
            <w:hideMark/>
          </w:tcPr>
          <w:p w:rsidR="00123AC8" w:rsidRPr="00D6089B" w:rsidRDefault="00123AC8" w:rsidP="005B7022">
            <w:pPr>
              <w:spacing w:before="40" w:after="40"/>
              <w:rPr>
                <w:rFonts w:ascii="Arial" w:hAnsi="Arial" w:cs="Arial"/>
                <w:b/>
                <w:bCs/>
                <w:sz w:val="20"/>
                <w:szCs w:val="20"/>
              </w:rPr>
            </w:pPr>
            <w:r w:rsidRPr="00D6089B">
              <w:rPr>
                <w:rFonts w:ascii="Arial" w:hAnsi="Arial" w:cs="Arial"/>
                <w:b/>
                <w:bCs/>
                <w:sz w:val="20"/>
                <w:szCs w:val="20"/>
              </w:rPr>
              <w:t>Table 4A.20</w:t>
            </w:r>
          </w:p>
        </w:tc>
        <w:tc>
          <w:tcPr>
            <w:tcW w:w="7404" w:type="dxa"/>
            <w:gridSpan w:val="2"/>
            <w:tcBorders>
              <w:top w:val="nil"/>
              <w:left w:val="nil"/>
              <w:bottom w:val="nil"/>
              <w:right w:val="nil"/>
            </w:tcBorders>
            <w:shd w:val="clear" w:color="auto" w:fill="auto"/>
            <w:hideMark/>
          </w:tcPr>
          <w:p w:rsidR="00123AC8" w:rsidRPr="00D6089B" w:rsidRDefault="00123AC8" w:rsidP="005B7022">
            <w:pPr>
              <w:spacing w:before="40" w:after="40"/>
              <w:jc w:val="both"/>
              <w:rPr>
                <w:rFonts w:ascii="Arial" w:hAnsi="Arial" w:cs="Arial"/>
                <w:sz w:val="20"/>
                <w:szCs w:val="20"/>
              </w:rPr>
            </w:pPr>
            <w:r w:rsidRPr="00D6089B">
              <w:rPr>
                <w:rFonts w:ascii="Arial" w:hAnsi="Arial" w:cs="Arial"/>
                <w:sz w:val="20"/>
                <w:szCs w:val="20"/>
              </w:rPr>
              <w:t xml:space="preserve">Notional UCC per FTE student, government schools   </w:t>
            </w:r>
          </w:p>
        </w:tc>
      </w:tr>
      <w:tr w:rsidR="00123AC8" w:rsidRPr="00123AC8" w:rsidTr="000842AC">
        <w:tblPrEx>
          <w:tblLook w:val="04A0" w:firstRow="1" w:lastRow="0" w:firstColumn="1" w:lastColumn="0" w:noHBand="0" w:noVBand="1"/>
        </w:tblPrEx>
        <w:trPr>
          <w:gridBefore w:val="1"/>
          <w:wBefore w:w="108" w:type="dxa"/>
          <w:trHeight w:val="357"/>
        </w:trPr>
        <w:tc>
          <w:tcPr>
            <w:tcW w:w="1456" w:type="dxa"/>
            <w:tcBorders>
              <w:top w:val="nil"/>
              <w:left w:val="nil"/>
              <w:bottom w:val="nil"/>
              <w:right w:val="nil"/>
            </w:tcBorders>
            <w:shd w:val="clear" w:color="auto" w:fill="auto"/>
            <w:noWrap/>
            <w:hideMark/>
          </w:tcPr>
          <w:p w:rsidR="00123AC8" w:rsidRPr="00D6089B" w:rsidRDefault="00123AC8" w:rsidP="005B7022">
            <w:pPr>
              <w:spacing w:before="40" w:after="40"/>
              <w:rPr>
                <w:rFonts w:ascii="Arial" w:hAnsi="Arial" w:cs="Arial"/>
                <w:b/>
                <w:bCs/>
                <w:sz w:val="20"/>
                <w:szCs w:val="20"/>
              </w:rPr>
            </w:pPr>
            <w:r w:rsidRPr="00D6089B">
              <w:rPr>
                <w:rFonts w:ascii="Arial" w:hAnsi="Arial" w:cs="Arial"/>
                <w:b/>
                <w:bCs/>
                <w:sz w:val="20"/>
                <w:szCs w:val="20"/>
              </w:rPr>
              <w:t>Table 4A.21</w:t>
            </w:r>
          </w:p>
        </w:tc>
        <w:tc>
          <w:tcPr>
            <w:tcW w:w="7404" w:type="dxa"/>
            <w:gridSpan w:val="2"/>
            <w:tcBorders>
              <w:top w:val="nil"/>
              <w:left w:val="nil"/>
              <w:bottom w:val="nil"/>
              <w:right w:val="nil"/>
            </w:tcBorders>
            <w:shd w:val="clear" w:color="auto" w:fill="auto"/>
            <w:hideMark/>
          </w:tcPr>
          <w:p w:rsidR="00123AC8" w:rsidRPr="00D6089B" w:rsidRDefault="00123AC8" w:rsidP="005B7022">
            <w:pPr>
              <w:spacing w:before="40" w:after="40"/>
              <w:jc w:val="both"/>
              <w:rPr>
                <w:rFonts w:ascii="Arial" w:hAnsi="Arial" w:cs="Arial"/>
                <w:sz w:val="20"/>
                <w:szCs w:val="20"/>
              </w:rPr>
            </w:pPr>
            <w:r w:rsidRPr="00D6089B">
              <w:rPr>
                <w:rFonts w:ascii="Arial" w:hAnsi="Arial" w:cs="Arial"/>
                <w:sz w:val="20"/>
                <w:szCs w:val="20"/>
              </w:rPr>
              <w:t xml:space="preserve">Treatment of assets by school education agencies    </w:t>
            </w:r>
          </w:p>
        </w:tc>
      </w:tr>
      <w:tr w:rsidR="00123AC8" w:rsidRPr="00123AC8" w:rsidTr="000842AC">
        <w:tblPrEx>
          <w:tblLook w:val="04A0" w:firstRow="1" w:lastRow="0" w:firstColumn="1" w:lastColumn="0" w:noHBand="0" w:noVBand="1"/>
        </w:tblPrEx>
        <w:trPr>
          <w:gridBefore w:val="1"/>
          <w:wBefore w:w="108" w:type="dxa"/>
          <w:trHeight w:val="357"/>
        </w:trPr>
        <w:tc>
          <w:tcPr>
            <w:tcW w:w="1456" w:type="dxa"/>
            <w:tcBorders>
              <w:top w:val="nil"/>
              <w:left w:val="nil"/>
              <w:bottom w:val="nil"/>
              <w:right w:val="nil"/>
            </w:tcBorders>
            <w:shd w:val="clear" w:color="auto" w:fill="auto"/>
            <w:noWrap/>
            <w:hideMark/>
          </w:tcPr>
          <w:p w:rsidR="00123AC8" w:rsidRPr="00D6089B" w:rsidRDefault="00123AC8" w:rsidP="005B7022">
            <w:pPr>
              <w:spacing w:before="40" w:after="40"/>
              <w:rPr>
                <w:rFonts w:ascii="Arial" w:hAnsi="Arial" w:cs="Arial"/>
                <w:b/>
                <w:bCs/>
                <w:sz w:val="20"/>
                <w:szCs w:val="20"/>
              </w:rPr>
            </w:pPr>
            <w:r w:rsidRPr="00D6089B">
              <w:rPr>
                <w:rFonts w:ascii="Arial" w:hAnsi="Arial" w:cs="Arial"/>
                <w:b/>
                <w:bCs/>
                <w:sz w:val="20"/>
                <w:szCs w:val="20"/>
              </w:rPr>
              <w:t>Table 4A.22</w:t>
            </w:r>
          </w:p>
        </w:tc>
        <w:tc>
          <w:tcPr>
            <w:tcW w:w="7404" w:type="dxa"/>
            <w:gridSpan w:val="2"/>
            <w:tcBorders>
              <w:top w:val="nil"/>
              <w:left w:val="nil"/>
              <w:bottom w:val="nil"/>
              <w:right w:val="nil"/>
            </w:tcBorders>
            <w:shd w:val="clear" w:color="auto" w:fill="auto"/>
            <w:hideMark/>
          </w:tcPr>
          <w:p w:rsidR="00123AC8" w:rsidRPr="00D6089B" w:rsidRDefault="00123AC8" w:rsidP="005B7022">
            <w:pPr>
              <w:spacing w:before="40" w:after="40"/>
              <w:jc w:val="both"/>
              <w:rPr>
                <w:rFonts w:ascii="Arial" w:hAnsi="Arial" w:cs="Arial"/>
                <w:sz w:val="20"/>
                <w:szCs w:val="20"/>
              </w:rPr>
            </w:pPr>
            <w:r w:rsidRPr="00D6089B">
              <w:rPr>
                <w:rFonts w:ascii="Arial" w:hAnsi="Arial" w:cs="Arial"/>
                <w:sz w:val="20"/>
                <w:szCs w:val="20"/>
              </w:rPr>
              <w:t xml:space="preserve">Students-to-staff ratios, 2013 </w:t>
            </w:r>
          </w:p>
        </w:tc>
      </w:tr>
      <w:tr w:rsidR="00123AC8" w:rsidRPr="00123AC8" w:rsidTr="000842AC">
        <w:tblPrEx>
          <w:tblLook w:val="04A0" w:firstRow="1" w:lastRow="0" w:firstColumn="1" w:lastColumn="0" w:noHBand="0" w:noVBand="1"/>
        </w:tblPrEx>
        <w:trPr>
          <w:gridBefore w:val="1"/>
          <w:wBefore w:w="108" w:type="dxa"/>
          <w:trHeight w:val="357"/>
        </w:trPr>
        <w:tc>
          <w:tcPr>
            <w:tcW w:w="1456" w:type="dxa"/>
            <w:tcBorders>
              <w:top w:val="nil"/>
              <w:left w:val="nil"/>
              <w:bottom w:val="nil"/>
              <w:right w:val="nil"/>
            </w:tcBorders>
            <w:shd w:val="clear" w:color="auto" w:fill="auto"/>
            <w:noWrap/>
            <w:hideMark/>
          </w:tcPr>
          <w:p w:rsidR="00123AC8" w:rsidRPr="00D6089B" w:rsidRDefault="00123AC8" w:rsidP="005B7022">
            <w:pPr>
              <w:spacing w:before="40" w:after="40"/>
              <w:rPr>
                <w:rFonts w:ascii="Arial" w:hAnsi="Arial" w:cs="Arial"/>
                <w:b/>
                <w:bCs/>
                <w:sz w:val="20"/>
                <w:szCs w:val="20"/>
              </w:rPr>
            </w:pPr>
            <w:r w:rsidRPr="00D6089B">
              <w:rPr>
                <w:rFonts w:ascii="Arial" w:hAnsi="Arial" w:cs="Arial"/>
                <w:b/>
                <w:bCs/>
                <w:sz w:val="20"/>
                <w:szCs w:val="20"/>
              </w:rPr>
              <w:t>Table 4A.23</w:t>
            </w:r>
          </w:p>
        </w:tc>
        <w:tc>
          <w:tcPr>
            <w:tcW w:w="7404" w:type="dxa"/>
            <w:gridSpan w:val="2"/>
            <w:tcBorders>
              <w:top w:val="nil"/>
              <w:left w:val="nil"/>
              <w:bottom w:val="nil"/>
              <w:right w:val="nil"/>
            </w:tcBorders>
            <w:shd w:val="clear" w:color="auto" w:fill="auto"/>
            <w:hideMark/>
          </w:tcPr>
          <w:p w:rsidR="00123AC8" w:rsidRPr="00D6089B" w:rsidRDefault="00123AC8" w:rsidP="005B7022">
            <w:pPr>
              <w:spacing w:before="40" w:after="40"/>
              <w:jc w:val="both"/>
              <w:rPr>
                <w:rFonts w:ascii="Arial" w:hAnsi="Arial" w:cs="Arial"/>
                <w:sz w:val="20"/>
                <w:szCs w:val="20"/>
              </w:rPr>
            </w:pPr>
            <w:r w:rsidRPr="00D6089B">
              <w:rPr>
                <w:rFonts w:ascii="Arial" w:hAnsi="Arial" w:cs="Arial"/>
                <w:sz w:val="20"/>
                <w:szCs w:val="20"/>
              </w:rPr>
              <w:t xml:space="preserve">Students-to-staff ratios, teaching staff, all students  </w:t>
            </w:r>
          </w:p>
        </w:tc>
      </w:tr>
      <w:tr w:rsidR="00123AC8" w:rsidRPr="00123AC8" w:rsidTr="000842AC">
        <w:tblPrEx>
          <w:tblLook w:val="04A0" w:firstRow="1" w:lastRow="0" w:firstColumn="1" w:lastColumn="0" w:noHBand="0" w:noVBand="1"/>
        </w:tblPrEx>
        <w:trPr>
          <w:gridBefore w:val="1"/>
          <w:wBefore w:w="108" w:type="dxa"/>
          <w:trHeight w:val="357"/>
        </w:trPr>
        <w:tc>
          <w:tcPr>
            <w:tcW w:w="1456" w:type="dxa"/>
            <w:tcBorders>
              <w:top w:val="nil"/>
              <w:left w:val="nil"/>
              <w:bottom w:val="nil"/>
              <w:right w:val="nil"/>
            </w:tcBorders>
            <w:shd w:val="clear" w:color="auto" w:fill="auto"/>
            <w:noWrap/>
            <w:hideMark/>
          </w:tcPr>
          <w:p w:rsidR="00123AC8" w:rsidRPr="00D6089B" w:rsidRDefault="00123AC8" w:rsidP="005B7022">
            <w:pPr>
              <w:spacing w:before="40" w:after="40"/>
              <w:rPr>
                <w:rFonts w:ascii="Arial" w:hAnsi="Arial" w:cs="Arial"/>
                <w:b/>
                <w:bCs/>
                <w:sz w:val="20"/>
                <w:szCs w:val="20"/>
              </w:rPr>
            </w:pPr>
            <w:r w:rsidRPr="00D6089B">
              <w:rPr>
                <w:rFonts w:ascii="Arial" w:hAnsi="Arial" w:cs="Arial"/>
                <w:b/>
                <w:bCs/>
                <w:sz w:val="20"/>
                <w:szCs w:val="20"/>
              </w:rPr>
              <w:t>Table 4A.24</w:t>
            </w:r>
          </w:p>
        </w:tc>
        <w:tc>
          <w:tcPr>
            <w:tcW w:w="7404" w:type="dxa"/>
            <w:gridSpan w:val="2"/>
            <w:tcBorders>
              <w:top w:val="nil"/>
              <w:left w:val="nil"/>
              <w:bottom w:val="nil"/>
              <w:right w:val="nil"/>
            </w:tcBorders>
            <w:shd w:val="clear" w:color="auto" w:fill="auto"/>
            <w:hideMark/>
          </w:tcPr>
          <w:p w:rsidR="00123AC8" w:rsidRPr="00D6089B" w:rsidRDefault="00123AC8" w:rsidP="005B7022">
            <w:pPr>
              <w:spacing w:before="40" w:after="40"/>
              <w:jc w:val="both"/>
              <w:rPr>
                <w:rFonts w:ascii="Arial" w:hAnsi="Arial" w:cs="Arial"/>
                <w:sz w:val="20"/>
                <w:szCs w:val="20"/>
              </w:rPr>
            </w:pPr>
            <w:r w:rsidRPr="00D6089B">
              <w:rPr>
                <w:rFonts w:ascii="Arial" w:hAnsi="Arial" w:cs="Arial"/>
                <w:sz w:val="20"/>
                <w:szCs w:val="20"/>
              </w:rPr>
              <w:t xml:space="preserve">Distribution of school sizes — government schools, 2013 (per cent)    </w:t>
            </w:r>
          </w:p>
        </w:tc>
      </w:tr>
      <w:tr w:rsidR="00123AC8" w:rsidRPr="00123AC8" w:rsidTr="000842AC">
        <w:tblPrEx>
          <w:tblLook w:val="04A0" w:firstRow="1" w:lastRow="0" w:firstColumn="1" w:lastColumn="0" w:noHBand="0" w:noVBand="1"/>
        </w:tblPrEx>
        <w:trPr>
          <w:gridBefore w:val="1"/>
          <w:wBefore w:w="108" w:type="dxa"/>
          <w:trHeight w:val="357"/>
        </w:trPr>
        <w:tc>
          <w:tcPr>
            <w:tcW w:w="1456" w:type="dxa"/>
            <w:tcBorders>
              <w:top w:val="nil"/>
              <w:left w:val="nil"/>
              <w:bottom w:val="nil"/>
              <w:right w:val="nil"/>
            </w:tcBorders>
            <w:shd w:val="clear" w:color="auto" w:fill="auto"/>
            <w:noWrap/>
            <w:hideMark/>
          </w:tcPr>
          <w:p w:rsidR="00123AC8" w:rsidRPr="00D6089B" w:rsidRDefault="00123AC8" w:rsidP="005B7022">
            <w:pPr>
              <w:spacing w:before="40" w:after="40"/>
              <w:rPr>
                <w:rFonts w:ascii="Arial" w:hAnsi="Arial" w:cs="Arial"/>
                <w:b/>
                <w:bCs/>
                <w:sz w:val="20"/>
                <w:szCs w:val="20"/>
              </w:rPr>
            </w:pPr>
            <w:r w:rsidRPr="00D6089B">
              <w:rPr>
                <w:rFonts w:ascii="Arial" w:hAnsi="Arial" w:cs="Arial"/>
                <w:b/>
                <w:bCs/>
                <w:sz w:val="20"/>
                <w:szCs w:val="20"/>
              </w:rPr>
              <w:t>Table 4A.25</w:t>
            </w:r>
          </w:p>
        </w:tc>
        <w:tc>
          <w:tcPr>
            <w:tcW w:w="7404" w:type="dxa"/>
            <w:gridSpan w:val="2"/>
            <w:tcBorders>
              <w:top w:val="nil"/>
              <w:left w:val="nil"/>
              <w:bottom w:val="nil"/>
              <w:right w:val="nil"/>
            </w:tcBorders>
            <w:shd w:val="clear" w:color="auto" w:fill="auto"/>
            <w:hideMark/>
          </w:tcPr>
          <w:p w:rsidR="00123AC8" w:rsidRPr="00D6089B" w:rsidRDefault="00123AC8" w:rsidP="005B7022">
            <w:pPr>
              <w:spacing w:before="40" w:after="40"/>
              <w:jc w:val="both"/>
              <w:rPr>
                <w:rFonts w:ascii="Arial" w:hAnsi="Arial" w:cs="Arial"/>
                <w:sz w:val="20"/>
                <w:szCs w:val="20"/>
              </w:rPr>
            </w:pPr>
            <w:r w:rsidRPr="00D6089B">
              <w:rPr>
                <w:rFonts w:ascii="Arial" w:hAnsi="Arial" w:cs="Arial"/>
                <w:sz w:val="20"/>
                <w:szCs w:val="20"/>
              </w:rPr>
              <w:t xml:space="preserve">Distribution of school sizes — non-government schools, 2013 (per cent)    </w:t>
            </w:r>
          </w:p>
        </w:tc>
      </w:tr>
      <w:tr w:rsidR="00123AC8" w:rsidRPr="00123AC8" w:rsidTr="000842AC">
        <w:tblPrEx>
          <w:tblLook w:val="04A0" w:firstRow="1" w:lastRow="0" w:firstColumn="1" w:lastColumn="0" w:noHBand="0" w:noVBand="1"/>
        </w:tblPrEx>
        <w:trPr>
          <w:gridBefore w:val="1"/>
          <w:wBefore w:w="108" w:type="dxa"/>
          <w:trHeight w:val="357"/>
        </w:trPr>
        <w:tc>
          <w:tcPr>
            <w:tcW w:w="1456" w:type="dxa"/>
            <w:tcBorders>
              <w:top w:val="nil"/>
              <w:left w:val="nil"/>
              <w:bottom w:val="nil"/>
              <w:right w:val="nil"/>
            </w:tcBorders>
            <w:shd w:val="clear" w:color="auto" w:fill="auto"/>
            <w:noWrap/>
            <w:hideMark/>
          </w:tcPr>
          <w:p w:rsidR="00123AC8" w:rsidRPr="00D6089B" w:rsidRDefault="00123AC8" w:rsidP="005B7022">
            <w:pPr>
              <w:spacing w:before="40" w:after="40"/>
              <w:rPr>
                <w:rFonts w:ascii="Arial" w:hAnsi="Arial" w:cs="Arial"/>
                <w:b/>
                <w:bCs/>
                <w:sz w:val="20"/>
                <w:szCs w:val="20"/>
              </w:rPr>
            </w:pPr>
            <w:r w:rsidRPr="00D6089B">
              <w:rPr>
                <w:rFonts w:ascii="Arial" w:hAnsi="Arial" w:cs="Arial"/>
                <w:b/>
                <w:bCs/>
                <w:sz w:val="20"/>
                <w:szCs w:val="20"/>
              </w:rPr>
              <w:t>Table 4A.26</w:t>
            </w:r>
          </w:p>
        </w:tc>
        <w:tc>
          <w:tcPr>
            <w:tcW w:w="7404" w:type="dxa"/>
            <w:gridSpan w:val="2"/>
            <w:tcBorders>
              <w:top w:val="nil"/>
              <w:left w:val="nil"/>
              <w:bottom w:val="nil"/>
              <w:right w:val="nil"/>
            </w:tcBorders>
            <w:shd w:val="clear" w:color="auto" w:fill="auto"/>
            <w:hideMark/>
          </w:tcPr>
          <w:p w:rsidR="00123AC8" w:rsidRPr="00D6089B" w:rsidRDefault="00123AC8" w:rsidP="005B7022">
            <w:pPr>
              <w:spacing w:before="40" w:after="40"/>
              <w:jc w:val="both"/>
              <w:rPr>
                <w:rFonts w:ascii="Arial" w:hAnsi="Arial" w:cs="Arial"/>
                <w:sz w:val="20"/>
                <w:szCs w:val="20"/>
              </w:rPr>
            </w:pPr>
            <w:r w:rsidRPr="00D6089B">
              <w:rPr>
                <w:rFonts w:ascii="Arial" w:hAnsi="Arial" w:cs="Arial"/>
                <w:sz w:val="20"/>
                <w:szCs w:val="20"/>
              </w:rPr>
              <w:t xml:space="preserve">Distribution of school sizes — all schools, 2013 (per cent)    </w:t>
            </w:r>
          </w:p>
        </w:tc>
      </w:tr>
      <w:tr w:rsidR="00123AC8" w:rsidRPr="00123AC8" w:rsidTr="000842AC">
        <w:tblPrEx>
          <w:tblLook w:val="04A0" w:firstRow="1" w:lastRow="0" w:firstColumn="1" w:lastColumn="0" w:noHBand="0" w:noVBand="1"/>
        </w:tblPrEx>
        <w:trPr>
          <w:gridBefore w:val="1"/>
          <w:wBefore w:w="108" w:type="dxa"/>
          <w:trHeight w:val="357"/>
        </w:trPr>
        <w:tc>
          <w:tcPr>
            <w:tcW w:w="1456" w:type="dxa"/>
            <w:tcBorders>
              <w:top w:val="nil"/>
              <w:left w:val="nil"/>
              <w:bottom w:val="nil"/>
              <w:right w:val="nil"/>
            </w:tcBorders>
            <w:shd w:val="clear" w:color="auto" w:fill="auto"/>
            <w:noWrap/>
            <w:hideMark/>
          </w:tcPr>
          <w:p w:rsidR="00123AC8" w:rsidRPr="00D6089B" w:rsidRDefault="00123AC8" w:rsidP="005B7022">
            <w:pPr>
              <w:spacing w:before="40" w:after="40"/>
              <w:rPr>
                <w:rFonts w:ascii="Arial" w:hAnsi="Arial" w:cs="Arial"/>
                <w:b/>
                <w:bCs/>
                <w:sz w:val="20"/>
                <w:szCs w:val="20"/>
              </w:rPr>
            </w:pPr>
            <w:r w:rsidRPr="00D6089B">
              <w:rPr>
                <w:rFonts w:ascii="Arial" w:hAnsi="Arial" w:cs="Arial"/>
                <w:b/>
                <w:bCs/>
                <w:sz w:val="20"/>
                <w:szCs w:val="20"/>
              </w:rPr>
              <w:t>Table 4A.27</w:t>
            </w:r>
          </w:p>
        </w:tc>
        <w:tc>
          <w:tcPr>
            <w:tcW w:w="7404" w:type="dxa"/>
            <w:gridSpan w:val="2"/>
            <w:tcBorders>
              <w:top w:val="nil"/>
              <w:left w:val="nil"/>
              <w:bottom w:val="nil"/>
              <w:right w:val="nil"/>
            </w:tcBorders>
            <w:shd w:val="clear" w:color="auto" w:fill="auto"/>
            <w:hideMark/>
          </w:tcPr>
          <w:p w:rsidR="00123AC8" w:rsidRPr="00D6089B" w:rsidRDefault="00123AC8" w:rsidP="005B7022">
            <w:pPr>
              <w:spacing w:before="40" w:after="40"/>
              <w:jc w:val="both"/>
              <w:rPr>
                <w:rFonts w:ascii="Arial" w:hAnsi="Arial" w:cs="Arial"/>
                <w:sz w:val="20"/>
                <w:szCs w:val="20"/>
              </w:rPr>
            </w:pPr>
            <w:r w:rsidRPr="00D6089B">
              <w:rPr>
                <w:rFonts w:ascii="Arial" w:hAnsi="Arial" w:cs="Arial"/>
                <w:sz w:val="20"/>
                <w:szCs w:val="20"/>
              </w:rPr>
              <w:t xml:space="preserve">Full time student enrolments and schools (number) </w:t>
            </w:r>
          </w:p>
        </w:tc>
      </w:tr>
      <w:tr w:rsidR="00123AC8" w:rsidRPr="00123AC8" w:rsidTr="000842AC">
        <w:tblPrEx>
          <w:tblLook w:val="04A0" w:firstRow="1" w:lastRow="0" w:firstColumn="1" w:lastColumn="0" w:noHBand="0" w:noVBand="1"/>
        </w:tblPrEx>
        <w:trPr>
          <w:gridBefore w:val="1"/>
          <w:wBefore w:w="108" w:type="dxa"/>
          <w:trHeight w:val="357"/>
        </w:trPr>
        <w:tc>
          <w:tcPr>
            <w:tcW w:w="1456" w:type="dxa"/>
            <w:tcBorders>
              <w:top w:val="nil"/>
              <w:left w:val="nil"/>
              <w:bottom w:val="nil"/>
              <w:right w:val="nil"/>
            </w:tcBorders>
            <w:shd w:val="clear" w:color="auto" w:fill="auto"/>
            <w:noWrap/>
            <w:hideMark/>
          </w:tcPr>
          <w:p w:rsidR="00123AC8" w:rsidRPr="00D6089B" w:rsidRDefault="00123AC8" w:rsidP="005B7022">
            <w:pPr>
              <w:spacing w:before="40" w:after="40"/>
              <w:rPr>
                <w:rFonts w:ascii="Arial" w:hAnsi="Arial" w:cs="Arial"/>
                <w:b/>
                <w:bCs/>
                <w:sz w:val="20"/>
                <w:szCs w:val="20"/>
              </w:rPr>
            </w:pPr>
            <w:r w:rsidRPr="00D6089B">
              <w:rPr>
                <w:rFonts w:ascii="Arial" w:hAnsi="Arial" w:cs="Arial"/>
                <w:b/>
                <w:bCs/>
                <w:sz w:val="20"/>
                <w:szCs w:val="20"/>
              </w:rPr>
              <w:t>Table 4A.28</w:t>
            </w:r>
          </w:p>
        </w:tc>
        <w:tc>
          <w:tcPr>
            <w:tcW w:w="7404" w:type="dxa"/>
            <w:gridSpan w:val="2"/>
            <w:tcBorders>
              <w:top w:val="nil"/>
              <w:left w:val="nil"/>
              <w:bottom w:val="nil"/>
              <w:right w:val="nil"/>
            </w:tcBorders>
            <w:shd w:val="clear" w:color="auto" w:fill="auto"/>
            <w:hideMark/>
          </w:tcPr>
          <w:p w:rsidR="00123AC8" w:rsidRPr="00D6089B" w:rsidRDefault="00123AC8" w:rsidP="00742440">
            <w:pPr>
              <w:spacing w:before="40" w:after="40"/>
              <w:jc w:val="both"/>
              <w:rPr>
                <w:rFonts w:ascii="Arial" w:hAnsi="Arial" w:cs="Arial"/>
                <w:sz w:val="20"/>
                <w:szCs w:val="20"/>
              </w:rPr>
            </w:pPr>
            <w:r w:rsidRPr="00D6089B">
              <w:rPr>
                <w:rFonts w:ascii="Arial" w:hAnsi="Arial" w:cs="Arial"/>
                <w:sz w:val="20"/>
                <w:szCs w:val="20"/>
              </w:rPr>
              <w:t>Change in number of schools and number of full time students, 200</w:t>
            </w:r>
            <w:r w:rsidR="00742440" w:rsidRPr="00D6089B">
              <w:rPr>
                <w:rFonts w:ascii="Arial" w:hAnsi="Arial" w:cs="Arial"/>
                <w:sz w:val="20"/>
                <w:szCs w:val="20"/>
              </w:rPr>
              <w:t>9</w:t>
            </w:r>
            <w:r w:rsidRPr="00D6089B">
              <w:rPr>
                <w:rFonts w:ascii="Arial" w:hAnsi="Arial" w:cs="Arial"/>
                <w:sz w:val="20"/>
                <w:szCs w:val="20"/>
              </w:rPr>
              <w:t>–1</w:t>
            </w:r>
            <w:r w:rsidR="00742440" w:rsidRPr="00D6089B">
              <w:rPr>
                <w:rFonts w:ascii="Arial" w:hAnsi="Arial" w:cs="Arial"/>
                <w:sz w:val="20"/>
                <w:szCs w:val="20"/>
              </w:rPr>
              <w:t>3</w:t>
            </w:r>
            <w:r w:rsidRPr="00D6089B">
              <w:rPr>
                <w:rFonts w:ascii="Arial" w:hAnsi="Arial" w:cs="Arial"/>
                <w:sz w:val="20"/>
                <w:szCs w:val="20"/>
              </w:rPr>
              <w:t xml:space="preserve"> (per cent) </w:t>
            </w:r>
          </w:p>
        </w:tc>
      </w:tr>
      <w:tr w:rsidR="00123AC8" w:rsidRPr="00123AC8" w:rsidTr="000842AC">
        <w:tblPrEx>
          <w:tblLook w:val="04A0" w:firstRow="1" w:lastRow="0" w:firstColumn="1" w:lastColumn="0" w:noHBand="0" w:noVBand="1"/>
        </w:tblPrEx>
        <w:trPr>
          <w:gridBefore w:val="1"/>
          <w:wBefore w:w="108" w:type="dxa"/>
          <w:trHeight w:val="357"/>
        </w:trPr>
        <w:tc>
          <w:tcPr>
            <w:tcW w:w="1456" w:type="dxa"/>
            <w:tcBorders>
              <w:top w:val="nil"/>
              <w:left w:val="nil"/>
              <w:bottom w:val="nil"/>
              <w:right w:val="nil"/>
            </w:tcBorders>
            <w:shd w:val="clear" w:color="auto" w:fill="auto"/>
            <w:noWrap/>
            <w:hideMark/>
          </w:tcPr>
          <w:p w:rsidR="00123AC8" w:rsidRPr="00D6089B" w:rsidRDefault="00123AC8" w:rsidP="005B7022">
            <w:pPr>
              <w:spacing w:before="40" w:after="40"/>
              <w:rPr>
                <w:rFonts w:ascii="Arial" w:hAnsi="Arial" w:cs="Arial"/>
                <w:b/>
                <w:bCs/>
                <w:sz w:val="20"/>
                <w:szCs w:val="20"/>
              </w:rPr>
            </w:pPr>
            <w:r w:rsidRPr="00D6089B">
              <w:rPr>
                <w:rFonts w:ascii="Arial" w:hAnsi="Arial" w:cs="Arial"/>
                <w:b/>
                <w:bCs/>
                <w:sz w:val="20"/>
                <w:szCs w:val="20"/>
              </w:rPr>
              <w:t>Table 4A.29</w:t>
            </w:r>
          </w:p>
        </w:tc>
        <w:tc>
          <w:tcPr>
            <w:tcW w:w="7404" w:type="dxa"/>
            <w:gridSpan w:val="2"/>
            <w:tcBorders>
              <w:top w:val="nil"/>
              <w:left w:val="nil"/>
              <w:bottom w:val="nil"/>
              <w:right w:val="nil"/>
            </w:tcBorders>
            <w:shd w:val="clear" w:color="auto" w:fill="auto"/>
            <w:hideMark/>
          </w:tcPr>
          <w:p w:rsidR="00123AC8" w:rsidRPr="00D6089B" w:rsidRDefault="00123AC8" w:rsidP="005B7022">
            <w:pPr>
              <w:spacing w:before="40" w:after="40"/>
              <w:jc w:val="both"/>
              <w:rPr>
                <w:rFonts w:ascii="Arial" w:hAnsi="Arial" w:cs="Arial"/>
                <w:sz w:val="20"/>
                <w:szCs w:val="20"/>
              </w:rPr>
            </w:pPr>
            <w:r w:rsidRPr="00D6089B">
              <w:rPr>
                <w:rFonts w:ascii="Arial" w:hAnsi="Arial" w:cs="Arial"/>
                <w:sz w:val="20"/>
                <w:szCs w:val="20"/>
              </w:rPr>
              <w:t xml:space="preserve">Aboriginal and Torres Strait Islander full time students, 2013 </w:t>
            </w:r>
          </w:p>
        </w:tc>
      </w:tr>
      <w:tr w:rsidR="00123AC8" w:rsidRPr="00123AC8"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123AC8" w:rsidRPr="00D6089B" w:rsidRDefault="00123AC8" w:rsidP="005B7022">
            <w:pPr>
              <w:spacing w:before="40" w:after="40"/>
              <w:rPr>
                <w:rFonts w:ascii="Arial" w:hAnsi="Arial" w:cs="Arial"/>
                <w:b/>
                <w:bCs/>
                <w:sz w:val="20"/>
                <w:szCs w:val="20"/>
              </w:rPr>
            </w:pPr>
            <w:r w:rsidRPr="00D6089B">
              <w:rPr>
                <w:rFonts w:ascii="Arial" w:hAnsi="Arial" w:cs="Arial"/>
                <w:b/>
                <w:bCs/>
                <w:sz w:val="20"/>
                <w:szCs w:val="20"/>
              </w:rPr>
              <w:t>Table 4A.30</w:t>
            </w:r>
          </w:p>
        </w:tc>
        <w:tc>
          <w:tcPr>
            <w:tcW w:w="7404" w:type="dxa"/>
            <w:gridSpan w:val="2"/>
            <w:tcBorders>
              <w:top w:val="nil"/>
              <w:left w:val="nil"/>
              <w:bottom w:val="nil"/>
              <w:right w:val="nil"/>
            </w:tcBorders>
            <w:shd w:val="clear" w:color="auto" w:fill="auto"/>
            <w:hideMark/>
          </w:tcPr>
          <w:p w:rsidR="00123AC8" w:rsidRPr="00D6089B" w:rsidRDefault="00123AC8" w:rsidP="005B7022">
            <w:pPr>
              <w:spacing w:before="40" w:after="40"/>
              <w:jc w:val="both"/>
              <w:rPr>
                <w:rFonts w:ascii="Arial" w:hAnsi="Arial" w:cs="Arial"/>
                <w:sz w:val="20"/>
                <w:szCs w:val="20"/>
              </w:rPr>
            </w:pPr>
            <w:r w:rsidRPr="00D6089B">
              <w:rPr>
                <w:rFonts w:ascii="Arial" w:hAnsi="Arial" w:cs="Arial"/>
                <w:sz w:val="20"/>
                <w:szCs w:val="20"/>
              </w:rPr>
              <w:t xml:space="preserve">Students from language backgrounds other than English as a proportion of all students (per cent)        </w:t>
            </w:r>
          </w:p>
        </w:tc>
      </w:tr>
      <w:tr w:rsidR="00123AC8" w:rsidRPr="00123AC8" w:rsidTr="000842AC">
        <w:tblPrEx>
          <w:tblLook w:val="04A0" w:firstRow="1" w:lastRow="0" w:firstColumn="1" w:lastColumn="0" w:noHBand="0" w:noVBand="1"/>
        </w:tblPrEx>
        <w:trPr>
          <w:gridBefore w:val="1"/>
          <w:wBefore w:w="108" w:type="dxa"/>
          <w:trHeight w:val="357"/>
        </w:trPr>
        <w:tc>
          <w:tcPr>
            <w:tcW w:w="1456" w:type="dxa"/>
            <w:tcBorders>
              <w:top w:val="nil"/>
              <w:left w:val="nil"/>
              <w:bottom w:val="nil"/>
              <w:right w:val="nil"/>
            </w:tcBorders>
            <w:shd w:val="clear" w:color="auto" w:fill="auto"/>
            <w:noWrap/>
            <w:hideMark/>
          </w:tcPr>
          <w:p w:rsidR="00123AC8" w:rsidRPr="00D6089B" w:rsidRDefault="00123AC8" w:rsidP="005B7022">
            <w:pPr>
              <w:spacing w:before="40" w:after="40"/>
              <w:rPr>
                <w:rFonts w:ascii="Arial" w:hAnsi="Arial" w:cs="Arial"/>
                <w:b/>
                <w:bCs/>
                <w:sz w:val="20"/>
                <w:szCs w:val="20"/>
              </w:rPr>
            </w:pPr>
            <w:r w:rsidRPr="00D6089B">
              <w:rPr>
                <w:rFonts w:ascii="Arial" w:hAnsi="Arial" w:cs="Arial"/>
                <w:b/>
                <w:bCs/>
                <w:sz w:val="20"/>
                <w:szCs w:val="20"/>
              </w:rPr>
              <w:t>Table 4A.31</w:t>
            </w:r>
          </w:p>
        </w:tc>
        <w:tc>
          <w:tcPr>
            <w:tcW w:w="7404" w:type="dxa"/>
            <w:gridSpan w:val="2"/>
            <w:tcBorders>
              <w:top w:val="nil"/>
              <w:left w:val="nil"/>
              <w:bottom w:val="nil"/>
              <w:right w:val="nil"/>
            </w:tcBorders>
            <w:shd w:val="clear" w:color="auto" w:fill="auto"/>
            <w:hideMark/>
          </w:tcPr>
          <w:p w:rsidR="00123AC8" w:rsidRPr="00D6089B" w:rsidRDefault="00123AC8" w:rsidP="005B7022">
            <w:pPr>
              <w:spacing w:before="40" w:after="40"/>
              <w:jc w:val="both"/>
              <w:rPr>
                <w:rFonts w:ascii="Arial" w:hAnsi="Arial" w:cs="Arial"/>
                <w:sz w:val="20"/>
                <w:szCs w:val="20"/>
              </w:rPr>
            </w:pPr>
            <w:r w:rsidRPr="00D6089B">
              <w:rPr>
                <w:rFonts w:ascii="Arial" w:hAnsi="Arial" w:cs="Arial"/>
                <w:sz w:val="20"/>
                <w:szCs w:val="20"/>
              </w:rPr>
              <w:t xml:space="preserve">Funded students with disability, 2013  </w:t>
            </w:r>
          </w:p>
        </w:tc>
      </w:tr>
      <w:tr w:rsidR="00123AC8" w:rsidRPr="00123AC8" w:rsidTr="000842AC">
        <w:tblPrEx>
          <w:tblLook w:val="04A0" w:firstRow="1" w:lastRow="0" w:firstColumn="1" w:lastColumn="0" w:noHBand="0" w:noVBand="1"/>
        </w:tblPrEx>
        <w:trPr>
          <w:gridBefore w:val="1"/>
          <w:wBefore w:w="108" w:type="dxa"/>
          <w:trHeight w:val="357"/>
        </w:trPr>
        <w:tc>
          <w:tcPr>
            <w:tcW w:w="1456" w:type="dxa"/>
            <w:tcBorders>
              <w:top w:val="nil"/>
              <w:left w:val="nil"/>
              <w:bottom w:val="nil"/>
              <w:right w:val="nil"/>
            </w:tcBorders>
            <w:shd w:val="clear" w:color="auto" w:fill="auto"/>
            <w:noWrap/>
            <w:hideMark/>
          </w:tcPr>
          <w:p w:rsidR="00123AC8" w:rsidRPr="00D6089B" w:rsidRDefault="00123AC8" w:rsidP="005B7022">
            <w:pPr>
              <w:spacing w:before="40" w:after="40"/>
              <w:rPr>
                <w:rFonts w:ascii="Arial" w:hAnsi="Arial" w:cs="Arial"/>
                <w:b/>
                <w:bCs/>
                <w:sz w:val="20"/>
                <w:szCs w:val="20"/>
              </w:rPr>
            </w:pPr>
            <w:r w:rsidRPr="00D6089B">
              <w:rPr>
                <w:rFonts w:ascii="Arial" w:hAnsi="Arial" w:cs="Arial"/>
                <w:b/>
                <w:bCs/>
                <w:sz w:val="20"/>
                <w:szCs w:val="20"/>
              </w:rPr>
              <w:t>Table 4A.32</w:t>
            </w:r>
          </w:p>
        </w:tc>
        <w:tc>
          <w:tcPr>
            <w:tcW w:w="7404" w:type="dxa"/>
            <w:gridSpan w:val="2"/>
            <w:tcBorders>
              <w:top w:val="nil"/>
              <w:left w:val="nil"/>
              <w:bottom w:val="nil"/>
              <w:right w:val="nil"/>
            </w:tcBorders>
            <w:shd w:val="clear" w:color="auto" w:fill="auto"/>
            <w:hideMark/>
          </w:tcPr>
          <w:p w:rsidR="00123AC8" w:rsidRPr="00D6089B" w:rsidRDefault="00123AC8" w:rsidP="005B7022">
            <w:pPr>
              <w:spacing w:before="40" w:after="40"/>
              <w:jc w:val="both"/>
              <w:rPr>
                <w:rFonts w:ascii="Arial" w:hAnsi="Arial" w:cs="Arial"/>
                <w:sz w:val="20"/>
                <w:szCs w:val="20"/>
              </w:rPr>
            </w:pPr>
            <w:r w:rsidRPr="00D6089B">
              <w:rPr>
                <w:rFonts w:ascii="Arial" w:hAnsi="Arial" w:cs="Arial"/>
                <w:sz w:val="20"/>
                <w:szCs w:val="20"/>
              </w:rPr>
              <w:t>Student body mix, government schools (per cent)</w:t>
            </w:r>
          </w:p>
        </w:tc>
      </w:tr>
      <w:tr w:rsidR="00123AC8" w:rsidRPr="00123AC8" w:rsidTr="000842AC">
        <w:tblPrEx>
          <w:tblLook w:val="04A0" w:firstRow="1" w:lastRow="0" w:firstColumn="1" w:lastColumn="0" w:noHBand="0" w:noVBand="1"/>
        </w:tblPrEx>
        <w:trPr>
          <w:gridBefore w:val="1"/>
          <w:wBefore w:w="108" w:type="dxa"/>
          <w:trHeight w:val="357"/>
        </w:trPr>
        <w:tc>
          <w:tcPr>
            <w:tcW w:w="1456" w:type="dxa"/>
            <w:tcBorders>
              <w:top w:val="nil"/>
              <w:left w:val="nil"/>
              <w:bottom w:val="nil"/>
              <w:right w:val="nil"/>
            </w:tcBorders>
            <w:shd w:val="clear" w:color="auto" w:fill="auto"/>
            <w:noWrap/>
            <w:hideMark/>
          </w:tcPr>
          <w:p w:rsidR="00123AC8" w:rsidRPr="00D6089B" w:rsidRDefault="00123AC8" w:rsidP="005B7022">
            <w:pPr>
              <w:spacing w:before="40" w:after="40"/>
              <w:rPr>
                <w:rFonts w:ascii="Arial" w:hAnsi="Arial" w:cs="Arial"/>
                <w:b/>
                <w:bCs/>
                <w:sz w:val="20"/>
                <w:szCs w:val="20"/>
              </w:rPr>
            </w:pPr>
            <w:r w:rsidRPr="00D6089B">
              <w:rPr>
                <w:rFonts w:ascii="Arial" w:hAnsi="Arial" w:cs="Arial"/>
                <w:b/>
                <w:bCs/>
                <w:sz w:val="20"/>
                <w:szCs w:val="20"/>
              </w:rPr>
              <w:t>Table 4A.33</w:t>
            </w:r>
          </w:p>
        </w:tc>
        <w:tc>
          <w:tcPr>
            <w:tcW w:w="7404" w:type="dxa"/>
            <w:gridSpan w:val="2"/>
            <w:tcBorders>
              <w:top w:val="nil"/>
              <w:left w:val="nil"/>
              <w:bottom w:val="nil"/>
              <w:right w:val="nil"/>
            </w:tcBorders>
            <w:shd w:val="clear" w:color="auto" w:fill="auto"/>
            <w:hideMark/>
          </w:tcPr>
          <w:p w:rsidR="00123AC8" w:rsidRPr="00D6089B" w:rsidRDefault="00123AC8" w:rsidP="005B7022">
            <w:pPr>
              <w:spacing w:before="40" w:after="40"/>
              <w:jc w:val="both"/>
              <w:rPr>
                <w:rFonts w:ascii="Arial" w:hAnsi="Arial" w:cs="Arial"/>
                <w:sz w:val="20"/>
                <w:szCs w:val="20"/>
              </w:rPr>
            </w:pPr>
            <w:r w:rsidRPr="00D6089B">
              <w:rPr>
                <w:rFonts w:ascii="Arial" w:hAnsi="Arial" w:cs="Arial"/>
                <w:sz w:val="20"/>
                <w:szCs w:val="20"/>
              </w:rPr>
              <w:t xml:space="preserve">Student body mix, non-government schools (per cent) </w:t>
            </w:r>
          </w:p>
        </w:tc>
      </w:tr>
      <w:tr w:rsidR="00123AC8" w:rsidRPr="00123AC8" w:rsidTr="000842AC">
        <w:tblPrEx>
          <w:tblLook w:val="04A0" w:firstRow="1" w:lastRow="0" w:firstColumn="1" w:lastColumn="0" w:noHBand="0" w:noVBand="1"/>
        </w:tblPrEx>
        <w:trPr>
          <w:gridBefore w:val="1"/>
          <w:wBefore w:w="108" w:type="dxa"/>
          <w:trHeight w:val="357"/>
        </w:trPr>
        <w:tc>
          <w:tcPr>
            <w:tcW w:w="1456" w:type="dxa"/>
            <w:tcBorders>
              <w:top w:val="nil"/>
              <w:left w:val="nil"/>
              <w:bottom w:val="nil"/>
              <w:right w:val="nil"/>
            </w:tcBorders>
            <w:shd w:val="clear" w:color="auto" w:fill="auto"/>
            <w:noWrap/>
            <w:hideMark/>
          </w:tcPr>
          <w:p w:rsidR="00123AC8" w:rsidRPr="00D6089B" w:rsidRDefault="00123AC8" w:rsidP="005B7022">
            <w:pPr>
              <w:spacing w:before="40" w:after="40"/>
              <w:rPr>
                <w:rFonts w:ascii="Arial" w:hAnsi="Arial" w:cs="Arial"/>
                <w:b/>
                <w:bCs/>
                <w:sz w:val="20"/>
                <w:szCs w:val="20"/>
              </w:rPr>
            </w:pPr>
            <w:r w:rsidRPr="00D6089B">
              <w:rPr>
                <w:rFonts w:ascii="Arial" w:hAnsi="Arial" w:cs="Arial"/>
                <w:b/>
                <w:bCs/>
                <w:sz w:val="20"/>
                <w:szCs w:val="20"/>
              </w:rPr>
              <w:t>Table 4A.34</w:t>
            </w:r>
          </w:p>
        </w:tc>
        <w:tc>
          <w:tcPr>
            <w:tcW w:w="7404" w:type="dxa"/>
            <w:gridSpan w:val="2"/>
            <w:tcBorders>
              <w:top w:val="nil"/>
              <w:left w:val="nil"/>
              <w:bottom w:val="nil"/>
              <w:right w:val="nil"/>
            </w:tcBorders>
            <w:shd w:val="clear" w:color="auto" w:fill="auto"/>
            <w:hideMark/>
          </w:tcPr>
          <w:p w:rsidR="00123AC8" w:rsidRPr="00D6089B" w:rsidRDefault="00123AC8" w:rsidP="005B7022">
            <w:pPr>
              <w:spacing w:before="40" w:after="40"/>
              <w:jc w:val="both"/>
              <w:rPr>
                <w:rFonts w:ascii="Arial" w:hAnsi="Arial" w:cs="Arial"/>
                <w:sz w:val="20"/>
                <w:szCs w:val="20"/>
              </w:rPr>
            </w:pPr>
            <w:r w:rsidRPr="00D6089B">
              <w:rPr>
                <w:rFonts w:ascii="Arial" w:hAnsi="Arial" w:cs="Arial"/>
                <w:sz w:val="20"/>
                <w:szCs w:val="20"/>
              </w:rPr>
              <w:t>Student body mix, all schools (per cent)</w:t>
            </w:r>
          </w:p>
        </w:tc>
      </w:tr>
      <w:tr w:rsidR="00123AC8" w:rsidRPr="00123AC8"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123AC8" w:rsidRPr="00D6089B" w:rsidRDefault="00123AC8" w:rsidP="005B7022">
            <w:pPr>
              <w:spacing w:before="40" w:after="40"/>
              <w:rPr>
                <w:rFonts w:ascii="Arial" w:hAnsi="Arial" w:cs="Arial"/>
                <w:b/>
                <w:bCs/>
                <w:sz w:val="20"/>
                <w:szCs w:val="20"/>
              </w:rPr>
            </w:pPr>
            <w:r w:rsidRPr="00D6089B">
              <w:rPr>
                <w:rFonts w:ascii="Arial" w:hAnsi="Arial" w:cs="Arial"/>
                <w:b/>
                <w:bCs/>
                <w:sz w:val="20"/>
                <w:szCs w:val="20"/>
              </w:rPr>
              <w:t>Table 4A.35</w:t>
            </w:r>
          </w:p>
        </w:tc>
        <w:tc>
          <w:tcPr>
            <w:tcW w:w="7404" w:type="dxa"/>
            <w:gridSpan w:val="2"/>
            <w:tcBorders>
              <w:top w:val="nil"/>
              <w:left w:val="nil"/>
              <w:bottom w:val="nil"/>
              <w:right w:val="nil"/>
            </w:tcBorders>
            <w:shd w:val="clear" w:color="auto" w:fill="auto"/>
            <w:hideMark/>
          </w:tcPr>
          <w:p w:rsidR="00123AC8" w:rsidRPr="00D6089B" w:rsidRDefault="00123AC8" w:rsidP="005B7022">
            <w:pPr>
              <w:spacing w:before="40" w:after="40"/>
              <w:jc w:val="both"/>
              <w:rPr>
                <w:rFonts w:ascii="Arial" w:hAnsi="Arial" w:cs="Arial"/>
                <w:sz w:val="20"/>
                <w:szCs w:val="20"/>
              </w:rPr>
            </w:pPr>
            <w:r w:rsidRPr="00D6089B">
              <w:rPr>
                <w:rFonts w:ascii="Arial" w:hAnsi="Arial" w:cs="Arial"/>
                <w:sz w:val="20"/>
                <w:szCs w:val="20"/>
              </w:rPr>
              <w:t xml:space="preserve">Proportion of students enrolled in schools in metropolitan, provincial, remote and very remote zones, 2013 (per cent)    </w:t>
            </w:r>
          </w:p>
        </w:tc>
      </w:tr>
      <w:tr w:rsidR="00610533"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610533" w:rsidRPr="00D6089B" w:rsidRDefault="00610533" w:rsidP="00A62E3C">
            <w:pPr>
              <w:rPr>
                <w:rFonts w:ascii="Arial" w:hAnsi="Arial" w:cs="Arial"/>
                <w:b/>
                <w:bCs/>
                <w:sz w:val="20"/>
                <w:szCs w:val="20"/>
              </w:rPr>
            </w:pPr>
            <w:r w:rsidRPr="00D6089B">
              <w:rPr>
                <w:rFonts w:ascii="Arial" w:hAnsi="Arial" w:cs="Arial"/>
                <w:b/>
                <w:bCs/>
                <w:sz w:val="20"/>
                <w:szCs w:val="20"/>
              </w:rPr>
              <w:t>Table 4A.36</w:t>
            </w:r>
          </w:p>
        </w:tc>
        <w:tc>
          <w:tcPr>
            <w:tcW w:w="7404" w:type="dxa"/>
            <w:gridSpan w:val="2"/>
            <w:tcBorders>
              <w:top w:val="nil"/>
              <w:left w:val="nil"/>
              <w:bottom w:val="nil"/>
              <w:right w:val="nil"/>
            </w:tcBorders>
            <w:shd w:val="clear" w:color="auto" w:fill="auto"/>
            <w:hideMark/>
          </w:tcPr>
          <w:p w:rsidR="00610533" w:rsidRPr="00D6089B" w:rsidRDefault="00610533">
            <w:pPr>
              <w:jc w:val="both"/>
              <w:rPr>
                <w:rFonts w:ascii="Arial" w:hAnsi="Arial" w:cs="Arial"/>
                <w:sz w:val="20"/>
                <w:szCs w:val="20"/>
              </w:rPr>
            </w:pPr>
            <w:r w:rsidRPr="00D6089B">
              <w:rPr>
                <w:rFonts w:ascii="Arial" w:hAnsi="Arial" w:cs="Arial"/>
                <w:sz w:val="20"/>
                <w:szCs w:val="20"/>
              </w:rPr>
              <w:t xml:space="preserve">Proportion of students who achieved at or above the national minimum standard for reading, 2014 (per cent)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D6089B" w:rsidRDefault="00610533" w:rsidP="00A62E3C">
            <w:pPr>
              <w:rPr>
                <w:rFonts w:ascii="Arial" w:hAnsi="Arial" w:cs="Arial"/>
                <w:b/>
                <w:bCs/>
                <w:sz w:val="20"/>
                <w:szCs w:val="20"/>
              </w:rPr>
            </w:pPr>
            <w:r w:rsidRPr="00D6089B">
              <w:rPr>
                <w:rFonts w:ascii="Arial" w:hAnsi="Arial" w:cs="Arial"/>
                <w:b/>
                <w:bCs/>
                <w:sz w:val="20"/>
                <w:szCs w:val="20"/>
              </w:rPr>
              <w:t>Table 4A.37</w:t>
            </w:r>
          </w:p>
        </w:tc>
        <w:tc>
          <w:tcPr>
            <w:tcW w:w="7404" w:type="dxa"/>
            <w:gridSpan w:val="2"/>
            <w:tcBorders>
              <w:top w:val="nil"/>
              <w:left w:val="nil"/>
              <w:bottom w:val="nil"/>
              <w:right w:val="nil"/>
            </w:tcBorders>
            <w:shd w:val="clear" w:color="auto" w:fill="auto"/>
            <w:hideMark/>
          </w:tcPr>
          <w:p w:rsidR="00610533" w:rsidRPr="00D6089B" w:rsidRDefault="00610533">
            <w:pPr>
              <w:jc w:val="both"/>
              <w:rPr>
                <w:rFonts w:ascii="Arial" w:hAnsi="Arial" w:cs="Arial"/>
                <w:sz w:val="20"/>
                <w:szCs w:val="20"/>
              </w:rPr>
            </w:pPr>
            <w:r w:rsidRPr="00D6089B">
              <w:rPr>
                <w:rFonts w:ascii="Arial" w:hAnsi="Arial" w:cs="Arial"/>
                <w:sz w:val="20"/>
                <w:szCs w:val="20"/>
              </w:rPr>
              <w:t xml:space="preserve">Proportion of year 3, 5, 7 and 9 students who achieved at or above the national minimum standard for reading, by Indigenous status and geolocation, 2014 (per cent)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D6089B" w:rsidRDefault="00610533" w:rsidP="00A62E3C">
            <w:pPr>
              <w:rPr>
                <w:rFonts w:ascii="Arial" w:hAnsi="Arial" w:cs="Arial"/>
                <w:b/>
                <w:bCs/>
                <w:sz w:val="20"/>
                <w:szCs w:val="20"/>
              </w:rPr>
            </w:pPr>
            <w:r w:rsidRPr="00D6089B">
              <w:rPr>
                <w:rFonts w:ascii="Arial" w:hAnsi="Arial" w:cs="Arial"/>
                <w:b/>
                <w:bCs/>
                <w:sz w:val="20"/>
                <w:szCs w:val="20"/>
              </w:rPr>
              <w:t>Table 4A.38</w:t>
            </w:r>
          </w:p>
        </w:tc>
        <w:tc>
          <w:tcPr>
            <w:tcW w:w="7404" w:type="dxa"/>
            <w:gridSpan w:val="2"/>
            <w:tcBorders>
              <w:top w:val="nil"/>
              <w:left w:val="nil"/>
              <w:bottom w:val="nil"/>
              <w:right w:val="nil"/>
            </w:tcBorders>
            <w:shd w:val="clear" w:color="auto" w:fill="auto"/>
            <w:hideMark/>
          </w:tcPr>
          <w:p w:rsidR="00610533" w:rsidRPr="00D6089B" w:rsidRDefault="00610533">
            <w:pPr>
              <w:jc w:val="both"/>
              <w:rPr>
                <w:rFonts w:ascii="Arial" w:hAnsi="Arial" w:cs="Arial"/>
                <w:sz w:val="20"/>
                <w:szCs w:val="20"/>
              </w:rPr>
            </w:pPr>
            <w:r w:rsidRPr="00D6089B">
              <w:rPr>
                <w:rFonts w:ascii="Arial" w:hAnsi="Arial" w:cs="Arial"/>
                <w:sz w:val="20"/>
                <w:szCs w:val="20"/>
              </w:rPr>
              <w:t xml:space="preserve">Proportion of students who achieved at or above the national minimum standard for reading, by State and Territory, by parental education and parental occupation, 2014 (per cent)    </w:t>
            </w:r>
          </w:p>
        </w:tc>
      </w:tr>
      <w:tr w:rsidR="00610533"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610533" w:rsidRPr="00D6089B" w:rsidRDefault="00610533" w:rsidP="00A62E3C">
            <w:pPr>
              <w:rPr>
                <w:rFonts w:ascii="Arial" w:hAnsi="Arial" w:cs="Arial"/>
                <w:b/>
                <w:bCs/>
                <w:sz w:val="20"/>
                <w:szCs w:val="20"/>
              </w:rPr>
            </w:pPr>
            <w:r w:rsidRPr="00D6089B">
              <w:rPr>
                <w:rFonts w:ascii="Arial" w:hAnsi="Arial" w:cs="Arial"/>
                <w:b/>
                <w:bCs/>
                <w:sz w:val="20"/>
                <w:szCs w:val="20"/>
              </w:rPr>
              <w:t>Table 4A.39</w:t>
            </w:r>
          </w:p>
        </w:tc>
        <w:tc>
          <w:tcPr>
            <w:tcW w:w="7404" w:type="dxa"/>
            <w:gridSpan w:val="2"/>
            <w:tcBorders>
              <w:top w:val="nil"/>
              <w:left w:val="nil"/>
              <w:bottom w:val="nil"/>
              <w:right w:val="nil"/>
            </w:tcBorders>
            <w:shd w:val="clear" w:color="auto" w:fill="auto"/>
            <w:hideMark/>
          </w:tcPr>
          <w:p w:rsidR="00610533" w:rsidRPr="00D6089B" w:rsidRDefault="00610533">
            <w:pPr>
              <w:jc w:val="both"/>
              <w:rPr>
                <w:rFonts w:ascii="Arial" w:hAnsi="Arial" w:cs="Arial"/>
                <w:sz w:val="20"/>
                <w:szCs w:val="20"/>
              </w:rPr>
            </w:pPr>
            <w:r w:rsidRPr="00D6089B">
              <w:rPr>
                <w:rFonts w:ascii="Arial" w:hAnsi="Arial" w:cs="Arial"/>
                <w:sz w:val="20"/>
                <w:szCs w:val="20"/>
              </w:rPr>
              <w:t xml:space="preserve">Mean scale scores for reading, years 3, 5, 7 and 9 students, by Indigenous status, 2014 (score points)     </w:t>
            </w:r>
          </w:p>
        </w:tc>
      </w:tr>
      <w:tr w:rsidR="00610533"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610533" w:rsidRPr="00D6089B" w:rsidRDefault="00610533">
            <w:pPr>
              <w:rPr>
                <w:rFonts w:ascii="Arial" w:hAnsi="Arial" w:cs="Arial"/>
                <w:b/>
                <w:bCs/>
                <w:sz w:val="20"/>
                <w:szCs w:val="20"/>
              </w:rPr>
            </w:pPr>
            <w:r w:rsidRPr="00D6089B">
              <w:rPr>
                <w:rFonts w:ascii="Arial" w:hAnsi="Arial" w:cs="Arial"/>
                <w:b/>
                <w:bCs/>
                <w:sz w:val="20"/>
                <w:szCs w:val="20"/>
              </w:rPr>
              <w:t>Table 4A.40</w:t>
            </w:r>
          </w:p>
        </w:tc>
        <w:tc>
          <w:tcPr>
            <w:tcW w:w="7404" w:type="dxa"/>
            <w:gridSpan w:val="2"/>
            <w:tcBorders>
              <w:top w:val="nil"/>
              <w:left w:val="nil"/>
              <w:bottom w:val="nil"/>
              <w:right w:val="nil"/>
            </w:tcBorders>
            <w:shd w:val="clear" w:color="auto" w:fill="auto"/>
            <w:hideMark/>
          </w:tcPr>
          <w:p w:rsidR="00610533" w:rsidRPr="00D6089B" w:rsidRDefault="00610533">
            <w:pPr>
              <w:jc w:val="both"/>
              <w:rPr>
                <w:rFonts w:ascii="Arial" w:hAnsi="Arial" w:cs="Arial"/>
                <w:sz w:val="20"/>
                <w:szCs w:val="20"/>
              </w:rPr>
            </w:pPr>
            <w:r w:rsidRPr="00D6089B">
              <w:rPr>
                <w:rFonts w:ascii="Arial" w:hAnsi="Arial" w:cs="Arial"/>
                <w:sz w:val="20"/>
                <w:szCs w:val="20"/>
              </w:rPr>
              <w:t xml:space="preserve">NAPLAN Mean scale scores for reading, by Indigenous status and geolocation, 2014 (score points)      </w:t>
            </w:r>
          </w:p>
        </w:tc>
      </w:tr>
      <w:tr w:rsidR="00610533"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610533" w:rsidRPr="00D6089B" w:rsidRDefault="00610533">
            <w:pPr>
              <w:rPr>
                <w:rFonts w:ascii="Arial" w:hAnsi="Arial" w:cs="Arial"/>
                <w:b/>
                <w:bCs/>
                <w:sz w:val="20"/>
                <w:szCs w:val="20"/>
              </w:rPr>
            </w:pPr>
            <w:r w:rsidRPr="00D6089B">
              <w:rPr>
                <w:rFonts w:ascii="Arial" w:hAnsi="Arial" w:cs="Arial"/>
                <w:b/>
                <w:bCs/>
                <w:sz w:val="20"/>
                <w:szCs w:val="20"/>
              </w:rPr>
              <w:t>Table 4A.41</w:t>
            </w:r>
          </w:p>
        </w:tc>
        <w:tc>
          <w:tcPr>
            <w:tcW w:w="7404" w:type="dxa"/>
            <w:gridSpan w:val="2"/>
            <w:tcBorders>
              <w:top w:val="nil"/>
              <w:left w:val="nil"/>
              <w:bottom w:val="nil"/>
              <w:right w:val="nil"/>
            </w:tcBorders>
            <w:shd w:val="clear" w:color="auto" w:fill="auto"/>
            <w:hideMark/>
          </w:tcPr>
          <w:p w:rsidR="00610533" w:rsidRPr="00D6089B" w:rsidRDefault="00610533">
            <w:pPr>
              <w:jc w:val="both"/>
              <w:rPr>
                <w:rFonts w:ascii="Arial" w:hAnsi="Arial" w:cs="Arial"/>
                <w:sz w:val="20"/>
                <w:szCs w:val="20"/>
              </w:rPr>
            </w:pPr>
            <w:r w:rsidRPr="00D6089B">
              <w:rPr>
                <w:rFonts w:ascii="Arial" w:hAnsi="Arial" w:cs="Arial"/>
                <w:sz w:val="20"/>
                <w:szCs w:val="20"/>
              </w:rPr>
              <w:t xml:space="preserve">NAPLAN Mean scale scores for reading, by State and Territory, by parental education and parental occupation, 2014 (score points)    </w:t>
            </w:r>
          </w:p>
        </w:tc>
      </w:tr>
      <w:tr w:rsidR="00610533" w:rsidRPr="000842AC" w:rsidTr="000842AC">
        <w:tblPrEx>
          <w:tblLook w:val="04A0" w:firstRow="1" w:lastRow="0" w:firstColumn="1" w:lastColumn="0" w:noHBand="0" w:noVBand="1"/>
        </w:tblPrEx>
        <w:trPr>
          <w:gridBefore w:val="1"/>
          <w:wBefore w:w="108" w:type="dxa"/>
          <w:trHeight w:val="357"/>
        </w:trPr>
        <w:tc>
          <w:tcPr>
            <w:tcW w:w="1456" w:type="dxa"/>
            <w:tcBorders>
              <w:top w:val="nil"/>
              <w:left w:val="nil"/>
              <w:bottom w:val="nil"/>
              <w:right w:val="nil"/>
            </w:tcBorders>
            <w:shd w:val="clear" w:color="auto" w:fill="auto"/>
            <w:noWrap/>
            <w:hideMark/>
          </w:tcPr>
          <w:p w:rsidR="00610533" w:rsidRPr="00D6089B" w:rsidRDefault="00610533">
            <w:pPr>
              <w:rPr>
                <w:rFonts w:ascii="Arial" w:hAnsi="Arial" w:cs="Arial"/>
                <w:b/>
                <w:bCs/>
                <w:sz w:val="20"/>
                <w:szCs w:val="20"/>
              </w:rPr>
            </w:pPr>
            <w:r w:rsidRPr="00D6089B">
              <w:rPr>
                <w:rFonts w:ascii="Arial" w:hAnsi="Arial" w:cs="Arial"/>
                <w:b/>
                <w:bCs/>
                <w:sz w:val="20"/>
                <w:szCs w:val="20"/>
              </w:rPr>
              <w:t>Table 4A.42</w:t>
            </w:r>
          </w:p>
        </w:tc>
        <w:tc>
          <w:tcPr>
            <w:tcW w:w="7404" w:type="dxa"/>
            <w:gridSpan w:val="2"/>
            <w:tcBorders>
              <w:top w:val="nil"/>
              <w:left w:val="nil"/>
              <w:bottom w:val="nil"/>
              <w:right w:val="nil"/>
            </w:tcBorders>
            <w:shd w:val="clear" w:color="auto" w:fill="auto"/>
            <w:hideMark/>
          </w:tcPr>
          <w:p w:rsidR="00610533" w:rsidRPr="00D6089B" w:rsidRDefault="00610533">
            <w:pPr>
              <w:jc w:val="both"/>
              <w:rPr>
                <w:rFonts w:ascii="Arial" w:hAnsi="Arial" w:cs="Arial"/>
                <w:sz w:val="20"/>
                <w:szCs w:val="20"/>
              </w:rPr>
            </w:pPr>
            <w:r w:rsidRPr="00D6089B">
              <w:rPr>
                <w:rFonts w:ascii="Arial" w:hAnsi="Arial" w:cs="Arial"/>
                <w:sz w:val="20"/>
                <w:szCs w:val="20"/>
              </w:rPr>
              <w:t xml:space="preserve">Participation rate in reading assessment, 2014, by Indigenous status (per cent)    </w:t>
            </w:r>
          </w:p>
        </w:tc>
      </w:tr>
      <w:tr w:rsidR="00610533"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610533" w:rsidRPr="00D6089B" w:rsidRDefault="00610533">
            <w:pPr>
              <w:rPr>
                <w:rFonts w:ascii="Arial" w:hAnsi="Arial" w:cs="Arial"/>
                <w:b/>
                <w:bCs/>
                <w:sz w:val="20"/>
                <w:szCs w:val="20"/>
              </w:rPr>
            </w:pPr>
            <w:r w:rsidRPr="00D6089B">
              <w:rPr>
                <w:rFonts w:ascii="Arial" w:hAnsi="Arial" w:cs="Arial"/>
                <w:b/>
                <w:bCs/>
                <w:sz w:val="20"/>
                <w:szCs w:val="20"/>
              </w:rPr>
              <w:t>Table 4A.43</w:t>
            </w:r>
          </w:p>
        </w:tc>
        <w:tc>
          <w:tcPr>
            <w:tcW w:w="7404" w:type="dxa"/>
            <w:gridSpan w:val="2"/>
            <w:tcBorders>
              <w:top w:val="nil"/>
              <w:left w:val="nil"/>
              <w:bottom w:val="nil"/>
              <w:right w:val="nil"/>
            </w:tcBorders>
            <w:shd w:val="clear" w:color="auto" w:fill="auto"/>
            <w:hideMark/>
          </w:tcPr>
          <w:p w:rsidR="00610533" w:rsidRPr="00D6089B" w:rsidRDefault="00610533">
            <w:pPr>
              <w:jc w:val="both"/>
              <w:rPr>
                <w:rFonts w:ascii="Arial" w:hAnsi="Arial" w:cs="Arial"/>
                <w:sz w:val="20"/>
                <w:szCs w:val="20"/>
              </w:rPr>
            </w:pPr>
            <w:r w:rsidRPr="00D6089B">
              <w:rPr>
                <w:rFonts w:ascii="Arial" w:hAnsi="Arial" w:cs="Arial"/>
                <w:sz w:val="20"/>
                <w:szCs w:val="20"/>
              </w:rPr>
              <w:t xml:space="preserve">Exempt, absent and withdrawn, and assessed students in reading assessment, by Indigenous status, 2014 (per cent)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D6089B" w:rsidRDefault="00610533">
            <w:pPr>
              <w:rPr>
                <w:rFonts w:ascii="Arial" w:hAnsi="Arial" w:cs="Arial"/>
                <w:b/>
                <w:bCs/>
                <w:sz w:val="20"/>
                <w:szCs w:val="20"/>
              </w:rPr>
            </w:pPr>
            <w:r w:rsidRPr="00D6089B">
              <w:rPr>
                <w:rFonts w:ascii="Arial" w:hAnsi="Arial" w:cs="Arial"/>
                <w:b/>
                <w:bCs/>
                <w:sz w:val="20"/>
                <w:szCs w:val="20"/>
              </w:rPr>
              <w:t>Table 4A.44</w:t>
            </w:r>
          </w:p>
        </w:tc>
        <w:tc>
          <w:tcPr>
            <w:tcW w:w="7404" w:type="dxa"/>
            <w:gridSpan w:val="2"/>
            <w:tcBorders>
              <w:top w:val="nil"/>
              <w:left w:val="nil"/>
              <w:bottom w:val="nil"/>
              <w:right w:val="nil"/>
            </w:tcBorders>
            <w:shd w:val="clear" w:color="auto" w:fill="auto"/>
            <w:hideMark/>
          </w:tcPr>
          <w:p w:rsidR="00610533" w:rsidRPr="00D6089B" w:rsidRDefault="00610533">
            <w:pPr>
              <w:jc w:val="both"/>
              <w:rPr>
                <w:rFonts w:ascii="Arial" w:hAnsi="Arial" w:cs="Arial"/>
                <w:sz w:val="20"/>
                <w:szCs w:val="20"/>
              </w:rPr>
            </w:pPr>
            <w:r w:rsidRPr="00D6089B">
              <w:rPr>
                <w:rFonts w:ascii="Arial" w:hAnsi="Arial" w:cs="Arial"/>
                <w:sz w:val="20"/>
                <w:szCs w:val="20"/>
              </w:rPr>
              <w:t xml:space="preserve">Mean scale scores and proportion of students who achieved at or above the national minimum standard for reading, and nature of differences, 2008 and 2013 to 2014, NSW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D6089B" w:rsidRDefault="00610533">
            <w:pPr>
              <w:rPr>
                <w:rFonts w:ascii="Arial" w:hAnsi="Arial" w:cs="Arial"/>
                <w:b/>
                <w:bCs/>
                <w:sz w:val="20"/>
                <w:szCs w:val="20"/>
              </w:rPr>
            </w:pPr>
            <w:r w:rsidRPr="00D6089B">
              <w:rPr>
                <w:rFonts w:ascii="Arial" w:hAnsi="Arial" w:cs="Arial"/>
                <w:b/>
                <w:bCs/>
                <w:sz w:val="20"/>
                <w:szCs w:val="20"/>
              </w:rPr>
              <w:lastRenderedPageBreak/>
              <w:t>Table 4A.45</w:t>
            </w:r>
          </w:p>
        </w:tc>
        <w:tc>
          <w:tcPr>
            <w:tcW w:w="7404" w:type="dxa"/>
            <w:gridSpan w:val="2"/>
            <w:tcBorders>
              <w:top w:val="nil"/>
              <w:left w:val="nil"/>
              <w:bottom w:val="nil"/>
              <w:right w:val="nil"/>
            </w:tcBorders>
            <w:shd w:val="clear" w:color="auto" w:fill="auto"/>
            <w:hideMark/>
          </w:tcPr>
          <w:p w:rsidR="00610533" w:rsidRPr="00D6089B" w:rsidRDefault="00610533">
            <w:pPr>
              <w:jc w:val="both"/>
              <w:rPr>
                <w:rFonts w:ascii="Arial" w:hAnsi="Arial" w:cs="Arial"/>
                <w:sz w:val="20"/>
                <w:szCs w:val="20"/>
              </w:rPr>
            </w:pPr>
            <w:r w:rsidRPr="00D6089B">
              <w:rPr>
                <w:rFonts w:ascii="Arial" w:hAnsi="Arial" w:cs="Arial"/>
                <w:sz w:val="20"/>
                <w:szCs w:val="20"/>
              </w:rPr>
              <w:t xml:space="preserve">Mean scale scores and proportion of students who achieved at or above the national minimum standard for reading, and nature of differences, 2008 and 2013 to 2014, Victoria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D6089B" w:rsidRDefault="00610533">
            <w:pPr>
              <w:rPr>
                <w:rFonts w:ascii="Arial" w:hAnsi="Arial" w:cs="Arial"/>
                <w:b/>
                <w:bCs/>
                <w:sz w:val="20"/>
                <w:szCs w:val="20"/>
              </w:rPr>
            </w:pPr>
            <w:r w:rsidRPr="00D6089B">
              <w:rPr>
                <w:rFonts w:ascii="Arial" w:hAnsi="Arial" w:cs="Arial"/>
                <w:b/>
                <w:bCs/>
                <w:sz w:val="20"/>
                <w:szCs w:val="20"/>
              </w:rPr>
              <w:t>Table 4A.46</w:t>
            </w:r>
          </w:p>
        </w:tc>
        <w:tc>
          <w:tcPr>
            <w:tcW w:w="7404" w:type="dxa"/>
            <w:gridSpan w:val="2"/>
            <w:tcBorders>
              <w:top w:val="nil"/>
              <w:left w:val="nil"/>
              <w:bottom w:val="nil"/>
              <w:right w:val="nil"/>
            </w:tcBorders>
            <w:shd w:val="clear" w:color="auto" w:fill="auto"/>
            <w:hideMark/>
          </w:tcPr>
          <w:p w:rsidR="00610533" w:rsidRPr="00D6089B" w:rsidRDefault="00610533">
            <w:pPr>
              <w:jc w:val="both"/>
              <w:rPr>
                <w:rFonts w:ascii="Arial" w:hAnsi="Arial" w:cs="Arial"/>
                <w:sz w:val="20"/>
                <w:szCs w:val="20"/>
              </w:rPr>
            </w:pPr>
            <w:r w:rsidRPr="00D6089B">
              <w:rPr>
                <w:rFonts w:ascii="Arial" w:hAnsi="Arial" w:cs="Arial"/>
                <w:sz w:val="20"/>
                <w:szCs w:val="20"/>
              </w:rPr>
              <w:t xml:space="preserve">Mean scale scores and proportion of students who achieved at or above the national minimum standard for reading, and nature of differences, 2008 and 2013 to 2014, Queensland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D6089B" w:rsidRDefault="00610533">
            <w:pPr>
              <w:rPr>
                <w:rFonts w:ascii="Arial" w:hAnsi="Arial" w:cs="Arial"/>
                <w:b/>
                <w:bCs/>
                <w:sz w:val="20"/>
                <w:szCs w:val="20"/>
              </w:rPr>
            </w:pPr>
            <w:r w:rsidRPr="00D6089B">
              <w:rPr>
                <w:rFonts w:ascii="Arial" w:hAnsi="Arial" w:cs="Arial"/>
                <w:b/>
                <w:bCs/>
                <w:sz w:val="20"/>
                <w:szCs w:val="20"/>
              </w:rPr>
              <w:t>Table 4A.47</w:t>
            </w:r>
          </w:p>
        </w:tc>
        <w:tc>
          <w:tcPr>
            <w:tcW w:w="7404" w:type="dxa"/>
            <w:gridSpan w:val="2"/>
            <w:tcBorders>
              <w:top w:val="nil"/>
              <w:left w:val="nil"/>
              <w:bottom w:val="nil"/>
              <w:right w:val="nil"/>
            </w:tcBorders>
            <w:shd w:val="clear" w:color="auto" w:fill="auto"/>
            <w:hideMark/>
          </w:tcPr>
          <w:p w:rsidR="00610533" w:rsidRPr="00D6089B" w:rsidRDefault="00610533">
            <w:pPr>
              <w:jc w:val="both"/>
              <w:rPr>
                <w:rFonts w:ascii="Arial" w:hAnsi="Arial" w:cs="Arial"/>
                <w:sz w:val="20"/>
                <w:szCs w:val="20"/>
              </w:rPr>
            </w:pPr>
            <w:r w:rsidRPr="00D6089B">
              <w:rPr>
                <w:rFonts w:ascii="Arial" w:hAnsi="Arial" w:cs="Arial"/>
                <w:sz w:val="20"/>
                <w:szCs w:val="20"/>
              </w:rPr>
              <w:t xml:space="preserve">Mean scale scores and proportion of students who achieved at or above the national minimum standard for reading, and nature of differences, 2008 and 2013 to 2014, Western Australia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D6089B" w:rsidRDefault="00610533">
            <w:pPr>
              <w:rPr>
                <w:rFonts w:ascii="Arial" w:hAnsi="Arial" w:cs="Arial"/>
                <w:b/>
                <w:bCs/>
                <w:sz w:val="20"/>
                <w:szCs w:val="20"/>
              </w:rPr>
            </w:pPr>
            <w:r w:rsidRPr="00D6089B">
              <w:rPr>
                <w:rFonts w:ascii="Arial" w:hAnsi="Arial" w:cs="Arial"/>
                <w:b/>
                <w:bCs/>
                <w:sz w:val="20"/>
                <w:szCs w:val="20"/>
              </w:rPr>
              <w:t>Table 4A.48</w:t>
            </w:r>
          </w:p>
        </w:tc>
        <w:tc>
          <w:tcPr>
            <w:tcW w:w="7404" w:type="dxa"/>
            <w:gridSpan w:val="2"/>
            <w:tcBorders>
              <w:top w:val="nil"/>
              <w:left w:val="nil"/>
              <w:bottom w:val="nil"/>
              <w:right w:val="nil"/>
            </w:tcBorders>
            <w:shd w:val="clear" w:color="auto" w:fill="auto"/>
            <w:hideMark/>
          </w:tcPr>
          <w:p w:rsidR="00610533" w:rsidRPr="00D6089B" w:rsidRDefault="00610533">
            <w:pPr>
              <w:jc w:val="both"/>
              <w:rPr>
                <w:rFonts w:ascii="Arial" w:hAnsi="Arial" w:cs="Arial"/>
                <w:sz w:val="20"/>
                <w:szCs w:val="20"/>
              </w:rPr>
            </w:pPr>
            <w:r w:rsidRPr="00D6089B">
              <w:rPr>
                <w:rFonts w:ascii="Arial" w:hAnsi="Arial" w:cs="Arial"/>
                <w:sz w:val="20"/>
                <w:szCs w:val="20"/>
              </w:rPr>
              <w:t xml:space="preserve">Mean scale scores and proportion of students who achieved at or above the national minimum standard for reading, and nature of differences, 2008 and 2013 to 2014, South Australia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D6089B" w:rsidRDefault="00610533">
            <w:pPr>
              <w:rPr>
                <w:rFonts w:ascii="Arial" w:hAnsi="Arial" w:cs="Arial"/>
                <w:b/>
                <w:bCs/>
                <w:sz w:val="20"/>
                <w:szCs w:val="20"/>
              </w:rPr>
            </w:pPr>
            <w:r w:rsidRPr="00D6089B">
              <w:rPr>
                <w:rFonts w:ascii="Arial" w:hAnsi="Arial" w:cs="Arial"/>
                <w:b/>
                <w:bCs/>
                <w:sz w:val="20"/>
                <w:szCs w:val="20"/>
              </w:rPr>
              <w:t>Table 4A.49</w:t>
            </w:r>
          </w:p>
        </w:tc>
        <w:tc>
          <w:tcPr>
            <w:tcW w:w="7404" w:type="dxa"/>
            <w:gridSpan w:val="2"/>
            <w:tcBorders>
              <w:top w:val="nil"/>
              <w:left w:val="nil"/>
              <w:bottom w:val="nil"/>
              <w:right w:val="nil"/>
            </w:tcBorders>
            <w:shd w:val="clear" w:color="auto" w:fill="auto"/>
            <w:hideMark/>
          </w:tcPr>
          <w:p w:rsidR="00610533" w:rsidRPr="00D6089B" w:rsidRDefault="00610533">
            <w:pPr>
              <w:jc w:val="both"/>
              <w:rPr>
                <w:rFonts w:ascii="Arial" w:hAnsi="Arial" w:cs="Arial"/>
                <w:sz w:val="20"/>
                <w:szCs w:val="20"/>
              </w:rPr>
            </w:pPr>
            <w:r w:rsidRPr="00D6089B">
              <w:rPr>
                <w:rFonts w:ascii="Arial" w:hAnsi="Arial" w:cs="Arial"/>
                <w:sz w:val="20"/>
                <w:szCs w:val="20"/>
              </w:rPr>
              <w:t xml:space="preserve">Mean scale scores and proportion of students who achieved at or above the national minimum standard for reading, and nature of differences, 2008 and 2013 to 2014, Tasmania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D6089B" w:rsidRDefault="00610533">
            <w:pPr>
              <w:rPr>
                <w:rFonts w:ascii="Arial" w:hAnsi="Arial" w:cs="Arial"/>
                <w:b/>
                <w:bCs/>
                <w:sz w:val="20"/>
                <w:szCs w:val="20"/>
              </w:rPr>
            </w:pPr>
            <w:r w:rsidRPr="00D6089B">
              <w:rPr>
                <w:rFonts w:ascii="Arial" w:hAnsi="Arial" w:cs="Arial"/>
                <w:b/>
                <w:bCs/>
                <w:sz w:val="20"/>
                <w:szCs w:val="20"/>
              </w:rPr>
              <w:t>Table 4A.50</w:t>
            </w:r>
          </w:p>
        </w:tc>
        <w:tc>
          <w:tcPr>
            <w:tcW w:w="7404" w:type="dxa"/>
            <w:gridSpan w:val="2"/>
            <w:tcBorders>
              <w:top w:val="nil"/>
              <w:left w:val="nil"/>
              <w:bottom w:val="nil"/>
              <w:right w:val="nil"/>
            </w:tcBorders>
            <w:shd w:val="clear" w:color="auto" w:fill="auto"/>
            <w:hideMark/>
          </w:tcPr>
          <w:p w:rsidR="00610533" w:rsidRPr="00D6089B" w:rsidRDefault="00610533">
            <w:pPr>
              <w:jc w:val="both"/>
              <w:rPr>
                <w:rFonts w:ascii="Arial" w:hAnsi="Arial" w:cs="Arial"/>
                <w:sz w:val="20"/>
                <w:szCs w:val="20"/>
              </w:rPr>
            </w:pPr>
            <w:r w:rsidRPr="00D6089B">
              <w:rPr>
                <w:rFonts w:ascii="Arial" w:hAnsi="Arial" w:cs="Arial"/>
                <w:sz w:val="20"/>
                <w:szCs w:val="20"/>
              </w:rPr>
              <w:t xml:space="preserve">Mean scale scores and proportion of students who achieved at or above the national minimum standard for reading, and nature of differences, 2008 and 2013 to 2014, Australian Capital Territory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D6089B" w:rsidRDefault="00610533">
            <w:pPr>
              <w:rPr>
                <w:rFonts w:ascii="Arial" w:hAnsi="Arial" w:cs="Arial"/>
                <w:b/>
                <w:bCs/>
                <w:sz w:val="20"/>
                <w:szCs w:val="20"/>
              </w:rPr>
            </w:pPr>
            <w:r w:rsidRPr="00D6089B">
              <w:rPr>
                <w:rFonts w:ascii="Arial" w:hAnsi="Arial" w:cs="Arial"/>
                <w:b/>
                <w:bCs/>
                <w:sz w:val="20"/>
                <w:szCs w:val="20"/>
              </w:rPr>
              <w:t>Table 4A.51</w:t>
            </w:r>
          </w:p>
        </w:tc>
        <w:tc>
          <w:tcPr>
            <w:tcW w:w="7404" w:type="dxa"/>
            <w:gridSpan w:val="2"/>
            <w:tcBorders>
              <w:top w:val="nil"/>
              <w:left w:val="nil"/>
              <w:bottom w:val="nil"/>
              <w:right w:val="nil"/>
            </w:tcBorders>
            <w:shd w:val="clear" w:color="auto" w:fill="auto"/>
            <w:hideMark/>
          </w:tcPr>
          <w:p w:rsidR="00610533" w:rsidRPr="00D6089B" w:rsidRDefault="00610533">
            <w:pPr>
              <w:jc w:val="both"/>
              <w:rPr>
                <w:rFonts w:ascii="Arial" w:hAnsi="Arial" w:cs="Arial"/>
                <w:sz w:val="20"/>
                <w:szCs w:val="20"/>
              </w:rPr>
            </w:pPr>
            <w:r w:rsidRPr="00D6089B">
              <w:rPr>
                <w:rFonts w:ascii="Arial" w:hAnsi="Arial" w:cs="Arial"/>
                <w:sz w:val="20"/>
                <w:szCs w:val="20"/>
              </w:rPr>
              <w:t xml:space="preserve">Mean scale scores and proportion of students who achieved at or above the national minimum standard for reading, and nature of differences, 2008 and 2013 to 2014, Northern Territory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D6089B" w:rsidRDefault="00610533">
            <w:pPr>
              <w:rPr>
                <w:rFonts w:ascii="Arial" w:hAnsi="Arial" w:cs="Arial"/>
                <w:b/>
                <w:bCs/>
                <w:sz w:val="20"/>
                <w:szCs w:val="20"/>
              </w:rPr>
            </w:pPr>
            <w:r w:rsidRPr="00D6089B">
              <w:rPr>
                <w:rFonts w:ascii="Arial" w:hAnsi="Arial" w:cs="Arial"/>
                <w:b/>
                <w:bCs/>
                <w:sz w:val="20"/>
                <w:szCs w:val="20"/>
              </w:rPr>
              <w:t>Table 4A.52</w:t>
            </w:r>
          </w:p>
        </w:tc>
        <w:tc>
          <w:tcPr>
            <w:tcW w:w="7404" w:type="dxa"/>
            <w:gridSpan w:val="2"/>
            <w:tcBorders>
              <w:top w:val="nil"/>
              <w:left w:val="nil"/>
              <w:bottom w:val="nil"/>
              <w:right w:val="nil"/>
            </w:tcBorders>
            <w:shd w:val="clear" w:color="auto" w:fill="auto"/>
            <w:hideMark/>
          </w:tcPr>
          <w:p w:rsidR="00610533" w:rsidRPr="00D6089B" w:rsidRDefault="00610533">
            <w:pPr>
              <w:jc w:val="both"/>
              <w:rPr>
                <w:rFonts w:ascii="Arial" w:hAnsi="Arial" w:cs="Arial"/>
                <w:sz w:val="20"/>
                <w:szCs w:val="20"/>
              </w:rPr>
            </w:pPr>
            <w:r w:rsidRPr="00D6089B">
              <w:rPr>
                <w:rFonts w:ascii="Arial" w:hAnsi="Arial" w:cs="Arial"/>
                <w:sz w:val="20"/>
                <w:szCs w:val="20"/>
              </w:rPr>
              <w:t xml:space="preserve">Mean scale scores and proportion of students who achieved at or above the national minimum standard for reading, and nature of differences, 2008 and 2013 to 2014, Australia   </w:t>
            </w:r>
          </w:p>
        </w:tc>
      </w:tr>
      <w:tr w:rsidR="00610533"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610533" w:rsidRPr="00D6089B" w:rsidRDefault="00610533">
            <w:pPr>
              <w:rPr>
                <w:rFonts w:ascii="Arial" w:hAnsi="Arial" w:cs="Arial"/>
                <w:b/>
                <w:bCs/>
                <w:sz w:val="20"/>
                <w:szCs w:val="20"/>
              </w:rPr>
            </w:pPr>
            <w:r w:rsidRPr="00D6089B">
              <w:rPr>
                <w:rFonts w:ascii="Arial" w:hAnsi="Arial" w:cs="Arial"/>
                <w:b/>
                <w:bCs/>
                <w:sz w:val="20"/>
                <w:szCs w:val="20"/>
              </w:rPr>
              <w:t>Table 4A.53</w:t>
            </w:r>
          </w:p>
        </w:tc>
        <w:tc>
          <w:tcPr>
            <w:tcW w:w="7404" w:type="dxa"/>
            <w:gridSpan w:val="2"/>
            <w:tcBorders>
              <w:top w:val="nil"/>
              <w:left w:val="nil"/>
              <w:bottom w:val="nil"/>
              <w:right w:val="nil"/>
            </w:tcBorders>
            <w:shd w:val="clear" w:color="auto" w:fill="auto"/>
            <w:hideMark/>
          </w:tcPr>
          <w:p w:rsidR="00610533" w:rsidRPr="00D6089B" w:rsidRDefault="00610533" w:rsidP="00C77339">
            <w:pPr>
              <w:jc w:val="both"/>
              <w:rPr>
                <w:rFonts w:ascii="Arial" w:hAnsi="Arial" w:cs="Arial"/>
                <w:sz w:val="20"/>
                <w:szCs w:val="20"/>
              </w:rPr>
            </w:pPr>
            <w:r w:rsidRPr="00D6089B">
              <w:rPr>
                <w:rFonts w:ascii="Arial" w:hAnsi="Arial" w:cs="Arial"/>
                <w:sz w:val="20"/>
                <w:szCs w:val="20"/>
              </w:rPr>
              <w:t xml:space="preserve">Mean scale score gain for reading, years 3-5, 5-7 and 7-9, 2008-2010-2012-2014 (score points)    </w:t>
            </w:r>
          </w:p>
        </w:tc>
      </w:tr>
      <w:tr w:rsidR="00610533"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610533" w:rsidRPr="00D6089B" w:rsidRDefault="00610533">
            <w:pPr>
              <w:rPr>
                <w:rFonts w:ascii="Arial" w:hAnsi="Arial" w:cs="Arial"/>
                <w:b/>
                <w:bCs/>
                <w:sz w:val="20"/>
                <w:szCs w:val="20"/>
              </w:rPr>
            </w:pPr>
            <w:r w:rsidRPr="00D6089B">
              <w:rPr>
                <w:rFonts w:ascii="Arial" w:hAnsi="Arial" w:cs="Arial"/>
                <w:b/>
                <w:bCs/>
                <w:sz w:val="20"/>
                <w:szCs w:val="20"/>
              </w:rPr>
              <w:t>Table 4A.54</w:t>
            </w:r>
          </w:p>
        </w:tc>
        <w:tc>
          <w:tcPr>
            <w:tcW w:w="7404" w:type="dxa"/>
            <w:gridSpan w:val="2"/>
            <w:tcBorders>
              <w:top w:val="nil"/>
              <w:left w:val="nil"/>
              <w:bottom w:val="nil"/>
              <w:right w:val="nil"/>
            </w:tcBorders>
            <w:shd w:val="clear" w:color="auto" w:fill="auto"/>
            <w:hideMark/>
          </w:tcPr>
          <w:p w:rsidR="00610533" w:rsidRPr="00D6089B" w:rsidRDefault="00610533">
            <w:pPr>
              <w:jc w:val="both"/>
              <w:rPr>
                <w:rFonts w:ascii="Arial" w:hAnsi="Arial" w:cs="Arial"/>
                <w:sz w:val="20"/>
                <w:szCs w:val="20"/>
              </w:rPr>
            </w:pPr>
            <w:r w:rsidRPr="00D6089B">
              <w:rPr>
                <w:rFonts w:ascii="Arial" w:hAnsi="Arial" w:cs="Arial"/>
                <w:sz w:val="20"/>
                <w:szCs w:val="20"/>
              </w:rPr>
              <w:t>Proportion of students who achieved at or above the national minimum standard for</w:t>
            </w:r>
            <w:r w:rsidR="008A4E67">
              <w:rPr>
                <w:rFonts w:ascii="Arial" w:hAnsi="Arial" w:cs="Arial"/>
                <w:sz w:val="20"/>
                <w:szCs w:val="20"/>
              </w:rPr>
              <w:t xml:space="preserve"> reading, 2013 (per cent)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D6089B" w:rsidRDefault="00610533">
            <w:pPr>
              <w:rPr>
                <w:rFonts w:ascii="Arial" w:hAnsi="Arial" w:cs="Arial"/>
                <w:b/>
                <w:bCs/>
                <w:sz w:val="20"/>
                <w:szCs w:val="20"/>
              </w:rPr>
            </w:pPr>
            <w:r w:rsidRPr="00D6089B">
              <w:rPr>
                <w:rFonts w:ascii="Arial" w:hAnsi="Arial" w:cs="Arial"/>
                <w:b/>
                <w:bCs/>
                <w:sz w:val="20"/>
                <w:szCs w:val="20"/>
              </w:rPr>
              <w:t>Table 4A.55</w:t>
            </w:r>
          </w:p>
        </w:tc>
        <w:tc>
          <w:tcPr>
            <w:tcW w:w="7404" w:type="dxa"/>
            <w:gridSpan w:val="2"/>
            <w:tcBorders>
              <w:top w:val="nil"/>
              <w:left w:val="nil"/>
              <w:bottom w:val="nil"/>
              <w:right w:val="nil"/>
            </w:tcBorders>
            <w:shd w:val="clear" w:color="auto" w:fill="auto"/>
            <w:hideMark/>
          </w:tcPr>
          <w:p w:rsidR="00610533" w:rsidRPr="00D6089B" w:rsidRDefault="00610533">
            <w:pPr>
              <w:jc w:val="both"/>
              <w:rPr>
                <w:rFonts w:ascii="Arial" w:hAnsi="Arial" w:cs="Arial"/>
                <w:sz w:val="20"/>
                <w:szCs w:val="20"/>
              </w:rPr>
            </w:pPr>
            <w:r w:rsidRPr="00D6089B">
              <w:rPr>
                <w:rFonts w:ascii="Arial" w:hAnsi="Arial" w:cs="Arial"/>
                <w:sz w:val="20"/>
                <w:szCs w:val="20"/>
              </w:rPr>
              <w:t xml:space="preserve">Proportion of year 3, 5, 7 and 9 students who achieved at or above the national minimum standard for reading, by Indigenous status and geolocation, 2013 (per cent)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4A.56</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Proportion of students who achieved at or above the national minimum standard for reading, by State and Territory, by parental education and parental occupation, 2013 (per cent)   </w:t>
            </w:r>
          </w:p>
        </w:tc>
      </w:tr>
      <w:tr w:rsidR="00610533"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4A.57</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Mean scale scores for reading, years 3, 5, 7 and 9 students, by Indigenous status, 2013 (score points)    </w:t>
            </w:r>
          </w:p>
        </w:tc>
      </w:tr>
      <w:tr w:rsidR="00610533"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4A.58</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NAPLAN Mean scale scores for reading, by Indigenous status and geolocation, 2013 (score points)      </w:t>
            </w:r>
          </w:p>
        </w:tc>
      </w:tr>
      <w:tr w:rsidR="00610533"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4A.59</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NAPLAN Mean scale scores for reading, by State and Territory, by parental education and parental occupation, 2013 (score points)   </w:t>
            </w:r>
          </w:p>
        </w:tc>
      </w:tr>
      <w:tr w:rsidR="00610533" w:rsidRPr="000842AC" w:rsidTr="000842AC">
        <w:tblPrEx>
          <w:tblLook w:val="04A0" w:firstRow="1" w:lastRow="0" w:firstColumn="1" w:lastColumn="0" w:noHBand="0" w:noVBand="1"/>
        </w:tblPrEx>
        <w:trPr>
          <w:gridBefore w:val="1"/>
          <w:wBefore w:w="108" w:type="dxa"/>
          <w:trHeight w:val="35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4A.60</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Participation rate in reading assessment, 2013, by Indigenous status (per cent)   </w:t>
            </w:r>
          </w:p>
        </w:tc>
      </w:tr>
      <w:tr w:rsidR="00610533"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4A.61</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Exempt, absent and withdrawn, and assessed students in reading assessment, by Indigenous status, 2013 (per cent)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lastRenderedPageBreak/>
              <w:t>Table 4A.62</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Mean scale scores and proportion of students who achieved at or above the national minimum standard for reading, and nature of differences, 2008 and 2012 to 2013, NSW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4A.63</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Mean scale scores and proportion of students who achieved at or above the national</w:t>
            </w:r>
            <w:r w:rsidR="008A4E67">
              <w:rPr>
                <w:rFonts w:ascii="Arial" w:hAnsi="Arial" w:cs="Arial"/>
                <w:sz w:val="20"/>
                <w:szCs w:val="20"/>
              </w:rPr>
              <w:t xml:space="preserve"> minimum standard for reading, </w:t>
            </w:r>
            <w:r>
              <w:rPr>
                <w:rFonts w:ascii="Arial" w:hAnsi="Arial" w:cs="Arial"/>
                <w:sz w:val="20"/>
                <w:szCs w:val="20"/>
              </w:rPr>
              <w:t xml:space="preserve">and nature of differences, 2008 and 2012 to 2013, Victoria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4A.64</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Mean scale scores and proportion of students who achieved at or above the national</w:t>
            </w:r>
            <w:r w:rsidR="008A4E67">
              <w:rPr>
                <w:rFonts w:ascii="Arial" w:hAnsi="Arial" w:cs="Arial"/>
                <w:sz w:val="20"/>
                <w:szCs w:val="20"/>
              </w:rPr>
              <w:t xml:space="preserve"> minimum standard for reading, </w:t>
            </w:r>
            <w:r>
              <w:rPr>
                <w:rFonts w:ascii="Arial" w:hAnsi="Arial" w:cs="Arial"/>
                <w:sz w:val="20"/>
                <w:szCs w:val="20"/>
              </w:rPr>
              <w:t xml:space="preserve">and nature of differences, 2008 and 2012 to 2013, Queensland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4A.65</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Mean scale scores and proportion of students who achieved at or above the nationa</w:t>
            </w:r>
            <w:r w:rsidR="008A4E67">
              <w:rPr>
                <w:rFonts w:ascii="Arial" w:hAnsi="Arial" w:cs="Arial"/>
                <w:sz w:val="20"/>
                <w:szCs w:val="20"/>
              </w:rPr>
              <w:t>l minimum standard for reading,</w:t>
            </w:r>
            <w:r>
              <w:rPr>
                <w:rFonts w:ascii="Arial" w:hAnsi="Arial" w:cs="Arial"/>
                <w:sz w:val="20"/>
                <w:szCs w:val="20"/>
              </w:rPr>
              <w:t xml:space="preserve"> and nature of differences, 2008 and 2012 to 2013, Western Australia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4A.66</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Mean scale scores and proportion of students who achieved at or above the nationa</w:t>
            </w:r>
            <w:r w:rsidR="008A4E67">
              <w:rPr>
                <w:rFonts w:ascii="Arial" w:hAnsi="Arial" w:cs="Arial"/>
                <w:sz w:val="20"/>
                <w:szCs w:val="20"/>
              </w:rPr>
              <w:t>l minimum standard for reading,</w:t>
            </w:r>
            <w:r>
              <w:rPr>
                <w:rFonts w:ascii="Arial" w:hAnsi="Arial" w:cs="Arial"/>
                <w:sz w:val="20"/>
                <w:szCs w:val="20"/>
              </w:rPr>
              <w:t xml:space="preserve"> and nature of differences, 2008 and 2012 to 2013, South Australia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4A.67</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Mean scale scores and proportion of students who achieved at or above the national</w:t>
            </w:r>
            <w:r w:rsidR="008A4E67">
              <w:rPr>
                <w:rFonts w:ascii="Arial" w:hAnsi="Arial" w:cs="Arial"/>
                <w:sz w:val="20"/>
                <w:szCs w:val="20"/>
              </w:rPr>
              <w:t xml:space="preserve"> minimum standard for reading, </w:t>
            </w:r>
            <w:r>
              <w:rPr>
                <w:rFonts w:ascii="Arial" w:hAnsi="Arial" w:cs="Arial"/>
                <w:sz w:val="20"/>
                <w:szCs w:val="20"/>
              </w:rPr>
              <w:t xml:space="preserve">and nature of differences, 2008 and 2012 to 2013, Tasmania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4A.68</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Mean scale scores and proportion of students who achieved at or above the national min</w:t>
            </w:r>
            <w:r w:rsidR="008A4E67">
              <w:rPr>
                <w:rFonts w:ascii="Arial" w:hAnsi="Arial" w:cs="Arial"/>
                <w:sz w:val="20"/>
                <w:szCs w:val="20"/>
              </w:rPr>
              <w:t xml:space="preserve">imum standard for reading, and </w:t>
            </w:r>
            <w:r>
              <w:rPr>
                <w:rFonts w:ascii="Arial" w:hAnsi="Arial" w:cs="Arial"/>
                <w:sz w:val="20"/>
                <w:szCs w:val="20"/>
              </w:rPr>
              <w:t xml:space="preserve">nature of differences, 2008 and 2012 to 2013, Australian Capital Territory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4A.69</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Mean scale scores and proportion of students who achieved at or above the nationa</w:t>
            </w:r>
            <w:r w:rsidR="008A4E67">
              <w:rPr>
                <w:rFonts w:ascii="Arial" w:hAnsi="Arial" w:cs="Arial"/>
                <w:sz w:val="20"/>
                <w:szCs w:val="20"/>
              </w:rPr>
              <w:t>l minimum standard for reading,</w:t>
            </w:r>
            <w:r>
              <w:rPr>
                <w:rFonts w:ascii="Arial" w:hAnsi="Arial" w:cs="Arial"/>
                <w:sz w:val="20"/>
                <w:szCs w:val="20"/>
              </w:rPr>
              <w:t xml:space="preserve"> and nature of differences, 2008 and 2012 to 2013, Northern Territory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4A.70</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Mean scale scores and proportion of students who achieved at or above the nationa</w:t>
            </w:r>
            <w:r w:rsidR="008A4E67">
              <w:rPr>
                <w:rFonts w:ascii="Arial" w:hAnsi="Arial" w:cs="Arial"/>
                <w:sz w:val="20"/>
                <w:szCs w:val="20"/>
              </w:rPr>
              <w:t>l minimum standard for reading,</w:t>
            </w:r>
            <w:r>
              <w:rPr>
                <w:rFonts w:ascii="Arial" w:hAnsi="Arial" w:cs="Arial"/>
                <w:sz w:val="20"/>
                <w:szCs w:val="20"/>
              </w:rPr>
              <w:t xml:space="preserve"> and nature of differences, 2008 and 2012 to 2013, Australia  </w:t>
            </w:r>
          </w:p>
        </w:tc>
      </w:tr>
      <w:tr w:rsidR="00610533"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4A.71</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Mean scale score gain for reading, years 3-5, 5-7 and 7-9, 2009-2011-2013 (score points)   </w:t>
            </w:r>
          </w:p>
        </w:tc>
      </w:tr>
      <w:tr w:rsidR="00610533"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4A.72</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Proportion of students who achieved at or above the national minimum standard for persuasive writing, 2014 (per cent)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4A.73</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Proportion of year 3, 5, 7 and 9 students who achieved at or above the national minimum standard for persuasive writing, by Indigenous status and geolocation, 2014 (per cent)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4A.74</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Proportion of students who achieved at or above the national minimum standard for persuasive writing, by State and Territory, by parental education and parental occupation, 2014 (per cent)   </w:t>
            </w:r>
          </w:p>
        </w:tc>
      </w:tr>
      <w:tr w:rsidR="00610533"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4A.75</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Mean scale scores for persuasive writing, years 3, 5, 7 and 9 students, by Indigenous status, 2014 (score points)    </w:t>
            </w:r>
          </w:p>
        </w:tc>
      </w:tr>
      <w:tr w:rsidR="00610533"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4A.76</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NAPLAN Mean scale scores for persuasive writing, by Indigenous status and geolocation, 2014 (score points)      </w:t>
            </w:r>
          </w:p>
        </w:tc>
      </w:tr>
      <w:tr w:rsidR="00610533"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4A.77</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NAPLAN Mean scale scores for persuasive writing, by State and Territory, by parental education and parental occupation, 2014 (score points)   </w:t>
            </w:r>
          </w:p>
        </w:tc>
      </w:tr>
      <w:tr w:rsidR="00610533"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4A.78</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Participation rate in persuasive writing assessment, 2014, by Indigenous status (per cent)   </w:t>
            </w:r>
          </w:p>
        </w:tc>
      </w:tr>
      <w:tr w:rsidR="00610533"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lastRenderedPageBreak/>
              <w:t>Table 4A.79</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Exempt, absent and withdrawn, and assessed students in persuasive writing assessment, by Indigenous status, 2014 (per cent)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4A.80</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Mean scale scores and proportion of students who achieved at or above the national minimum standard for persuasive writing, and nature of differences, 2011 and 2013 to 2014, NSW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4A.81</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Mean scale scores and proportion of students who achieved at or above the national minimum standard for persuasive writing, and nature of differences, 2011 and 2013 to 2014, Victoria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4A.82</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Mean scale scores and proportion of students who achieved at or above the national minimum standard for persuasive writing, and nature of differences, 2011 and 2013 to 2014, Queensland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4A.83</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Mean scale scores and proportion of students who achieved at or above the national minimum standard for persuasive writing, and nature of differences, 2011 and 2013 to 2014, Western Australia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4A.84</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Mean scale scores and proportion of students who achieved at or above the national minimum standard for persuasive writing, and nature of differences, 2011 and 2013 to 2014, South Australia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4A.85</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Mean scale scores and proportion of students who achieved at or above the national minimum standard for persuasive writing, and nature of differences, 2011 and 2013 to 2014, Tasmania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4A.86</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Mean scale scores and proportion of students who achieved at or above the national minimum standard for persuasive writing, and and nature of differences, 2011 and 2013 to 2014, Australian Capital Territory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4A.87</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Mean scale scores and proportion of students who achieved at or above the national minimum standard for persuasive writing, and nature of differences, 2011 and 2013 to 2014, Northern Territory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4A.88</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Mean scale scores and proportion of students who achieved at or above the national minimum standard for persuasive writing, and nature of differences, 2011 and 2013 to 2014, Australia   </w:t>
            </w:r>
          </w:p>
        </w:tc>
      </w:tr>
      <w:tr w:rsidR="00610533"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4A.89</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Mean scale score gain for persuasive writing, years 3-5, 5-7 and 7-9, 2012-2014 (score points)   </w:t>
            </w:r>
          </w:p>
        </w:tc>
      </w:tr>
      <w:tr w:rsidR="00610533"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4A.90</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Proportion of students who achieved at or above the national minimum standard for persuasive writing, 2013 (per cent)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4A.91</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Proportion of year 3, 5, 7 and 9 students who achieved at or above the national minimum standard for persuasive writing, by Indigenous status and geolocation, 2013 (per cent)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4A.92</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Proportion of students who achieved at or above the national minimum standard for persuasive writing, by State and Territory, by parental education and parental occupation, 2013 (per cent)   </w:t>
            </w:r>
          </w:p>
        </w:tc>
      </w:tr>
      <w:tr w:rsidR="00610533"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4A.93</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Mean scale scores for persuasive writing, years 3, 5, 7 and 9 students, by Indigenous status, 2013 (score points)    </w:t>
            </w:r>
          </w:p>
        </w:tc>
      </w:tr>
      <w:tr w:rsidR="00610533"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4A.94</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NAPLAN Mean scale scores for persuasive writing, by Indigenous status and geolocation, 2013 (score points)      </w:t>
            </w:r>
          </w:p>
        </w:tc>
      </w:tr>
      <w:tr w:rsidR="00610533"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4A.95</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NAPLAN Mean scale scores for persuasive writing, by State and Territory, by parental education and parental occupation, 2013 (score points)   </w:t>
            </w:r>
          </w:p>
        </w:tc>
      </w:tr>
      <w:tr w:rsidR="00610533"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lastRenderedPageBreak/>
              <w:t>Table 4A.96</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Participation rate in persuasive writing assessment, 2013, by Indigenous status (per cent)   </w:t>
            </w:r>
          </w:p>
        </w:tc>
      </w:tr>
      <w:tr w:rsidR="00610533"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4A.97</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Exempt, absent and withdrawn, and assessed students in persuasive writing assessment, by Indigenous status, 2013 (per cent)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4A.98</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Mean scale scores and proportion of students who achieved at or above the national minimum standard for persuasive writing, and nature of differences, 2008 and 2012 to 2013, NSW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4A.99</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Mean scale scores and proportion of students who achieved at or above the national minimum standard for persuasive writing, and nature of differences, 2008 and 2012 to 2013, Victoria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4A.100</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Mean scale scores and proportion of students who achieved at or above the national minimum standard for persuasive writing, and nature of differences, 2008 and 2012 to 2013, Queensland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4A.101</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Mean scale scores and proportion of students who achieved at or above the national minimum standard for persuasive writing, and nature of differences, 2008 and 2012 to 2013, Western Australia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4A.102</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Mean scale scores and proportion of students who achieved at or above the national minimum standard for persuasive writing, and nature of differences, 2008 and 2012 to 2013, South Australia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4A.103</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Mean scale scores and proportion of students who achieved at or above the national minimum standard for persuasive writing, and statistical significance of differences 2011, 2012 and 2013, Tasmania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4A.104</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Mean scale scores and proportion of students who achieved at or above the national minimum standard for persuasive writing, and nature of differences, 2008 and 2012 to 2013, Australian Capital Territory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4A.105</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Mean scale scores and proportion of students who achieved at or above the national minimum standard for persuasive writing, and nature of differences, 2008 and 2012 to 2013, Northern Territory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4A.106</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Mean scale scores and proportion of students who achieved at or above the national minimum standard for persuasive writing, and nature of differences, 2008 and 2012 to 2013, Australia  </w:t>
            </w:r>
          </w:p>
        </w:tc>
      </w:tr>
      <w:tr w:rsidR="00610533"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4A.107</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Mean scale score gain for persuasive writing, years 3-5, 5-7 and 7-9, 2011-2013 (score points)   </w:t>
            </w:r>
          </w:p>
        </w:tc>
      </w:tr>
      <w:tr w:rsidR="00610533"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4A.108</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Proportion of students who achieved at or above the national minimum standard for numeracy, 2014 (per cent)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4A.109</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Proportion of year 3, 5, 7 and 9 students who achieved at or above the national minimum standard for numeracy, by Indigenous status and geolocation, 2014 (per cent)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4A.110</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Proportion of students who achieved at or above the national minimum standard for numeracy, by State and Territory, by parental education and parental occupation, 2014 (per cent)    </w:t>
            </w:r>
          </w:p>
        </w:tc>
      </w:tr>
      <w:tr w:rsidR="00610533"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4A.111</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Mean scale scores for numeracy, years 3, 5, 7 and 9 students, by Indigenous status, 2014 (score points)    </w:t>
            </w:r>
          </w:p>
        </w:tc>
      </w:tr>
      <w:tr w:rsidR="00610533"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4A.112</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NAPLAN Mean scale scores for numeracy, by Indigenous status and geolocation, 2014 (score points)      </w:t>
            </w:r>
          </w:p>
        </w:tc>
      </w:tr>
      <w:tr w:rsidR="00610533"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lastRenderedPageBreak/>
              <w:t>Table 4A.113</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NAPLAN Mean scale scores for numeracy, by State and Territory, by parental education and parental occupation, 2014 (score points)   </w:t>
            </w:r>
          </w:p>
        </w:tc>
      </w:tr>
      <w:tr w:rsidR="00610533" w:rsidRPr="000842AC" w:rsidTr="000842AC">
        <w:tblPrEx>
          <w:tblLook w:val="04A0" w:firstRow="1" w:lastRow="0" w:firstColumn="1" w:lastColumn="0" w:noHBand="0" w:noVBand="1"/>
        </w:tblPrEx>
        <w:trPr>
          <w:gridBefore w:val="1"/>
          <w:wBefore w:w="108" w:type="dxa"/>
          <w:trHeight w:val="35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4A.114</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Participation rate in numeracy assessment, 2014, by Indigenous status (per cent)    </w:t>
            </w:r>
          </w:p>
        </w:tc>
      </w:tr>
      <w:tr w:rsidR="00610533"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4A.115</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Exempt, absent and withdrawn, and assessed students in numeracy assessment, by Indigenous status, 2014 (per cent)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4A.116</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Mean scale scores and proportion of students who achieved at or above the national minimum standard for numeracy, and nature of differences, 2008 and 2013 to 2014, NSW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4A.117</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Mean scale scores and proportion of students who achieved at or above the national minimum standard for numeracy, and nature of differences, 2008 and 2013 to 2014, Victoria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4A.118</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Mean scale scores and proportion of students who achieved at or above the national minimum standard for numeracy, and nature of differences, 2008 and 2013 to 2014, Queensland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4A.119</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Mean scale scores and proportion of students who achieved at or above the national minimum standard for numeracy, and nature of differences, 2008 and 2013 to 2014, Western Australia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4A.120</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Mean scale scores and proportion of students who achieved at or above the national minimum standard for numeracy, and nature of differences, 2008 and 2013 to 2014, South Australia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4A.121</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Mean scale scores and proportion of students who achieved at or above the national minimum standard for numeracy, and nature of differences, 2008 and 2013 to 2014, Tasmania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4A.122</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Mean scale scores and proportion of students who achieved at or above the national minimum standard for numeracy, and nature of differences, 2008 and 2013 to 2014, Australian Capital Territory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4A.123</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Mean scale scores and proportion of students who achieved at or above the national minimum standard for numeracy, and nature of differences, 2008 and 2013 to 2014, Northern Territory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4A.124</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Mean scale scores and proportion of students who achieved at or above the national minimum standard for numeracy, and nature of differences, 2008 and 2013 to 2014, Australia  </w:t>
            </w:r>
          </w:p>
        </w:tc>
      </w:tr>
      <w:tr w:rsidR="00610533"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4A.125</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Mean scale score gain for numeracy, years 3-5, 5-7 and 7-9, 2008-2010-2012-2014 (score points)   </w:t>
            </w:r>
          </w:p>
        </w:tc>
      </w:tr>
      <w:tr w:rsidR="00610533"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4A.126</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Proportion of students who achieved at or above the national minimum standard for numeracy, 2013 (per cent)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4A.127</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Proportion of year 3, 5, 7 and 9 students who achieved at or above the national minimum standard for numeracy, by Indigenous status and geolocation, 2013 (per cent)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4A.128</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Proportion of students who achieved at or above the national minimum standard for numeracy, by State and Territory, by parental education and parental occupation, 2013 (per cent)   </w:t>
            </w:r>
          </w:p>
        </w:tc>
      </w:tr>
      <w:tr w:rsidR="00610533"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4A.129</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Mean scale scores for numeracy, years 3, 5, 7 and 9 students, by Indigenous status, 2013 (score points)    </w:t>
            </w:r>
          </w:p>
        </w:tc>
      </w:tr>
      <w:tr w:rsidR="00610533"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lastRenderedPageBreak/>
              <w:t>Table 4A.130</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NAPLAN Mean scale scores for numeracy, by Indigenous status and geolocation, 2013 (score points)      </w:t>
            </w:r>
          </w:p>
        </w:tc>
      </w:tr>
      <w:tr w:rsidR="00610533"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4A.131</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NAPLAN Mean scale scores for numeracy, by State and Territory, by parental education and parental occupation, 2013 (score points)   </w:t>
            </w:r>
          </w:p>
        </w:tc>
      </w:tr>
      <w:tr w:rsidR="00610533" w:rsidRPr="000842AC" w:rsidTr="000842AC">
        <w:tblPrEx>
          <w:tblLook w:val="04A0" w:firstRow="1" w:lastRow="0" w:firstColumn="1" w:lastColumn="0" w:noHBand="0" w:noVBand="1"/>
        </w:tblPrEx>
        <w:trPr>
          <w:gridBefore w:val="1"/>
          <w:wBefore w:w="108" w:type="dxa"/>
          <w:trHeight w:val="35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4A.132</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Participation rate in numeracy assessment, 2013, by Indigenous status (per cent)   </w:t>
            </w:r>
          </w:p>
        </w:tc>
      </w:tr>
      <w:tr w:rsidR="00610533"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4A.133</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Exempt, absent and withdrawn, and assessed students in numeracy assessment, by Indigenous status, 2013 (per cent)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4A.134</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Mean scale scores and proportion of students who achieved at or above the national minimum standard for numeracy, and nature of differences, 2008 and 2012 to 2013, NSW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4A.135</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Mean scale scores and proportion of students who achieved at or above the national minimum standard for numeracy, and nature of differences, 2008 and 2012 to 2013, Victoria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4A.136</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Mean scale scores and proportion of students who achieved at or above the national minimum standard for numeracy, and nature of differences, 2008 and 2012 to 2013, Queensland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4A.137</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Mean scale scores and proportion of students who achieved at or above the national minimum standard for numeracy, and nature of differences, 2008 and 2012 to 2013, Western Australia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4A.138</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Mean scale scores and proportion of students who achieved at or above the national minimum standard for numeracy, and nature of differences, 2008 and 2012 to 2013, South Australia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4A.139</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Mean scale scores and proportion of students who achieved at or above the national minimum standard for numeracy, and nature of differences, 2008 and 2012 to 2013, Tasmania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4A.140</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Mean scale scores and proportion of students who achieved at or above the national minimum standard for numeracy, and nature of differences, 2008 and 2012 to 2013, Australian Capital Territory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4A.141</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Mean scale scores and proportion of students who achieved at or above the national minimum standard for numeracy, and and nature of differences, 2008 and 2012 to 2013, Northern Territory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4A.142</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Mean scale scores and proportion of students who achieved at or above the national minimum standard for numeracy, and nature of differences, 2008 and 2012 to 2013, Australia  </w:t>
            </w:r>
          </w:p>
        </w:tc>
      </w:tr>
      <w:tr w:rsidR="00610533"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4A.143</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Mean scale score gain for numeracy, years 3-5, 5-7 and 7-9, 2009-2011-2013 (score points)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4A.144</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Proportion of year 6 students achieving at or above the proficient standard in science literacy performance in the National Assessment Program (per cent) and statistical significance of differences between testing years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4A.145</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Proportion of year 6 students achieving at or above the proficient standard in science literacy  performance in the National Assessment Program, by geolocation, Australia (per cent)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4A.146</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Proportion of year 6 students achieving at or above the proficient standard in science literacy  performance in the National Assessment Program, by equity</w:t>
            </w:r>
            <w:r w:rsidR="00D6089B">
              <w:rPr>
                <w:rFonts w:ascii="Arial" w:hAnsi="Arial" w:cs="Arial"/>
                <w:sz w:val="20"/>
                <w:szCs w:val="20"/>
              </w:rPr>
              <w:t xml:space="preserve"> group, Australia (per cent)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lastRenderedPageBreak/>
              <w:t>Table 4A.147</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Average performance of year 6 students in science literacy  domain in the National Assessment Program (mean score) and statistical significance of any difference within jurisdictions over time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4A.148</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Average performance of year 6 students in science literacy in the National Assessment Program (mean score) and statistical significance of any difference across jurisdictions within each year </w:t>
            </w:r>
          </w:p>
        </w:tc>
      </w:tr>
      <w:tr w:rsidR="00610533" w:rsidRPr="000842AC" w:rsidTr="000842AC">
        <w:tblPrEx>
          <w:tblLook w:val="04A0" w:firstRow="1" w:lastRow="0" w:firstColumn="1" w:lastColumn="0" w:noHBand="0" w:noVBand="1"/>
        </w:tblPrEx>
        <w:trPr>
          <w:gridBefore w:val="1"/>
          <w:wBefore w:w="108" w:type="dxa"/>
          <w:trHeight w:val="765"/>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4A.149</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Proportion of years 6 and 10 students achieving at or above the proficient standard in civics and citizenship performance in the National Assessment Program (per cent) and statistical significance of differences between testing years    </w:t>
            </w:r>
          </w:p>
        </w:tc>
      </w:tr>
      <w:tr w:rsidR="00610533" w:rsidRPr="000842AC" w:rsidTr="000842AC">
        <w:tblPrEx>
          <w:tblLook w:val="04A0" w:firstRow="1" w:lastRow="0" w:firstColumn="1" w:lastColumn="0" w:noHBand="0" w:noVBand="1"/>
        </w:tblPrEx>
        <w:trPr>
          <w:gridBefore w:val="1"/>
          <w:wBefore w:w="108" w:type="dxa"/>
          <w:trHeight w:val="765"/>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4A.150</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Proportion of years 6 and 10 students achieving at or above the proficient standard in civics and citizenship performance in the National Assessment Program, by geolocation, Australia (per cent)    </w:t>
            </w:r>
          </w:p>
        </w:tc>
      </w:tr>
      <w:tr w:rsidR="00610533" w:rsidRPr="000842AC" w:rsidTr="000842AC">
        <w:tblPrEx>
          <w:tblLook w:val="04A0" w:firstRow="1" w:lastRow="0" w:firstColumn="1" w:lastColumn="0" w:noHBand="0" w:noVBand="1"/>
        </w:tblPrEx>
        <w:trPr>
          <w:gridBefore w:val="1"/>
          <w:wBefore w:w="108" w:type="dxa"/>
          <w:trHeight w:val="765"/>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4A.151</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Proportion of years 6 and 10 students achieving at or above the proficient standard in civics and citizenship performance in the National Assessment Program, by equity group, Australia (per cent)    </w:t>
            </w:r>
          </w:p>
        </w:tc>
      </w:tr>
      <w:tr w:rsidR="00610533" w:rsidRPr="000842AC" w:rsidTr="000842AC">
        <w:tblPrEx>
          <w:tblLook w:val="04A0" w:firstRow="1" w:lastRow="0" w:firstColumn="1" w:lastColumn="0" w:noHBand="0" w:noVBand="1"/>
        </w:tblPrEx>
        <w:trPr>
          <w:gridBefore w:val="1"/>
          <w:wBefore w:w="108" w:type="dxa"/>
          <w:trHeight w:val="765"/>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4A.152</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Average performance of years 6 and 10 students in Civics and citizenship domain in the National Assessment Program (mean score) and statistical significance of any difference within jurisdictions over time  </w:t>
            </w:r>
          </w:p>
        </w:tc>
      </w:tr>
      <w:tr w:rsidR="00610533" w:rsidRPr="000842AC" w:rsidTr="000842AC">
        <w:tblPrEx>
          <w:tblLook w:val="04A0" w:firstRow="1" w:lastRow="0" w:firstColumn="1" w:lastColumn="0" w:noHBand="0" w:noVBand="1"/>
        </w:tblPrEx>
        <w:trPr>
          <w:gridBefore w:val="1"/>
          <w:wBefore w:w="108" w:type="dxa"/>
          <w:trHeight w:val="765"/>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4A.153</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Average performance of year 6 and 10 students in Civics and citizenship in the National Assessment Program (mean score) and statistical significance of any difference across jurisdictions within each year </w:t>
            </w:r>
          </w:p>
        </w:tc>
      </w:tr>
      <w:tr w:rsidR="00610533" w:rsidRPr="000842AC" w:rsidTr="000842AC">
        <w:tblPrEx>
          <w:tblLook w:val="04A0" w:firstRow="1" w:lastRow="0" w:firstColumn="1" w:lastColumn="0" w:noHBand="0" w:noVBand="1"/>
        </w:tblPrEx>
        <w:trPr>
          <w:gridBefore w:val="1"/>
          <w:wBefore w:w="108" w:type="dxa"/>
          <w:trHeight w:val="1122"/>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4A.154</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Proportion of years 6 and 10 students achieving at or above the proficient standard in information and communication technologies performance in the National Assessment Program (per cent) and statistical significance of differences between testing years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4A.155</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Proportion of years 6 and 10 students achieving at or above the proficient standard in information and communication technologies performance in the National Assessment Program, by geolocation, Australia (per cent)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4A.156</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Proportion of years 6 and 10 students achieving at or above the proficient standard in information and communication technologies  performance in the National Assessment Program, by equity gr</w:t>
            </w:r>
            <w:r w:rsidR="00D6089B">
              <w:rPr>
                <w:rFonts w:ascii="Arial" w:hAnsi="Arial" w:cs="Arial"/>
                <w:sz w:val="20"/>
                <w:szCs w:val="20"/>
              </w:rPr>
              <w:t xml:space="preserve">oup, Australia (per cent)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4A.157</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Average performance of years 6 and 10 students in information and communication technologies  domain in the National Assessment Program (mean score) and statistical significance of any difference within jurisdictions over time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4A.158</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Average performance of year 6 and 10 students in information and communication technologies  in the National Assessment Program (mean score) and statistical significance of any difference across jurisdictions within each year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4A.159</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Proportion of 15 year old students achieving level 3 or above in the overall reading literacy scale in PISA assessments (per cent)    </w:t>
            </w:r>
          </w:p>
        </w:tc>
      </w:tr>
      <w:tr w:rsidR="00610533"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4A.160</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Proportion of 15 year old students achieving level 3 or above in the overall reading literacy scale in PISA assessments, by equity group, (per cent)    </w:t>
            </w:r>
          </w:p>
        </w:tc>
      </w:tr>
      <w:tr w:rsidR="00610533"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4A.161</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Proportion of 15 year old secondary students achieving at or above level 3 of the overall reading literacy scale in PISA assessments, Australia, by SES (per cent)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4A.162</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Proportion of 15 year old students achieving level 3 or above and in the highest and lowest levels in the overall reading literacy scale (per cent), mean scores and statistical difference of mean score performance  in PISA assessment, 2012        </w:t>
            </w:r>
          </w:p>
        </w:tc>
      </w:tr>
      <w:tr w:rsidR="00610533"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lastRenderedPageBreak/>
              <w:t>Table 4A.163</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Mean scores for reading literacy and statistical significance of differences between PISA surveys </w:t>
            </w:r>
          </w:p>
        </w:tc>
      </w:tr>
      <w:tr w:rsidR="00610533"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4A.164</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Proportion of 15 year old students achieving level 3 or above in the overall mathematical literacy scale in PISA assessments (per cent)    </w:t>
            </w:r>
          </w:p>
        </w:tc>
      </w:tr>
      <w:tr w:rsidR="00610533"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4A.165</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Proportion of 15 year old students achieving level 3 or above in the overall mathematical literacy scale in PISA assessments, by equity group (per cent)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4A.166</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Proportion of 15 year old secondary students achieving at or above level 3 of the overall mathematical literacy scale in PISA assessments, Australia, by SES (per cent)    </w:t>
            </w:r>
          </w:p>
        </w:tc>
      </w:tr>
      <w:tr w:rsidR="00610533" w:rsidRPr="000842AC" w:rsidTr="000842AC">
        <w:tblPrEx>
          <w:tblLook w:val="04A0" w:firstRow="1" w:lastRow="0" w:firstColumn="1" w:lastColumn="0" w:noHBand="0" w:noVBand="1"/>
        </w:tblPrEx>
        <w:trPr>
          <w:gridBefore w:val="1"/>
          <w:wBefore w:w="108" w:type="dxa"/>
          <w:trHeight w:val="1122"/>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4A.167</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Proportion of 15 year old students achieving level 3 or above and in the highest and lowest levels in the overall mathematical literacy scale (per cent), mean scores and statistical difference of mean score performance in PISA assessment, 2012     </w:t>
            </w:r>
          </w:p>
        </w:tc>
      </w:tr>
      <w:tr w:rsidR="00610533"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4A.168</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Mean scores for mathematical literacy and statistical significance of differences between PISA surveys </w:t>
            </w:r>
          </w:p>
        </w:tc>
      </w:tr>
      <w:tr w:rsidR="00610533"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4A.169</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Proportion of 15 year old students achieving level 3 or above in the overall scientific literacy scale in PISA assessments (per cent)     </w:t>
            </w:r>
          </w:p>
        </w:tc>
      </w:tr>
      <w:tr w:rsidR="00610533"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4A.170</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Proportion of 15 year old students achieving level 3 or above in the overall scientific literacy scale in PISA assessments, by equity group (per cent)    </w:t>
            </w:r>
          </w:p>
        </w:tc>
      </w:tr>
      <w:tr w:rsidR="00610533"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4A.171</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Proportion of 15 year old secondary students achieving at or above level 3 of the overall scientific literacy scale in PISA assessment, Australia, by SES (per cent)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4A.172</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Proportion of 15 year old students achieving level 3 or above and in the highest and lowest levels in the overall scientific literacy scale in PISA assessment (per cent), mean scores and statistical difference of mean score performance, 2012     </w:t>
            </w:r>
          </w:p>
        </w:tc>
      </w:tr>
      <w:tr w:rsidR="00610533"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4A.173</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Mean scores for scientific literacy and statistical significance of differences between PISA surveys </w:t>
            </w:r>
          </w:p>
        </w:tc>
      </w:tr>
      <w:tr w:rsidR="00610533" w:rsidRPr="000842AC" w:rsidTr="000842AC">
        <w:tblPrEx>
          <w:tblLook w:val="04A0" w:firstRow="1" w:lastRow="0" w:firstColumn="1" w:lastColumn="0" w:noHBand="0" w:noVBand="1"/>
        </w:tblPrEx>
        <w:trPr>
          <w:gridBefore w:val="1"/>
          <w:wBefore w:w="108" w:type="dxa"/>
          <w:trHeight w:val="1122"/>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4A.174</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Proportion of year 4 students achieving at or above the intermediate international benchmark (per cent), and significance of difference over time for mean scores and proportions at and above the intermediate international benchmark in mathematics achievement in TIMSS assessments    </w:t>
            </w:r>
          </w:p>
        </w:tc>
      </w:tr>
      <w:tr w:rsidR="00610533" w:rsidRPr="000842AC" w:rsidTr="000842AC">
        <w:tblPrEx>
          <w:tblLook w:val="04A0" w:firstRow="1" w:lastRow="0" w:firstColumn="1" w:lastColumn="0" w:noHBand="0" w:noVBand="1"/>
        </w:tblPrEx>
        <w:trPr>
          <w:gridBefore w:val="1"/>
          <w:wBefore w:w="108" w:type="dxa"/>
          <w:trHeight w:val="1122"/>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4A.175</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Proportion of year 8 students achieving at or above the intermediate international benchmark (per cent), and significance of difference over time for mean scores and proportions at and above the intermediate international benchmark in mathematics achievement in TIMSS assessments    </w:t>
            </w:r>
          </w:p>
        </w:tc>
      </w:tr>
      <w:tr w:rsidR="00610533" w:rsidRPr="000842AC" w:rsidTr="000842AC">
        <w:tblPrEx>
          <w:tblLook w:val="04A0" w:firstRow="1" w:lastRow="0" w:firstColumn="1" w:lastColumn="0" w:noHBand="0" w:noVBand="1"/>
        </w:tblPrEx>
        <w:trPr>
          <w:gridBefore w:val="1"/>
          <w:wBefore w:w="108" w:type="dxa"/>
          <w:trHeight w:val="1122"/>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4A.176</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Proportion of year 4 students achieving at or above the intermediate international benchmark (per cent), and significance of difference over time for mean scores and proportions at and above the intermediate international benchmark in science achievement in TIMSS assessments    </w:t>
            </w:r>
          </w:p>
        </w:tc>
      </w:tr>
      <w:tr w:rsidR="00610533" w:rsidRPr="000842AC" w:rsidTr="000842AC">
        <w:tblPrEx>
          <w:tblLook w:val="04A0" w:firstRow="1" w:lastRow="0" w:firstColumn="1" w:lastColumn="0" w:noHBand="0" w:noVBand="1"/>
        </w:tblPrEx>
        <w:trPr>
          <w:gridBefore w:val="1"/>
          <w:wBefore w:w="108" w:type="dxa"/>
          <w:trHeight w:val="1122"/>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4A.177</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Proportion of year 8 students achieving at or above the intermediate international benchmark (per cent), and significance of difference over time for mean scores and proportions at and above the intermediate international benchmark in science achievement in TIMSS assessments    </w:t>
            </w:r>
          </w:p>
        </w:tc>
      </w:tr>
      <w:tr w:rsidR="00610533" w:rsidRPr="000842AC" w:rsidTr="000842AC">
        <w:tblPrEx>
          <w:tblLook w:val="04A0" w:firstRow="1" w:lastRow="0" w:firstColumn="1" w:lastColumn="0" w:noHBand="0" w:noVBand="1"/>
        </w:tblPrEx>
        <w:trPr>
          <w:gridBefore w:val="1"/>
          <w:wBefore w:w="108" w:type="dxa"/>
          <w:trHeight w:val="1122"/>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4A.178</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Proportion of year 4 and year 8 students achieving at or above the intermediate international benchmark (per cent); and mean scores in mathematics achievement and science achievement in TIMSS 2011 assessments by equity group, Australia (per cent)   </w:t>
            </w:r>
          </w:p>
        </w:tc>
      </w:tr>
      <w:tr w:rsidR="00610533"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lastRenderedPageBreak/>
              <w:t>Table 4A.179</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Proportion of year 4 students achieving at or above the intermediate international benchmark (per cent) and mean scores for 2011 PIRLS reading assessments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4A.180</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Proportion of year 4 students achieving at or above the intermediate international benchmark (per cent) and mean scores for 2011 PIRLS reading assessments by equity group, Australia </w:t>
            </w:r>
          </w:p>
        </w:tc>
      </w:tr>
      <w:tr w:rsidR="00610533"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610533" w:rsidRPr="00610533" w:rsidRDefault="00610533">
            <w:pPr>
              <w:rPr>
                <w:rFonts w:ascii="Arial" w:hAnsi="Arial" w:cs="Arial"/>
                <w:b/>
                <w:bCs/>
                <w:color w:val="0000FF"/>
                <w:sz w:val="20"/>
                <w:szCs w:val="20"/>
              </w:rPr>
            </w:pPr>
            <w:r w:rsidRPr="00963842">
              <w:rPr>
                <w:rFonts w:ascii="Arial" w:hAnsi="Arial" w:cs="Arial"/>
                <w:b/>
                <w:bCs/>
                <w:sz w:val="20"/>
                <w:szCs w:val="20"/>
              </w:rPr>
              <w:t>Table 4A.181</w:t>
            </w:r>
          </w:p>
        </w:tc>
        <w:tc>
          <w:tcPr>
            <w:tcW w:w="7404" w:type="dxa"/>
            <w:gridSpan w:val="2"/>
            <w:tcBorders>
              <w:top w:val="nil"/>
              <w:left w:val="nil"/>
              <w:bottom w:val="nil"/>
              <w:right w:val="nil"/>
            </w:tcBorders>
            <w:shd w:val="clear" w:color="auto" w:fill="auto"/>
            <w:hideMark/>
          </w:tcPr>
          <w:p w:rsidR="00610533" w:rsidRDefault="00610533">
            <w:pPr>
              <w:jc w:val="both"/>
              <w:rPr>
                <w:rFonts w:ascii="Arial" w:hAnsi="Arial" w:cs="Arial"/>
                <w:sz w:val="20"/>
                <w:szCs w:val="20"/>
              </w:rPr>
            </w:pPr>
            <w:r>
              <w:rPr>
                <w:rFonts w:ascii="Arial" w:hAnsi="Arial" w:cs="Arial"/>
                <w:sz w:val="20"/>
                <w:szCs w:val="20"/>
              </w:rPr>
              <w:t xml:space="preserve">Proportion of year 8 students achieving at various levels (per cent) and mean scores for 2013 IEA International Computer and Information Literacy Study assessment  </w:t>
            </w:r>
          </w:p>
        </w:tc>
      </w:tr>
      <w:tr w:rsidR="00610533"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610533" w:rsidRPr="00D6089B" w:rsidRDefault="00610533">
            <w:pPr>
              <w:rPr>
                <w:rFonts w:ascii="Arial" w:hAnsi="Arial" w:cs="Arial"/>
                <w:b/>
                <w:bCs/>
                <w:sz w:val="20"/>
                <w:szCs w:val="20"/>
              </w:rPr>
            </w:pPr>
            <w:r w:rsidRPr="00D6089B">
              <w:rPr>
                <w:rFonts w:ascii="Arial" w:hAnsi="Arial" w:cs="Arial"/>
                <w:b/>
                <w:bCs/>
                <w:sz w:val="20"/>
                <w:szCs w:val="20"/>
              </w:rPr>
              <w:t>Table 4A.182</w:t>
            </w:r>
          </w:p>
        </w:tc>
        <w:tc>
          <w:tcPr>
            <w:tcW w:w="7404" w:type="dxa"/>
            <w:gridSpan w:val="2"/>
            <w:tcBorders>
              <w:top w:val="nil"/>
              <w:left w:val="nil"/>
              <w:bottom w:val="nil"/>
              <w:right w:val="nil"/>
            </w:tcBorders>
            <w:shd w:val="clear" w:color="auto" w:fill="auto"/>
            <w:hideMark/>
          </w:tcPr>
          <w:p w:rsidR="00610533" w:rsidRPr="00D6089B" w:rsidRDefault="00610533">
            <w:pPr>
              <w:jc w:val="both"/>
              <w:rPr>
                <w:rFonts w:ascii="Arial" w:hAnsi="Arial" w:cs="Arial"/>
                <w:sz w:val="20"/>
                <w:szCs w:val="20"/>
              </w:rPr>
            </w:pPr>
            <w:r w:rsidRPr="00D6089B">
              <w:rPr>
                <w:rFonts w:ascii="Arial" w:hAnsi="Arial" w:cs="Arial"/>
                <w:sz w:val="20"/>
                <w:szCs w:val="20"/>
              </w:rPr>
              <w:t xml:space="preserve">Mean scores of year 8 students for 2013 IEA International Computer and Information Literacy Study assessment, by equity group </w:t>
            </w:r>
          </w:p>
        </w:tc>
      </w:tr>
      <w:tr w:rsidR="000842AC" w:rsidRPr="000842AC" w:rsidTr="000842AC">
        <w:tblPrEx>
          <w:tblLook w:val="04A0" w:firstRow="1" w:lastRow="0" w:firstColumn="1" w:lastColumn="0" w:noHBand="0" w:noVBand="1"/>
        </w:tblPrEx>
        <w:trPr>
          <w:gridBefore w:val="1"/>
          <w:wBefore w:w="108" w:type="dxa"/>
          <w:trHeight w:val="357"/>
        </w:trPr>
        <w:tc>
          <w:tcPr>
            <w:tcW w:w="1456" w:type="dxa"/>
            <w:tcBorders>
              <w:top w:val="nil"/>
              <w:left w:val="nil"/>
              <w:bottom w:val="nil"/>
              <w:right w:val="nil"/>
            </w:tcBorders>
            <w:shd w:val="clear" w:color="auto" w:fill="auto"/>
            <w:noWrap/>
            <w:hideMark/>
          </w:tcPr>
          <w:p w:rsidR="000842AC" w:rsidRPr="00D6089B" w:rsidRDefault="000842AC" w:rsidP="005B7022">
            <w:pPr>
              <w:spacing w:before="40" w:after="40"/>
              <w:rPr>
                <w:rFonts w:ascii="Arial" w:hAnsi="Arial" w:cs="Arial"/>
                <w:b/>
                <w:bCs/>
                <w:sz w:val="20"/>
                <w:szCs w:val="20"/>
              </w:rPr>
            </w:pPr>
            <w:r w:rsidRPr="00D6089B">
              <w:rPr>
                <w:rFonts w:ascii="Arial" w:hAnsi="Arial" w:cs="Arial"/>
                <w:b/>
                <w:bCs/>
                <w:sz w:val="20"/>
                <w:szCs w:val="20"/>
              </w:rPr>
              <w:t>Table 4A.183</w:t>
            </w:r>
          </w:p>
        </w:tc>
        <w:tc>
          <w:tcPr>
            <w:tcW w:w="7404" w:type="dxa"/>
            <w:gridSpan w:val="2"/>
            <w:tcBorders>
              <w:top w:val="nil"/>
              <w:left w:val="nil"/>
              <w:bottom w:val="nil"/>
              <w:right w:val="nil"/>
            </w:tcBorders>
            <w:shd w:val="clear" w:color="auto" w:fill="auto"/>
            <w:hideMark/>
          </w:tcPr>
          <w:p w:rsidR="000842AC" w:rsidRPr="00D6089B" w:rsidRDefault="000842AC" w:rsidP="005B7022">
            <w:pPr>
              <w:spacing w:before="40" w:after="40"/>
              <w:jc w:val="both"/>
              <w:rPr>
                <w:rFonts w:ascii="Arial" w:hAnsi="Arial" w:cs="Arial"/>
                <w:sz w:val="20"/>
                <w:szCs w:val="20"/>
              </w:rPr>
            </w:pPr>
            <w:r w:rsidRPr="00D6089B">
              <w:rPr>
                <w:rFonts w:ascii="Arial" w:hAnsi="Arial" w:cs="Arial"/>
                <w:sz w:val="20"/>
                <w:szCs w:val="20"/>
              </w:rPr>
              <w:t xml:space="preserve">Proportion of children aged 6–15 years enrolled in school </w:t>
            </w:r>
          </w:p>
        </w:tc>
      </w:tr>
      <w:tr w:rsidR="000842AC" w:rsidRPr="000842AC" w:rsidTr="000842AC">
        <w:tblPrEx>
          <w:tblLook w:val="04A0" w:firstRow="1" w:lastRow="0" w:firstColumn="1" w:lastColumn="0" w:noHBand="0" w:noVBand="1"/>
        </w:tblPrEx>
        <w:trPr>
          <w:gridBefore w:val="1"/>
          <w:wBefore w:w="108" w:type="dxa"/>
          <w:trHeight w:val="357"/>
        </w:trPr>
        <w:tc>
          <w:tcPr>
            <w:tcW w:w="1456" w:type="dxa"/>
            <w:tcBorders>
              <w:top w:val="nil"/>
              <w:left w:val="nil"/>
              <w:bottom w:val="nil"/>
              <w:right w:val="nil"/>
            </w:tcBorders>
            <w:shd w:val="clear" w:color="auto" w:fill="auto"/>
            <w:noWrap/>
            <w:hideMark/>
          </w:tcPr>
          <w:p w:rsidR="000842AC" w:rsidRPr="00D6089B" w:rsidRDefault="000842AC" w:rsidP="005B7022">
            <w:pPr>
              <w:spacing w:before="40" w:after="40"/>
              <w:rPr>
                <w:rFonts w:ascii="Arial" w:hAnsi="Arial" w:cs="Arial"/>
                <w:b/>
                <w:bCs/>
                <w:sz w:val="20"/>
                <w:szCs w:val="20"/>
              </w:rPr>
            </w:pPr>
            <w:r w:rsidRPr="00D6089B">
              <w:rPr>
                <w:rFonts w:ascii="Arial" w:hAnsi="Arial" w:cs="Arial"/>
                <w:b/>
                <w:bCs/>
                <w:sz w:val="20"/>
                <w:szCs w:val="20"/>
              </w:rPr>
              <w:t>Table 4A.184</w:t>
            </w:r>
          </w:p>
        </w:tc>
        <w:tc>
          <w:tcPr>
            <w:tcW w:w="7404" w:type="dxa"/>
            <w:gridSpan w:val="2"/>
            <w:tcBorders>
              <w:top w:val="nil"/>
              <w:left w:val="nil"/>
              <w:bottom w:val="nil"/>
              <w:right w:val="nil"/>
            </w:tcBorders>
            <w:shd w:val="clear" w:color="auto" w:fill="auto"/>
            <w:hideMark/>
          </w:tcPr>
          <w:p w:rsidR="000842AC" w:rsidRPr="00D6089B" w:rsidRDefault="000842AC" w:rsidP="005B7022">
            <w:pPr>
              <w:spacing w:before="40" w:after="40"/>
              <w:jc w:val="both"/>
              <w:rPr>
                <w:rFonts w:ascii="Arial" w:hAnsi="Arial" w:cs="Arial"/>
                <w:sz w:val="20"/>
                <w:szCs w:val="20"/>
              </w:rPr>
            </w:pPr>
            <w:r w:rsidRPr="00D6089B">
              <w:rPr>
                <w:rFonts w:ascii="Arial" w:hAnsi="Arial" w:cs="Arial"/>
                <w:sz w:val="20"/>
                <w:szCs w:val="20"/>
              </w:rPr>
              <w:t xml:space="preserve">School participation rates by age and sex of students, all schools, 2013 (per cent)    </w:t>
            </w:r>
          </w:p>
        </w:tc>
      </w:tr>
      <w:tr w:rsidR="000842AC" w:rsidRPr="000842AC" w:rsidTr="000842AC">
        <w:tblPrEx>
          <w:tblLook w:val="04A0" w:firstRow="1" w:lastRow="0" w:firstColumn="1" w:lastColumn="0" w:noHBand="0" w:noVBand="1"/>
        </w:tblPrEx>
        <w:trPr>
          <w:gridBefore w:val="1"/>
          <w:wBefore w:w="108" w:type="dxa"/>
          <w:trHeight w:val="357"/>
        </w:trPr>
        <w:tc>
          <w:tcPr>
            <w:tcW w:w="1456" w:type="dxa"/>
            <w:tcBorders>
              <w:top w:val="nil"/>
              <w:left w:val="nil"/>
              <w:bottom w:val="nil"/>
              <w:right w:val="nil"/>
            </w:tcBorders>
            <w:shd w:val="clear" w:color="auto" w:fill="auto"/>
            <w:noWrap/>
            <w:hideMark/>
          </w:tcPr>
          <w:p w:rsidR="000842AC" w:rsidRPr="00D6089B" w:rsidRDefault="000842AC" w:rsidP="005B7022">
            <w:pPr>
              <w:spacing w:before="40" w:after="40"/>
              <w:rPr>
                <w:rFonts w:ascii="Arial" w:hAnsi="Arial" w:cs="Arial"/>
                <w:b/>
                <w:bCs/>
                <w:sz w:val="20"/>
                <w:szCs w:val="20"/>
              </w:rPr>
            </w:pPr>
            <w:r w:rsidRPr="00D6089B">
              <w:rPr>
                <w:rFonts w:ascii="Arial" w:hAnsi="Arial" w:cs="Arial"/>
                <w:b/>
                <w:bCs/>
                <w:sz w:val="20"/>
                <w:szCs w:val="20"/>
              </w:rPr>
              <w:t>Table 4A.185</w:t>
            </w:r>
          </w:p>
        </w:tc>
        <w:tc>
          <w:tcPr>
            <w:tcW w:w="7404" w:type="dxa"/>
            <w:gridSpan w:val="2"/>
            <w:tcBorders>
              <w:top w:val="nil"/>
              <w:left w:val="nil"/>
              <w:bottom w:val="nil"/>
              <w:right w:val="nil"/>
            </w:tcBorders>
            <w:shd w:val="clear" w:color="auto" w:fill="auto"/>
            <w:hideMark/>
          </w:tcPr>
          <w:p w:rsidR="000842AC" w:rsidRPr="00D6089B" w:rsidRDefault="000842AC" w:rsidP="005B7022">
            <w:pPr>
              <w:spacing w:before="40" w:after="40"/>
              <w:jc w:val="both"/>
              <w:rPr>
                <w:rFonts w:ascii="Arial" w:hAnsi="Arial" w:cs="Arial"/>
                <w:sz w:val="20"/>
                <w:szCs w:val="20"/>
              </w:rPr>
            </w:pPr>
            <w:r w:rsidRPr="00D6089B">
              <w:rPr>
                <w:rFonts w:ascii="Arial" w:hAnsi="Arial" w:cs="Arial"/>
                <w:sz w:val="20"/>
                <w:szCs w:val="20"/>
              </w:rPr>
              <w:t xml:space="preserve">School participation rates by age of students, all students, all schools (per cent)     </w:t>
            </w:r>
          </w:p>
        </w:tc>
      </w:tr>
      <w:tr w:rsidR="000842AC"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0842AC" w:rsidRPr="00D6089B" w:rsidRDefault="000842AC" w:rsidP="005B7022">
            <w:pPr>
              <w:spacing w:before="40" w:after="40"/>
              <w:rPr>
                <w:rFonts w:ascii="Arial" w:hAnsi="Arial" w:cs="Arial"/>
                <w:b/>
                <w:bCs/>
                <w:sz w:val="20"/>
                <w:szCs w:val="20"/>
              </w:rPr>
            </w:pPr>
            <w:r w:rsidRPr="00D6089B">
              <w:rPr>
                <w:rFonts w:ascii="Arial" w:hAnsi="Arial" w:cs="Arial"/>
                <w:b/>
                <w:bCs/>
                <w:sz w:val="20"/>
                <w:szCs w:val="20"/>
              </w:rPr>
              <w:t>Table 4A.186</w:t>
            </w:r>
          </w:p>
        </w:tc>
        <w:tc>
          <w:tcPr>
            <w:tcW w:w="7404" w:type="dxa"/>
            <w:gridSpan w:val="2"/>
            <w:tcBorders>
              <w:top w:val="nil"/>
              <w:left w:val="nil"/>
              <w:bottom w:val="nil"/>
              <w:right w:val="nil"/>
            </w:tcBorders>
            <w:shd w:val="clear" w:color="auto" w:fill="auto"/>
            <w:hideMark/>
          </w:tcPr>
          <w:p w:rsidR="000842AC" w:rsidRPr="00D6089B" w:rsidRDefault="000842AC" w:rsidP="005B7022">
            <w:pPr>
              <w:spacing w:before="40" w:after="40"/>
              <w:jc w:val="both"/>
              <w:rPr>
                <w:rFonts w:ascii="Arial" w:hAnsi="Arial" w:cs="Arial"/>
                <w:sz w:val="20"/>
                <w:szCs w:val="20"/>
              </w:rPr>
            </w:pPr>
            <w:r w:rsidRPr="00D6089B">
              <w:rPr>
                <w:rFonts w:ascii="Arial" w:hAnsi="Arial" w:cs="Arial"/>
                <w:sz w:val="20"/>
                <w:szCs w:val="20"/>
              </w:rPr>
              <w:t xml:space="preserve">Apparent retention rates of full time secondary students from year 7/8 to years 10, 11 and 12, 2013 (per cent) </w:t>
            </w:r>
          </w:p>
        </w:tc>
      </w:tr>
      <w:tr w:rsidR="000842AC" w:rsidRPr="000842AC" w:rsidTr="000842AC">
        <w:tblPrEx>
          <w:tblLook w:val="04A0" w:firstRow="1" w:lastRow="0" w:firstColumn="1" w:lastColumn="0" w:noHBand="0" w:noVBand="1"/>
        </w:tblPrEx>
        <w:trPr>
          <w:gridBefore w:val="1"/>
          <w:wBefore w:w="108" w:type="dxa"/>
          <w:trHeight w:val="357"/>
        </w:trPr>
        <w:tc>
          <w:tcPr>
            <w:tcW w:w="1456" w:type="dxa"/>
            <w:tcBorders>
              <w:top w:val="nil"/>
              <w:left w:val="nil"/>
              <w:bottom w:val="nil"/>
              <w:right w:val="nil"/>
            </w:tcBorders>
            <w:shd w:val="clear" w:color="auto" w:fill="auto"/>
            <w:noWrap/>
            <w:hideMark/>
          </w:tcPr>
          <w:p w:rsidR="000842AC" w:rsidRPr="00D6089B" w:rsidRDefault="000842AC" w:rsidP="005B7022">
            <w:pPr>
              <w:spacing w:before="40" w:after="40"/>
              <w:rPr>
                <w:rFonts w:ascii="Arial" w:hAnsi="Arial" w:cs="Arial"/>
                <w:b/>
                <w:bCs/>
                <w:sz w:val="20"/>
                <w:szCs w:val="20"/>
              </w:rPr>
            </w:pPr>
            <w:r w:rsidRPr="00D6089B">
              <w:rPr>
                <w:rFonts w:ascii="Arial" w:hAnsi="Arial" w:cs="Arial"/>
                <w:b/>
                <w:bCs/>
                <w:sz w:val="20"/>
                <w:szCs w:val="20"/>
              </w:rPr>
              <w:t>Table 4A.187</w:t>
            </w:r>
          </w:p>
        </w:tc>
        <w:tc>
          <w:tcPr>
            <w:tcW w:w="7404" w:type="dxa"/>
            <w:gridSpan w:val="2"/>
            <w:tcBorders>
              <w:top w:val="nil"/>
              <w:left w:val="nil"/>
              <w:bottom w:val="nil"/>
              <w:right w:val="nil"/>
            </w:tcBorders>
            <w:shd w:val="clear" w:color="auto" w:fill="auto"/>
            <w:hideMark/>
          </w:tcPr>
          <w:p w:rsidR="000842AC" w:rsidRPr="00D6089B" w:rsidRDefault="000842AC" w:rsidP="005B7022">
            <w:pPr>
              <w:spacing w:before="40" w:after="40"/>
              <w:jc w:val="both"/>
              <w:rPr>
                <w:rFonts w:ascii="Arial" w:hAnsi="Arial" w:cs="Arial"/>
                <w:sz w:val="20"/>
                <w:szCs w:val="20"/>
              </w:rPr>
            </w:pPr>
            <w:r w:rsidRPr="00D6089B">
              <w:rPr>
                <w:rFonts w:ascii="Arial" w:hAnsi="Arial" w:cs="Arial"/>
                <w:sz w:val="20"/>
                <w:szCs w:val="20"/>
              </w:rPr>
              <w:t xml:space="preserve">Apparent retention rates of secondary students from years 10–12 (per cent)     </w:t>
            </w:r>
          </w:p>
        </w:tc>
      </w:tr>
      <w:tr w:rsidR="000842AC" w:rsidRPr="000842AC" w:rsidTr="000842AC">
        <w:tblPrEx>
          <w:tblLook w:val="04A0" w:firstRow="1" w:lastRow="0" w:firstColumn="1" w:lastColumn="0" w:noHBand="0" w:noVBand="1"/>
        </w:tblPrEx>
        <w:trPr>
          <w:gridBefore w:val="1"/>
          <w:wBefore w:w="108" w:type="dxa"/>
          <w:trHeight w:val="357"/>
        </w:trPr>
        <w:tc>
          <w:tcPr>
            <w:tcW w:w="1456" w:type="dxa"/>
            <w:tcBorders>
              <w:top w:val="nil"/>
              <w:left w:val="nil"/>
              <w:bottom w:val="nil"/>
              <w:right w:val="nil"/>
            </w:tcBorders>
            <w:shd w:val="clear" w:color="auto" w:fill="auto"/>
            <w:noWrap/>
            <w:hideMark/>
          </w:tcPr>
          <w:p w:rsidR="000842AC" w:rsidRPr="00D6089B" w:rsidRDefault="000842AC" w:rsidP="005B7022">
            <w:pPr>
              <w:spacing w:before="40" w:after="40"/>
              <w:rPr>
                <w:rFonts w:ascii="Arial" w:hAnsi="Arial" w:cs="Arial"/>
                <w:b/>
                <w:bCs/>
                <w:sz w:val="20"/>
                <w:szCs w:val="20"/>
              </w:rPr>
            </w:pPr>
            <w:r w:rsidRPr="00D6089B">
              <w:rPr>
                <w:rFonts w:ascii="Arial" w:hAnsi="Arial" w:cs="Arial"/>
                <w:b/>
                <w:bCs/>
                <w:sz w:val="20"/>
                <w:szCs w:val="20"/>
              </w:rPr>
              <w:t>Table 4A.188</w:t>
            </w:r>
          </w:p>
        </w:tc>
        <w:tc>
          <w:tcPr>
            <w:tcW w:w="7404" w:type="dxa"/>
            <w:gridSpan w:val="2"/>
            <w:tcBorders>
              <w:top w:val="nil"/>
              <w:left w:val="nil"/>
              <w:bottom w:val="nil"/>
              <w:right w:val="nil"/>
            </w:tcBorders>
            <w:shd w:val="clear" w:color="auto" w:fill="auto"/>
            <w:hideMark/>
          </w:tcPr>
          <w:p w:rsidR="000842AC" w:rsidRPr="00D6089B" w:rsidRDefault="000842AC" w:rsidP="005B7022">
            <w:pPr>
              <w:spacing w:before="40" w:after="40"/>
              <w:jc w:val="both"/>
              <w:rPr>
                <w:rFonts w:ascii="Arial" w:hAnsi="Arial" w:cs="Arial"/>
                <w:sz w:val="20"/>
                <w:szCs w:val="20"/>
              </w:rPr>
            </w:pPr>
            <w:r w:rsidRPr="00D6089B">
              <w:rPr>
                <w:rFonts w:ascii="Arial" w:hAnsi="Arial" w:cs="Arial"/>
                <w:sz w:val="20"/>
                <w:szCs w:val="20"/>
              </w:rPr>
              <w:t xml:space="preserve">Apparent retention rates of full time secondary students, all schools (per cent)   </w:t>
            </w:r>
          </w:p>
        </w:tc>
      </w:tr>
      <w:tr w:rsidR="000842AC"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0842AC" w:rsidRPr="00D6089B" w:rsidRDefault="000842AC" w:rsidP="005B7022">
            <w:pPr>
              <w:spacing w:before="40" w:after="40"/>
              <w:rPr>
                <w:rFonts w:ascii="Arial" w:hAnsi="Arial" w:cs="Arial"/>
                <w:b/>
                <w:bCs/>
                <w:sz w:val="20"/>
                <w:szCs w:val="20"/>
              </w:rPr>
            </w:pPr>
            <w:r w:rsidRPr="00D6089B">
              <w:rPr>
                <w:rFonts w:ascii="Arial" w:hAnsi="Arial" w:cs="Arial"/>
                <w:b/>
                <w:bCs/>
                <w:sz w:val="20"/>
                <w:szCs w:val="20"/>
              </w:rPr>
              <w:t>Table 4A.189</w:t>
            </w:r>
          </w:p>
        </w:tc>
        <w:tc>
          <w:tcPr>
            <w:tcW w:w="7404" w:type="dxa"/>
            <w:gridSpan w:val="2"/>
            <w:tcBorders>
              <w:top w:val="nil"/>
              <w:left w:val="nil"/>
              <w:bottom w:val="nil"/>
              <w:right w:val="nil"/>
            </w:tcBorders>
            <w:shd w:val="clear" w:color="auto" w:fill="auto"/>
            <w:hideMark/>
          </w:tcPr>
          <w:p w:rsidR="000842AC" w:rsidRPr="00D6089B" w:rsidRDefault="000842AC" w:rsidP="005B7022">
            <w:pPr>
              <w:spacing w:before="40" w:after="40"/>
              <w:jc w:val="both"/>
              <w:rPr>
                <w:rFonts w:ascii="Arial" w:hAnsi="Arial" w:cs="Arial"/>
                <w:sz w:val="20"/>
                <w:szCs w:val="20"/>
              </w:rPr>
            </w:pPr>
            <w:r w:rsidRPr="00D6089B">
              <w:rPr>
                <w:rFonts w:ascii="Arial" w:hAnsi="Arial" w:cs="Arial"/>
                <w:sz w:val="20"/>
                <w:szCs w:val="20"/>
              </w:rPr>
              <w:t xml:space="preserve">Apparent retention rates of full time secondary students, government schools (per cent)   </w:t>
            </w:r>
          </w:p>
        </w:tc>
      </w:tr>
      <w:tr w:rsidR="000842AC"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0842AC" w:rsidRPr="00D6089B" w:rsidRDefault="000842AC" w:rsidP="005B7022">
            <w:pPr>
              <w:spacing w:before="40" w:after="40"/>
              <w:rPr>
                <w:rFonts w:ascii="Arial" w:hAnsi="Arial" w:cs="Arial"/>
                <w:b/>
                <w:bCs/>
                <w:sz w:val="20"/>
                <w:szCs w:val="20"/>
              </w:rPr>
            </w:pPr>
            <w:r w:rsidRPr="00D6089B">
              <w:rPr>
                <w:rFonts w:ascii="Arial" w:hAnsi="Arial" w:cs="Arial"/>
                <w:b/>
                <w:bCs/>
                <w:sz w:val="20"/>
                <w:szCs w:val="20"/>
              </w:rPr>
              <w:t>Table 4A.190</w:t>
            </w:r>
          </w:p>
        </w:tc>
        <w:tc>
          <w:tcPr>
            <w:tcW w:w="7404" w:type="dxa"/>
            <w:gridSpan w:val="2"/>
            <w:tcBorders>
              <w:top w:val="nil"/>
              <w:left w:val="nil"/>
              <w:bottom w:val="nil"/>
              <w:right w:val="nil"/>
            </w:tcBorders>
            <w:shd w:val="clear" w:color="auto" w:fill="auto"/>
            <w:hideMark/>
          </w:tcPr>
          <w:p w:rsidR="000842AC" w:rsidRPr="00D6089B" w:rsidRDefault="000842AC" w:rsidP="005B7022">
            <w:pPr>
              <w:spacing w:before="40" w:after="40"/>
              <w:jc w:val="both"/>
              <w:rPr>
                <w:rFonts w:ascii="Arial" w:hAnsi="Arial" w:cs="Arial"/>
                <w:sz w:val="20"/>
                <w:szCs w:val="20"/>
              </w:rPr>
            </w:pPr>
            <w:r w:rsidRPr="00D6089B">
              <w:rPr>
                <w:rFonts w:ascii="Arial" w:hAnsi="Arial" w:cs="Arial"/>
                <w:sz w:val="20"/>
                <w:szCs w:val="20"/>
              </w:rPr>
              <w:t xml:space="preserve">Apparent retention rates of full time secondary students, non-government schools (per cent)   </w:t>
            </w:r>
          </w:p>
        </w:tc>
      </w:tr>
      <w:tr w:rsidR="000842AC"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0842AC" w:rsidRPr="00D6089B" w:rsidRDefault="000842AC" w:rsidP="005B7022">
            <w:pPr>
              <w:spacing w:before="40" w:after="40"/>
              <w:rPr>
                <w:rFonts w:ascii="Arial" w:hAnsi="Arial" w:cs="Arial"/>
                <w:b/>
                <w:bCs/>
                <w:sz w:val="20"/>
                <w:szCs w:val="20"/>
              </w:rPr>
            </w:pPr>
            <w:r w:rsidRPr="00D6089B">
              <w:rPr>
                <w:rFonts w:ascii="Arial" w:hAnsi="Arial" w:cs="Arial"/>
                <w:b/>
                <w:bCs/>
                <w:sz w:val="20"/>
                <w:szCs w:val="20"/>
              </w:rPr>
              <w:t>Table 4A.191</w:t>
            </w:r>
          </w:p>
        </w:tc>
        <w:tc>
          <w:tcPr>
            <w:tcW w:w="7404" w:type="dxa"/>
            <w:gridSpan w:val="2"/>
            <w:tcBorders>
              <w:top w:val="nil"/>
              <w:left w:val="nil"/>
              <w:bottom w:val="nil"/>
              <w:right w:val="nil"/>
            </w:tcBorders>
            <w:shd w:val="clear" w:color="auto" w:fill="auto"/>
            <w:hideMark/>
          </w:tcPr>
          <w:p w:rsidR="000842AC" w:rsidRPr="00D6089B" w:rsidRDefault="000842AC" w:rsidP="005B7022">
            <w:pPr>
              <w:spacing w:before="40" w:after="40"/>
              <w:jc w:val="both"/>
              <w:rPr>
                <w:rFonts w:ascii="Arial" w:hAnsi="Arial" w:cs="Arial"/>
                <w:sz w:val="20"/>
                <w:szCs w:val="20"/>
              </w:rPr>
            </w:pPr>
            <w:r w:rsidRPr="00D6089B">
              <w:rPr>
                <w:rFonts w:ascii="Arial" w:hAnsi="Arial" w:cs="Arial"/>
                <w:sz w:val="20"/>
                <w:szCs w:val="20"/>
              </w:rPr>
              <w:t xml:space="preserve">Completion rates, year 12, by socioeconomic status and sex, all schools (per cent)      </w:t>
            </w:r>
          </w:p>
        </w:tc>
      </w:tr>
      <w:tr w:rsidR="000842AC" w:rsidRPr="000842AC" w:rsidTr="000842AC">
        <w:tblPrEx>
          <w:tblLook w:val="04A0" w:firstRow="1" w:lastRow="0" w:firstColumn="1" w:lastColumn="0" w:noHBand="0" w:noVBand="1"/>
        </w:tblPrEx>
        <w:trPr>
          <w:gridBefore w:val="1"/>
          <w:wBefore w:w="108" w:type="dxa"/>
          <w:trHeight w:val="357"/>
        </w:trPr>
        <w:tc>
          <w:tcPr>
            <w:tcW w:w="1456" w:type="dxa"/>
            <w:tcBorders>
              <w:top w:val="nil"/>
              <w:left w:val="nil"/>
              <w:bottom w:val="nil"/>
              <w:right w:val="nil"/>
            </w:tcBorders>
            <w:shd w:val="clear" w:color="auto" w:fill="auto"/>
            <w:noWrap/>
            <w:hideMark/>
          </w:tcPr>
          <w:p w:rsidR="000842AC" w:rsidRPr="00D6089B" w:rsidRDefault="000842AC" w:rsidP="005B7022">
            <w:pPr>
              <w:spacing w:before="40" w:after="40"/>
              <w:rPr>
                <w:rFonts w:ascii="Arial" w:hAnsi="Arial" w:cs="Arial"/>
                <w:b/>
                <w:bCs/>
                <w:sz w:val="20"/>
                <w:szCs w:val="20"/>
              </w:rPr>
            </w:pPr>
            <w:r w:rsidRPr="00D6089B">
              <w:rPr>
                <w:rFonts w:ascii="Arial" w:hAnsi="Arial" w:cs="Arial"/>
                <w:b/>
                <w:bCs/>
                <w:sz w:val="20"/>
                <w:szCs w:val="20"/>
              </w:rPr>
              <w:t>Table 4A.192</w:t>
            </w:r>
          </w:p>
        </w:tc>
        <w:tc>
          <w:tcPr>
            <w:tcW w:w="7404" w:type="dxa"/>
            <w:gridSpan w:val="2"/>
            <w:tcBorders>
              <w:top w:val="nil"/>
              <w:left w:val="nil"/>
              <w:bottom w:val="nil"/>
              <w:right w:val="nil"/>
            </w:tcBorders>
            <w:shd w:val="clear" w:color="auto" w:fill="auto"/>
            <w:hideMark/>
          </w:tcPr>
          <w:p w:rsidR="000842AC" w:rsidRPr="00D6089B" w:rsidRDefault="000842AC" w:rsidP="005B7022">
            <w:pPr>
              <w:spacing w:before="40" w:after="40"/>
              <w:jc w:val="both"/>
              <w:rPr>
                <w:rFonts w:ascii="Arial" w:hAnsi="Arial" w:cs="Arial"/>
                <w:sz w:val="20"/>
                <w:szCs w:val="20"/>
              </w:rPr>
            </w:pPr>
            <w:r w:rsidRPr="00D6089B">
              <w:rPr>
                <w:rFonts w:ascii="Arial" w:hAnsi="Arial" w:cs="Arial"/>
                <w:sz w:val="20"/>
                <w:szCs w:val="20"/>
              </w:rPr>
              <w:t xml:space="preserve">Completion rates, year 12, by locality and sex, all schools (per cent)    </w:t>
            </w:r>
          </w:p>
        </w:tc>
      </w:tr>
      <w:tr w:rsidR="000842AC"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0842AC" w:rsidRPr="00D6089B" w:rsidRDefault="000842AC" w:rsidP="005B7022">
            <w:pPr>
              <w:spacing w:before="40" w:after="40"/>
              <w:rPr>
                <w:rFonts w:ascii="Arial" w:hAnsi="Arial" w:cs="Arial"/>
                <w:b/>
                <w:bCs/>
                <w:sz w:val="20"/>
                <w:szCs w:val="20"/>
              </w:rPr>
            </w:pPr>
            <w:r w:rsidRPr="00D6089B">
              <w:rPr>
                <w:rFonts w:ascii="Arial" w:hAnsi="Arial" w:cs="Arial"/>
                <w:b/>
                <w:bCs/>
                <w:sz w:val="20"/>
                <w:szCs w:val="20"/>
              </w:rPr>
              <w:t>Table 4A.193</w:t>
            </w:r>
          </w:p>
        </w:tc>
        <w:tc>
          <w:tcPr>
            <w:tcW w:w="7404" w:type="dxa"/>
            <w:gridSpan w:val="2"/>
            <w:tcBorders>
              <w:top w:val="nil"/>
              <w:left w:val="nil"/>
              <w:bottom w:val="nil"/>
              <w:right w:val="nil"/>
            </w:tcBorders>
            <w:shd w:val="clear" w:color="auto" w:fill="auto"/>
            <w:hideMark/>
          </w:tcPr>
          <w:p w:rsidR="000842AC" w:rsidRPr="00D6089B" w:rsidRDefault="000842AC" w:rsidP="005B7022">
            <w:pPr>
              <w:spacing w:before="40" w:after="40"/>
              <w:jc w:val="both"/>
              <w:rPr>
                <w:rFonts w:ascii="Arial" w:hAnsi="Arial" w:cs="Arial"/>
                <w:sz w:val="20"/>
                <w:szCs w:val="20"/>
              </w:rPr>
            </w:pPr>
            <w:r w:rsidRPr="00D6089B">
              <w:rPr>
                <w:rFonts w:ascii="Arial" w:hAnsi="Arial" w:cs="Arial"/>
                <w:sz w:val="20"/>
                <w:szCs w:val="20"/>
              </w:rPr>
              <w:t xml:space="preserve">School leaver destination by highest level of school completed (15-24 year olds), 2013    </w:t>
            </w:r>
          </w:p>
        </w:tc>
      </w:tr>
      <w:tr w:rsidR="000842AC" w:rsidRPr="000842AC" w:rsidTr="000842AC">
        <w:tblPrEx>
          <w:tblLook w:val="04A0" w:firstRow="1" w:lastRow="0" w:firstColumn="1" w:lastColumn="0" w:noHBand="0" w:noVBand="1"/>
        </w:tblPrEx>
        <w:trPr>
          <w:gridBefore w:val="1"/>
          <w:wBefore w:w="108" w:type="dxa"/>
          <w:trHeight w:val="867"/>
        </w:trPr>
        <w:tc>
          <w:tcPr>
            <w:tcW w:w="1456" w:type="dxa"/>
            <w:tcBorders>
              <w:top w:val="nil"/>
              <w:left w:val="nil"/>
              <w:bottom w:val="nil"/>
              <w:right w:val="nil"/>
            </w:tcBorders>
            <w:shd w:val="clear" w:color="auto" w:fill="auto"/>
            <w:noWrap/>
            <w:hideMark/>
          </w:tcPr>
          <w:p w:rsidR="000842AC" w:rsidRPr="00D6089B" w:rsidRDefault="000842AC" w:rsidP="005B7022">
            <w:pPr>
              <w:spacing w:before="40" w:after="40"/>
              <w:rPr>
                <w:rFonts w:ascii="Arial" w:hAnsi="Arial" w:cs="Arial"/>
                <w:b/>
                <w:bCs/>
                <w:sz w:val="20"/>
                <w:szCs w:val="20"/>
              </w:rPr>
            </w:pPr>
            <w:r w:rsidRPr="00D6089B">
              <w:rPr>
                <w:rFonts w:ascii="Arial" w:hAnsi="Arial" w:cs="Arial"/>
                <w:b/>
                <w:bCs/>
                <w:sz w:val="20"/>
                <w:szCs w:val="20"/>
              </w:rPr>
              <w:t>Table 4A.194</w:t>
            </w:r>
          </w:p>
        </w:tc>
        <w:tc>
          <w:tcPr>
            <w:tcW w:w="7404" w:type="dxa"/>
            <w:gridSpan w:val="2"/>
            <w:tcBorders>
              <w:top w:val="nil"/>
              <w:left w:val="nil"/>
              <w:bottom w:val="nil"/>
              <w:right w:val="nil"/>
            </w:tcBorders>
            <w:shd w:val="clear" w:color="auto" w:fill="auto"/>
            <w:hideMark/>
          </w:tcPr>
          <w:p w:rsidR="000842AC" w:rsidRPr="00D6089B" w:rsidRDefault="000842AC" w:rsidP="005B7022">
            <w:pPr>
              <w:spacing w:before="40" w:after="40"/>
              <w:jc w:val="both"/>
              <w:rPr>
                <w:rFonts w:ascii="Arial" w:hAnsi="Arial" w:cs="Arial"/>
                <w:sz w:val="20"/>
                <w:szCs w:val="20"/>
              </w:rPr>
            </w:pPr>
            <w:r w:rsidRPr="00D6089B">
              <w:rPr>
                <w:rFonts w:ascii="Arial" w:hAnsi="Arial" w:cs="Arial"/>
                <w:sz w:val="20"/>
                <w:szCs w:val="20"/>
              </w:rPr>
              <w:t xml:space="preserve">Study and employment destination for 15-19 and 20-24 year olds not in school education, by highest year of school completed and post school qualification, 2011        </w:t>
            </w:r>
          </w:p>
        </w:tc>
      </w:tr>
      <w:tr w:rsidR="000842AC"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0842AC" w:rsidRPr="00D6089B" w:rsidRDefault="000842AC" w:rsidP="005B7022">
            <w:pPr>
              <w:spacing w:before="40" w:after="40"/>
              <w:rPr>
                <w:rFonts w:ascii="Arial" w:hAnsi="Arial" w:cs="Arial"/>
                <w:b/>
                <w:bCs/>
                <w:sz w:val="20"/>
                <w:szCs w:val="20"/>
              </w:rPr>
            </w:pPr>
            <w:r w:rsidRPr="00D6089B">
              <w:rPr>
                <w:rFonts w:ascii="Arial" w:hAnsi="Arial" w:cs="Arial"/>
                <w:b/>
                <w:bCs/>
                <w:sz w:val="20"/>
                <w:szCs w:val="20"/>
              </w:rPr>
              <w:t>Table 4A.195</w:t>
            </w:r>
          </w:p>
        </w:tc>
        <w:tc>
          <w:tcPr>
            <w:tcW w:w="7404" w:type="dxa"/>
            <w:gridSpan w:val="2"/>
            <w:tcBorders>
              <w:top w:val="nil"/>
              <w:left w:val="nil"/>
              <w:bottom w:val="nil"/>
              <w:right w:val="nil"/>
            </w:tcBorders>
            <w:shd w:val="clear" w:color="auto" w:fill="auto"/>
            <w:hideMark/>
          </w:tcPr>
          <w:p w:rsidR="000842AC" w:rsidRPr="00D6089B" w:rsidRDefault="000842AC" w:rsidP="005B7022">
            <w:pPr>
              <w:spacing w:before="40" w:after="40"/>
              <w:jc w:val="both"/>
              <w:rPr>
                <w:rFonts w:ascii="Arial" w:hAnsi="Arial" w:cs="Arial"/>
                <w:sz w:val="20"/>
                <w:szCs w:val="20"/>
              </w:rPr>
            </w:pPr>
            <w:r w:rsidRPr="00D6089B">
              <w:rPr>
                <w:rFonts w:ascii="Arial" w:hAnsi="Arial" w:cs="Arial"/>
                <w:sz w:val="20"/>
                <w:szCs w:val="20"/>
              </w:rPr>
              <w:t xml:space="preserve">School leaver destination by highest level of school completed (15-24 year olds), 2013      </w:t>
            </w:r>
          </w:p>
        </w:tc>
      </w:tr>
      <w:tr w:rsidR="000842AC"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0842AC" w:rsidRPr="00D6089B" w:rsidRDefault="000842AC" w:rsidP="005B7022">
            <w:pPr>
              <w:spacing w:before="40" w:after="40"/>
              <w:rPr>
                <w:rFonts w:ascii="Arial" w:hAnsi="Arial" w:cs="Arial"/>
                <w:b/>
                <w:bCs/>
                <w:sz w:val="20"/>
                <w:szCs w:val="20"/>
              </w:rPr>
            </w:pPr>
            <w:r w:rsidRPr="00D6089B">
              <w:rPr>
                <w:rFonts w:ascii="Arial" w:hAnsi="Arial" w:cs="Arial"/>
                <w:b/>
                <w:bCs/>
                <w:sz w:val="20"/>
                <w:szCs w:val="20"/>
              </w:rPr>
              <w:t>Table 4A.196</w:t>
            </w:r>
          </w:p>
        </w:tc>
        <w:tc>
          <w:tcPr>
            <w:tcW w:w="7404" w:type="dxa"/>
            <w:gridSpan w:val="2"/>
            <w:tcBorders>
              <w:top w:val="nil"/>
              <w:left w:val="nil"/>
              <w:bottom w:val="nil"/>
              <w:right w:val="nil"/>
            </w:tcBorders>
            <w:shd w:val="clear" w:color="auto" w:fill="auto"/>
            <w:hideMark/>
          </w:tcPr>
          <w:p w:rsidR="000842AC" w:rsidRPr="00D6089B" w:rsidRDefault="000842AC" w:rsidP="005B7022">
            <w:pPr>
              <w:spacing w:before="40" w:after="40"/>
              <w:jc w:val="both"/>
              <w:rPr>
                <w:rFonts w:ascii="Arial" w:hAnsi="Arial" w:cs="Arial"/>
                <w:sz w:val="20"/>
                <w:szCs w:val="20"/>
              </w:rPr>
            </w:pPr>
            <w:r w:rsidRPr="00D6089B">
              <w:rPr>
                <w:rFonts w:ascii="Arial" w:hAnsi="Arial" w:cs="Arial"/>
                <w:sz w:val="20"/>
                <w:szCs w:val="20"/>
              </w:rPr>
              <w:t>15 to 19-year-olds successfully completing at least one unit of competency at AQF II or above</w:t>
            </w:r>
          </w:p>
        </w:tc>
      </w:tr>
      <w:tr w:rsidR="000842AC" w:rsidRPr="000842AC" w:rsidTr="000842AC">
        <w:tblPrEx>
          <w:tblLook w:val="04A0" w:firstRow="1" w:lastRow="0" w:firstColumn="1" w:lastColumn="0" w:noHBand="0" w:noVBand="1"/>
        </w:tblPrEx>
        <w:trPr>
          <w:gridBefore w:val="1"/>
          <w:wBefore w:w="108" w:type="dxa"/>
          <w:trHeight w:val="357"/>
        </w:trPr>
        <w:tc>
          <w:tcPr>
            <w:tcW w:w="1456" w:type="dxa"/>
            <w:tcBorders>
              <w:top w:val="nil"/>
              <w:left w:val="nil"/>
              <w:bottom w:val="nil"/>
              <w:right w:val="nil"/>
            </w:tcBorders>
            <w:shd w:val="clear" w:color="auto" w:fill="auto"/>
            <w:noWrap/>
            <w:hideMark/>
          </w:tcPr>
          <w:p w:rsidR="000842AC" w:rsidRPr="00D6089B" w:rsidRDefault="000842AC" w:rsidP="005B7022">
            <w:pPr>
              <w:spacing w:before="40" w:after="40"/>
              <w:rPr>
                <w:rFonts w:ascii="Arial" w:hAnsi="Arial" w:cs="Arial"/>
                <w:b/>
                <w:bCs/>
                <w:sz w:val="20"/>
                <w:szCs w:val="20"/>
              </w:rPr>
            </w:pPr>
            <w:r w:rsidRPr="00D6089B">
              <w:rPr>
                <w:rFonts w:ascii="Arial" w:hAnsi="Arial" w:cs="Arial"/>
                <w:b/>
                <w:bCs/>
                <w:sz w:val="20"/>
                <w:szCs w:val="20"/>
              </w:rPr>
              <w:t>Table 4A.197</w:t>
            </w:r>
          </w:p>
        </w:tc>
        <w:tc>
          <w:tcPr>
            <w:tcW w:w="7404" w:type="dxa"/>
            <w:gridSpan w:val="2"/>
            <w:tcBorders>
              <w:top w:val="nil"/>
              <w:left w:val="nil"/>
              <w:bottom w:val="nil"/>
              <w:right w:val="nil"/>
            </w:tcBorders>
            <w:shd w:val="clear" w:color="auto" w:fill="auto"/>
            <w:hideMark/>
          </w:tcPr>
          <w:p w:rsidR="000842AC" w:rsidRPr="00D6089B" w:rsidRDefault="000842AC" w:rsidP="005B7022">
            <w:pPr>
              <w:spacing w:before="40" w:after="40"/>
              <w:jc w:val="both"/>
              <w:rPr>
                <w:rFonts w:ascii="Arial" w:hAnsi="Arial" w:cs="Arial"/>
                <w:sz w:val="20"/>
                <w:szCs w:val="20"/>
              </w:rPr>
            </w:pPr>
            <w:r w:rsidRPr="00D6089B">
              <w:rPr>
                <w:rFonts w:ascii="Arial" w:hAnsi="Arial" w:cs="Arial"/>
                <w:sz w:val="20"/>
                <w:szCs w:val="20"/>
              </w:rPr>
              <w:t xml:space="preserve">Student attendance rates, government schools, by sex, 2013 (per cent) </w:t>
            </w:r>
          </w:p>
        </w:tc>
      </w:tr>
      <w:tr w:rsidR="000842AC"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0842AC" w:rsidRPr="00D6089B" w:rsidRDefault="000842AC" w:rsidP="005B7022">
            <w:pPr>
              <w:spacing w:before="40" w:after="40"/>
              <w:rPr>
                <w:rFonts w:ascii="Arial" w:hAnsi="Arial" w:cs="Arial"/>
                <w:b/>
                <w:bCs/>
                <w:sz w:val="20"/>
                <w:szCs w:val="20"/>
              </w:rPr>
            </w:pPr>
            <w:r w:rsidRPr="00D6089B">
              <w:rPr>
                <w:rFonts w:ascii="Arial" w:hAnsi="Arial" w:cs="Arial"/>
                <w:b/>
                <w:bCs/>
                <w:sz w:val="20"/>
                <w:szCs w:val="20"/>
              </w:rPr>
              <w:t>Table 4A.198</w:t>
            </w:r>
          </w:p>
        </w:tc>
        <w:tc>
          <w:tcPr>
            <w:tcW w:w="7404" w:type="dxa"/>
            <w:gridSpan w:val="2"/>
            <w:tcBorders>
              <w:top w:val="nil"/>
              <w:left w:val="nil"/>
              <w:bottom w:val="nil"/>
              <w:right w:val="nil"/>
            </w:tcBorders>
            <w:shd w:val="clear" w:color="auto" w:fill="auto"/>
            <w:hideMark/>
          </w:tcPr>
          <w:p w:rsidR="000842AC" w:rsidRPr="00D6089B" w:rsidRDefault="000842AC" w:rsidP="005B7022">
            <w:pPr>
              <w:spacing w:before="40" w:after="40"/>
              <w:jc w:val="both"/>
              <w:rPr>
                <w:rFonts w:ascii="Arial" w:hAnsi="Arial" w:cs="Arial"/>
                <w:sz w:val="20"/>
                <w:szCs w:val="20"/>
              </w:rPr>
            </w:pPr>
            <w:r w:rsidRPr="00D6089B">
              <w:rPr>
                <w:rFonts w:ascii="Arial" w:hAnsi="Arial" w:cs="Arial"/>
                <w:sz w:val="20"/>
                <w:szCs w:val="20"/>
              </w:rPr>
              <w:t xml:space="preserve">Student attendance rates, government schools, by Indigenous status, 2013 (per cent) </w:t>
            </w:r>
          </w:p>
        </w:tc>
      </w:tr>
      <w:tr w:rsidR="000842AC" w:rsidRPr="000842AC" w:rsidTr="000842AC">
        <w:tblPrEx>
          <w:tblLook w:val="04A0" w:firstRow="1" w:lastRow="0" w:firstColumn="1" w:lastColumn="0" w:noHBand="0" w:noVBand="1"/>
        </w:tblPrEx>
        <w:trPr>
          <w:gridBefore w:val="1"/>
          <w:wBefore w:w="108" w:type="dxa"/>
          <w:trHeight w:val="357"/>
        </w:trPr>
        <w:tc>
          <w:tcPr>
            <w:tcW w:w="1456" w:type="dxa"/>
            <w:tcBorders>
              <w:top w:val="nil"/>
              <w:left w:val="nil"/>
              <w:bottom w:val="nil"/>
              <w:right w:val="nil"/>
            </w:tcBorders>
            <w:shd w:val="clear" w:color="auto" w:fill="auto"/>
            <w:noWrap/>
            <w:hideMark/>
          </w:tcPr>
          <w:p w:rsidR="000842AC" w:rsidRPr="00D6089B" w:rsidRDefault="000842AC" w:rsidP="005B7022">
            <w:pPr>
              <w:spacing w:before="40" w:after="40"/>
              <w:rPr>
                <w:rFonts w:ascii="Arial" w:hAnsi="Arial" w:cs="Arial"/>
                <w:b/>
                <w:bCs/>
                <w:sz w:val="20"/>
                <w:szCs w:val="20"/>
              </w:rPr>
            </w:pPr>
            <w:r w:rsidRPr="00D6089B">
              <w:rPr>
                <w:rFonts w:ascii="Arial" w:hAnsi="Arial" w:cs="Arial"/>
                <w:b/>
                <w:bCs/>
                <w:sz w:val="20"/>
                <w:szCs w:val="20"/>
              </w:rPr>
              <w:t>Table 4A.199</w:t>
            </w:r>
          </w:p>
        </w:tc>
        <w:tc>
          <w:tcPr>
            <w:tcW w:w="7404" w:type="dxa"/>
            <w:gridSpan w:val="2"/>
            <w:tcBorders>
              <w:top w:val="nil"/>
              <w:left w:val="nil"/>
              <w:bottom w:val="nil"/>
              <w:right w:val="nil"/>
            </w:tcBorders>
            <w:shd w:val="clear" w:color="auto" w:fill="auto"/>
            <w:hideMark/>
          </w:tcPr>
          <w:p w:rsidR="000842AC" w:rsidRPr="00D6089B" w:rsidRDefault="000842AC" w:rsidP="005B7022">
            <w:pPr>
              <w:spacing w:before="40" w:after="40"/>
              <w:jc w:val="both"/>
              <w:rPr>
                <w:rFonts w:ascii="Arial" w:hAnsi="Arial" w:cs="Arial"/>
                <w:sz w:val="20"/>
                <w:szCs w:val="20"/>
              </w:rPr>
            </w:pPr>
            <w:r w:rsidRPr="00D6089B">
              <w:rPr>
                <w:rFonts w:ascii="Arial" w:hAnsi="Arial" w:cs="Arial"/>
                <w:sz w:val="20"/>
                <w:szCs w:val="20"/>
              </w:rPr>
              <w:t xml:space="preserve">Student attendance rates, independent schools, by sex, 2013 (per cent) </w:t>
            </w:r>
          </w:p>
        </w:tc>
      </w:tr>
      <w:tr w:rsidR="000842AC" w:rsidRPr="000842AC" w:rsidTr="000842AC">
        <w:tblPrEx>
          <w:tblLook w:val="04A0" w:firstRow="1" w:lastRow="0" w:firstColumn="1" w:lastColumn="0" w:noHBand="0" w:noVBand="1"/>
        </w:tblPrEx>
        <w:trPr>
          <w:gridBefore w:val="1"/>
          <w:wBefore w:w="108" w:type="dxa"/>
          <w:trHeight w:val="612"/>
        </w:trPr>
        <w:tc>
          <w:tcPr>
            <w:tcW w:w="1456" w:type="dxa"/>
            <w:tcBorders>
              <w:top w:val="nil"/>
              <w:left w:val="nil"/>
              <w:bottom w:val="nil"/>
              <w:right w:val="nil"/>
            </w:tcBorders>
            <w:shd w:val="clear" w:color="auto" w:fill="auto"/>
            <w:noWrap/>
            <w:hideMark/>
          </w:tcPr>
          <w:p w:rsidR="000842AC" w:rsidRPr="00D6089B" w:rsidRDefault="000842AC" w:rsidP="005B7022">
            <w:pPr>
              <w:spacing w:before="40" w:after="40"/>
              <w:rPr>
                <w:rFonts w:ascii="Arial" w:hAnsi="Arial" w:cs="Arial"/>
                <w:b/>
                <w:bCs/>
                <w:sz w:val="20"/>
                <w:szCs w:val="20"/>
              </w:rPr>
            </w:pPr>
            <w:r w:rsidRPr="00D6089B">
              <w:rPr>
                <w:rFonts w:ascii="Arial" w:hAnsi="Arial" w:cs="Arial"/>
                <w:b/>
                <w:bCs/>
                <w:sz w:val="20"/>
                <w:szCs w:val="20"/>
              </w:rPr>
              <w:t>Table 4A.200</w:t>
            </w:r>
          </w:p>
        </w:tc>
        <w:tc>
          <w:tcPr>
            <w:tcW w:w="7404" w:type="dxa"/>
            <w:gridSpan w:val="2"/>
            <w:tcBorders>
              <w:top w:val="nil"/>
              <w:left w:val="nil"/>
              <w:bottom w:val="nil"/>
              <w:right w:val="nil"/>
            </w:tcBorders>
            <w:shd w:val="clear" w:color="auto" w:fill="auto"/>
            <w:hideMark/>
          </w:tcPr>
          <w:p w:rsidR="000842AC" w:rsidRPr="00D6089B" w:rsidRDefault="000842AC" w:rsidP="005B7022">
            <w:pPr>
              <w:spacing w:before="40" w:after="40"/>
              <w:jc w:val="both"/>
              <w:rPr>
                <w:rFonts w:ascii="Arial" w:hAnsi="Arial" w:cs="Arial"/>
                <w:sz w:val="20"/>
                <w:szCs w:val="20"/>
              </w:rPr>
            </w:pPr>
            <w:r w:rsidRPr="00D6089B">
              <w:rPr>
                <w:rFonts w:ascii="Arial" w:hAnsi="Arial" w:cs="Arial"/>
                <w:sz w:val="20"/>
                <w:szCs w:val="20"/>
              </w:rPr>
              <w:t xml:space="preserve">Student attendance rates, independent schools, by Indigenous status, 2013 (per cent) </w:t>
            </w:r>
          </w:p>
        </w:tc>
      </w:tr>
      <w:tr w:rsidR="000842AC" w:rsidRPr="000842AC" w:rsidTr="000842AC">
        <w:tblPrEx>
          <w:tblLook w:val="04A0" w:firstRow="1" w:lastRow="0" w:firstColumn="1" w:lastColumn="0" w:noHBand="0" w:noVBand="1"/>
        </w:tblPrEx>
        <w:trPr>
          <w:gridBefore w:val="1"/>
          <w:wBefore w:w="108" w:type="dxa"/>
          <w:trHeight w:val="357"/>
        </w:trPr>
        <w:tc>
          <w:tcPr>
            <w:tcW w:w="1456" w:type="dxa"/>
            <w:tcBorders>
              <w:top w:val="nil"/>
              <w:left w:val="nil"/>
              <w:bottom w:val="nil"/>
              <w:right w:val="nil"/>
            </w:tcBorders>
            <w:shd w:val="clear" w:color="auto" w:fill="auto"/>
            <w:noWrap/>
            <w:hideMark/>
          </w:tcPr>
          <w:p w:rsidR="000842AC" w:rsidRPr="00D6089B" w:rsidRDefault="000842AC" w:rsidP="005B7022">
            <w:pPr>
              <w:spacing w:before="40" w:after="40"/>
              <w:rPr>
                <w:rFonts w:ascii="Arial" w:hAnsi="Arial" w:cs="Arial"/>
                <w:b/>
                <w:bCs/>
                <w:sz w:val="20"/>
                <w:szCs w:val="20"/>
              </w:rPr>
            </w:pPr>
            <w:r w:rsidRPr="00D6089B">
              <w:rPr>
                <w:rFonts w:ascii="Arial" w:hAnsi="Arial" w:cs="Arial"/>
                <w:b/>
                <w:bCs/>
                <w:sz w:val="20"/>
                <w:szCs w:val="20"/>
              </w:rPr>
              <w:t>Table 4A.201</w:t>
            </w:r>
          </w:p>
        </w:tc>
        <w:tc>
          <w:tcPr>
            <w:tcW w:w="7404" w:type="dxa"/>
            <w:gridSpan w:val="2"/>
            <w:tcBorders>
              <w:top w:val="nil"/>
              <w:left w:val="nil"/>
              <w:bottom w:val="nil"/>
              <w:right w:val="nil"/>
            </w:tcBorders>
            <w:shd w:val="clear" w:color="auto" w:fill="auto"/>
            <w:hideMark/>
          </w:tcPr>
          <w:p w:rsidR="000842AC" w:rsidRPr="00D6089B" w:rsidRDefault="000842AC" w:rsidP="005B7022">
            <w:pPr>
              <w:spacing w:before="40" w:after="40"/>
              <w:jc w:val="both"/>
              <w:rPr>
                <w:rFonts w:ascii="Arial" w:hAnsi="Arial" w:cs="Arial"/>
                <w:sz w:val="20"/>
                <w:szCs w:val="20"/>
              </w:rPr>
            </w:pPr>
            <w:r w:rsidRPr="00D6089B">
              <w:rPr>
                <w:rFonts w:ascii="Arial" w:hAnsi="Arial" w:cs="Arial"/>
                <w:sz w:val="20"/>
                <w:szCs w:val="20"/>
              </w:rPr>
              <w:t xml:space="preserve">Student attendance rates, Catholic schools, by sex, 2013 (per cent) </w:t>
            </w:r>
          </w:p>
        </w:tc>
      </w:tr>
      <w:tr w:rsidR="000842AC" w:rsidRPr="000842AC" w:rsidTr="000842AC">
        <w:tblPrEx>
          <w:tblLook w:val="04A0" w:firstRow="1" w:lastRow="0" w:firstColumn="1" w:lastColumn="0" w:noHBand="0" w:noVBand="1"/>
        </w:tblPrEx>
        <w:trPr>
          <w:gridBefore w:val="1"/>
          <w:wBefore w:w="108" w:type="dxa"/>
          <w:trHeight w:val="357"/>
        </w:trPr>
        <w:tc>
          <w:tcPr>
            <w:tcW w:w="1456" w:type="dxa"/>
            <w:tcBorders>
              <w:top w:val="nil"/>
              <w:left w:val="nil"/>
              <w:bottom w:val="nil"/>
              <w:right w:val="nil"/>
            </w:tcBorders>
            <w:shd w:val="clear" w:color="auto" w:fill="auto"/>
            <w:noWrap/>
            <w:hideMark/>
          </w:tcPr>
          <w:p w:rsidR="000842AC" w:rsidRPr="00D6089B" w:rsidRDefault="000842AC" w:rsidP="005B7022">
            <w:pPr>
              <w:spacing w:before="40" w:after="40"/>
              <w:rPr>
                <w:rFonts w:ascii="Arial" w:hAnsi="Arial" w:cs="Arial"/>
                <w:b/>
                <w:bCs/>
                <w:sz w:val="20"/>
                <w:szCs w:val="20"/>
              </w:rPr>
            </w:pPr>
            <w:r w:rsidRPr="00D6089B">
              <w:rPr>
                <w:rFonts w:ascii="Arial" w:hAnsi="Arial" w:cs="Arial"/>
                <w:b/>
                <w:bCs/>
                <w:sz w:val="20"/>
                <w:szCs w:val="20"/>
              </w:rPr>
              <w:t>Table 4A.202</w:t>
            </w:r>
          </w:p>
        </w:tc>
        <w:tc>
          <w:tcPr>
            <w:tcW w:w="7404" w:type="dxa"/>
            <w:gridSpan w:val="2"/>
            <w:tcBorders>
              <w:top w:val="nil"/>
              <w:left w:val="nil"/>
              <w:bottom w:val="nil"/>
              <w:right w:val="nil"/>
            </w:tcBorders>
            <w:shd w:val="clear" w:color="auto" w:fill="auto"/>
            <w:hideMark/>
          </w:tcPr>
          <w:p w:rsidR="000842AC" w:rsidRPr="00D6089B" w:rsidRDefault="000842AC" w:rsidP="005B7022">
            <w:pPr>
              <w:spacing w:before="40" w:after="40"/>
              <w:jc w:val="both"/>
              <w:rPr>
                <w:rFonts w:ascii="Arial" w:hAnsi="Arial" w:cs="Arial"/>
                <w:sz w:val="20"/>
                <w:szCs w:val="20"/>
              </w:rPr>
            </w:pPr>
            <w:r w:rsidRPr="00D6089B">
              <w:rPr>
                <w:rFonts w:ascii="Arial" w:hAnsi="Arial" w:cs="Arial"/>
                <w:sz w:val="20"/>
                <w:szCs w:val="20"/>
              </w:rPr>
              <w:t xml:space="preserve">Student attendance rates, Catholic schools, by Indigenous status, 2013 (per cent) </w:t>
            </w:r>
          </w:p>
        </w:tc>
      </w:tr>
    </w:tbl>
    <w:p w:rsidR="00666ECE" w:rsidRPr="00F848EE" w:rsidRDefault="00666ECE" w:rsidP="00F41385">
      <w:pPr>
        <w:pStyle w:val="Heading2"/>
        <w:spacing w:before="360"/>
      </w:pPr>
      <w:r w:rsidRPr="00666ECE">
        <w:br w:type="page"/>
      </w:r>
      <w:bookmarkStart w:id="32" w:name="_Toc405974312"/>
      <w:r w:rsidRPr="00F848EE">
        <w:lastRenderedPageBreak/>
        <w:t>4.8</w:t>
      </w:r>
      <w:r w:rsidRPr="00F848EE">
        <w:tab/>
        <w:t>References</w:t>
      </w:r>
      <w:bookmarkEnd w:id="32"/>
      <w:r w:rsidRPr="00F848EE">
        <w:t xml:space="preserve"> </w:t>
      </w:r>
    </w:p>
    <w:p w:rsidR="00666ECE" w:rsidRPr="00F848EE" w:rsidRDefault="00666ECE" w:rsidP="00666ECE">
      <w:pPr>
        <w:spacing w:before="120" w:line="320" w:lineRule="atLeast"/>
        <w:ind w:left="340" w:hanging="340"/>
        <w:jc w:val="both"/>
        <w:rPr>
          <w:szCs w:val="20"/>
        </w:rPr>
      </w:pPr>
      <w:r w:rsidRPr="00F848EE">
        <w:rPr>
          <w:szCs w:val="20"/>
        </w:rPr>
        <w:t>ABS (Australian Bureau of Statistics) 201</w:t>
      </w:r>
      <w:r w:rsidR="0030069A">
        <w:rPr>
          <w:szCs w:val="20"/>
        </w:rPr>
        <w:t>4</w:t>
      </w:r>
      <w:r w:rsidRPr="00F848EE">
        <w:rPr>
          <w:szCs w:val="20"/>
        </w:rPr>
        <w:t xml:space="preserve">, </w:t>
      </w:r>
      <w:r w:rsidRPr="00F848EE">
        <w:rPr>
          <w:i/>
          <w:szCs w:val="20"/>
        </w:rPr>
        <w:t>Schools Australia, 201</w:t>
      </w:r>
      <w:r w:rsidR="0030069A">
        <w:rPr>
          <w:i/>
          <w:szCs w:val="20"/>
        </w:rPr>
        <w:t>3</w:t>
      </w:r>
      <w:r w:rsidRPr="00F848EE">
        <w:rPr>
          <w:szCs w:val="20"/>
        </w:rPr>
        <w:t>, Cat. no. 4221.0, Canberra.</w:t>
      </w:r>
    </w:p>
    <w:p w:rsidR="00644F57" w:rsidRPr="003E2FC9" w:rsidRDefault="00666ECE" w:rsidP="00666ECE">
      <w:pPr>
        <w:spacing w:before="120" w:line="320" w:lineRule="atLeast"/>
        <w:ind w:left="340" w:hanging="340"/>
        <w:jc w:val="both"/>
        <w:rPr>
          <w:szCs w:val="20"/>
        </w:rPr>
      </w:pPr>
      <w:r w:rsidRPr="00F848EE">
        <w:rPr>
          <w:szCs w:val="20"/>
        </w:rPr>
        <w:t xml:space="preserve">ACARA (Australian Curriculum and Assessment Reporting Authority), </w:t>
      </w:r>
      <w:r w:rsidR="003E2FC9">
        <w:rPr>
          <w:szCs w:val="20"/>
        </w:rPr>
        <w:t>201</w:t>
      </w:r>
      <w:r w:rsidR="0030069A">
        <w:rPr>
          <w:szCs w:val="20"/>
        </w:rPr>
        <w:t>3</w:t>
      </w:r>
      <w:r w:rsidR="003E2FC9">
        <w:rPr>
          <w:szCs w:val="20"/>
        </w:rPr>
        <w:t xml:space="preserve">, </w:t>
      </w:r>
      <w:r w:rsidR="003E2FC9" w:rsidRPr="003E2FC9">
        <w:rPr>
          <w:i/>
          <w:iCs/>
          <w:szCs w:val="20"/>
        </w:rPr>
        <w:t>National Report on Schooling in Australia 201</w:t>
      </w:r>
      <w:r w:rsidR="0030069A">
        <w:rPr>
          <w:i/>
          <w:iCs/>
          <w:szCs w:val="20"/>
        </w:rPr>
        <w:t>1</w:t>
      </w:r>
      <w:r w:rsidR="003E2FC9">
        <w:rPr>
          <w:i/>
          <w:iCs/>
          <w:szCs w:val="20"/>
        </w:rPr>
        <w:t xml:space="preserve">, </w:t>
      </w:r>
      <w:r w:rsidR="003E2FC9" w:rsidRPr="003E2FC9">
        <w:rPr>
          <w:iCs/>
          <w:szCs w:val="20"/>
        </w:rPr>
        <w:t>Sydney</w:t>
      </w:r>
    </w:p>
    <w:p w:rsidR="00735213" w:rsidRPr="00F848EE" w:rsidRDefault="00735213" w:rsidP="00735213">
      <w:pPr>
        <w:shd w:val="clear" w:color="auto" w:fill="FFFFFF" w:themeFill="background1"/>
        <w:spacing w:before="120" w:line="320" w:lineRule="atLeast"/>
        <w:ind w:left="340" w:hanging="340"/>
        <w:jc w:val="both"/>
        <w:rPr>
          <w:szCs w:val="20"/>
        </w:rPr>
      </w:pPr>
      <w:r w:rsidRPr="0083461E">
        <w:rPr>
          <w:szCs w:val="20"/>
        </w:rPr>
        <w:t xml:space="preserve">—— </w:t>
      </w:r>
      <w:r w:rsidRPr="00F848EE">
        <w:rPr>
          <w:szCs w:val="20"/>
        </w:rPr>
        <w:t>201</w:t>
      </w:r>
      <w:r>
        <w:rPr>
          <w:szCs w:val="20"/>
        </w:rPr>
        <w:t>4a</w:t>
      </w:r>
      <w:r w:rsidRPr="00F848EE">
        <w:rPr>
          <w:szCs w:val="20"/>
        </w:rPr>
        <w:t xml:space="preserve">, </w:t>
      </w:r>
      <w:r w:rsidRPr="00F848EE">
        <w:rPr>
          <w:i/>
          <w:szCs w:val="20"/>
        </w:rPr>
        <w:t>National Assessment Program — Literacy and Numeracy Achievement in Reading, Writing, Language Conventions and Numeracy: National Report for 201</w:t>
      </w:r>
      <w:r>
        <w:rPr>
          <w:i/>
          <w:szCs w:val="20"/>
        </w:rPr>
        <w:t>4</w:t>
      </w:r>
      <w:r w:rsidRPr="00F848EE">
        <w:rPr>
          <w:i/>
          <w:szCs w:val="20"/>
        </w:rPr>
        <w:t>,</w:t>
      </w:r>
      <w:r w:rsidRPr="00F848EE">
        <w:rPr>
          <w:szCs w:val="20"/>
        </w:rPr>
        <w:t xml:space="preserve"> Sydney.</w:t>
      </w:r>
    </w:p>
    <w:p w:rsidR="0030069A" w:rsidRPr="0083461E" w:rsidRDefault="00644F57" w:rsidP="0030069A">
      <w:pPr>
        <w:spacing w:before="120" w:line="320" w:lineRule="atLeast"/>
        <w:ind w:left="340" w:hanging="340"/>
        <w:jc w:val="both"/>
        <w:rPr>
          <w:szCs w:val="20"/>
        </w:rPr>
      </w:pPr>
      <w:r w:rsidRPr="0083461E">
        <w:rPr>
          <w:szCs w:val="20"/>
        </w:rPr>
        <w:t xml:space="preserve">—— </w:t>
      </w:r>
      <w:r w:rsidR="0030069A">
        <w:rPr>
          <w:szCs w:val="20"/>
        </w:rPr>
        <w:t>2014</w:t>
      </w:r>
      <w:r w:rsidR="00735213">
        <w:rPr>
          <w:szCs w:val="20"/>
        </w:rPr>
        <w:t>b</w:t>
      </w:r>
      <w:r w:rsidR="0030069A">
        <w:rPr>
          <w:szCs w:val="20"/>
        </w:rPr>
        <w:t xml:space="preserve"> </w:t>
      </w:r>
      <w:r w:rsidR="0030069A" w:rsidRPr="0083461E">
        <w:rPr>
          <w:i/>
          <w:szCs w:val="20"/>
        </w:rPr>
        <w:t xml:space="preserve">National Assessment Program — </w:t>
      </w:r>
      <w:r w:rsidR="0030069A">
        <w:rPr>
          <w:i/>
          <w:szCs w:val="20"/>
        </w:rPr>
        <w:t>Civics and citizenship</w:t>
      </w:r>
      <w:r w:rsidR="0030069A" w:rsidRPr="0083461E">
        <w:rPr>
          <w:i/>
          <w:szCs w:val="20"/>
        </w:rPr>
        <w:t xml:space="preserve"> Year 6 </w:t>
      </w:r>
      <w:r w:rsidR="0030069A">
        <w:rPr>
          <w:i/>
          <w:szCs w:val="20"/>
        </w:rPr>
        <w:t xml:space="preserve">and 10 </w:t>
      </w:r>
      <w:r w:rsidR="0030069A" w:rsidRPr="0083461E">
        <w:rPr>
          <w:i/>
          <w:szCs w:val="20"/>
        </w:rPr>
        <w:t>Report 201</w:t>
      </w:r>
      <w:r w:rsidR="0030069A">
        <w:rPr>
          <w:i/>
          <w:szCs w:val="20"/>
        </w:rPr>
        <w:t>3</w:t>
      </w:r>
      <w:r w:rsidR="0030069A" w:rsidRPr="0083461E">
        <w:rPr>
          <w:i/>
          <w:szCs w:val="20"/>
        </w:rPr>
        <w:t xml:space="preserve">, </w:t>
      </w:r>
      <w:r w:rsidR="0030069A" w:rsidRPr="0083461E">
        <w:rPr>
          <w:szCs w:val="20"/>
        </w:rPr>
        <w:t>Sydney.</w:t>
      </w:r>
    </w:p>
    <w:p w:rsidR="00FC58DF" w:rsidRPr="00657F82" w:rsidRDefault="00666ECE" w:rsidP="007D6009">
      <w:pPr>
        <w:shd w:val="clear" w:color="auto" w:fill="FFFFFF" w:themeFill="background1"/>
        <w:spacing w:before="120" w:line="320" w:lineRule="atLeast"/>
        <w:ind w:left="340" w:hanging="340"/>
        <w:jc w:val="both"/>
        <w:rPr>
          <w:szCs w:val="20"/>
        </w:rPr>
      </w:pPr>
      <w:r w:rsidRPr="00657F82">
        <w:rPr>
          <w:szCs w:val="20"/>
        </w:rPr>
        <w:t xml:space="preserve">ACER (Australian Council for Educational Research), </w:t>
      </w:r>
      <w:r w:rsidR="00FC58DF" w:rsidRPr="00657F82">
        <w:rPr>
          <w:szCs w:val="20"/>
        </w:rPr>
        <w:t xml:space="preserve">2012a, </w:t>
      </w:r>
      <w:r w:rsidR="00EC06F7" w:rsidRPr="00657F82">
        <w:rPr>
          <w:i/>
          <w:szCs w:val="20"/>
        </w:rPr>
        <w:t>Preparing Australian Students for the Digital World: Results from the PISA 2009 Digital Reading Literacy Assessment</w:t>
      </w:r>
      <w:r w:rsidR="00EC06F7" w:rsidRPr="00657F82">
        <w:rPr>
          <w:szCs w:val="20"/>
        </w:rPr>
        <w:t xml:space="preserve"> </w:t>
      </w:r>
      <w:r w:rsidR="00804A23" w:rsidRPr="00963842">
        <w:rPr>
          <w:szCs w:val="20"/>
        </w:rPr>
        <w:t>http://www.acer.edu.au/documents/PISA2009_PreparingAustralianStudents</w:t>
      </w:r>
      <w:r w:rsidR="00804A23" w:rsidRPr="00963842">
        <w:rPr>
          <w:szCs w:val="20"/>
        </w:rPr>
        <w:br/>
        <w:t>ForTheDigitalWorld.pdf</w:t>
      </w:r>
      <w:r w:rsidR="00EC06F7" w:rsidRPr="00657F82">
        <w:rPr>
          <w:szCs w:val="20"/>
        </w:rPr>
        <w:t xml:space="preserve"> accessed 21 November 2012 </w:t>
      </w:r>
    </w:p>
    <w:p w:rsidR="00EC06F7" w:rsidRPr="00657F82" w:rsidRDefault="00564B80" w:rsidP="007D6009">
      <w:pPr>
        <w:shd w:val="clear" w:color="auto" w:fill="FFFFFF" w:themeFill="background1"/>
        <w:spacing w:before="120" w:line="320" w:lineRule="atLeast"/>
        <w:ind w:left="340" w:hanging="340"/>
        <w:jc w:val="both"/>
        <w:rPr>
          <w:szCs w:val="20"/>
        </w:rPr>
      </w:pPr>
      <w:r w:rsidRPr="00657F82">
        <w:rPr>
          <w:szCs w:val="20"/>
        </w:rPr>
        <w:t>——</w:t>
      </w:r>
      <w:r w:rsidR="009B6671" w:rsidRPr="00657F82">
        <w:rPr>
          <w:szCs w:val="20"/>
        </w:rPr>
        <w:t xml:space="preserve"> </w:t>
      </w:r>
      <w:r w:rsidRPr="00657F82">
        <w:rPr>
          <w:szCs w:val="20"/>
        </w:rPr>
        <w:t>2012</w:t>
      </w:r>
      <w:r w:rsidR="00FC58DF" w:rsidRPr="00657F82">
        <w:rPr>
          <w:szCs w:val="20"/>
        </w:rPr>
        <w:t>b</w:t>
      </w:r>
      <w:r w:rsidR="009B6671" w:rsidRPr="00657F82">
        <w:rPr>
          <w:szCs w:val="20"/>
        </w:rPr>
        <w:t xml:space="preserve">, </w:t>
      </w:r>
      <w:r w:rsidR="00EC06F7" w:rsidRPr="00657F82">
        <w:rPr>
          <w:bCs/>
          <w:i/>
          <w:szCs w:val="20"/>
        </w:rPr>
        <w:t xml:space="preserve">Highlights from TIMSS &amp; PIRLS 2011 </w:t>
      </w:r>
      <w:r w:rsidR="00EC06F7" w:rsidRPr="00657F82">
        <w:rPr>
          <w:i/>
          <w:szCs w:val="20"/>
        </w:rPr>
        <w:t xml:space="preserve">from Australia’s perspective </w:t>
      </w:r>
      <w:r w:rsidR="00EC06F7" w:rsidRPr="00963842">
        <w:rPr>
          <w:szCs w:val="20"/>
        </w:rPr>
        <w:t>http://www.acer.edu.au/documents/TIMSS-PIRLS_Australian-Highlights.pdf</w:t>
      </w:r>
      <w:r w:rsidR="00EC06F7" w:rsidRPr="00657F82">
        <w:rPr>
          <w:szCs w:val="20"/>
        </w:rPr>
        <w:t xml:space="preserve"> accessed 12 December 2012</w:t>
      </w:r>
      <w:r w:rsidR="007D6009">
        <w:rPr>
          <w:szCs w:val="20"/>
        </w:rPr>
        <w:t xml:space="preserve"> </w:t>
      </w:r>
    </w:p>
    <w:p w:rsidR="00F96D38" w:rsidRPr="007D6009" w:rsidRDefault="00F96D38" w:rsidP="007D6009">
      <w:pPr>
        <w:shd w:val="clear" w:color="auto" w:fill="FFFFFF" w:themeFill="background1"/>
        <w:spacing w:before="120" w:line="320" w:lineRule="atLeast"/>
        <w:ind w:left="340" w:hanging="340"/>
        <w:jc w:val="both"/>
        <w:rPr>
          <w:szCs w:val="20"/>
        </w:rPr>
      </w:pPr>
      <w:r w:rsidRPr="00657F82">
        <w:rPr>
          <w:szCs w:val="20"/>
        </w:rPr>
        <w:t xml:space="preserve">—— 2013, </w:t>
      </w:r>
      <w:r w:rsidRPr="007D6009">
        <w:rPr>
          <w:i/>
          <w:szCs w:val="20"/>
        </w:rPr>
        <w:t>PISA in Brief –Highlights from the full Australian Report: Challenges for Australian Education: Results from PISA 2012</w:t>
      </w:r>
      <w:r w:rsidRPr="007D6009">
        <w:rPr>
          <w:szCs w:val="20"/>
        </w:rPr>
        <w:t>, Melbourne.</w:t>
      </w:r>
    </w:p>
    <w:p w:rsidR="00DB7D8A" w:rsidRPr="007D6009" w:rsidRDefault="00DB7D8A" w:rsidP="007D6009">
      <w:pPr>
        <w:pStyle w:val="Reference"/>
        <w:shd w:val="clear" w:color="auto" w:fill="FFFFFF" w:themeFill="background1"/>
      </w:pPr>
      <w:r w:rsidRPr="007D6009">
        <w:rPr>
          <w:shd w:val="clear" w:color="auto" w:fill="FFFFFF" w:themeFill="background1"/>
        </w:rPr>
        <w:t>—— 2014a,</w:t>
      </w:r>
      <w:r w:rsidR="00804A23" w:rsidRPr="007D6009">
        <w:rPr>
          <w:shd w:val="clear" w:color="auto" w:fill="FFFFFF" w:themeFill="background1"/>
        </w:rPr>
        <w:t xml:space="preserve"> </w:t>
      </w:r>
      <w:r w:rsidR="00363AD8" w:rsidRPr="007D6009">
        <w:rPr>
          <w:i/>
          <w:shd w:val="clear" w:color="auto" w:fill="FFFFFF" w:themeFill="background1"/>
        </w:rPr>
        <w:t>ICILS 2013: Australian students’ readiness for study, work and</w:t>
      </w:r>
      <w:r w:rsidR="006B2F36" w:rsidRPr="007D6009">
        <w:rPr>
          <w:i/>
          <w:shd w:val="clear" w:color="auto" w:fill="FFFFFF" w:themeFill="background1"/>
        </w:rPr>
        <w:t xml:space="preserve"> </w:t>
      </w:r>
      <w:r w:rsidR="00363AD8" w:rsidRPr="007D6009">
        <w:rPr>
          <w:i/>
          <w:shd w:val="clear" w:color="auto" w:fill="FFFFFF" w:themeFill="background1"/>
        </w:rPr>
        <w:t>life in the digital age</w:t>
      </w:r>
      <w:r w:rsidR="006B2F36" w:rsidRPr="007D6009">
        <w:rPr>
          <w:shd w:val="clear" w:color="auto" w:fill="FFFFFF" w:themeFill="background1"/>
        </w:rPr>
        <w:t>, Melbourne.</w:t>
      </w:r>
    </w:p>
    <w:p w:rsidR="00DB7D8A" w:rsidRPr="00657F82" w:rsidRDefault="00DB7D8A" w:rsidP="007D6009">
      <w:pPr>
        <w:shd w:val="clear" w:color="auto" w:fill="FFFFFF" w:themeFill="background1"/>
        <w:spacing w:before="120" w:line="320" w:lineRule="atLeast"/>
        <w:ind w:left="340" w:hanging="340"/>
        <w:jc w:val="both"/>
        <w:rPr>
          <w:szCs w:val="20"/>
        </w:rPr>
      </w:pPr>
      <w:r w:rsidRPr="007D6009">
        <w:rPr>
          <w:szCs w:val="20"/>
        </w:rPr>
        <w:t>—— 2014b,</w:t>
      </w:r>
      <w:r w:rsidR="00804A23" w:rsidRPr="007D6009">
        <w:rPr>
          <w:szCs w:val="20"/>
        </w:rPr>
        <w:t xml:space="preserve"> </w:t>
      </w:r>
      <w:r w:rsidR="00804A23" w:rsidRPr="007D6009">
        <w:rPr>
          <w:i/>
          <w:iCs/>
          <w:szCs w:val="20"/>
        </w:rPr>
        <w:t xml:space="preserve">Financing the future: </w:t>
      </w:r>
      <w:r w:rsidR="00804A23" w:rsidRPr="007D6009">
        <w:rPr>
          <w:i/>
          <w:szCs w:val="20"/>
        </w:rPr>
        <w:t>Australian</w:t>
      </w:r>
      <w:r w:rsidR="00804A23" w:rsidRPr="00657F82">
        <w:rPr>
          <w:i/>
          <w:szCs w:val="20"/>
        </w:rPr>
        <w:t xml:space="preserve"> students’ results in the PISA 2012 Financial Literacy assessment,</w:t>
      </w:r>
      <w:r w:rsidR="00804A23" w:rsidRPr="00657F82">
        <w:rPr>
          <w:szCs w:val="20"/>
        </w:rPr>
        <w:t xml:space="preserve"> Melbourne.</w:t>
      </w:r>
    </w:p>
    <w:p w:rsidR="00804A23" w:rsidRPr="00657F82" w:rsidRDefault="00804A23" w:rsidP="007D6009">
      <w:pPr>
        <w:shd w:val="clear" w:color="auto" w:fill="FFFFFF" w:themeFill="background1"/>
        <w:spacing w:before="120" w:line="320" w:lineRule="atLeast"/>
        <w:ind w:left="340" w:hanging="340"/>
        <w:jc w:val="both"/>
        <w:rPr>
          <w:szCs w:val="20"/>
        </w:rPr>
      </w:pPr>
      <w:r w:rsidRPr="00657F82">
        <w:rPr>
          <w:szCs w:val="20"/>
        </w:rPr>
        <w:t xml:space="preserve">—— 2014c, </w:t>
      </w:r>
      <w:r w:rsidRPr="00657F82">
        <w:rPr>
          <w:i/>
          <w:iCs/>
          <w:szCs w:val="20"/>
        </w:rPr>
        <w:t>Thinking it through: Australian students’ skills in creative problem solving</w:t>
      </w:r>
      <w:r w:rsidRPr="00657F82">
        <w:rPr>
          <w:i/>
          <w:szCs w:val="20"/>
        </w:rPr>
        <w:t>,</w:t>
      </w:r>
      <w:r w:rsidRPr="00657F82">
        <w:rPr>
          <w:szCs w:val="20"/>
        </w:rPr>
        <w:t xml:space="preserve"> Melbourne.</w:t>
      </w:r>
    </w:p>
    <w:p w:rsidR="00735213" w:rsidRPr="00F848EE" w:rsidRDefault="00666ECE" w:rsidP="00735213">
      <w:pPr>
        <w:spacing w:before="120" w:line="320" w:lineRule="atLeast"/>
        <w:ind w:left="340" w:hanging="340"/>
        <w:jc w:val="both"/>
        <w:rPr>
          <w:szCs w:val="20"/>
        </w:rPr>
      </w:pPr>
      <w:r w:rsidRPr="00F848EE">
        <w:rPr>
          <w:szCs w:val="20"/>
        </w:rPr>
        <w:t xml:space="preserve">MCEETYA (Ministerial Council on Education, Employment, Training and Youth Affairs) </w:t>
      </w:r>
      <w:r w:rsidR="00735213" w:rsidRPr="00F848EE">
        <w:rPr>
          <w:szCs w:val="20"/>
        </w:rPr>
        <w:t>2008, Melbourne Declaration on Educational Goals for Young Australians, Melbourne, www.mceecdya.edu.au/mceecdya/melbourne_declaration,25979.html (accessed 10 December 2010).</w:t>
      </w:r>
    </w:p>
    <w:p w:rsidR="00666ECE" w:rsidRPr="00F848EE" w:rsidRDefault="00666ECE" w:rsidP="00666ECE">
      <w:pPr>
        <w:spacing w:before="120" w:line="320" w:lineRule="atLeast"/>
        <w:ind w:left="340" w:hanging="340"/>
        <w:jc w:val="both"/>
        <w:rPr>
          <w:szCs w:val="20"/>
        </w:rPr>
      </w:pPr>
      <w:r w:rsidRPr="00F848EE">
        <w:rPr>
          <w:szCs w:val="20"/>
        </w:rPr>
        <w:t>NCVER (National Council for Vocational Education and Research) 20</w:t>
      </w:r>
      <w:r w:rsidR="00742BA6" w:rsidRPr="00F848EE">
        <w:rPr>
          <w:szCs w:val="20"/>
        </w:rPr>
        <w:t>1</w:t>
      </w:r>
      <w:r w:rsidR="0030069A">
        <w:rPr>
          <w:szCs w:val="20"/>
        </w:rPr>
        <w:t>3</w:t>
      </w:r>
      <w:r w:rsidRPr="00F848EE">
        <w:rPr>
          <w:szCs w:val="20"/>
        </w:rPr>
        <w:t xml:space="preserve">, </w:t>
      </w:r>
      <w:r w:rsidRPr="00F848EE">
        <w:rPr>
          <w:i/>
          <w:szCs w:val="20"/>
        </w:rPr>
        <w:t>Australian Vocational education and training statistics: Young people in education and training</w:t>
      </w:r>
      <w:r w:rsidR="00F848EE" w:rsidRPr="00F848EE">
        <w:rPr>
          <w:i/>
          <w:szCs w:val="20"/>
        </w:rPr>
        <w:t xml:space="preserve"> 201</w:t>
      </w:r>
      <w:r w:rsidR="0030069A">
        <w:rPr>
          <w:i/>
          <w:szCs w:val="20"/>
        </w:rPr>
        <w:t>2</w:t>
      </w:r>
      <w:r w:rsidRPr="00F848EE">
        <w:rPr>
          <w:i/>
          <w:szCs w:val="20"/>
        </w:rPr>
        <w:t xml:space="preserve">, </w:t>
      </w:r>
      <w:r w:rsidRPr="00F848EE">
        <w:rPr>
          <w:szCs w:val="20"/>
        </w:rPr>
        <w:t>Adelaide.</w:t>
      </w:r>
    </w:p>
    <w:sectPr w:rsidR="00666ECE" w:rsidRPr="00F848EE" w:rsidSect="004F724D">
      <w:headerReference w:type="even" r:id="rId53"/>
      <w:headerReference w:type="default" r:id="rId54"/>
      <w:footerReference w:type="even" r:id="rId55"/>
      <w:footerReference w:type="default" r:id="rId56"/>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45FF" w:rsidRDefault="00B945FF">
      <w:r>
        <w:separator/>
      </w:r>
    </w:p>
  </w:endnote>
  <w:endnote w:type="continuationSeparator" w:id="0">
    <w:p w:rsidR="00B945FF" w:rsidRDefault="00B9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945FF" w:rsidTr="00354E9A">
      <w:trPr>
        <w:trHeight w:hRule="exact" w:val="567"/>
      </w:trPr>
      <w:tc>
        <w:tcPr>
          <w:tcW w:w="510" w:type="dxa"/>
        </w:tcPr>
        <w:p w:rsidR="00B945FF" w:rsidRPr="00A24443" w:rsidRDefault="00B945FF" w:rsidP="0019293B">
          <w:pPr>
            <w:pStyle w:val="Footer"/>
            <w:tabs>
              <w:tab w:val="left" w:pos="0"/>
            </w:tabs>
            <w:ind w:right="0"/>
            <w:rPr>
              <w:rStyle w:val="PageNumber"/>
              <w:caps w:val="0"/>
            </w:rPr>
          </w:pPr>
          <w:r>
            <w:rPr>
              <w:rStyle w:val="PageNumber"/>
              <w:caps w:val="0"/>
            </w:rPr>
            <w:t>4.</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9E17E7">
            <w:rPr>
              <w:rStyle w:val="PageNumber"/>
              <w:caps w:val="0"/>
              <w:noProof/>
            </w:rPr>
            <w:t>102</w:t>
          </w:r>
          <w:r w:rsidRPr="00A24443">
            <w:rPr>
              <w:rStyle w:val="PageNumber"/>
              <w:caps w:val="0"/>
            </w:rPr>
            <w:fldChar w:fldCharType="end"/>
          </w:r>
        </w:p>
      </w:tc>
      <w:tc>
        <w:tcPr>
          <w:tcW w:w="7767" w:type="dxa"/>
        </w:tcPr>
        <w:p w:rsidR="00B945FF" w:rsidRPr="0013739A" w:rsidRDefault="00B945FF" w:rsidP="000E4798">
          <w:pPr>
            <w:pStyle w:val="Footer"/>
            <w:rPr>
              <w:rFonts w:cs="Arial"/>
            </w:rPr>
          </w:pPr>
          <w:r>
            <w:rPr>
              <w:rFonts w:cs="Arial"/>
            </w:rPr>
            <w:t>Report on Government Services 2015</w:t>
          </w:r>
        </w:p>
      </w:tc>
      <w:tc>
        <w:tcPr>
          <w:tcW w:w="510" w:type="dxa"/>
        </w:tcPr>
        <w:p w:rsidR="00B945FF" w:rsidRDefault="00B945FF" w:rsidP="0019293B">
          <w:pPr>
            <w:pStyle w:val="Footer"/>
          </w:pPr>
        </w:p>
      </w:tc>
    </w:tr>
  </w:tbl>
  <w:p w:rsidR="00B945FF" w:rsidRDefault="00B945FF" w:rsidP="0019293B">
    <w:pPr>
      <w:pStyle w:val="FooterEnd"/>
    </w:pPr>
  </w:p>
  <w:p w:rsidR="00B945FF" w:rsidRDefault="00B945FF"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945FF" w:rsidTr="00354E9A">
      <w:trPr>
        <w:trHeight w:hRule="exact" w:val="567"/>
      </w:trPr>
      <w:tc>
        <w:tcPr>
          <w:tcW w:w="510" w:type="dxa"/>
        </w:tcPr>
        <w:p w:rsidR="00B945FF" w:rsidRDefault="00B945FF">
          <w:pPr>
            <w:pStyle w:val="Footer"/>
            <w:ind w:right="360" w:firstLine="360"/>
          </w:pPr>
        </w:p>
      </w:tc>
      <w:tc>
        <w:tcPr>
          <w:tcW w:w="7767" w:type="dxa"/>
        </w:tcPr>
        <w:p w:rsidR="00B945FF" w:rsidRPr="00BA5B14" w:rsidRDefault="00B945FF" w:rsidP="00354E9A">
          <w:pPr>
            <w:pStyle w:val="Footer"/>
            <w:jc w:val="right"/>
            <w:rPr>
              <w:rFonts w:cs="Arial"/>
            </w:rPr>
          </w:pPr>
          <w:r>
            <w:rPr>
              <w:rFonts w:cs="Arial"/>
            </w:rPr>
            <w:t>School education</w:t>
          </w:r>
        </w:p>
      </w:tc>
      <w:tc>
        <w:tcPr>
          <w:tcW w:w="510" w:type="dxa"/>
        </w:tcPr>
        <w:p w:rsidR="00B945FF" w:rsidRPr="00A24443" w:rsidRDefault="00B945FF">
          <w:pPr>
            <w:pStyle w:val="Footer"/>
            <w:jc w:val="right"/>
            <w:rPr>
              <w:caps w:val="0"/>
            </w:rPr>
          </w:pPr>
          <w:r>
            <w:rPr>
              <w:rStyle w:val="PageNumber"/>
              <w:caps w:val="0"/>
            </w:rPr>
            <w:t>4.</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5B78E8">
            <w:rPr>
              <w:rStyle w:val="PageNumber"/>
              <w:caps w:val="0"/>
              <w:noProof/>
            </w:rPr>
            <w:t>101</w:t>
          </w:r>
          <w:r w:rsidRPr="00A24443">
            <w:rPr>
              <w:rStyle w:val="PageNumber"/>
              <w:caps w:val="0"/>
            </w:rPr>
            <w:fldChar w:fldCharType="end"/>
          </w:r>
        </w:p>
      </w:tc>
    </w:tr>
  </w:tbl>
  <w:p w:rsidR="00B945FF" w:rsidRDefault="00B945FF">
    <w:pPr>
      <w:pStyle w:val="FooterEnd"/>
    </w:pPr>
  </w:p>
  <w:p w:rsidR="00B945FF" w:rsidRDefault="00B945FF">
    <w:pPr>
      <w:pStyle w:val="FooterEnd"/>
    </w:pPr>
    <w:bookmarkStart w:id="33" w:name="DraftReportEven"/>
    <w:bookmarkEnd w:id="33"/>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45FF" w:rsidRDefault="00B945FF">
      <w:r>
        <w:separator/>
      </w:r>
    </w:p>
  </w:footnote>
  <w:footnote w:type="continuationSeparator" w:id="0">
    <w:p w:rsidR="00B945FF" w:rsidRDefault="00B945FF">
      <w:r>
        <w:continuationSeparator/>
      </w:r>
    </w:p>
  </w:footnote>
  <w:footnote w:id="1">
    <w:p w:rsidR="00B945FF" w:rsidRPr="004C4358" w:rsidRDefault="00B945FF" w:rsidP="00666ECE">
      <w:pPr>
        <w:pStyle w:val="FootnoteText"/>
      </w:pPr>
      <w:r>
        <w:rPr>
          <w:rStyle w:val="FootnoteReference"/>
        </w:rPr>
        <w:footnoteRef/>
      </w:r>
      <w:r>
        <w:tab/>
      </w:r>
      <w:r w:rsidRPr="000E6F59">
        <w:t>Following agreement by the Council of Australian Governments (</w:t>
      </w:r>
      <w:proofErr w:type="spellStart"/>
      <w:r w:rsidRPr="000E6F59">
        <w:t>COAG</w:t>
      </w:r>
      <w:proofErr w:type="spellEnd"/>
      <w:r w:rsidRPr="000E6F59">
        <w:t xml:space="preserve">), in </w:t>
      </w:r>
      <w:r>
        <w:t xml:space="preserve">2014 </w:t>
      </w:r>
      <w:r w:rsidRPr="000E6F59">
        <w:t xml:space="preserve">the </w:t>
      </w:r>
      <w:r>
        <w:t xml:space="preserve">Education Council replaced the </w:t>
      </w:r>
      <w:r w:rsidRPr="000E6F59">
        <w:t>Standing Council for School Education and Early Childhood (</w:t>
      </w:r>
      <w:proofErr w:type="spellStart"/>
      <w:r w:rsidRPr="000E6F59">
        <w:t>SCSEEC</w:t>
      </w:r>
      <w:proofErr w:type="spellEnd"/>
      <w:r w:rsidRPr="000E6F59">
        <w:t xml:space="preserve">) </w:t>
      </w:r>
      <w:r>
        <w:t xml:space="preserve">(formerly </w:t>
      </w:r>
      <w:r w:rsidRPr="000E6F59">
        <w:t>the Ministerial Council for Education, Early Childhood Developm</w:t>
      </w:r>
      <w:r>
        <w:t>ent and Youth Affairs [</w:t>
      </w:r>
      <w:proofErr w:type="spellStart"/>
      <w:r>
        <w:t>MCEECDYA</w:t>
      </w:r>
      <w:proofErr w:type="spellEnd"/>
      <w:r>
        <w:t>])</w:t>
      </w:r>
      <w:r w:rsidRPr="000E6F59">
        <w:t>.</w:t>
      </w:r>
    </w:p>
  </w:footnote>
  <w:footnote w:id="2">
    <w:p w:rsidR="00B945FF" w:rsidRDefault="00B945FF" w:rsidP="00817F8F">
      <w:pPr>
        <w:pStyle w:val="FootnoteText"/>
      </w:pPr>
      <w:r>
        <w:rPr>
          <w:rStyle w:val="FootnoteReference"/>
        </w:rPr>
        <w:footnoteRef/>
      </w:r>
      <w:r>
        <w:t xml:space="preserve"> </w:t>
      </w:r>
      <w:r w:rsidRPr="00B81661">
        <w:t xml:space="preserve">To investigate the possibility that these data may understate the proportion of students in remote areas as a result of relying on school location rather than students’ home location, the 2001 </w:t>
      </w:r>
      <w:proofErr w:type="spellStart"/>
      <w:r w:rsidRPr="00B81661">
        <w:t>MCEETYA</w:t>
      </w:r>
      <w:proofErr w:type="spellEnd"/>
      <w:r w:rsidRPr="00B81661">
        <w:t xml:space="preserve"> data were compared with data derived from the 2001 Census. The two data sets were found to be similar, except that Tasmania had about one third more remote area students in the Census data. This result may be indicative for the data</w:t>
      </w:r>
      <w:r>
        <w:t xml:space="preserve"> in this Report</w:t>
      </w:r>
      <w:r w:rsidRPr="00B81661">
        <w:t>.</w:t>
      </w:r>
    </w:p>
  </w:footnote>
  <w:footnote w:id="3">
    <w:p w:rsidR="00B945FF" w:rsidRDefault="00B945FF" w:rsidP="00817F8F">
      <w:pPr>
        <w:pStyle w:val="FootnoteText"/>
      </w:pPr>
      <w:r>
        <w:rPr>
          <w:rStyle w:val="FootnoteReference"/>
        </w:rPr>
        <w:footnoteRef/>
      </w:r>
      <w:r>
        <w:t xml:space="preserve"> </w:t>
      </w:r>
      <w:r w:rsidRPr="00E65701">
        <w:t>The Melbourne Declaration replaced the Adelaide Declaration (</w:t>
      </w:r>
      <w:proofErr w:type="spellStart"/>
      <w:r w:rsidRPr="00E65701">
        <w:t>MCEETYA</w:t>
      </w:r>
      <w:proofErr w:type="spellEnd"/>
      <w:r w:rsidRPr="00E65701">
        <w:t xml:space="preserve"> 1999), released in 1999. Some years of data reported in this chapter coincide with the operation of the Adelaide Declaration. However, the performance indicators reported are consistent with both the Adelaide and Melbourne Declarations.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945FF" w:rsidTr="00DE5FA9">
      <w:tc>
        <w:tcPr>
          <w:tcW w:w="2155" w:type="dxa"/>
          <w:tcBorders>
            <w:top w:val="single" w:sz="24" w:space="0" w:color="auto"/>
          </w:tcBorders>
        </w:tcPr>
        <w:p w:rsidR="00B945FF" w:rsidRDefault="00B945FF" w:rsidP="00DE5FA9">
          <w:pPr>
            <w:pStyle w:val="HeaderEven"/>
          </w:pPr>
        </w:p>
      </w:tc>
      <w:tc>
        <w:tcPr>
          <w:tcW w:w="6634" w:type="dxa"/>
          <w:tcBorders>
            <w:top w:val="single" w:sz="6" w:space="0" w:color="auto"/>
          </w:tcBorders>
        </w:tcPr>
        <w:p w:rsidR="00B945FF" w:rsidRDefault="00B945FF" w:rsidP="00DE5FA9">
          <w:pPr>
            <w:pStyle w:val="HeaderEven"/>
            <w:jc w:val="right"/>
          </w:pPr>
        </w:p>
      </w:tc>
    </w:tr>
  </w:tbl>
  <w:p w:rsidR="00B945FF" w:rsidRDefault="00B945FF" w:rsidP="00E82F8E">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945FF">
      <w:tc>
        <w:tcPr>
          <w:tcW w:w="6634" w:type="dxa"/>
          <w:tcBorders>
            <w:top w:val="single" w:sz="6" w:space="0" w:color="auto"/>
          </w:tcBorders>
        </w:tcPr>
        <w:p w:rsidR="00B945FF" w:rsidRDefault="00B945FF" w:rsidP="00E669E2">
          <w:pPr>
            <w:pStyle w:val="HeaderOdd"/>
          </w:pPr>
        </w:p>
      </w:tc>
      <w:tc>
        <w:tcPr>
          <w:tcW w:w="2155" w:type="dxa"/>
          <w:tcBorders>
            <w:top w:val="single" w:sz="24" w:space="0" w:color="auto"/>
          </w:tcBorders>
        </w:tcPr>
        <w:p w:rsidR="00B945FF" w:rsidRDefault="00B945FF" w:rsidP="00E669E2">
          <w:pPr>
            <w:pStyle w:val="HeaderOdd"/>
          </w:pPr>
        </w:p>
      </w:tc>
    </w:tr>
  </w:tbl>
  <w:p w:rsidR="00B945FF" w:rsidRDefault="00B945FF"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2EA8195B"/>
    <w:multiLevelType w:val="multilevel"/>
    <w:tmpl w:val="646E295C"/>
    <w:lvl w:ilvl="0">
      <w:start w:val="4"/>
      <w:numFmt w:val="decimal"/>
      <w:lvlText w:val="%1"/>
      <w:lvlJc w:val="left"/>
      <w:pPr>
        <w:tabs>
          <w:tab w:val="num" w:pos="1260"/>
        </w:tabs>
        <w:ind w:left="1260" w:hanging="900"/>
      </w:pPr>
      <w:rPr>
        <w:rFonts w:hint="default"/>
      </w:rPr>
    </w:lvl>
    <w:lvl w:ilvl="1">
      <w:start w:val="1"/>
      <w:numFmt w:val="decimal"/>
      <w:isLgl/>
      <w:lvlText w:val="%1.%2"/>
      <w:lvlJc w:val="left"/>
      <w:pPr>
        <w:tabs>
          <w:tab w:val="num" w:pos="1260"/>
        </w:tabs>
        <w:ind w:left="1260" w:hanging="900"/>
      </w:pPr>
      <w:rPr>
        <w:rFonts w:hint="default"/>
      </w:rPr>
    </w:lvl>
    <w:lvl w:ilvl="2">
      <w:start w:val="1"/>
      <w:numFmt w:val="decimal"/>
      <w:isLgl/>
      <w:lvlText w:val="%1.%2.%3"/>
      <w:lvlJc w:val="left"/>
      <w:pPr>
        <w:tabs>
          <w:tab w:val="num" w:pos="1260"/>
        </w:tabs>
        <w:ind w:left="1260" w:hanging="90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2160"/>
        </w:tabs>
        <w:ind w:left="2160" w:hanging="180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880"/>
        </w:tabs>
        <w:ind w:left="2880" w:hanging="2520"/>
      </w:pPr>
      <w:rPr>
        <w:rFonts w:hint="default"/>
      </w:r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34EF66DB"/>
    <w:multiLevelType w:val="hybridMultilevel"/>
    <w:tmpl w:val="561CE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3D826A45"/>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E7B1625"/>
    <w:multiLevelType w:val="multilevel"/>
    <w:tmpl w:val="8188D0B6"/>
    <w:lvl w:ilvl="0">
      <w:start w:val="4"/>
      <w:numFmt w:val="decimal"/>
      <w:lvlText w:val="%1"/>
      <w:lvlJc w:val="left"/>
      <w:pPr>
        <w:tabs>
          <w:tab w:val="num" w:pos="450"/>
        </w:tabs>
        <w:ind w:left="450" w:hanging="45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7">
    <w:nsid w:val="50C7225E"/>
    <w:multiLevelType w:val="multilevel"/>
    <w:tmpl w:val="4718C2C4"/>
    <w:lvl w:ilvl="0">
      <w:start w:val="4"/>
      <w:numFmt w:val="decimal"/>
      <w:lvlText w:val="%1"/>
      <w:lvlJc w:val="left"/>
      <w:pPr>
        <w:tabs>
          <w:tab w:val="num" w:pos="900"/>
        </w:tabs>
        <w:ind w:left="900" w:hanging="900"/>
      </w:pPr>
      <w:rPr>
        <w:rFonts w:hint="default"/>
      </w:rPr>
    </w:lvl>
    <w:lvl w:ilvl="1">
      <w:start w:val="1"/>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5B7F684F"/>
    <w:multiLevelType w:val="multilevel"/>
    <w:tmpl w:val="CC207A18"/>
    <w:lvl w:ilvl="0">
      <w:start w:val="4"/>
      <w:numFmt w:val="decimal"/>
      <w:lvlText w:val="%1"/>
      <w:lvlJc w:val="left"/>
      <w:pPr>
        <w:tabs>
          <w:tab w:val="num" w:pos="900"/>
        </w:tabs>
        <w:ind w:left="900" w:hanging="900"/>
      </w:pPr>
      <w:rPr>
        <w:rFonts w:hint="default"/>
      </w:rPr>
    </w:lvl>
    <w:lvl w:ilvl="1">
      <w:start w:val="4"/>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27">
    <w:nsid w:val="7C93597F"/>
    <w:multiLevelType w:val="hybridMultilevel"/>
    <w:tmpl w:val="452034AE"/>
    <w:lvl w:ilvl="0" w:tplc="315ABD1E">
      <w:numFmt w:val="bullet"/>
      <w:lvlText w:val=""/>
      <w:lvlJc w:val="left"/>
      <w:pPr>
        <w:tabs>
          <w:tab w:val="num" w:pos="340"/>
        </w:tabs>
        <w:ind w:left="340" w:hanging="340"/>
      </w:pPr>
      <w:rPr>
        <w:rFonts w:ascii="Symbol" w:hAnsi="Symbol" w:hint="default"/>
        <w:sz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5"/>
  </w:num>
  <w:num w:numId="3">
    <w:abstractNumId w:val="2"/>
  </w:num>
  <w:num w:numId="4">
    <w:abstractNumId w:val="18"/>
  </w:num>
  <w:num w:numId="5">
    <w:abstractNumId w:val="3"/>
  </w:num>
  <w:num w:numId="6">
    <w:abstractNumId w:val="24"/>
  </w:num>
  <w:num w:numId="7">
    <w:abstractNumId w:val="20"/>
  </w:num>
  <w:num w:numId="8">
    <w:abstractNumId w:val="26"/>
  </w:num>
  <w:num w:numId="9">
    <w:abstractNumId w:val="7"/>
  </w:num>
  <w:num w:numId="10">
    <w:abstractNumId w:val="19"/>
  </w:num>
  <w:num w:numId="11">
    <w:abstractNumId w:val="6"/>
  </w:num>
  <w:num w:numId="12">
    <w:abstractNumId w:val="5"/>
  </w:num>
  <w:num w:numId="13">
    <w:abstractNumId w:val="9"/>
  </w:num>
  <w:num w:numId="14">
    <w:abstractNumId w:val="10"/>
  </w:num>
  <w:num w:numId="15">
    <w:abstractNumId w:val="15"/>
  </w:num>
  <w:num w:numId="16">
    <w:abstractNumId w:val="4"/>
  </w:num>
  <w:num w:numId="17">
    <w:abstractNumId w:val="21"/>
  </w:num>
  <w:num w:numId="18">
    <w:abstractNumId w:val="11"/>
  </w:num>
  <w:num w:numId="19">
    <w:abstractNumId w:val="17"/>
  </w:num>
  <w:num w:numId="20">
    <w:abstractNumId w:val="22"/>
  </w:num>
  <w:num w:numId="21">
    <w:abstractNumId w:val="16"/>
  </w:num>
  <w:num w:numId="22">
    <w:abstractNumId w:val="27"/>
  </w:num>
  <w:num w:numId="23">
    <w:abstractNumId w:val="13"/>
  </w:num>
  <w:num w:numId="24">
    <w:abstractNumId w:val="2"/>
  </w:num>
  <w:num w:numId="25">
    <w:abstractNumId w:val="1"/>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6">
    <w:abstractNumId w:val="0"/>
  </w:num>
  <w:num w:numId="27">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8">
    <w:abstractNumId w:val="23"/>
  </w:num>
  <w:num w:numId="29">
    <w:abstractNumId w:val="8"/>
  </w:num>
  <w:num w:numId="30">
    <w:abstractNumId w:val="14"/>
  </w:num>
  <w:num w:numId="31">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522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School education"/>
    <w:docVar w:name="ShortReportTitle" w:val="Report on Government Services 2015"/>
  </w:docVars>
  <w:rsids>
    <w:rsidRoot w:val="00666ECE"/>
    <w:rsid w:val="000003D4"/>
    <w:rsid w:val="00001089"/>
    <w:rsid w:val="00001986"/>
    <w:rsid w:val="00002F18"/>
    <w:rsid w:val="00004322"/>
    <w:rsid w:val="000048A3"/>
    <w:rsid w:val="00004B66"/>
    <w:rsid w:val="0000677C"/>
    <w:rsid w:val="00006BD6"/>
    <w:rsid w:val="00011461"/>
    <w:rsid w:val="00011ECA"/>
    <w:rsid w:val="00012666"/>
    <w:rsid w:val="00014C57"/>
    <w:rsid w:val="00021454"/>
    <w:rsid w:val="0002178B"/>
    <w:rsid w:val="000227D5"/>
    <w:rsid w:val="000233BF"/>
    <w:rsid w:val="00024115"/>
    <w:rsid w:val="000245AA"/>
    <w:rsid w:val="0002508B"/>
    <w:rsid w:val="000259C1"/>
    <w:rsid w:val="00031DF6"/>
    <w:rsid w:val="00032235"/>
    <w:rsid w:val="0003283E"/>
    <w:rsid w:val="00033B2C"/>
    <w:rsid w:val="0003664B"/>
    <w:rsid w:val="00036D8F"/>
    <w:rsid w:val="00037A0A"/>
    <w:rsid w:val="000401F1"/>
    <w:rsid w:val="0004111F"/>
    <w:rsid w:val="00041385"/>
    <w:rsid w:val="000421CD"/>
    <w:rsid w:val="00043048"/>
    <w:rsid w:val="00043A76"/>
    <w:rsid w:val="00043D6D"/>
    <w:rsid w:val="00044FE8"/>
    <w:rsid w:val="00046152"/>
    <w:rsid w:val="00046634"/>
    <w:rsid w:val="00047B36"/>
    <w:rsid w:val="0005160C"/>
    <w:rsid w:val="00053132"/>
    <w:rsid w:val="000565B3"/>
    <w:rsid w:val="00056869"/>
    <w:rsid w:val="00057744"/>
    <w:rsid w:val="00062208"/>
    <w:rsid w:val="00063FE8"/>
    <w:rsid w:val="0006446B"/>
    <w:rsid w:val="000666F6"/>
    <w:rsid w:val="000674C4"/>
    <w:rsid w:val="000701DC"/>
    <w:rsid w:val="000702D0"/>
    <w:rsid w:val="0007150B"/>
    <w:rsid w:val="00071EE4"/>
    <w:rsid w:val="00076493"/>
    <w:rsid w:val="00076DD8"/>
    <w:rsid w:val="00076F94"/>
    <w:rsid w:val="00084024"/>
    <w:rsid w:val="000842AC"/>
    <w:rsid w:val="00084C5E"/>
    <w:rsid w:val="00085459"/>
    <w:rsid w:val="00086D5A"/>
    <w:rsid w:val="0009017A"/>
    <w:rsid w:val="000911E9"/>
    <w:rsid w:val="00092A77"/>
    <w:rsid w:val="00092B6C"/>
    <w:rsid w:val="000930E2"/>
    <w:rsid w:val="000938F5"/>
    <w:rsid w:val="00093A97"/>
    <w:rsid w:val="0009443A"/>
    <w:rsid w:val="00094925"/>
    <w:rsid w:val="00096E55"/>
    <w:rsid w:val="00097127"/>
    <w:rsid w:val="000A0E95"/>
    <w:rsid w:val="000A399C"/>
    <w:rsid w:val="000A554E"/>
    <w:rsid w:val="000A5C65"/>
    <w:rsid w:val="000A7A95"/>
    <w:rsid w:val="000B1EFE"/>
    <w:rsid w:val="000B1FF0"/>
    <w:rsid w:val="000B2CA3"/>
    <w:rsid w:val="000B3B25"/>
    <w:rsid w:val="000B601B"/>
    <w:rsid w:val="000B654D"/>
    <w:rsid w:val="000B687F"/>
    <w:rsid w:val="000B7ACD"/>
    <w:rsid w:val="000B7F27"/>
    <w:rsid w:val="000C187A"/>
    <w:rsid w:val="000C207E"/>
    <w:rsid w:val="000C2B98"/>
    <w:rsid w:val="000C2ECE"/>
    <w:rsid w:val="000C4B75"/>
    <w:rsid w:val="000C510D"/>
    <w:rsid w:val="000C7D44"/>
    <w:rsid w:val="000D0319"/>
    <w:rsid w:val="000D0FA0"/>
    <w:rsid w:val="000D1DE7"/>
    <w:rsid w:val="000D2E31"/>
    <w:rsid w:val="000D3111"/>
    <w:rsid w:val="000E46D2"/>
    <w:rsid w:val="000E4798"/>
    <w:rsid w:val="000E4D56"/>
    <w:rsid w:val="000E5315"/>
    <w:rsid w:val="000E5B08"/>
    <w:rsid w:val="000E6669"/>
    <w:rsid w:val="000E6F59"/>
    <w:rsid w:val="000F0035"/>
    <w:rsid w:val="000F0C6D"/>
    <w:rsid w:val="000F12AB"/>
    <w:rsid w:val="000F1E10"/>
    <w:rsid w:val="000F2314"/>
    <w:rsid w:val="000F420B"/>
    <w:rsid w:val="000F4E5A"/>
    <w:rsid w:val="00100308"/>
    <w:rsid w:val="0010287A"/>
    <w:rsid w:val="00104AF2"/>
    <w:rsid w:val="00105847"/>
    <w:rsid w:val="00105898"/>
    <w:rsid w:val="001064B9"/>
    <w:rsid w:val="00110116"/>
    <w:rsid w:val="00112BD6"/>
    <w:rsid w:val="0011371F"/>
    <w:rsid w:val="001155F2"/>
    <w:rsid w:val="00120072"/>
    <w:rsid w:val="00123AC8"/>
    <w:rsid w:val="0012436B"/>
    <w:rsid w:val="00126EB8"/>
    <w:rsid w:val="0012710C"/>
    <w:rsid w:val="001274D4"/>
    <w:rsid w:val="001318DB"/>
    <w:rsid w:val="00132A57"/>
    <w:rsid w:val="0013490E"/>
    <w:rsid w:val="001363AA"/>
    <w:rsid w:val="0013664B"/>
    <w:rsid w:val="00136E77"/>
    <w:rsid w:val="00137343"/>
    <w:rsid w:val="0013774C"/>
    <w:rsid w:val="00137849"/>
    <w:rsid w:val="00137E0C"/>
    <w:rsid w:val="001435AF"/>
    <w:rsid w:val="0014433C"/>
    <w:rsid w:val="00146776"/>
    <w:rsid w:val="00151258"/>
    <w:rsid w:val="0015150C"/>
    <w:rsid w:val="0015169D"/>
    <w:rsid w:val="001517E0"/>
    <w:rsid w:val="001521BB"/>
    <w:rsid w:val="00152235"/>
    <w:rsid w:val="001530B5"/>
    <w:rsid w:val="001552DE"/>
    <w:rsid w:val="001554D2"/>
    <w:rsid w:val="0015705B"/>
    <w:rsid w:val="00161054"/>
    <w:rsid w:val="0016188E"/>
    <w:rsid w:val="0016625F"/>
    <w:rsid w:val="00166BCF"/>
    <w:rsid w:val="00167649"/>
    <w:rsid w:val="00170688"/>
    <w:rsid w:val="00171D56"/>
    <w:rsid w:val="00172535"/>
    <w:rsid w:val="00172674"/>
    <w:rsid w:val="00173F8E"/>
    <w:rsid w:val="001748FA"/>
    <w:rsid w:val="001774B4"/>
    <w:rsid w:val="00177564"/>
    <w:rsid w:val="001807B5"/>
    <w:rsid w:val="00181937"/>
    <w:rsid w:val="00183E82"/>
    <w:rsid w:val="001878BB"/>
    <w:rsid w:val="00190D67"/>
    <w:rsid w:val="00191AE0"/>
    <w:rsid w:val="0019293B"/>
    <w:rsid w:val="0019297C"/>
    <w:rsid w:val="001936FB"/>
    <w:rsid w:val="0019719B"/>
    <w:rsid w:val="00197701"/>
    <w:rsid w:val="001A1596"/>
    <w:rsid w:val="001A2DA9"/>
    <w:rsid w:val="001A4137"/>
    <w:rsid w:val="001A4445"/>
    <w:rsid w:val="001A7B14"/>
    <w:rsid w:val="001B1FC7"/>
    <w:rsid w:val="001B4DD4"/>
    <w:rsid w:val="001B5448"/>
    <w:rsid w:val="001B5FF2"/>
    <w:rsid w:val="001B60DD"/>
    <w:rsid w:val="001B6514"/>
    <w:rsid w:val="001B733D"/>
    <w:rsid w:val="001B73AB"/>
    <w:rsid w:val="001C01FD"/>
    <w:rsid w:val="001C0865"/>
    <w:rsid w:val="001C174A"/>
    <w:rsid w:val="001C3ABA"/>
    <w:rsid w:val="001C3CC1"/>
    <w:rsid w:val="001C5764"/>
    <w:rsid w:val="001C6189"/>
    <w:rsid w:val="001C7673"/>
    <w:rsid w:val="001D0D31"/>
    <w:rsid w:val="001D0F72"/>
    <w:rsid w:val="001D21C5"/>
    <w:rsid w:val="001D57DF"/>
    <w:rsid w:val="001D5AD2"/>
    <w:rsid w:val="001D6209"/>
    <w:rsid w:val="001D73CF"/>
    <w:rsid w:val="001E0CB9"/>
    <w:rsid w:val="001E15A3"/>
    <w:rsid w:val="001E2082"/>
    <w:rsid w:val="001E232E"/>
    <w:rsid w:val="001E35A6"/>
    <w:rsid w:val="001E47D5"/>
    <w:rsid w:val="001E4B26"/>
    <w:rsid w:val="001E65D8"/>
    <w:rsid w:val="001E7BE8"/>
    <w:rsid w:val="001F0248"/>
    <w:rsid w:val="001F1E44"/>
    <w:rsid w:val="001F23D4"/>
    <w:rsid w:val="001F3EB3"/>
    <w:rsid w:val="001F4F86"/>
    <w:rsid w:val="001F7ABF"/>
    <w:rsid w:val="00202C2C"/>
    <w:rsid w:val="00203666"/>
    <w:rsid w:val="0020467A"/>
    <w:rsid w:val="00204D51"/>
    <w:rsid w:val="002104AA"/>
    <w:rsid w:val="002112BD"/>
    <w:rsid w:val="002135AB"/>
    <w:rsid w:val="002144BE"/>
    <w:rsid w:val="00214B63"/>
    <w:rsid w:val="0021626A"/>
    <w:rsid w:val="00220AAE"/>
    <w:rsid w:val="00221E5A"/>
    <w:rsid w:val="002223A1"/>
    <w:rsid w:val="00223E34"/>
    <w:rsid w:val="00224018"/>
    <w:rsid w:val="0022483F"/>
    <w:rsid w:val="0022542B"/>
    <w:rsid w:val="002261EA"/>
    <w:rsid w:val="002316F7"/>
    <w:rsid w:val="00231DB5"/>
    <w:rsid w:val="00231E34"/>
    <w:rsid w:val="0023294D"/>
    <w:rsid w:val="002338F3"/>
    <w:rsid w:val="002349F8"/>
    <w:rsid w:val="00234F3D"/>
    <w:rsid w:val="0023570A"/>
    <w:rsid w:val="00236091"/>
    <w:rsid w:val="002362DE"/>
    <w:rsid w:val="002377B3"/>
    <w:rsid w:val="00241576"/>
    <w:rsid w:val="00242279"/>
    <w:rsid w:val="00244151"/>
    <w:rsid w:val="00244BFF"/>
    <w:rsid w:val="00245C82"/>
    <w:rsid w:val="002475A9"/>
    <w:rsid w:val="0024765E"/>
    <w:rsid w:val="0025099B"/>
    <w:rsid w:val="00250A9C"/>
    <w:rsid w:val="00251546"/>
    <w:rsid w:val="00252EB9"/>
    <w:rsid w:val="002532CC"/>
    <w:rsid w:val="002552A3"/>
    <w:rsid w:val="002568A7"/>
    <w:rsid w:val="00257C8E"/>
    <w:rsid w:val="00260F55"/>
    <w:rsid w:val="00262E79"/>
    <w:rsid w:val="00262F21"/>
    <w:rsid w:val="002700D1"/>
    <w:rsid w:val="00270656"/>
    <w:rsid w:val="00270DA3"/>
    <w:rsid w:val="00271196"/>
    <w:rsid w:val="00271DC3"/>
    <w:rsid w:val="0027264A"/>
    <w:rsid w:val="002737D8"/>
    <w:rsid w:val="0027579A"/>
    <w:rsid w:val="00277216"/>
    <w:rsid w:val="00277CA6"/>
    <w:rsid w:val="00280A69"/>
    <w:rsid w:val="00280C38"/>
    <w:rsid w:val="002824D0"/>
    <w:rsid w:val="00286168"/>
    <w:rsid w:val="00290E1D"/>
    <w:rsid w:val="00291B40"/>
    <w:rsid w:val="00292174"/>
    <w:rsid w:val="00292B9B"/>
    <w:rsid w:val="00293C90"/>
    <w:rsid w:val="002A20D1"/>
    <w:rsid w:val="002A3124"/>
    <w:rsid w:val="002A5D78"/>
    <w:rsid w:val="002A6CB1"/>
    <w:rsid w:val="002A6CD1"/>
    <w:rsid w:val="002A79FF"/>
    <w:rsid w:val="002B152E"/>
    <w:rsid w:val="002B1D5E"/>
    <w:rsid w:val="002B248C"/>
    <w:rsid w:val="002B27DE"/>
    <w:rsid w:val="002B3034"/>
    <w:rsid w:val="002B4008"/>
    <w:rsid w:val="002B464E"/>
    <w:rsid w:val="002B51C1"/>
    <w:rsid w:val="002B759B"/>
    <w:rsid w:val="002C05C8"/>
    <w:rsid w:val="002C5BBE"/>
    <w:rsid w:val="002C6F2E"/>
    <w:rsid w:val="002C7848"/>
    <w:rsid w:val="002D0C34"/>
    <w:rsid w:val="002D0E4E"/>
    <w:rsid w:val="002D0E8E"/>
    <w:rsid w:val="002D2AB6"/>
    <w:rsid w:val="002D33DC"/>
    <w:rsid w:val="002D4E90"/>
    <w:rsid w:val="002D5668"/>
    <w:rsid w:val="002D7C16"/>
    <w:rsid w:val="002E11DD"/>
    <w:rsid w:val="002E192C"/>
    <w:rsid w:val="002E2217"/>
    <w:rsid w:val="002E27CC"/>
    <w:rsid w:val="002E3D01"/>
    <w:rsid w:val="002E562A"/>
    <w:rsid w:val="002E7CD5"/>
    <w:rsid w:val="002F0289"/>
    <w:rsid w:val="002F4BB0"/>
    <w:rsid w:val="002F6918"/>
    <w:rsid w:val="002F792C"/>
    <w:rsid w:val="0030069A"/>
    <w:rsid w:val="0030108C"/>
    <w:rsid w:val="00301189"/>
    <w:rsid w:val="003013FC"/>
    <w:rsid w:val="00303738"/>
    <w:rsid w:val="0030452D"/>
    <w:rsid w:val="003049DA"/>
    <w:rsid w:val="0030591E"/>
    <w:rsid w:val="00305964"/>
    <w:rsid w:val="0030648A"/>
    <w:rsid w:val="003103F0"/>
    <w:rsid w:val="00311887"/>
    <w:rsid w:val="00311AB0"/>
    <w:rsid w:val="00315070"/>
    <w:rsid w:val="00315778"/>
    <w:rsid w:val="00316446"/>
    <w:rsid w:val="00316C9B"/>
    <w:rsid w:val="00317926"/>
    <w:rsid w:val="00320B60"/>
    <w:rsid w:val="00321BBB"/>
    <w:rsid w:val="00323E09"/>
    <w:rsid w:val="00326539"/>
    <w:rsid w:val="00331F26"/>
    <w:rsid w:val="00333932"/>
    <w:rsid w:val="00333E25"/>
    <w:rsid w:val="00335525"/>
    <w:rsid w:val="003368DC"/>
    <w:rsid w:val="00342FCF"/>
    <w:rsid w:val="00344D76"/>
    <w:rsid w:val="00345249"/>
    <w:rsid w:val="0034666A"/>
    <w:rsid w:val="00347361"/>
    <w:rsid w:val="003518AA"/>
    <w:rsid w:val="00352165"/>
    <w:rsid w:val="00353182"/>
    <w:rsid w:val="00353C55"/>
    <w:rsid w:val="00354B10"/>
    <w:rsid w:val="00354E9A"/>
    <w:rsid w:val="003565D9"/>
    <w:rsid w:val="00356C97"/>
    <w:rsid w:val="00357237"/>
    <w:rsid w:val="003602E1"/>
    <w:rsid w:val="00360B71"/>
    <w:rsid w:val="00360D26"/>
    <w:rsid w:val="003611D5"/>
    <w:rsid w:val="00362049"/>
    <w:rsid w:val="0036251F"/>
    <w:rsid w:val="0036281D"/>
    <w:rsid w:val="003639D7"/>
    <w:rsid w:val="00363AD8"/>
    <w:rsid w:val="00370228"/>
    <w:rsid w:val="0037026F"/>
    <w:rsid w:val="00371240"/>
    <w:rsid w:val="0037267A"/>
    <w:rsid w:val="00372941"/>
    <w:rsid w:val="00372F16"/>
    <w:rsid w:val="00374731"/>
    <w:rsid w:val="003749F3"/>
    <w:rsid w:val="00376E59"/>
    <w:rsid w:val="00377B29"/>
    <w:rsid w:val="00380F44"/>
    <w:rsid w:val="00382599"/>
    <w:rsid w:val="00382A5B"/>
    <w:rsid w:val="00382B91"/>
    <w:rsid w:val="00383289"/>
    <w:rsid w:val="00384621"/>
    <w:rsid w:val="003852A6"/>
    <w:rsid w:val="003856E6"/>
    <w:rsid w:val="003919F9"/>
    <w:rsid w:val="0039329F"/>
    <w:rsid w:val="003932A0"/>
    <w:rsid w:val="00393A2C"/>
    <w:rsid w:val="00393DA8"/>
    <w:rsid w:val="00395282"/>
    <w:rsid w:val="00396368"/>
    <w:rsid w:val="003A0189"/>
    <w:rsid w:val="003A2619"/>
    <w:rsid w:val="003A2EA3"/>
    <w:rsid w:val="003A37B3"/>
    <w:rsid w:val="003A3EA4"/>
    <w:rsid w:val="003A5B31"/>
    <w:rsid w:val="003A7F8A"/>
    <w:rsid w:val="003B149C"/>
    <w:rsid w:val="003B4371"/>
    <w:rsid w:val="003B4524"/>
    <w:rsid w:val="003B5A5B"/>
    <w:rsid w:val="003B6788"/>
    <w:rsid w:val="003B6DC5"/>
    <w:rsid w:val="003C000E"/>
    <w:rsid w:val="003C13CA"/>
    <w:rsid w:val="003C17D3"/>
    <w:rsid w:val="003C25A5"/>
    <w:rsid w:val="003C38B5"/>
    <w:rsid w:val="003C5D99"/>
    <w:rsid w:val="003D0E85"/>
    <w:rsid w:val="003D1C93"/>
    <w:rsid w:val="003D5991"/>
    <w:rsid w:val="003E08B1"/>
    <w:rsid w:val="003E0918"/>
    <w:rsid w:val="003E0F27"/>
    <w:rsid w:val="003E2CB5"/>
    <w:rsid w:val="003E2F59"/>
    <w:rsid w:val="003E2FC9"/>
    <w:rsid w:val="003E52C6"/>
    <w:rsid w:val="003E5D52"/>
    <w:rsid w:val="003F0641"/>
    <w:rsid w:val="003F0789"/>
    <w:rsid w:val="003F1874"/>
    <w:rsid w:val="003F1C17"/>
    <w:rsid w:val="003F4AAE"/>
    <w:rsid w:val="003F62AA"/>
    <w:rsid w:val="003F66BF"/>
    <w:rsid w:val="00400583"/>
    <w:rsid w:val="00401882"/>
    <w:rsid w:val="00402244"/>
    <w:rsid w:val="00403955"/>
    <w:rsid w:val="00404778"/>
    <w:rsid w:val="00405BC2"/>
    <w:rsid w:val="00406C4A"/>
    <w:rsid w:val="004100C8"/>
    <w:rsid w:val="0041092E"/>
    <w:rsid w:val="0041120A"/>
    <w:rsid w:val="0041139D"/>
    <w:rsid w:val="00411DBD"/>
    <w:rsid w:val="00412ACE"/>
    <w:rsid w:val="00414312"/>
    <w:rsid w:val="0041457D"/>
    <w:rsid w:val="004145D6"/>
    <w:rsid w:val="00415476"/>
    <w:rsid w:val="00416E33"/>
    <w:rsid w:val="004170F4"/>
    <w:rsid w:val="00417122"/>
    <w:rsid w:val="004249F1"/>
    <w:rsid w:val="00425401"/>
    <w:rsid w:val="00425D7B"/>
    <w:rsid w:val="00431249"/>
    <w:rsid w:val="004317EA"/>
    <w:rsid w:val="00434C19"/>
    <w:rsid w:val="00435927"/>
    <w:rsid w:val="0043627D"/>
    <w:rsid w:val="0043798F"/>
    <w:rsid w:val="0044298F"/>
    <w:rsid w:val="004438CB"/>
    <w:rsid w:val="00443B0C"/>
    <w:rsid w:val="00444AE9"/>
    <w:rsid w:val="00444C24"/>
    <w:rsid w:val="0044511E"/>
    <w:rsid w:val="00445835"/>
    <w:rsid w:val="004463B9"/>
    <w:rsid w:val="00450810"/>
    <w:rsid w:val="0045135E"/>
    <w:rsid w:val="00451D4B"/>
    <w:rsid w:val="004522E7"/>
    <w:rsid w:val="00454CF4"/>
    <w:rsid w:val="00455728"/>
    <w:rsid w:val="00456929"/>
    <w:rsid w:val="00457C8A"/>
    <w:rsid w:val="00462886"/>
    <w:rsid w:val="00463C50"/>
    <w:rsid w:val="00464ACE"/>
    <w:rsid w:val="00466214"/>
    <w:rsid w:val="004677AA"/>
    <w:rsid w:val="004708E3"/>
    <w:rsid w:val="004756D3"/>
    <w:rsid w:val="00476217"/>
    <w:rsid w:val="004765E8"/>
    <w:rsid w:val="00477144"/>
    <w:rsid w:val="00481083"/>
    <w:rsid w:val="0048153E"/>
    <w:rsid w:val="00481583"/>
    <w:rsid w:val="00481A6E"/>
    <w:rsid w:val="00482113"/>
    <w:rsid w:val="00483382"/>
    <w:rsid w:val="00483564"/>
    <w:rsid w:val="00483D1F"/>
    <w:rsid w:val="004856A8"/>
    <w:rsid w:val="004856D3"/>
    <w:rsid w:val="0048677F"/>
    <w:rsid w:val="00490911"/>
    <w:rsid w:val="00491380"/>
    <w:rsid w:val="00491C19"/>
    <w:rsid w:val="0049459F"/>
    <w:rsid w:val="004A24B3"/>
    <w:rsid w:val="004A253D"/>
    <w:rsid w:val="004A30A9"/>
    <w:rsid w:val="004A38DD"/>
    <w:rsid w:val="004A4FD0"/>
    <w:rsid w:val="004A4FDF"/>
    <w:rsid w:val="004B2C4F"/>
    <w:rsid w:val="004B33CD"/>
    <w:rsid w:val="004B3683"/>
    <w:rsid w:val="004B4046"/>
    <w:rsid w:val="004B43AE"/>
    <w:rsid w:val="004B4EC9"/>
    <w:rsid w:val="004B6E81"/>
    <w:rsid w:val="004B78E7"/>
    <w:rsid w:val="004C0D14"/>
    <w:rsid w:val="004C1186"/>
    <w:rsid w:val="004C1479"/>
    <w:rsid w:val="004C30ED"/>
    <w:rsid w:val="004C3736"/>
    <w:rsid w:val="004C785C"/>
    <w:rsid w:val="004C7C47"/>
    <w:rsid w:val="004D2AC5"/>
    <w:rsid w:val="004D3367"/>
    <w:rsid w:val="004D5675"/>
    <w:rsid w:val="004D6023"/>
    <w:rsid w:val="004E3154"/>
    <w:rsid w:val="004E492B"/>
    <w:rsid w:val="004E4FE0"/>
    <w:rsid w:val="004E52C6"/>
    <w:rsid w:val="004E6318"/>
    <w:rsid w:val="004E70FF"/>
    <w:rsid w:val="004F0487"/>
    <w:rsid w:val="004F0AB1"/>
    <w:rsid w:val="004F137D"/>
    <w:rsid w:val="004F297F"/>
    <w:rsid w:val="004F2DCF"/>
    <w:rsid w:val="004F5114"/>
    <w:rsid w:val="004F724D"/>
    <w:rsid w:val="005004F7"/>
    <w:rsid w:val="0050477E"/>
    <w:rsid w:val="00505748"/>
    <w:rsid w:val="00511AE4"/>
    <w:rsid w:val="00514213"/>
    <w:rsid w:val="00514EB2"/>
    <w:rsid w:val="00515AE0"/>
    <w:rsid w:val="00515EF9"/>
    <w:rsid w:val="00520EA5"/>
    <w:rsid w:val="00523639"/>
    <w:rsid w:val="00525589"/>
    <w:rsid w:val="00526EC7"/>
    <w:rsid w:val="005303EE"/>
    <w:rsid w:val="00530424"/>
    <w:rsid w:val="00530C4B"/>
    <w:rsid w:val="00531D09"/>
    <w:rsid w:val="00531FE5"/>
    <w:rsid w:val="00535E89"/>
    <w:rsid w:val="00535EC9"/>
    <w:rsid w:val="005360D5"/>
    <w:rsid w:val="00536FF3"/>
    <w:rsid w:val="00537400"/>
    <w:rsid w:val="00540B73"/>
    <w:rsid w:val="00542C78"/>
    <w:rsid w:val="005450F5"/>
    <w:rsid w:val="00547047"/>
    <w:rsid w:val="00547B02"/>
    <w:rsid w:val="0055265A"/>
    <w:rsid w:val="00556429"/>
    <w:rsid w:val="0055682A"/>
    <w:rsid w:val="00556909"/>
    <w:rsid w:val="005605D5"/>
    <w:rsid w:val="00560C42"/>
    <w:rsid w:val="00560DE1"/>
    <w:rsid w:val="00564940"/>
    <w:rsid w:val="00564B80"/>
    <w:rsid w:val="0056711C"/>
    <w:rsid w:val="00567193"/>
    <w:rsid w:val="00567A3B"/>
    <w:rsid w:val="00570434"/>
    <w:rsid w:val="005713CC"/>
    <w:rsid w:val="0057289C"/>
    <w:rsid w:val="00572CD1"/>
    <w:rsid w:val="00574106"/>
    <w:rsid w:val="00574FEE"/>
    <w:rsid w:val="00575467"/>
    <w:rsid w:val="00575D0B"/>
    <w:rsid w:val="0057698F"/>
    <w:rsid w:val="00582527"/>
    <w:rsid w:val="00583350"/>
    <w:rsid w:val="005834AA"/>
    <w:rsid w:val="00583C39"/>
    <w:rsid w:val="0058556B"/>
    <w:rsid w:val="00586AA0"/>
    <w:rsid w:val="00587845"/>
    <w:rsid w:val="00587F28"/>
    <w:rsid w:val="005909CF"/>
    <w:rsid w:val="00590BF6"/>
    <w:rsid w:val="00590C7B"/>
    <w:rsid w:val="00591E71"/>
    <w:rsid w:val="00592D0D"/>
    <w:rsid w:val="0059510A"/>
    <w:rsid w:val="005953B6"/>
    <w:rsid w:val="0059584D"/>
    <w:rsid w:val="0059753B"/>
    <w:rsid w:val="005A0D41"/>
    <w:rsid w:val="005A122F"/>
    <w:rsid w:val="005A177C"/>
    <w:rsid w:val="005A251E"/>
    <w:rsid w:val="005A2FDC"/>
    <w:rsid w:val="005A41AD"/>
    <w:rsid w:val="005B08A6"/>
    <w:rsid w:val="005B0D1E"/>
    <w:rsid w:val="005B0E36"/>
    <w:rsid w:val="005B179C"/>
    <w:rsid w:val="005B3E40"/>
    <w:rsid w:val="005B601D"/>
    <w:rsid w:val="005B60FC"/>
    <w:rsid w:val="005B7022"/>
    <w:rsid w:val="005B78E8"/>
    <w:rsid w:val="005C0A8A"/>
    <w:rsid w:val="005C0ABD"/>
    <w:rsid w:val="005C0D49"/>
    <w:rsid w:val="005C1D95"/>
    <w:rsid w:val="005C236B"/>
    <w:rsid w:val="005C39D4"/>
    <w:rsid w:val="005C44D0"/>
    <w:rsid w:val="005C4705"/>
    <w:rsid w:val="005C4E85"/>
    <w:rsid w:val="005C5E87"/>
    <w:rsid w:val="005C7768"/>
    <w:rsid w:val="005C7D52"/>
    <w:rsid w:val="005D0B84"/>
    <w:rsid w:val="005D151B"/>
    <w:rsid w:val="005D2CF5"/>
    <w:rsid w:val="005D7450"/>
    <w:rsid w:val="005E123D"/>
    <w:rsid w:val="005E2EE2"/>
    <w:rsid w:val="005E413E"/>
    <w:rsid w:val="005E4316"/>
    <w:rsid w:val="005E564E"/>
    <w:rsid w:val="005E5A9B"/>
    <w:rsid w:val="005E6C64"/>
    <w:rsid w:val="005F1E51"/>
    <w:rsid w:val="005F4973"/>
    <w:rsid w:val="005F4A4A"/>
    <w:rsid w:val="005F4AEF"/>
    <w:rsid w:val="005F6283"/>
    <w:rsid w:val="005F7536"/>
    <w:rsid w:val="005F7911"/>
    <w:rsid w:val="005F7D18"/>
    <w:rsid w:val="00601660"/>
    <w:rsid w:val="00602605"/>
    <w:rsid w:val="006027B0"/>
    <w:rsid w:val="00602CDA"/>
    <w:rsid w:val="006040C5"/>
    <w:rsid w:val="00606C57"/>
    <w:rsid w:val="00606D98"/>
    <w:rsid w:val="00607118"/>
    <w:rsid w:val="00607BF1"/>
    <w:rsid w:val="00610533"/>
    <w:rsid w:val="00611405"/>
    <w:rsid w:val="006135F8"/>
    <w:rsid w:val="006137A4"/>
    <w:rsid w:val="00613CE6"/>
    <w:rsid w:val="00614371"/>
    <w:rsid w:val="0061654B"/>
    <w:rsid w:val="00616CB7"/>
    <w:rsid w:val="00616E8C"/>
    <w:rsid w:val="00620779"/>
    <w:rsid w:val="006216A4"/>
    <w:rsid w:val="006236F1"/>
    <w:rsid w:val="00625234"/>
    <w:rsid w:val="00625500"/>
    <w:rsid w:val="00626547"/>
    <w:rsid w:val="00627784"/>
    <w:rsid w:val="006308F9"/>
    <w:rsid w:val="00630D4D"/>
    <w:rsid w:val="00632170"/>
    <w:rsid w:val="00632A74"/>
    <w:rsid w:val="006348F0"/>
    <w:rsid w:val="00634DA5"/>
    <w:rsid w:val="00635573"/>
    <w:rsid w:val="00640C1A"/>
    <w:rsid w:val="00640DB6"/>
    <w:rsid w:val="00643280"/>
    <w:rsid w:val="00644F57"/>
    <w:rsid w:val="006451F8"/>
    <w:rsid w:val="00645AF3"/>
    <w:rsid w:val="00651320"/>
    <w:rsid w:val="006514BF"/>
    <w:rsid w:val="0065269E"/>
    <w:rsid w:val="00652B79"/>
    <w:rsid w:val="006539FD"/>
    <w:rsid w:val="00653D15"/>
    <w:rsid w:val="00653F56"/>
    <w:rsid w:val="00657F82"/>
    <w:rsid w:val="00660DFA"/>
    <w:rsid w:val="00662137"/>
    <w:rsid w:val="00662E13"/>
    <w:rsid w:val="006644C8"/>
    <w:rsid w:val="0066655C"/>
    <w:rsid w:val="00666ECE"/>
    <w:rsid w:val="00670FC9"/>
    <w:rsid w:val="00670FE0"/>
    <w:rsid w:val="006730CC"/>
    <w:rsid w:val="00673909"/>
    <w:rsid w:val="00674619"/>
    <w:rsid w:val="00674AAF"/>
    <w:rsid w:val="00677430"/>
    <w:rsid w:val="006823CF"/>
    <w:rsid w:val="006830A6"/>
    <w:rsid w:val="006859E5"/>
    <w:rsid w:val="00685E65"/>
    <w:rsid w:val="00686364"/>
    <w:rsid w:val="00686637"/>
    <w:rsid w:val="0068677C"/>
    <w:rsid w:val="00690E17"/>
    <w:rsid w:val="006941AA"/>
    <w:rsid w:val="0069451F"/>
    <w:rsid w:val="0069548A"/>
    <w:rsid w:val="006971C5"/>
    <w:rsid w:val="006A1406"/>
    <w:rsid w:val="006A1D05"/>
    <w:rsid w:val="006A2830"/>
    <w:rsid w:val="006A2EB8"/>
    <w:rsid w:val="006A3E2E"/>
    <w:rsid w:val="006A4655"/>
    <w:rsid w:val="006A703E"/>
    <w:rsid w:val="006A7764"/>
    <w:rsid w:val="006B03CA"/>
    <w:rsid w:val="006B2B3C"/>
    <w:rsid w:val="006B2F36"/>
    <w:rsid w:val="006B4AC1"/>
    <w:rsid w:val="006B683F"/>
    <w:rsid w:val="006B6F5D"/>
    <w:rsid w:val="006C164A"/>
    <w:rsid w:val="006C1AC6"/>
    <w:rsid w:val="006C1D81"/>
    <w:rsid w:val="006C2F47"/>
    <w:rsid w:val="006C4495"/>
    <w:rsid w:val="006C62E8"/>
    <w:rsid w:val="006C6387"/>
    <w:rsid w:val="006C7038"/>
    <w:rsid w:val="006C72B4"/>
    <w:rsid w:val="006C7FED"/>
    <w:rsid w:val="006D16D8"/>
    <w:rsid w:val="006D3961"/>
    <w:rsid w:val="006D545B"/>
    <w:rsid w:val="006E13E3"/>
    <w:rsid w:val="006E1F49"/>
    <w:rsid w:val="006E3DBB"/>
    <w:rsid w:val="006E4442"/>
    <w:rsid w:val="006E4E1C"/>
    <w:rsid w:val="006E542F"/>
    <w:rsid w:val="006E7180"/>
    <w:rsid w:val="006E73EF"/>
    <w:rsid w:val="006E74BD"/>
    <w:rsid w:val="006E7C15"/>
    <w:rsid w:val="006E7E40"/>
    <w:rsid w:val="006F04A3"/>
    <w:rsid w:val="006F2A4E"/>
    <w:rsid w:val="006F5077"/>
    <w:rsid w:val="006F605D"/>
    <w:rsid w:val="006F7099"/>
    <w:rsid w:val="006F732B"/>
    <w:rsid w:val="00700F6C"/>
    <w:rsid w:val="00701AD6"/>
    <w:rsid w:val="00702ED5"/>
    <w:rsid w:val="00702F3D"/>
    <w:rsid w:val="007034A1"/>
    <w:rsid w:val="007055A8"/>
    <w:rsid w:val="00706592"/>
    <w:rsid w:val="007072F5"/>
    <w:rsid w:val="00707EBD"/>
    <w:rsid w:val="00711273"/>
    <w:rsid w:val="007128C9"/>
    <w:rsid w:val="00712ABB"/>
    <w:rsid w:val="00714D4D"/>
    <w:rsid w:val="00715585"/>
    <w:rsid w:val="007159F6"/>
    <w:rsid w:val="00721F5D"/>
    <w:rsid w:val="00723DDD"/>
    <w:rsid w:val="0072651B"/>
    <w:rsid w:val="007267E2"/>
    <w:rsid w:val="007275F7"/>
    <w:rsid w:val="007278AC"/>
    <w:rsid w:val="00727C58"/>
    <w:rsid w:val="00732876"/>
    <w:rsid w:val="007340A2"/>
    <w:rsid w:val="007344D0"/>
    <w:rsid w:val="007346CF"/>
    <w:rsid w:val="00735213"/>
    <w:rsid w:val="007364E8"/>
    <w:rsid w:val="00736F8F"/>
    <w:rsid w:val="00742440"/>
    <w:rsid w:val="007425CD"/>
    <w:rsid w:val="00742BA6"/>
    <w:rsid w:val="00743FB2"/>
    <w:rsid w:val="00744812"/>
    <w:rsid w:val="00744920"/>
    <w:rsid w:val="00745C09"/>
    <w:rsid w:val="00746390"/>
    <w:rsid w:val="00746562"/>
    <w:rsid w:val="00747BE8"/>
    <w:rsid w:val="00751345"/>
    <w:rsid w:val="007528A0"/>
    <w:rsid w:val="007528D0"/>
    <w:rsid w:val="007604BB"/>
    <w:rsid w:val="007606E4"/>
    <w:rsid w:val="007607B4"/>
    <w:rsid w:val="00761473"/>
    <w:rsid w:val="00764C20"/>
    <w:rsid w:val="00765CF2"/>
    <w:rsid w:val="00770673"/>
    <w:rsid w:val="00770948"/>
    <w:rsid w:val="0077168C"/>
    <w:rsid w:val="00775294"/>
    <w:rsid w:val="007752F5"/>
    <w:rsid w:val="0077694F"/>
    <w:rsid w:val="00776B6F"/>
    <w:rsid w:val="0077781A"/>
    <w:rsid w:val="0078036C"/>
    <w:rsid w:val="0078276C"/>
    <w:rsid w:val="00785232"/>
    <w:rsid w:val="00786A9A"/>
    <w:rsid w:val="00787508"/>
    <w:rsid w:val="00790630"/>
    <w:rsid w:val="00790D2B"/>
    <w:rsid w:val="0079117D"/>
    <w:rsid w:val="0079166F"/>
    <w:rsid w:val="007A21EB"/>
    <w:rsid w:val="007A42E5"/>
    <w:rsid w:val="007A73E8"/>
    <w:rsid w:val="007B0AE2"/>
    <w:rsid w:val="007B1A93"/>
    <w:rsid w:val="007B32D4"/>
    <w:rsid w:val="007B3ABE"/>
    <w:rsid w:val="007B3E7F"/>
    <w:rsid w:val="007B5845"/>
    <w:rsid w:val="007B58AF"/>
    <w:rsid w:val="007C0809"/>
    <w:rsid w:val="007C35B5"/>
    <w:rsid w:val="007C36C9"/>
    <w:rsid w:val="007C6CB9"/>
    <w:rsid w:val="007C7E11"/>
    <w:rsid w:val="007D0745"/>
    <w:rsid w:val="007D2391"/>
    <w:rsid w:val="007D293B"/>
    <w:rsid w:val="007D2D50"/>
    <w:rsid w:val="007D34B7"/>
    <w:rsid w:val="007D6009"/>
    <w:rsid w:val="007D6401"/>
    <w:rsid w:val="007E01E4"/>
    <w:rsid w:val="007E226B"/>
    <w:rsid w:val="007E3E6E"/>
    <w:rsid w:val="007E4269"/>
    <w:rsid w:val="007E44D6"/>
    <w:rsid w:val="007E4F60"/>
    <w:rsid w:val="007E6BD3"/>
    <w:rsid w:val="007E78CB"/>
    <w:rsid w:val="007F2CAE"/>
    <w:rsid w:val="007F30B6"/>
    <w:rsid w:val="007F31E6"/>
    <w:rsid w:val="007F7107"/>
    <w:rsid w:val="007F7D6B"/>
    <w:rsid w:val="00800D4C"/>
    <w:rsid w:val="0080220E"/>
    <w:rsid w:val="0080263C"/>
    <w:rsid w:val="008027DC"/>
    <w:rsid w:val="00804A23"/>
    <w:rsid w:val="0081030F"/>
    <w:rsid w:val="00810456"/>
    <w:rsid w:val="00813CE9"/>
    <w:rsid w:val="0081630C"/>
    <w:rsid w:val="008169C2"/>
    <w:rsid w:val="00817F8F"/>
    <w:rsid w:val="00820804"/>
    <w:rsid w:val="0082087D"/>
    <w:rsid w:val="00820CF9"/>
    <w:rsid w:val="008248C6"/>
    <w:rsid w:val="00825189"/>
    <w:rsid w:val="00825292"/>
    <w:rsid w:val="00825838"/>
    <w:rsid w:val="0082662D"/>
    <w:rsid w:val="008318D5"/>
    <w:rsid w:val="00833807"/>
    <w:rsid w:val="00833B6E"/>
    <w:rsid w:val="0083461E"/>
    <w:rsid w:val="00835771"/>
    <w:rsid w:val="0083643B"/>
    <w:rsid w:val="0084112C"/>
    <w:rsid w:val="00841747"/>
    <w:rsid w:val="00842933"/>
    <w:rsid w:val="00842FBF"/>
    <w:rsid w:val="00845DD5"/>
    <w:rsid w:val="0084635A"/>
    <w:rsid w:val="00850402"/>
    <w:rsid w:val="00850B9B"/>
    <w:rsid w:val="008515E1"/>
    <w:rsid w:val="00853939"/>
    <w:rsid w:val="00855086"/>
    <w:rsid w:val="00857D89"/>
    <w:rsid w:val="00857DE0"/>
    <w:rsid w:val="0086082C"/>
    <w:rsid w:val="008612A7"/>
    <w:rsid w:val="00864ADC"/>
    <w:rsid w:val="0086590D"/>
    <w:rsid w:val="00871957"/>
    <w:rsid w:val="00872F89"/>
    <w:rsid w:val="008746F5"/>
    <w:rsid w:val="00875300"/>
    <w:rsid w:val="008753B7"/>
    <w:rsid w:val="0087621E"/>
    <w:rsid w:val="00876EE5"/>
    <w:rsid w:val="008771B2"/>
    <w:rsid w:val="00877681"/>
    <w:rsid w:val="00877F34"/>
    <w:rsid w:val="00880153"/>
    <w:rsid w:val="0088029F"/>
    <w:rsid w:val="0088078A"/>
    <w:rsid w:val="00880F97"/>
    <w:rsid w:val="0088133A"/>
    <w:rsid w:val="00882D6B"/>
    <w:rsid w:val="00884098"/>
    <w:rsid w:val="00887D04"/>
    <w:rsid w:val="00891026"/>
    <w:rsid w:val="00891EF6"/>
    <w:rsid w:val="0089285E"/>
    <w:rsid w:val="00892D0C"/>
    <w:rsid w:val="0089436C"/>
    <w:rsid w:val="00895A13"/>
    <w:rsid w:val="00895B0E"/>
    <w:rsid w:val="00896525"/>
    <w:rsid w:val="0089766B"/>
    <w:rsid w:val="008A0EEB"/>
    <w:rsid w:val="008A206B"/>
    <w:rsid w:val="008A2074"/>
    <w:rsid w:val="008A2153"/>
    <w:rsid w:val="008A307B"/>
    <w:rsid w:val="008A4E67"/>
    <w:rsid w:val="008A6C2C"/>
    <w:rsid w:val="008A76CD"/>
    <w:rsid w:val="008A788F"/>
    <w:rsid w:val="008B2093"/>
    <w:rsid w:val="008B2F15"/>
    <w:rsid w:val="008B5589"/>
    <w:rsid w:val="008B5ED3"/>
    <w:rsid w:val="008B7DBB"/>
    <w:rsid w:val="008C39E8"/>
    <w:rsid w:val="008C43C7"/>
    <w:rsid w:val="008C5CF1"/>
    <w:rsid w:val="008C68AE"/>
    <w:rsid w:val="008C6F9C"/>
    <w:rsid w:val="008C752D"/>
    <w:rsid w:val="008C7BAA"/>
    <w:rsid w:val="008D0842"/>
    <w:rsid w:val="008D365C"/>
    <w:rsid w:val="008D3CBD"/>
    <w:rsid w:val="008D4B72"/>
    <w:rsid w:val="008D5A88"/>
    <w:rsid w:val="008D7C76"/>
    <w:rsid w:val="008E00E0"/>
    <w:rsid w:val="008E1DDC"/>
    <w:rsid w:val="008E56F3"/>
    <w:rsid w:val="008E648F"/>
    <w:rsid w:val="008F28FD"/>
    <w:rsid w:val="008F3AA3"/>
    <w:rsid w:val="008F4186"/>
    <w:rsid w:val="008F464B"/>
    <w:rsid w:val="008F46A2"/>
    <w:rsid w:val="008F4CC2"/>
    <w:rsid w:val="008F5666"/>
    <w:rsid w:val="008F7EAC"/>
    <w:rsid w:val="0090011D"/>
    <w:rsid w:val="00902108"/>
    <w:rsid w:val="00902B56"/>
    <w:rsid w:val="009030BF"/>
    <w:rsid w:val="00904788"/>
    <w:rsid w:val="00905F95"/>
    <w:rsid w:val="009062E8"/>
    <w:rsid w:val="0090637D"/>
    <w:rsid w:val="00907066"/>
    <w:rsid w:val="0091032F"/>
    <w:rsid w:val="009107BE"/>
    <w:rsid w:val="009108EE"/>
    <w:rsid w:val="009110FE"/>
    <w:rsid w:val="009131A4"/>
    <w:rsid w:val="00914368"/>
    <w:rsid w:val="00914E76"/>
    <w:rsid w:val="00915427"/>
    <w:rsid w:val="009157C6"/>
    <w:rsid w:val="009160CF"/>
    <w:rsid w:val="00920B20"/>
    <w:rsid w:val="00921F85"/>
    <w:rsid w:val="009223BC"/>
    <w:rsid w:val="0092436D"/>
    <w:rsid w:val="00924EB2"/>
    <w:rsid w:val="0092541F"/>
    <w:rsid w:val="00926D58"/>
    <w:rsid w:val="00927DE2"/>
    <w:rsid w:val="00931076"/>
    <w:rsid w:val="0093337F"/>
    <w:rsid w:val="009345D9"/>
    <w:rsid w:val="00934B15"/>
    <w:rsid w:val="00937A93"/>
    <w:rsid w:val="00937F52"/>
    <w:rsid w:val="00942105"/>
    <w:rsid w:val="00942B62"/>
    <w:rsid w:val="0094305D"/>
    <w:rsid w:val="00945F46"/>
    <w:rsid w:val="00950439"/>
    <w:rsid w:val="00950495"/>
    <w:rsid w:val="009517C4"/>
    <w:rsid w:val="00953C11"/>
    <w:rsid w:val="009553ED"/>
    <w:rsid w:val="009560A8"/>
    <w:rsid w:val="00956A0C"/>
    <w:rsid w:val="00956BD9"/>
    <w:rsid w:val="0096040E"/>
    <w:rsid w:val="009613EF"/>
    <w:rsid w:val="009617DA"/>
    <w:rsid w:val="00961C9D"/>
    <w:rsid w:val="00962489"/>
    <w:rsid w:val="00963842"/>
    <w:rsid w:val="00963BD1"/>
    <w:rsid w:val="00963C13"/>
    <w:rsid w:val="00964077"/>
    <w:rsid w:val="0096612F"/>
    <w:rsid w:val="00971BA3"/>
    <w:rsid w:val="00971C91"/>
    <w:rsid w:val="00972691"/>
    <w:rsid w:val="0097269D"/>
    <w:rsid w:val="0097296B"/>
    <w:rsid w:val="009738E5"/>
    <w:rsid w:val="00974AA3"/>
    <w:rsid w:val="009762F7"/>
    <w:rsid w:val="00976613"/>
    <w:rsid w:val="00976D0E"/>
    <w:rsid w:val="009807CA"/>
    <w:rsid w:val="009819A6"/>
    <w:rsid w:val="00982591"/>
    <w:rsid w:val="00984F75"/>
    <w:rsid w:val="0098573D"/>
    <w:rsid w:val="009865F8"/>
    <w:rsid w:val="00986931"/>
    <w:rsid w:val="00986A8E"/>
    <w:rsid w:val="0099070E"/>
    <w:rsid w:val="00990C2C"/>
    <w:rsid w:val="00990EEF"/>
    <w:rsid w:val="009952FC"/>
    <w:rsid w:val="0099541F"/>
    <w:rsid w:val="00997EBC"/>
    <w:rsid w:val="009A0722"/>
    <w:rsid w:val="009A382C"/>
    <w:rsid w:val="009A48EC"/>
    <w:rsid w:val="009A52FC"/>
    <w:rsid w:val="009A760C"/>
    <w:rsid w:val="009A7B9C"/>
    <w:rsid w:val="009B1348"/>
    <w:rsid w:val="009B229E"/>
    <w:rsid w:val="009B6671"/>
    <w:rsid w:val="009B7E51"/>
    <w:rsid w:val="009C02CE"/>
    <w:rsid w:val="009C4A6C"/>
    <w:rsid w:val="009C5BAC"/>
    <w:rsid w:val="009C663F"/>
    <w:rsid w:val="009D117F"/>
    <w:rsid w:val="009D1C5F"/>
    <w:rsid w:val="009D7675"/>
    <w:rsid w:val="009D7A8B"/>
    <w:rsid w:val="009D7D07"/>
    <w:rsid w:val="009E05AE"/>
    <w:rsid w:val="009E17E7"/>
    <w:rsid w:val="009E344D"/>
    <w:rsid w:val="009E3B82"/>
    <w:rsid w:val="009E6DB8"/>
    <w:rsid w:val="009E7B08"/>
    <w:rsid w:val="009F02C7"/>
    <w:rsid w:val="009F03D5"/>
    <w:rsid w:val="009F0531"/>
    <w:rsid w:val="009F0D1B"/>
    <w:rsid w:val="009F2094"/>
    <w:rsid w:val="009F21B1"/>
    <w:rsid w:val="009F2EDB"/>
    <w:rsid w:val="009F46AB"/>
    <w:rsid w:val="009F5910"/>
    <w:rsid w:val="009F696D"/>
    <w:rsid w:val="009F6BC6"/>
    <w:rsid w:val="00A014FB"/>
    <w:rsid w:val="00A059FF"/>
    <w:rsid w:val="00A06D34"/>
    <w:rsid w:val="00A07C80"/>
    <w:rsid w:val="00A10710"/>
    <w:rsid w:val="00A11734"/>
    <w:rsid w:val="00A1564B"/>
    <w:rsid w:val="00A17328"/>
    <w:rsid w:val="00A1799F"/>
    <w:rsid w:val="00A22968"/>
    <w:rsid w:val="00A2357B"/>
    <w:rsid w:val="00A23A20"/>
    <w:rsid w:val="00A2582D"/>
    <w:rsid w:val="00A260FF"/>
    <w:rsid w:val="00A268B9"/>
    <w:rsid w:val="00A2703A"/>
    <w:rsid w:val="00A308AF"/>
    <w:rsid w:val="00A31986"/>
    <w:rsid w:val="00A31EA8"/>
    <w:rsid w:val="00A32335"/>
    <w:rsid w:val="00A32BA6"/>
    <w:rsid w:val="00A33DFF"/>
    <w:rsid w:val="00A33EA2"/>
    <w:rsid w:val="00A35115"/>
    <w:rsid w:val="00A358BA"/>
    <w:rsid w:val="00A36D19"/>
    <w:rsid w:val="00A36D9A"/>
    <w:rsid w:val="00A37418"/>
    <w:rsid w:val="00A44105"/>
    <w:rsid w:val="00A47EA6"/>
    <w:rsid w:val="00A52A90"/>
    <w:rsid w:val="00A543B0"/>
    <w:rsid w:val="00A554AB"/>
    <w:rsid w:val="00A5566A"/>
    <w:rsid w:val="00A56DC7"/>
    <w:rsid w:val="00A57062"/>
    <w:rsid w:val="00A57CDC"/>
    <w:rsid w:val="00A60072"/>
    <w:rsid w:val="00A6036C"/>
    <w:rsid w:val="00A60C5F"/>
    <w:rsid w:val="00A62E3C"/>
    <w:rsid w:val="00A6327D"/>
    <w:rsid w:val="00A63A4A"/>
    <w:rsid w:val="00A64CBD"/>
    <w:rsid w:val="00A67249"/>
    <w:rsid w:val="00A67DE1"/>
    <w:rsid w:val="00A7175E"/>
    <w:rsid w:val="00A71945"/>
    <w:rsid w:val="00A71EBC"/>
    <w:rsid w:val="00A721CA"/>
    <w:rsid w:val="00A74D32"/>
    <w:rsid w:val="00A75C27"/>
    <w:rsid w:val="00A76E4F"/>
    <w:rsid w:val="00A77107"/>
    <w:rsid w:val="00A83EC3"/>
    <w:rsid w:val="00A8608B"/>
    <w:rsid w:val="00A878FC"/>
    <w:rsid w:val="00A90148"/>
    <w:rsid w:val="00A92B53"/>
    <w:rsid w:val="00A93FFC"/>
    <w:rsid w:val="00A94690"/>
    <w:rsid w:val="00A94C0D"/>
    <w:rsid w:val="00A94FA6"/>
    <w:rsid w:val="00A95AB9"/>
    <w:rsid w:val="00A962D0"/>
    <w:rsid w:val="00A97042"/>
    <w:rsid w:val="00AA13D7"/>
    <w:rsid w:val="00AA49A0"/>
    <w:rsid w:val="00AA54CA"/>
    <w:rsid w:val="00AA6710"/>
    <w:rsid w:val="00AA7A30"/>
    <w:rsid w:val="00AB0681"/>
    <w:rsid w:val="00AB5749"/>
    <w:rsid w:val="00AC1472"/>
    <w:rsid w:val="00AC21C3"/>
    <w:rsid w:val="00AC290D"/>
    <w:rsid w:val="00AC4675"/>
    <w:rsid w:val="00AC630B"/>
    <w:rsid w:val="00AD051F"/>
    <w:rsid w:val="00AD384E"/>
    <w:rsid w:val="00AD520B"/>
    <w:rsid w:val="00AD6595"/>
    <w:rsid w:val="00AD7FD0"/>
    <w:rsid w:val="00AE1B64"/>
    <w:rsid w:val="00AE5F38"/>
    <w:rsid w:val="00AF0478"/>
    <w:rsid w:val="00AF16E2"/>
    <w:rsid w:val="00AF1E86"/>
    <w:rsid w:val="00AF243E"/>
    <w:rsid w:val="00AF57AE"/>
    <w:rsid w:val="00AF6FB4"/>
    <w:rsid w:val="00AF7181"/>
    <w:rsid w:val="00B02190"/>
    <w:rsid w:val="00B03F1B"/>
    <w:rsid w:val="00B04268"/>
    <w:rsid w:val="00B06349"/>
    <w:rsid w:val="00B13ED5"/>
    <w:rsid w:val="00B14484"/>
    <w:rsid w:val="00B16437"/>
    <w:rsid w:val="00B17604"/>
    <w:rsid w:val="00B2059A"/>
    <w:rsid w:val="00B20B7A"/>
    <w:rsid w:val="00B20CD1"/>
    <w:rsid w:val="00B213DA"/>
    <w:rsid w:val="00B261EC"/>
    <w:rsid w:val="00B2668E"/>
    <w:rsid w:val="00B30D28"/>
    <w:rsid w:val="00B32C32"/>
    <w:rsid w:val="00B34EF1"/>
    <w:rsid w:val="00B37ED2"/>
    <w:rsid w:val="00B40393"/>
    <w:rsid w:val="00B40709"/>
    <w:rsid w:val="00B410A0"/>
    <w:rsid w:val="00B425C3"/>
    <w:rsid w:val="00B43174"/>
    <w:rsid w:val="00B43CCB"/>
    <w:rsid w:val="00B440AD"/>
    <w:rsid w:val="00B45495"/>
    <w:rsid w:val="00B47757"/>
    <w:rsid w:val="00B47A67"/>
    <w:rsid w:val="00B503CF"/>
    <w:rsid w:val="00B507D4"/>
    <w:rsid w:val="00B50EC4"/>
    <w:rsid w:val="00B519CC"/>
    <w:rsid w:val="00B52BB2"/>
    <w:rsid w:val="00B53E7E"/>
    <w:rsid w:val="00B54118"/>
    <w:rsid w:val="00B569FC"/>
    <w:rsid w:val="00B57AF2"/>
    <w:rsid w:val="00B60137"/>
    <w:rsid w:val="00B60DC3"/>
    <w:rsid w:val="00B6284D"/>
    <w:rsid w:val="00B6342E"/>
    <w:rsid w:val="00B649E7"/>
    <w:rsid w:val="00B64C33"/>
    <w:rsid w:val="00B651F4"/>
    <w:rsid w:val="00B70781"/>
    <w:rsid w:val="00B7113F"/>
    <w:rsid w:val="00B71E09"/>
    <w:rsid w:val="00B74245"/>
    <w:rsid w:val="00B75BD3"/>
    <w:rsid w:val="00B764E2"/>
    <w:rsid w:val="00B77624"/>
    <w:rsid w:val="00B85035"/>
    <w:rsid w:val="00B851E4"/>
    <w:rsid w:val="00B945FF"/>
    <w:rsid w:val="00B94972"/>
    <w:rsid w:val="00B95F26"/>
    <w:rsid w:val="00B95FAF"/>
    <w:rsid w:val="00B96852"/>
    <w:rsid w:val="00BA0589"/>
    <w:rsid w:val="00BA1188"/>
    <w:rsid w:val="00BA1348"/>
    <w:rsid w:val="00BA1CEC"/>
    <w:rsid w:val="00BA40CA"/>
    <w:rsid w:val="00BA4E34"/>
    <w:rsid w:val="00BA51F5"/>
    <w:rsid w:val="00BA5714"/>
    <w:rsid w:val="00BA6298"/>
    <w:rsid w:val="00BA73B6"/>
    <w:rsid w:val="00BA7D17"/>
    <w:rsid w:val="00BA7E27"/>
    <w:rsid w:val="00BB16A8"/>
    <w:rsid w:val="00BB2603"/>
    <w:rsid w:val="00BB29B6"/>
    <w:rsid w:val="00BB496A"/>
    <w:rsid w:val="00BB4FCD"/>
    <w:rsid w:val="00BB61C8"/>
    <w:rsid w:val="00BB794B"/>
    <w:rsid w:val="00BB7BD8"/>
    <w:rsid w:val="00BC1029"/>
    <w:rsid w:val="00BC3022"/>
    <w:rsid w:val="00BC3CC8"/>
    <w:rsid w:val="00BC4CB0"/>
    <w:rsid w:val="00BC5353"/>
    <w:rsid w:val="00BC56E7"/>
    <w:rsid w:val="00BC7997"/>
    <w:rsid w:val="00BD13EA"/>
    <w:rsid w:val="00BD45B3"/>
    <w:rsid w:val="00BD6059"/>
    <w:rsid w:val="00BD787D"/>
    <w:rsid w:val="00BD78B2"/>
    <w:rsid w:val="00BE0005"/>
    <w:rsid w:val="00BE3808"/>
    <w:rsid w:val="00BE4E82"/>
    <w:rsid w:val="00BE72C6"/>
    <w:rsid w:val="00BF0352"/>
    <w:rsid w:val="00BF138B"/>
    <w:rsid w:val="00BF18A5"/>
    <w:rsid w:val="00BF47EB"/>
    <w:rsid w:val="00BF6853"/>
    <w:rsid w:val="00C006D3"/>
    <w:rsid w:val="00C00A49"/>
    <w:rsid w:val="00C062E9"/>
    <w:rsid w:val="00C066EE"/>
    <w:rsid w:val="00C07B64"/>
    <w:rsid w:val="00C105CC"/>
    <w:rsid w:val="00C11942"/>
    <w:rsid w:val="00C13721"/>
    <w:rsid w:val="00C142E2"/>
    <w:rsid w:val="00C14FE4"/>
    <w:rsid w:val="00C16695"/>
    <w:rsid w:val="00C21900"/>
    <w:rsid w:val="00C2397B"/>
    <w:rsid w:val="00C24812"/>
    <w:rsid w:val="00C24E49"/>
    <w:rsid w:val="00C25635"/>
    <w:rsid w:val="00C27408"/>
    <w:rsid w:val="00C279A5"/>
    <w:rsid w:val="00C27AEE"/>
    <w:rsid w:val="00C3066D"/>
    <w:rsid w:val="00C30F35"/>
    <w:rsid w:val="00C32E47"/>
    <w:rsid w:val="00C33B80"/>
    <w:rsid w:val="00C348A4"/>
    <w:rsid w:val="00C3583A"/>
    <w:rsid w:val="00C35FD6"/>
    <w:rsid w:val="00C372BF"/>
    <w:rsid w:val="00C37AC5"/>
    <w:rsid w:val="00C40CA7"/>
    <w:rsid w:val="00C4109F"/>
    <w:rsid w:val="00C43085"/>
    <w:rsid w:val="00C43453"/>
    <w:rsid w:val="00C43487"/>
    <w:rsid w:val="00C464C0"/>
    <w:rsid w:val="00C53C42"/>
    <w:rsid w:val="00C543F4"/>
    <w:rsid w:val="00C54EC5"/>
    <w:rsid w:val="00C5653D"/>
    <w:rsid w:val="00C611A4"/>
    <w:rsid w:val="00C61349"/>
    <w:rsid w:val="00C6291C"/>
    <w:rsid w:val="00C629D5"/>
    <w:rsid w:val="00C63368"/>
    <w:rsid w:val="00C633CB"/>
    <w:rsid w:val="00C659FE"/>
    <w:rsid w:val="00C70D6F"/>
    <w:rsid w:val="00C73899"/>
    <w:rsid w:val="00C76C22"/>
    <w:rsid w:val="00C77339"/>
    <w:rsid w:val="00C778F5"/>
    <w:rsid w:val="00C81D4A"/>
    <w:rsid w:val="00C83FD1"/>
    <w:rsid w:val="00C84258"/>
    <w:rsid w:val="00C84DEC"/>
    <w:rsid w:val="00C84FF2"/>
    <w:rsid w:val="00C8762C"/>
    <w:rsid w:val="00C90AD6"/>
    <w:rsid w:val="00C91E23"/>
    <w:rsid w:val="00C92821"/>
    <w:rsid w:val="00C931C6"/>
    <w:rsid w:val="00C9495A"/>
    <w:rsid w:val="00C968DC"/>
    <w:rsid w:val="00C97555"/>
    <w:rsid w:val="00C97801"/>
    <w:rsid w:val="00CA00F9"/>
    <w:rsid w:val="00CA13EA"/>
    <w:rsid w:val="00CA2961"/>
    <w:rsid w:val="00CA2DA6"/>
    <w:rsid w:val="00CA3C60"/>
    <w:rsid w:val="00CA4833"/>
    <w:rsid w:val="00CA6634"/>
    <w:rsid w:val="00CA71F0"/>
    <w:rsid w:val="00CB2928"/>
    <w:rsid w:val="00CB2D4B"/>
    <w:rsid w:val="00CB50D7"/>
    <w:rsid w:val="00CB7177"/>
    <w:rsid w:val="00CC1998"/>
    <w:rsid w:val="00CC2C02"/>
    <w:rsid w:val="00CC41FD"/>
    <w:rsid w:val="00CC4946"/>
    <w:rsid w:val="00CC6141"/>
    <w:rsid w:val="00CC62BF"/>
    <w:rsid w:val="00CD069F"/>
    <w:rsid w:val="00CD203F"/>
    <w:rsid w:val="00CD275A"/>
    <w:rsid w:val="00CD37BC"/>
    <w:rsid w:val="00CD37FD"/>
    <w:rsid w:val="00CD44D8"/>
    <w:rsid w:val="00CD7A77"/>
    <w:rsid w:val="00CE09C7"/>
    <w:rsid w:val="00CE1968"/>
    <w:rsid w:val="00CE28CD"/>
    <w:rsid w:val="00CE6669"/>
    <w:rsid w:val="00CE6853"/>
    <w:rsid w:val="00CE740B"/>
    <w:rsid w:val="00CF1E50"/>
    <w:rsid w:val="00CF2310"/>
    <w:rsid w:val="00CF3A4A"/>
    <w:rsid w:val="00CF41FD"/>
    <w:rsid w:val="00CF4383"/>
    <w:rsid w:val="00CF5D56"/>
    <w:rsid w:val="00D0342A"/>
    <w:rsid w:val="00D03C69"/>
    <w:rsid w:val="00D05BAF"/>
    <w:rsid w:val="00D05D6B"/>
    <w:rsid w:val="00D06782"/>
    <w:rsid w:val="00D07F9F"/>
    <w:rsid w:val="00D20FDF"/>
    <w:rsid w:val="00D2428E"/>
    <w:rsid w:val="00D2516E"/>
    <w:rsid w:val="00D255D9"/>
    <w:rsid w:val="00D25933"/>
    <w:rsid w:val="00D2642F"/>
    <w:rsid w:val="00D26A1D"/>
    <w:rsid w:val="00D26BF4"/>
    <w:rsid w:val="00D270A4"/>
    <w:rsid w:val="00D304FE"/>
    <w:rsid w:val="00D3193D"/>
    <w:rsid w:val="00D31D27"/>
    <w:rsid w:val="00D31FE9"/>
    <w:rsid w:val="00D32391"/>
    <w:rsid w:val="00D34E1B"/>
    <w:rsid w:val="00D376BA"/>
    <w:rsid w:val="00D37E95"/>
    <w:rsid w:val="00D40C7A"/>
    <w:rsid w:val="00D42F26"/>
    <w:rsid w:val="00D43188"/>
    <w:rsid w:val="00D4417E"/>
    <w:rsid w:val="00D45357"/>
    <w:rsid w:val="00D45634"/>
    <w:rsid w:val="00D45855"/>
    <w:rsid w:val="00D50E8F"/>
    <w:rsid w:val="00D514E0"/>
    <w:rsid w:val="00D515CD"/>
    <w:rsid w:val="00D51826"/>
    <w:rsid w:val="00D54C12"/>
    <w:rsid w:val="00D5568A"/>
    <w:rsid w:val="00D55908"/>
    <w:rsid w:val="00D56886"/>
    <w:rsid w:val="00D576CE"/>
    <w:rsid w:val="00D6089B"/>
    <w:rsid w:val="00D612DE"/>
    <w:rsid w:val="00D616EC"/>
    <w:rsid w:val="00D62BB2"/>
    <w:rsid w:val="00D62FAA"/>
    <w:rsid w:val="00D63D73"/>
    <w:rsid w:val="00D640FF"/>
    <w:rsid w:val="00D64452"/>
    <w:rsid w:val="00D65B69"/>
    <w:rsid w:val="00D65FA9"/>
    <w:rsid w:val="00D66E1E"/>
    <w:rsid w:val="00D66FBA"/>
    <w:rsid w:val="00D67553"/>
    <w:rsid w:val="00D67F9B"/>
    <w:rsid w:val="00D72057"/>
    <w:rsid w:val="00D74DE6"/>
    <w:rsid w:val="00D75722"/>
    <w:rsid w:val="00D75886"/>
    <w:rsid w:val="00D774C0"/>
    <w:rsid w:val="00D804E8"/>
    <w:rsid w:val="00D80CF5"/>
    <w:rsid w:val="00D92134"/>
    <w:rsid w:val="00D948AA"/>
    <w:rsid w:val="00D94D81"/>
    <w:rsid w:val="00D95AB0"/>
    <w:rsid w:val="00D95B84"/>
    <w:rsid w:val="00D95E3D"/>
    <w:rsid w:val="00D96599"/>
    <w:rsid w:val="00D977DA"/>
    <w:rsid w:val="00DA1812"/>
    <w:rsid w:val="00DA2525"/>
    <w:rsid w:val="00DA42AC"/>
    <w:rsid w:val="00DA4B0D"/>
    <w:rsid w:val="00DA58A9"/>
    <w:rsid w:val="00DA5BBA"/>
    <w:rsid w:val="00DA5DC0"/>
    <w:rsid w:val="00DA7453"/>
    <w:rsid w:val="00DB1157"/>
    <w:rsid w:val="00DB26D2"/>
    <w:rsid w:val="00DB2B49"/>
    <w:rsid w:val="00DB33FC"/>
    <w:rsid w:val="00DB67C9"/>
    <w:rsid w:val="00DB7D8A"/>
    <w:rsid w:val="00DC0C95"/>
    <w:rsid w:val="00DC200A"/>
    <w:rsid w:val="00DC2D81"/>
    <w:rsid w:val="00DC457C"/>
    <w:rsid w:val="00DD03E4"/>
    <w:rsid w:val="00DD0BFF"/>
    <w:rsid w:val="00DD185A"/>
    <w:rsid w:val="00DD1BBC"/>
    <w:rsid w:val="00DD215D"/>
    <w:rsid w:val="00DD3B2D"/>
    <w:rsid w:val="00DD4462"/>
    <w:rsid w:val="00DD6565"/>
    <w:rsid w:val="00DD6580"/>
    <w:rsid w:val="00DE4F54"/>
    <w:rsid w:val="00DE5FA9"/>
    <w:rsid w:val="00DE6188"/>
    <w:rsid w:val="00DE74EC"/>
    <w:rsid w:val="00DF3C6E"/>
    <w:rsid w:val="00DF5F90"/>
    <w:rsid w:val="00DF62FE"/>
    <w:rsid w:val="00E013F0"/>
    <w:rsid w:val="00E01C1A"/>
    <w:rsid w:val="00E04508"/>
    <w:rsid w:val="00E0600E"/>
    <w:rsid w:val="00E06898"/>
    <w:rsid w:val="00E07C77"/>
    <w:rsid w:val="00E116EB"/>
    <w:rsid w:val="00E11F24"/>
    <w:rsid w:val="00E14387"/>
    <w:rsid w:val="00E146B7"/>
    <w:rsid w:val="00E15065"/>
    <w:rsid w:val="00E15201"/>
    <w:rsid w:val="00E15E33"/>
    <w:rsid w:val="00E15EA5"/>
    <w:rsid w:val="00E161F4"/>
    <w:rsid w:val="00E1633E"/>
    <w:rsid w:val="00E163C5"/>
    <w:rsid w:val="00E17C72"/>
    <w:rsid w:val="00E21FC6"/>
    <w:rsid w:val="00E274CE"/>
    <w:rsid w:val="00E2790E"/>
    <w:rsid w:val="00E308C4"/>
    <w:rsid w:val="00E33100"/>
    <w:rsid w:val="00E34421"/>
    <w:rsid w:val="00E35297"/>
    <w:rsid w:val="00E35469"/>
    <w:rsid w:val="00E35958"/>
    <w:rsid w:val="00E36862"/>
    <w:rsid w:val="00E372EE"/>
    <w:rsid w:val="00E37D60"/>
    <w:rsid w:val="00E40152"/>
    <w:rsid w:val="00E41D90"/>
    <w:rsid w:val="00E431A9"/>
    <w:rsid w:val="00E44A6F"/>
    <w:rsid w:val="00E50987"/>
    <w:rsid w:val="00E51DB5"/>
    <w:rsid w:val="00E55771"/>
    <w:rsid w:val="00E64416"/>
    <w:rsid w:val="00E64F5B"/>
    <w:rsid w:val="00E65701"/>
    <w:rsid w:val="00E66784"/>
    <w:rsid w:val="00E669E2"/>
    <w:rsid w:val="00E70E0E"/>
    <w:rsid w:val="00E724E6"/>
    <w:rsid w:val="00E72DBF"/>
    <w:rsid w:val="00E73CA5"/>
    <w:rsid w:val="00E74486"/>
    <w:rsid w:val="00E76135"/>
    <w:rsid w:val="00E81B3E"/>
    <w:rsid w:val="00E81C76"/>
    <w:rsid w:val="00E81F78"/>
    <w:rsid w:val="00E81F7F"/>
    <w:rsid w:val="00E82F4F"/>
    <w:rsid w:val="00E82F8E"/>
    <w:rsid w:val="00E842D5"/>
    <w:rsid w:val="00E87EFD"/>
    <w:rsid w:val="00E91307"/>
    <w:rsid w:val="00E91B74"/>
    <w:rsid w:val="00E94201"/>
    <w:rsid w:val="00E94352"/>
    <w:rsid w:val="00E95417"/>
    <w:rsid w:val="00E96BE1"/>
    <w:rsid w:val="00E97CD0"/>
    <w:rsid w:val="00EA078D"/>
    <w:rsid w:val="00EA4EAE"/>
    <w:rsid w:val="00EA54E6"/>
    <w:rsid w:val="00EA56B6"/>
    <w:rsid w:val="00EA69E7"/>
    <w:rsid w:val="00EA799F"/>
    <w:rsid w:val="00EB0121"/>
    <w:rsid w:val="00EB0185"/>
    <w:rsid w:val="00EB0190"/>
    <w:rsid w:val="00EB12D4"/>
    <w:rsid w:val="00EB256F"/>
    <w:rsid w:val="00EB2CA3"/>
    <w:rsid w:val="00EB34BC"/>
    <w:rsid w:val="00EB4819"/>
    <w:rsid w:val="00EB5241"/>
    <w:rsid w:val="00EB582D"/>
    <w:rsid w:val="00EB625F"/>
    <w:rsid w:val="00EB7A11"/>
    <w:rsid w:val="00EC06F7"/>
    <w:rsid w:val="00EC1488"/>
    <w:rsid w:val="00EC1693"/>
    <w:rsid w:val="00EC2844"/>
    <w:rsid w:val="00EC2FA3"/>
    <w:rsid w:val="00EC4AB8"/>
    <w:rsid w:val="00EC5500"/>
    <w:rsid w:val="00EC7696"/>
    <w:rsid w:val="00ED0C51"/>
    <w:rsid w:val="00ED43CC"/>
    <w:rsid w:val="00EE1973"/>
    <w:rsid w:val="00EE27CE"/>
    <w:rsid w:val="00EE4203"/>
    <w:rsid w:val="00EE475D"/>
    <w:rsid w:val="00EE4BD2"/>
    <w:rsid w:val="00EF028D"/>
    <w:rsid w:val="00EF142D"/>
    <w:rsid w:val="00EF1CE5"/>
    <w:rsid w:val="00EF1D5C"/>
    <w:rsid w:val="00EF2CFB"/>
    <w:rsid w:val="00EF378C"/>
    <w:rsid w:val="00EF4AA1"/>
    <w:rsid w:val="00EF6C6C"/>
    <w:rsid w:val="00F03AEE"/>
    <w:rsid w:val="00F04B7F"/>
    <w:rsid w:val="00F056FC"/>
    <w:rsid w:val="00F06596"/>
    <w:rsid w:val="00F0659D"/>
    <w:rsid w:val="00F10476"/>
    <w:rsid w:val="00F135D8"/>
    <w:rsid w:val="00F170F6"/>
    <w:rsid w:val="00F172BD"/>
    <w:rsid w:val="00F230E8"/>
    <w:rsid w:val="00F2371A"/>
    <w:rsid w:val="00F243DF"/>
    <w:rsid w:val="00F25AA8"/>
    <w:rsid w:val="00F267D1"/>
    <w:rsid w:val="00F26D58"/>
    <w:rsid w:val="00F31299"/>
    <w:rsid w:val="00F3188C"/>
    <w:rsid w:val="00F3264F"/>
    <w:rsid w:val="00F32C6E"/>
    <w:rsid w:val="00F3314B"/>
    <w:rsid w:val="00F346D9"/>
    <w:rsid w:val="00F3534A"/>
    <w:rsid w:val="00F365D1"/>
    <w:rsid w:val="00F3718F"/>
    <w:rsid w:val="00F37F98"/>
    <w:rsid w:val="00F405A8"/>
    <w:rsid w:val="00F41385"/>
    <w:rsid w:val="00F41936"/>
    <w:rsid w:val="00F42673"/>
    <w:rsid w:val="00F4596F"/>
    <w:rsid w:val="00F45C6F"/>
    <w:rsid w:val="00F46196"/>
    <w:rsid w:val="00F47AB8"/>
    <w:rsid w:val="00F50877"/>
    <w:rsid w:val="00F50B4F"/>
    <w:rsid w:val="00F51609"/>
    <w:rsid w:val="00F52080"/>
    <w:rsid w:val="00F529CA"/>
    <w:rsid w:val="00F52F4D"/>
    <w:rsid w:val="00F54DD0"/>
    <w:rsid w:val="00F562B5"/>
    <w:rsid w:val="00F567A3"/>
    <w:rsid w:val="00F6086E"/>
    <w:rsid w:val="00F62857"/>
    <w:rsid w:val="00F63897"/>
    <w:rsid w:val="00F64D20"/>
    <w:rsid w:val="00F65C5A"/>
    <w:rsid w:val="00F65D46"/>
    <w:rsid w:val="00F663D5"/>
    <w:rsid w:val="00F664B3"/>
    <w:rsid w:val="00F665D2"/>
    <w:rsid w:val="00F670A8"/>
    <w:rsid w:val="00F72BEC"/>
    <w:rsid w:val="00F73140"/>
    <w:rsid w:val="00F751B3"/>
    <w:rsid w:val="00F75D72"/>
    <w:rsid w:val="00F8111F"/>
    <w:rsid w:val="00F81BA3"/>
    <w:rsid w:val="00F8243C"/>
    <w:rsid w:val="00F82743"/>
    <w:rsid w:val="00F848EE"/>
    <w:rsid w:val="00F85276"/>
    <w:rsid w:val="00F85325"/>
    <w:rsid w:val="00F86622"/>
    <w:rsid w:val="00F86716"/>
    <w:rsid w:val="00F903EE"/>
    <w:rsid w:val="00F92C44"/>
    <w:rsid w:val="00F93345"/>
    <w:rsid w:val="00F94A96"/>
    <w:rsid w:val="00F96D38"/>
    <w:rsid w:val="00F979EC"/>
    <w:rsid w:val="00FA0AEA"/>
    <w:rsid w:val="00FA202A"/>
    <w:rsid w:val="00FA4E1B"/>
    <w:rsid w:val="00FA6175"/>
    <w:rsid w:val="00FA667D"/>
    <w:rsid w:val="00FB23D7"/>
    <w:rsid w:val="00FB33F3"/>
    <w:rsid w:val="00FB47B0"/>
    <w:rsid w:val="00FB578D"/>
    <w:rsid w:val="00FB6D06"/>
    <w:rsid w:val="00FC28FD"/>
    <w:rsid w:val="00FC2FA2"/>
    <w:rsid w:val="00FC2FDF"/>
    <w:rsid w:val="00FC486F"/>
    <w:rsid w:val="00FC5535"/>
    <w:rsid w:val="00FC58DF"/>
    <w:rsid w:val="00FC7ED6"/>
    <w:rsid w:val="00FD0D28"/>
    <w:rsid w:val="00FD1087"/>
    <w:rsid w:val="00FD22B1"/>
    <w:rsid w:val="00FD2CB6"/>
    <w:rsid w:val="00FE1609"/>
    <w:rsid w:val="00FE24C6"/>
    <w:rsid w:val="00FE26EC"/>
    <w:rsid w:val="00FE38EF"/>
    <w:rsid w:val="00FE6C1A"/>
    <w:rsid w:val="00FE7697"/>
    <w:rsid w:val="00FF07ED"/>
    <w:rsid w:val="00FF24CC"/>
    <w:rsid w:val="00FF2AB3"/>
    <w:rsid w:val="00FF3391"/>
    <w:rsid w:val="00FF4F04"/>
    <w:rsid w:val="00FF5A8E"/>
    <w:rsid w:val="00FF654E"/>
    <w:rsid w:val="00FF7C7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Default Paragraph Font" w:uiPriority="1"/>
    <w:lsdException w:name="Body Text" w:qFormat="1"/>
    <w:lsdException w:name="Subtitle" w:qFormat="1"/>
    <w:lsdException w:name="Hyperlink"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690E17"/>
    <w:rPr>
      <w:sz w:val="24"/>
      <w:szCs w:val="24"/>
    </w:rPr>
  </w:style>
  <w:style w:type="paragraph" w:styleId="Heading1">
    <w:name w:val="heading 1"/>
    <w:basedOn w:val="BodyText"/>
    <w:next w:val="BodyText"/>
    <w:link w:val="Heading1Char"/>
    <w:rsid w:val="00690E17"/>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690E17"/>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690E17"/>
    <w:pPr>
      <w:spacing w:before="560" w:line="320" w:lineRule="exact"/>
      <w:ind w:left="0" w:firstLine="0"/>
      <w:outlineLvl w:val="2"/>
    </w:pPr>
    <w:rPr>
      <w:sz w:val="26"/>
    </w:rPr>
  </w:style>
  <w:style w:type="paragraph" w:styleId="Heading4">
    <w:name w:val="heading 4"/>
    <w:basedOn w:val="Heading3"/>
    <w:next w:val="BodyText"/>
    <w:link w:val="Heading4Char"/>
    <w:qFormat/>
    <w:rsid w:val="00690E17"/>
    <w:pPr>
      <w:spacing w:before="480"/>
      <w:outlineLvl w:val="3"/>
    </w:pPr>
    <w:rPr>
      <w:b w:val="0"/>
      <w:sz w:val="24"/>
    </w:rPr>
  </w:style>
  <w:style w:type="paragraph" w:styleId="Heading5">
    <w:name w:val="heading 5"/>
    <w:basedOn w:val="Heading4"/>
    <w:next w:val="BodyText"/>
    <w:link w:val="Heading5Char"/>
    <w:qFormat/>
    <w:rsid w:val="00690E17"/>
    <w:pPr>
      <w:outlineLvl w:val="4"/>
    </w:pPr>
    <w:rPr>
      <w:i/>
      <w:sz w:val="22"/>
    </w:rPr>
  </w:style>
  <w:style w:type="paragraph" w:styleId="Heading6">
    <w:name w:val="heading 6"/>
    <w:basedOn w:val="BodyText"/>
    <w:next w:val="BodyText"/>
    <w:rsid w:val="00690E17"/>
    <w:pPr>
      <w:spacing w:after="60"/>
      <w:jc w:val="left"/>
      <w:outlineLvl w:val="5"/>
    </w:pPr>
    <w:rPr>
      <w:i/>
      <w:sz w:val="22"/>
    </w:rPr>
  </w:style>
  <w:style w:type="paragraph" w:styleId="Heading7">
    <w:name w:val="heading 7"/>
    <w:basedOn w:val="BodyText"/>
    <w:next w:val="BodyText"/>
    <w:rsid w:val="00690E17"/>
    <w:pPr>
      <w:spacing w:after="60" w:line="240" w:lineRule="auto"/>
      <w:jc w:val="left"/>
      <w:outlineLvl w:val="6"/>
    </w:pPr>
    <w:rPr>
      <w:rFonts w:ascii="Arial" w:hAnsi="Arial"/>
      <w:sz w:val="20"/>
    </w:rPr>
  </w:style>
  <w:style w:type="paragraph" w:styleId="Heading8">
    <w:name w:val="heading 8"/>
    <w:basedOn w:val="BodyText"/>
    <w:next w:val="BodyText"/>
    <w:rsid w:val="00690E17"/>
    <w:pPr>
      <w:spacing w:after="60" w:line="240" w:lineRule="auto"/>
      <w:jc w:val="left"/>
      <w:outlineLvl w:val="7"/>
    </w:pPr>
    <w:rPr>
      <w:rFonts w:ascii="Arial" w:hAnsi="Arial"/>
      <w:i/>
      <w:sz w:val="20"/>
    </w:rPr>
  </w:style>
  <w:style w:type="paragraph" w:styleId="Heading9">
    <w:name w:val="heading 9"/>
    <w:basedOn w:val="BodyText"/>
    <w:next w:val="BodyText"/>
    <w:rsid w:val="00690E17"/>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690E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0E17"/>
  </w:style>
  <w:style w:type="paragraph" w:styleId="BodyText">
    <w:name w:val="Body Text"/>
    <w:link w:val="BodyTextChar"/>
    <w:qFormat/>
    <w:rsid w:val="00690E17"/>
    <w:pPr>
      <w:spacing w:before="240" w:line="300" w:lineRule="atLeast"/>
      <w:jc w:val="both"/>
    </w:pPr>
    <w:rPr>
      <w:sz w:val="24"/>
    </w:rPr>
  </w:style>
  <w:style w:type="paragraph" w:styleId="Footer">
    <w:name w:val="footer"/>
    <w:basedOn w:val="BodyText"/>
    <w:link w:val="FooterChar"/>
    <w:rsid w:val="00690E17"/>
    <w:pPr>
      <w:spacing w:before="80" w:line="200" w:lineRule="exact"/>
      <w:ind w:right="6"/>
      <w:jc w:val="left"/>
    </w:pPr>
    <w:rPr>
      <w:rFonts w:ascii="Arial" w:hAnsi="Arial"/>
      <w:caps/>
      <w:spacing w:val="-4"/>
      <w:sz w:val="16"/>
    </w:rPr>
  </w:style>
  <w:style w:type="paragraph" w:customStyle="1" w:styleId="FooterEnd">
    <w:name w:val="Footer End"/>
    <w:basedOn w:val="Footer"/>
    <w:rsid w:val="00690E17"/>
    <w:pPr>
      <w:spacing w:before="0" w:line="20" w:lineRule="exact"/>
    </w:pPr>
  </w:style>
  <w:style w:type="paragraph" w:styleId="Header">
    <w:name w:val="header"/>
    <w:basedOn w:val="BodyText"/>
    <w:rsid w:val="00690E17"/>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690E17"/>
    <w:pPr>
      <w:spacing w:line="20" w:lineRule="exact"/>
    </w:pPr>
    <w:rPr>
      <w:sz w:val="16"/>
    </w:rPr>
  </w:style>
  <w:style w:type="paragraph" w:customStyle="1" w:styleId="HeaderEven">
    <w:name w:val="Header Even"/>
    <w:basedOn w:val="Header"/>
    <w:semiHidden/>
    <w:rsid w:val="00690E17"/>
  </w:style>
  <w:style w:type="paragraph" w:customStyle="1" w:styleId="HeaderOdd">
    <w:name w:val="Header Odd"/>
    <w:basedOn w:val="Header"/>
    <w:semiHidden/>
    <w:rsid w:val="00690E17"/>
  </w:style>
  <w:style w:type="character" w:styleId="PageNumber">
    <w:name w:val="page number"/>
    <w:basedOn w:val="DefaultParagraphFont"/>
    <w:rsid w:val="00690E17"/>
    <w:rPr>
      <w:rFonts w:ascii="Arial" w:hAnsi="Arial"/>
      <w:b/>
      <w:sz w:val="16"/>
    </w:rPr>
  </w:style>
  <w:style w:type="paragraph" w:customStyle="1" w:styleId="Abbreviation">
    <w:name w:val="Abbreviation"/>
    <w:basedOn w:val="BodyText"/>
    <w:rsid w:val="00690E17"/>
    <w:pPr>
      <w:spacing w:before="120"/>
      <w:ind w:left="2381" w:hanging="2381"/>
      <w:jc w:val="left"/>
    </w:pPr>
  </w:style>
  <w:style w:type="paragraph" w:customStyle="1" w:styleId="Box">
    <w:name w:val="Box"/>
    <w:basedOn w:val="BodyText"/>
    <w:link w:val="BoxChar"/>
    <w:qFormat/>
    <w:rsid w:val="00690E17"/>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690E17"/>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690E17"/>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690E17"/>
    <w:rPr>
      <w:b w:val="0"/>
      <w:i/>
    </w:rPr>
  </w:style>
  <w:style w:type="paragraph" w:customStyle="1" w:styleId="BoxListBullet">
    <w:name w:val="Box List Bullet"/>
    <w:basedOn w:val="BodyText"/>
    <w:link w:val="BoxListBulletChar"/>
    <w:rsid w:val="00690E17"/>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690E17"/>
    <w:pPr>
      <w:numPr>
        <w:numId w:val="16"/>
      </w:numPr>
      <w:ind w:left="568" w:hanging="284"/>
    </w:pPr>
  </w:style>
  <w:style w:type="paragraph" w:customStyle="1" w:styleId="BoxListNumber">
    <w:name w:val="Box List Number"/>
    <w:basedOn w:val="BodyText"/>
    <w:link w:val="BoxListNumberChar"/>
    <w:rsid w:val="00690E17"/>
    <w:pPr>
      <w:keepNext/>
      <w:numPr>
        <w:numId w:val="12"/>
      </w:numPr>
      <w:spacing w:before="100" w:line="260" w:lineRule="atLeast"/>
    </w:pPr>
    <w:rPr>
      <w:rFonts w:ascii="Arial" w:hAnsi="Arial"/>
      <w:sz w:val="20"/>
    </w:rPr>
  </w:style>
  <w:style w:type="paragraph" w:customStyle="1" w:styleId="BoxListNumber2">
    <w:name w:val="Box List Number 2"/>
    <w:basedOn w:val="BoxListNumber"/>
    <w:link w:val="BoxListNumber2Char"/>
    <w:rsid w:val="00690E17"/>
    <w:pPr>
      <w:numPr>
        <w:ilvl w:val="1"/>
      </w:numPr>
      <w:ind w:left="681" w:hanging="397"/>
    </w:pPr>
  </w:style>
  <w:style w:type="paragraph" w:customStyle="1" w:styleId="BoxQuote">
    <w:name w:val="Box Quote"/>
    <w:basedOn w:val="BodyText"/>
    <w:next w:val="Box"/>
    <w:link w:val="BoxQuoteChar"/>
    <w:qFormat/>
    <w:rsid w:val="00690E17"/>
    <w:pPr>
      <w:keepNext/>
      <w:spacing w:before="60" w:line="240" w:lineRule="exact"/>
      <w:ind w:left="284"/>
    </w:pPr>
    <w:rPr>
      <w:rFonts w:ascii="Arial" w:hAnsi="Arial"/>
      <w:sz w:val="18"/>
    </w:rPr>
  </w:style>
  <w:style w:type="paragraph" w:customStyle="1" w:styleId="Note">
    <w:name w:val="Note"/>
    <w:basedOn w:val="BodyText"/>
    <w:next w:val="BodyText"/>
    <w:link w:val="NoteChar"/>
    <w:rsid w:val="00690E17"/>
    <w:pPr>
      <w:keepLines/>
      <w:spacing w:before="80" w:line="220" w:lineRule="exact"/>
    </w:pPr>
    <w:rPr>
      <w:rFonts w:ascii="Arial" w:hAnsi="Arial"/>
      <w:sz w:val="18"/>
    </w:rPr>
  </w:style>
  <w:style w:type="paragraph" w:customStyle="1" w:styleId="Source">
    <w:name w:val="Source"/>
    <w:basedOn w:val="Normal"/>
    <w:next w:val="BodyText"/>
    <w:link w:val="SourceChar"/>
    <w:rsid w:val="00690E17"/>
    <w:pPr>
      <w:keepLines/>
      <w:spacing w:before="80" w:line="220" w:lineRule="exact"/>
      <w:jc w:val="both"/>
    </w:pPr>
    <w:rPr>
      <w:rFonts w:ascii="Arial" w:hAnsi="Arial"/>
      <w:sz w:val="18"/>
      <w:szCs w:val="20"/>
    </w:rPr>
  </w:style>
  <w:style w:type="paragraph" w:customStyle="1" w:styleId="BoxSource">
    <w:name w:val="Box Source"/>
    <w:basedOn w:val="Source"/>
    <w:next w:val="BodyText"/>
    <w:rsid w:val="00690E17"/>
    <w:pPr>
      <w:spacing w:before="12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690E17"/>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690E17"/>
    <w:pPr>
      <w:spacing w:before="120" w:after="0"/>
    </w:pPr>
  </w:style>
  <w:style w:type="paragraph" w:customStyle="1" w:styleId="BoxSubtitle">
    <w:name w:val="Box Subtitle"/>
    <w:basedOn w:val="BoxTitle"/>
    <w:next w:val="Normal"/>
    <w:rsid w:val="00690E17"/>
    <w:pPr>
      <w:spacing w:after="80" w:line="200" w:lineRule="exact"/>
      <w:ind w:firstLine="0"/>
    </w:pPr>
    <w:rPr>
      <w:b w:val="0"/>
      <w:sz w:val="20"/>
    </w:rPr>
  </w:style>
  <w:style w:type="paragraph" w:customStyle="1" w:styleId="Chapter">
    <w:name w:val="Chapter"/>
    <w:basedOn w:val="Heading1"/>
    <w:next w:val="BodyText"/>
    <w:link w:val="ChapterChar"/>
    <w:semiHidden/>
    <w:rsid w:val="00690E17"/>
    <w:pPr>
      <w:ind w:left="0" w:firstLine="0"/>
      <w:outlineLvl w:val="9"/>
    </w:pPr>
  </w:style>
  <w:style w:type="paragraph" w:customStyle="1" w:styleId="ChapterSummary">
    <w:name w:val="Chapter Summary"/>
    <w:basedOn w:val="BodyText"/>
    <w:rsid w:val="00690E17"/>
    <w:pPr>
      <w:spacing w:line="280" w:lineRule="atLeast"/>
      <w:ind w:left="907"/>
    </w:pPr>
    <w:rPr>
      <w:rFonts w:ascii="Arial" w:hAnsi="Arial"/>
      <w:b/>
      <w:sz w:val="20"/>
    </w:rPr>
  </w:style>
  <w:style w:type="character" w:styleId="CommentReference">
    <w:name w:val="annotation reference"/>
    <w:basedOn w:val="DefaultParagraphFont"/>
    <w:semiHidden/>
    <w:rsid w:val="00690E17"/>
    <w:rPr>
      <w:b/>
      <w:vanish/>
      <w:color w:val="FF00FF"/>
      <w:sz w:val="20"/>
    </w:rPr>
  </w:style>
  <w:style w:type="paragraph" w:styleId="CommentText">
    <w:name w:val="annotation text"/>
    <w:basedOn w:val="Normal"/>
    <w:link w:val="CommentTextChar"/>
    <w:semiHidden/>
    <w:rsid w:val="00690E17"/>
    <w:pPr>
      <w:spacing w:before="120" w:line="240" w:lineRule="atLeast"/>
      <w:ind w:left="567" w:hanging="567"/>
    </w:pPr>
    <w:rPr>
      <w:sz w:val="20"/>
    </w:rPr>
  </w:style>
  <w:style w:type="paragraph" w:customStyle="1" w:styleId="Continued">
    <w:name w:val="Continued"/>
    <w:basedOn w:val="BoxContinued"/>
    <w:next w:val="BodyText"/>
    <w:rsid w:val="00690E17"/>
  </w:style>
  <w:style w:type="character" w:customStyle="1" w:styleId="DocumentInfo">
    <w:name w:val="Document Info"/>
    <w:basedOn w:val="DefaultParagraphFont"/>
    <w:semiHidden/>
    <w:rsid w:val="00690E17"/>
    <w:rPr>
      <w:rFonts w:ascii="Arial" w:hAnsi="Arial"/>
      <w:sz w:val="14"/>
    </w:rPr>
  </w:style>
  <w:style w:type="character" w:customStyle="1" w:styleId="DraftingNote">
    <w:name w:val="Drafting Note"/>
    <w:basedOn w:val="DefaultParagraphFont"/>
    <w:rsid w:val="00690E17"/>
    <w:rPr>
      <w:b/>
      <w:color w:val="FF0000"/>
      <w:sz w:val="24"/>
      <w:u w:val="dotted"/>
    </w:rPr>
  </w:style>
  <w:style w:type="paragraph" w:customStyle="1" w:styleId="Figure">
    <w:name w:val="Figure"/>
    <w:basedOn w:val="BodyText"/>
    <w:rsid w:val="00690E17"/>
    <w:pPr>
      <w:keepNext/>
      <w:spacing w:before="120" w:after="120" w:line="240" w:lineRule="atLeast"/>
      <w:jc w:val="center"/>
    </w:pPr>
  </w:style>
  <w:style w:type="paragraph" w:customStyle="1" w:styleId="FigureTitle">
    <w:name w:val="Figure Title"/>
    <w:basedOn w:val="Caption"/>
    <w:next w:val="Subtitle"/>
    <w:rsid w:val="00690E17"/>
    <w:pPr>
      <w:spacing w:before="120"/>
    </w:pPr>
  </w:style>
  <w:style w:type="paragraph" w:styleId="Subtitle">
    <w:name w:val="Subtitle"/>
    <w:basedOn w:val="Caption"/>
    <w:link w:val="SubtitleChar"/>
    <w:qFormat/>
    <w:rsid w:val="00690E17"/>
    <w:pPr>
      <w:spacing w:before="0" w:line="200" w:lineRule="exact"/>
      <w:ind w:firstLine="0"/>
    </w:pPr>
    <w:rPr>
      <w:b w:val="0"/>
      <w:sz w:val="20"/>
    </w:rPr>
  </w:style>
  <w:style w:type="paragraph" w:customStyle="1" w:styleId="Finding">
    <w:name w:val="Finding"/>
    <w:basedOn w:val="BodyText"/>
    <w:rsid w:val="00690E17"/>
    <w:pPr>
      <w:keepLines/>
      <w:spacing w:before="120" w:line="280" w:lineRule="atLeast"/>
    </w:pPr>
    <w:rPr>
      <w:rFonts w:ascii="Arial" w:hAnsi="Arial"/>
      <w:sz w:val="22"/>
    </w:rPr>
  </w:style>
  <w:style w:type="paragraph" w:customStyle="1" w:styleId="FindingBullet">
    <w:name w:val="Finding Bullet"/>
    <w:basedOn w:val="Finding"/>
    <w:rsid w:val="00690E17"/>
    <w:pPr>
      <w:numPr>
        <w:numId w:val="2"/>
      </w:numPr>
      <w:spacing w:before="80"/>
    </w:pPr>
  </w:style>
  <w:style w:type="paragraph" w:customStyle="1" w:styleId="FindingNoTitle">
    <w:name w:val="Finding NoTitle"/>
    <w:basedOn w:val="Finding"/>
    <w:rsid w:val="00690E17"/>
    <w:pPr>
      <w:spacing w:before="240"/>
    </w:pPr>
  </w:style>
  <w:style w:type="paragraph" w:customStyle="1" w:styleId="RecTitle">
    <w:name w:val="Rec Title"/>
    <w:basedOn w:val="BodyText"/>
    <w:next w:val="Rec"/>
    <w:qFormat/>
    <w:rsid w:val="00690E17"/>
    <w:pPr>
      <w:keepNext/>
      <w:keepLines/>
      <w:spacing w:line="280" w:lineRule="atLeast"/>
    </w:pPr>
    <w:rPr>
      <w:rFonts w:ascii="Arial" w:hAnsi="Arial"/>
      <w:caps/>
      <w:sz w:val="18"/>
    </w:rPr>
  </w:style>
  <w:style w:type="paragraph" w:customStyle="1" w:styleId="FindingTitle">
    <w:name w:val="Finding Title"/>
    <w:basedOn w:val="RecTitle"/>
    <w:next w:val="Finding"/>
    <w:rsid w:val="00690E17"/>
  </w:style>
  <w:style w:type="character" w:styleId="FootnoteReference">
    <w:name w:val="footnote reference"/>
    <w:basedOn w:val="DefaultParagraphFont"/>
    <w:semiHidden/>
    <w:rsid w:val="00690E17"/>
    <w:rPr>
      <w:rFonts w:ascii="Times New Roman" w:hAnsi="Times New Roman"/>
      <w:position w:val="6"/>
      <w:sz w:val="20"/>
      <w:vertAlign w:val="baseline"/>
    </w:rPr>
  </w:style>
  <w:style w:type="paragraph" w:styleId="FootnoteText">
    <w:name w:val="footnote text"/>
    <w:basedOn w:val="BodyText"/>
    <w:link w:val="FootnoteTextChar"/>
    <w:rsid w:val="00690E1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690E17"/>
    <w:rPr>
      <w:i/>
    </w:rPr>
  </w:style>
  <w:style w:type="paragraph" w:customStyle="1" w:styleId="Jurisdictioncommentsbodytext">
    <w:name w:val="Jurisdiction comments body text"/>
    <w:rsid w:val="00690E17"/>
    <w:pPr>
      <w:spacing w:after="140"/>
      <w:jc w:val="both"/>
    </w:pPr>
    <w:rPr>
      <w:rFonts w:ascii="Arial" w:hAnsi="Arial"/>
      <w:sz w:val="24"/>
      <w:lang w:eastAsia="en-US"/>
    </w:rPr>
  </w:style>
  <w:style w:type="paragraph" w:customStyle="1" w:styleId="Jurisdictioncommentsheading">
    <w:name w:val="Jurisdiction comments heading"/>
    <w:rsid w:val="00690E17"/>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690E17"/>
    <w:pPr>
      <w:numPr>
        <w:numId w:val="3"/>
      </w:numPr>
      <w:spacing w:after="140"/>
      <w:jc w:val="both"/>
    </w:pPr>
    <w:rPr>
      <w:rFonts w:ascii="Arial" w:hAnsi="Arial"/>
      <w:sz w:val="24"/>
      <w:lang w:eastAsia="en-US"/>
    </w:rPr>
  </w:style>
  <w:style w:type="paragraph" w:styleId="ListBullet">
    <w:name w:val="List Bullet"/>
    <w:basedOn w:val="BodyText"/>
    <w:link w:val="ListBulletChar"/>
    <w:rsid w:val="00690E17"/>
    <w:pPr>
      <w:numPr>
        <w:numId w:val="4"/>
      </w:numPr>
      <w:spacing w:before="120"/>
    </w:pPr>
  </w:style>
  <w:style w:type="paragraph" w:styleId="ListBullet2">
    <w:name w:val="List Bullet 2"/>
    <w:basedOn w:val="BodyText"/>
    <w:rsid w:val="00690E17"/>
    <w:pPr>
      <w:numPr>
        <w:numId w:val="5"/>
      </w:numPr>
      <w:spacing w:before="120"/>
    </w:pPr>
  </w:style>
  <w:style w:type="paragraph" w:styleId="ListBullet3">
    <w:name w:val="List Bullet 3"/>
    <w:basedOn w:val="BodyText"/>
    <w:rsid w:val="00690E17"/>
    <w:pPr>
      <w:numPr>
        <w:numId w:val="6"/>
      </w:numPr>
      <w:spacing w:before="120"/>
      <w:ind w:left="1020" w:hanging="340"/>
    </w:pPr>
  </w:style>
  <w:style w:type="paragraph" w:styleId="ListNumber">
    <w:name w:val="List Number"/>
    <w:basedOn w:val="BodyText"/>
    <w:rsid w:val="00690E17"/>
    <w:pPr>
      <w:numPr>
        <w:numId w:val="11"/>
      </w:numPr>
      <w:spacing w:before="120"/>
    </w:pPr>
  </w:style>
  <w:style w:type="paragraph" w:styleId="ListNumber2">
    <w:name w:val="List Number 2"/>
    <w:basedOn w:val="ListNumber"/>
    <w:rsid w:val="00690E17"/>
    <w:pPr>
      <w:numPr>
        <w:ilvl w:val="1"/>
      </w:numPr>
    </w:pPr>
  </w:style>
  <w:style w:type="paragraph" w:styleId="ListNumber3">
    <w:name w:val="List Number 3"/>
    <w:basedOn w:val="ListNumber2"/>
    <w:rsid w:val="00690E17"/>
    <w:pPr>
      <w:numPr>
        <w:ilvl w:val="2"/>
      </w:numPr>
    </w:pPr>
  </w:style>
  <w:style w:type="character" w:customStyle="1" w:styleId="NoteLabel">
    <w:name w:val="Note Label"/>
    <w:basedOn w:val="DefaultParagraphFont"/>
    <w:rsid w:val="00690E17"/>
    <w:rPr>
      <w:rFonts w:ascii="Arial" w:hAnsi="Arial"/>
      <w:b/>
      <w:position w:val="6"/>
      <w:sz w:val="18"/>
    </w:rPr>
  </w:style>
  <w:style w:type="paragraph" w:customStyle="1" w:styleId="PartDivider">
    <w:name w:val="Part Divider"/>
    <w:basedOn w:val="BodyText"/>
    <w:next w:val="BodyText"/>
    <w:semiHidden/>
    <w:rsid w:val="00690E17"/>
    <w:pPr>
      <w:spacing w:before="0" w:line="40" w:lineRule="exact"/>
      <w:jc w:val="right"/>
    </w:pPr>
    <w:rPr>
      <w:smallCaps/>
      <w:sz w:val="16"/>
    </w:rPr>
  </w:style>
  <w:style w:type="paragraph" w:customStyle="1" w:styleId="PartNumber">
    <w:name w:val="Part Number"/>
    <w:basedOn w:val="BodyText"/>
    <w:next w:val="BodyText"/>
    <w:semiHidden/>
    <w:rsid w:val="00690E17"/>
    <w:pPr>
      <w:spacing w:before="4000" w:line="320" w:lineRule="exact"/>
      <w:ind w:left="6634"/>
      <w:jc w:val="right"/>
    </w:pPr>
    <w:rPr>
      <w:smallCaps/>
      <w:spacing w:val="60"/>
      <w:sz w:val="32"/>
    </w:rPr>
  </w:style>
  <w:style w:type="paragraph" w:customStyle="1" w:styleId="PartTitle">
    <w:name w:val="Part Title"/>
    <w:basedOn w:val="BodyText"/>
    <w:semiHidden/>
    <w:rsid w:val="00690E17"/>
    <w:pPr>
      <w:spacing w:before="160" w:after="1360" w:line="520" w:lineRule="exact"/>
      <w:ind w:right="2381"/>
      <w:jc w:val="right"/>
    </w:pPr>
    <w:rPr>
      <w:smallCaps/>
      <w:sz w:val="52"/>
    </w:rPr>
  </w:style>
  <w:style w:type="paragraph" w:styleId="Quote">
    <w:name w:val="Quote"/>
    <w:basedOn w:val="BodyText"/>
    <w:next w:val="BodyText"/>
    <w:qFormat/>
    <w:rsid w:val="00690E17"/>
    <w:pPr>
      <w:spacing w:before="120" w:line="280" w:lineRule="exact"/>
      <w:ind w:left="340"/>
    </w:pPr>
    <w:rPr>
      <w:sz w:val="22"/>
    </w:rPr>
  </w:style>
  <w:style w:type="paragraph" w:customStyle="1" w:styleId="QuoteBullet">
    <w:name w:val="Quote Bullet"/>
    <w:basedOn w:val="Quote"/>
    <w:rsid w:val="00690E17"/>
    <w:pPr>
      <w:numPr>
        <w:numId w:val="7"/>
      </w:numPr>
    </w:pPr>
  </w:style>
  <w:style w:type="paragraph" w:customStyle="1" w:styleId="Rec">
    <w:name w:val="Rec"/>
    <w:basedOn w:val="BodyText"/>
    <w:qFormat/>
    <w:rsid w:val="00690E17"/>
    <w:pPr>
      <w:keepLines/>
      <w:spacing w:before="120" w:line="280" w:lineRule="atLeast"/>
    </w:pPr>
    <w:rPr>
      <w:rFonts w:ascii="Arial" w:hAnsi="Arial"/>
      <w:sz w:val="22"/>
    </w:rPr>
  </w:style>
  <w:style w:type="paragraph" w:customStyle="1" w:styleId="RecBullet">
    <w:name w:val="Rec Bullet"/>
    <w:basedOn w:val="Rec"/>
    <w:rsid w:val="00690E17"/>
    <w:pPr>
      <w:numPr>
        <w:numId w:val="8"/>
      </w:numPr>
      <w:spacing w:before="80"/>
    </w:pPr>
  </w:style>
  <w:style w:type="paragraph" w:customStyle="1" w:styleId="RecB">
    <w:name w:val="RecB"/>
    <w:basedOn w:val="Normal"/>
    <w:rsid w:val="00690E17"/>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690E17"/>
    <w:pPr>
      <w:numPr>
        <w:numId w:val="13"/>
      </w:numPr>
      <w:spacing w:before="80"/>
    </w:pPr>
  </w:style>
  <w:style w:type="paragraph" w:customStyle="1" w:styleId="RecBNoTitle">
    <w:name w:val="RecB NoTitle"/>
    <w:basedOn w:val="RecB"/>
    <w:rsid w:val="00690E17"/>
    <w:pPr>
      <w:spacing w:before="240"/>
    </w:pPr>
  </w:style>
  <w:style w:type="paragraph" w:customStyle="1" w:styleId="Reference">
    <w:name w:val="Reference"/>
    <w:basedOn w:val="BodyText"/>
    <w:link w:val="ReferenceChar"/>
    <w:rsid w:val="00690E17"/>
    <w:pPr>
      <w:spacing w:before="120"/>
      <w:ind w:left="340" w:hanging="340"/>
    </w:pPr>
  </w:style>
  <w:style w:type="paragraph" w:customStyle="1" w:styleId="SequenceInfo">
    <w:name w:val="Sequence Info"/>
    <w:basedOn w:val="BodyText"/>
    <w:semiHidden/>
    <w:rsid w:val="00690E17"/>
    <w:rPr>
      <w:vanish/>
      <w:sz w:val="16"/>
    </w:rPr>
  </w:style>
  <w:style w:type="paragraph" w:customStyle="1" w:styleId="SideNote">
    <w:name w:val="Side Note"/>
    <w:basedOn w:val="BodyText"/>
    <w:next w:val="BodyText"/>
    <w:semiHidden/>
    <w:rsid w:val="00690E17"/>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690E17"/>
    <w:pPr>
      <w:framePr w:wrap="around"/>
      <w:numPr>
        <w:numId w:val="9"/>
      </w:numPr>
      <w:tabs>
        <w:tab w:val="left" w:pos="227"/>
      </w:tabs>
    </w:pPr>
  </w:style>
  <w:style w:type="paragraph" w:customStyle="1" w:styleId="SideNoteGraphic">
    <w:name w:val="Side Note Graphic"/>
    <w:basedOn w:val="SideNote"/>
    <w:next w:val="BodyText"/>
    <w:semiHidden/>
    <w:rsid w:val="00690E17"/>
    <w:pPr>
      <w:framePr w:wrap="around"/>
    </w:pPr>
  </w:style>
  <w:style w:type="paragraph" w:customStyle="1" w:styleId="TableBodyText">
    <w:name w:val="Table Body Text"/>
    <w:basedOn w:val="BodyText"/>
    <w:link w:val="TableBodyTextChar"/>
    <w:rsid w:val="00690E17"/>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690E17"/>
    <w:pPr>
      <w:numPr>
        <w:numId w:val="10"/>
      </w:numPr>
      <w:jc w:val="left"/>
    </w:pPr>
  </w:style>
  <w:style w:type="paragraph" w:customStyle="1" w:styleId="TableColumnHeading">
    <w:name w:val="Table Column Heading"/>
    <w:basedOn w:val="TableBodyText"/>
    <w:rsid w:val="00690E17"/>
    <w:pPr>
      <w:spacing w:before="80" w:after="80"/>
    </w:pPr>
    <w:rPr>
      <w:i/>
    </w:rPr>
  </w:style>
  <w:style w:type="paragraph" w:styleId="TOC2">
    <w:name w:val="toc 2"/>
    <w:basedOn w:val="TOC1"/>
    <w:rsid w:val="00690E17"/>
    <w:pPr>
      <w:ind w:left="1134" w:hanging="624"/>
    </w:pPr>
    <w:rPr>
      <w:b w:val="0"/>
    </w:rPr>
  </w:style>
  <w:style w:type="paragraph" w:styleId="TOC3">
    <w:name w:val="toc 3"/>
    <w:basedOn w:val="TOC2"/>
    <w:rsid w:val="00690E17"/>
    <w:pPr>
      <w:spacing w:before="60"/>
      <w:ind w:left="1190" w:hanging="680"/>
    </w:pPr>
  </w:style>
  <w:style w:type="paragraph" w:styleId="TableofFigures">
    <w:name w:val="table of figures"/>
    <w:basedOn w:val="TOC3"/>
    <w:next w:val="BodyText"/>
    <w:semiHidden/>
    <w:rsid w:val="00690E17"/>
    <w:pPr>
      <w:ind w:left="737" w:hanging="737"/>
    </w:pPr>
  </w:style>
  <w:style w:type="paragraph" w:customStyle="1" w:styleId="TableTitle">
    <w:name w:val="Table Title"/>
    <w:basedOn w:val="Caption"/>
    <w:next w:val="Subtitle"/>
    <w:qFormat/>
    <w:rsid w:val="00690E17"/>
    <w:pPr>
      <w:spacing w:before="120"/>
    </w:pPr>
  </w:style>
  <w:style w:type="paragraph" w:customStyle="1" w:styleId="TableUnitsRow">
    <w:name w:val="Table Units Row"/>
    <w:basedOn w:val="TableBodyText"/>
    <w:rsid w:val="00690E17"/>
    <w:pPr>
      <w:spacing w:before="40"/>
    </w:pPr>
  </w:style>
  <w:style w:type="paragraph" w:styleId="TOC1">
    <w:name w:val="toc 1"/>
    <w:basedOn w:val="Normal"/>
    <w:next w:val="TOC2"/>
    <w:link w:val="TOC1Char"/>
    <w:rsid w:val="00690E1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690E17"/>
    <w:pPr>
      <w:ind w:left="1191" w:firstLine="0"/>
    </w:pPr>
  </w:style>
  <w:style w:type="paragraph" w:customStyle="1" w:styleId="RecBBullet2">
    <w:name w:val="RecB Bullet 2"/>
    <w:basedOn w:val="ListBullet2"/>
    <w:semiHidden/>
    <w:rsid w:val="00690E17"/>
    <w:pPr>
      <w:pBdr>
        <w:left w:val="single" w:sz="24" w:space="29" w:color="C0C0C0"/>
      </w:pBdr>
    </w:pPr>
    <w:rPr>
      <w:b/>
      <w:i/>
    </w:rPr>
  </w:style>
  <w:style w:type="paragraph" w:styleId="BalloonText">
    <w:name w:val="Balloon Text"/>
    <w:basedOn w:val="Normal"/>
    <w:link w:val="BalloonTextChar"/>
    <w:rsid w:val="00690E17"/>
    <w:rPr>
      <w:rFonts w:ascii="Tahoma" w:hAnsi="Tahoma" w:cs="Tahoma"/>
      <w:sz w:val="16"/>
      <w:szCs w:val="16"/>
    </w:rPr>
  </w:style>
  <w:style w:type="character" w:customStyle="1" w:styleId="BalloonTextChar">
    <w:name w:val="Balloon Text Char"/>
    <w:basedOn w:val="DefaultParagraphFont"/>
    <w:link w:val="BalloonText"/>
    <w:rsid w:val="00690E17"/>
    <w:rPr>
      <w:rFonts w:ascii="Tahoma" w:hAnsi="Tahoma" w:cs="Tahoma"/>
      <w:sz w:val="16"/>
      <w:szCs w:val="16"/>
    </w:rPr>
  </w:style>
  <w:style w:type="character" w:customStyle="1" w:styleId="SubtitleChar">
    <w:name w:val="Subtitle Char"/>
    <w:basedOn w:val="DefaultParagraphFont"/>
    <w:link w:val="Subtitle"/>
    <w:rsid w:val="00690E17"/>
    <w:rPr>
      <w:rFonts w:ascii="Arial" w:hAnsi="Arial"/>
      <w:szCs w:val="24"/>
    </w:rPr>
  </w:style>
  <w:style w:type="paragraph" w:customStyle="1" w:styleId="BoxListBullet3">
    <w:name w:val="Box List Bullet 3"/>
    <w:basedOn w:val="ListBullet3"/>
    <w:rsid w:val="00690E17"/>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690E17"/>
    <w:rPr>
      <w:i/>
      <w:iCs/>
    </w:rPr>
  </w:style>
  <w:style w:type="paragraph" w:customStyle="1" w:styleId="BoxQuoteBullet">
    <w:name w:val="Box Quote Bullet"/>
    <w:basedOn w:val="BoxQuote"/>
    <w:next w:val="Box"/>
    <w:rsid w:val="00690E17"/>
    <w:pPr>
      <w:numPr>
        <w:numId w:val="14"/>
      </w:numPr>
      <w:ind w:left="568" w:hanging="284"/>
    </w:pPr>
  </w:style>
  <w:style w:type="paragraph" w:customStyle="1" w:styleId="InformationRequestBullet">
    <w:name w:val="Information Request Bullet"/>
    <w:basedOn w:val="ListBullet"/>
    <w:next w:val="BodyText"/>
    <w:rsid w:val="00690E17"/>
    <w:pPr>
      <w:numPr>
        <w:numId w:val="15"/>
      </w:numPr>
      <w:spacing w:before="80" w:line="280" w:lineRule="atLeast"/>
      <w:ind w:left="357" w:hanging="357"/>
    </w:pPr>
    <w:rPr>
      <w:rFonts w:ascii="Arial" w:hAnsi="Arial"/>
      <w:i/>
      <w:sz w:val="22"/>
    </w:rPr>
  </w:style>
  <w:style w:type="character" w:customStyle="1" w:styleId="NoteChar">
    <w:name w:val="Note Char"/>
    <w:link w:val="Note"/>
    <w:rsid w:val="00666ECE"/>
    <w:rPr>
      <w:rFonts w:ascii="Arial" w:hAnsi="Arial"/>
      <w:sz w:val="18"/>
    </w:rPr>
  </w:style>
  <w:style w:type="character" w:customStyle="1" w:styleId="Heading1Char">
    <w:name w:val="Heading 1 Char"/>
    <w:link w:val="Heading1"/>
    <w:rsid w:val="00666ECE"/>
    <w:rPr>
      <w:sz w:val="52"/>
    </w:rPr>
  </w:style>
  <w:style w:type="character" w:customStyle="1" w:styleId="ChapterChar">
    <w:name w:val="Chapter Char"/>
    <w:basedOn w:val="Heading1Char"/>
    <w:link w:val="Chapter"/>
    <w:semiHidden/>
    <w:rsid w:val="00666ECE"/>
    <w:rPr>
      <w:sz w:val="52"/>
    </w:rPr>
  </w:style>
  <w:style w:type="character" w:customStyle="1" w:styleId="Heading2Char">
    <w:name w:val="Heading 2 Char"/>
    <w:link w:val="Heading2"/>
    <w:rsid w:val="00666ECE"/>
    <w:rPr>
      <w:rFonts w:ascii="Arial" w:hAnsi="Arial"/>
      <w:b/>
      <w:sz w:val="32"/>
    </w:rPr>
  </w:style>
  <w:style w:type="character" w:customStyle="1" w:styleId="Heading3Char">
    <w:name w:val="Heading 3 Char"/>
    <w:link w:val="Heading3"/>
    <w:rsid w:val="00666ECE"/>
    <w:rPr>
      <w:rFonts w:ascii="Arial" w:hAnsi="Arial"/>
      <w:b/>
      <w:sz w:val="26"/>
    </w:rPr>
  </w:style>
  <w:style w:type="character" w:customStyle="1" w:styleId="SourceChar">
    <w:name w:val="Source Char"/>
    <w:link w:val="Source"/>
    <w:rsid w:val="00666ECE"/>
    <w:rPr>
      <w:rFonts w:ascii="Arial" w:hAnsi="Arial"/>
      <w:sz w:val="18"/>
    </w:rPr>
  </w:style>
  <w:style w:type="character" w:customStyle="1" w:styleId="BoxTitleChar">
    <w:name w:val="Box Title Char"/>
    <w:link w:val="BoxTitle"/>
    <w:rsid w:val="00666ECE"/>
    <w:rPr>
      <w:rFonts w:ascii="Arial" w:hAnsi="Arial"/>
      <w:b/>
      <w:sz w:val="24"/>
      <w:szCs w:val="24"/>
    </w:rPr>
  </w:style>
  <w:style w:type="character" w:customStyle="1" w:styleId="BoxChar">
    <w:name w:val="Box Char"/>
    <w:link w:val="Box"/>
    <w:rsid w:val="00666ECE"/>
    <w:rPr>
      <w:rFonts w:ascii="Arial" w:hAnsi="Arial"/>
    </w:rPr>
  </w:style>
  <w:style w:type="character" w:customStyle="1" w:styleId="BoxListBulletChar">
    <w:name w:val="Box List Bullet Char"/>
    <w:link w:val="BoxListBullet"/>
    <w:rsid w:val="00666ECE"/>
    <w:rPr>
      <w:rFonts w:ascii="Arial" w:hAnsi="Arial"/>
    </w:rPr>
  </w:style>
  <w:style w:type="character" w:styleId="Hyperlink">
    <w:name w:val="Hyperlink"/>
    <w:uiPriority w:val="99"/>
    <w:rsid w:val="00666ECE"/>
    <w:rPr>
      <w:color w:val="0000FF"/>
      <w:u w:val="single"/>
    </w:rPr>
  </w:style>
  <w:style w:type="character" w:customStyle="1" w:styleId="Heading4Char">
    <w:name w:val="Heading 4 Char"/>
    <w:link w:val="Heading4"/>
    <w:rsid w:val="00666ECE"/>
    <w:rPr>
      <w:rFonts w:ascii="Arial" w:hAnsi="Arial"/>
      <w:sz w:val="24"/>
    </w:rPr>
  </w:style>
  <w:style w:type="character" w:customStyle="1" w:styleId="Heading5Char">
    <w:name w:val="Heading 5 Char"/>
    <w:basedOn w:val="DefaultParagraphFont"/>
    <w:link w:val="Heading5"/>
    <w:rsid w:val="00690E17"/>
    <w:rPr>
      <w:rFonts w:ascii="Arial" w:hAnsi="Arial"/>
      <w:i/>
      <w:sz w:val="22"/>
    </w:rPr>
  </w:style>
  <w:style w:type="character" w:customStyle="1" w:styleId="BoxContinuedChar">
    <w:name w:val="Box Continued Char"/>
    <w:link w:val="BoxContinued"/>
    <w:semiHidden/>
    <w:rsid w:val="00666ECE"/>
    <w:rPr>
      <w:rFonts w:ascii="Arial" w:hAnsi="Arial"/>
      <w:sz w:val="18"/>
    </w:rPr>
  </w:style>
  <w:style w:type="table" w:styleId="TableGrid">
    <w:name w:val="Table Grid"/>
    <w:basedOn w:val="TableNormal"/>
    <w:rsid w:val="00690E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ableBodyTextChar">
    <w:name w:val="Table Body Text Char"/>
    <w:link w:val="TableBodyText"/>
    <w:rsid w:val="00666ECE"/>
    <w:rPr>
      <w:rFonts w:ascii="Arial" w:hAnsi="Arial"/>
      <w:sz w:val="18"/>
    </w:rPr>
  </w:style>
  <w:style w:type="character" w:customStyle="1" w:styleId="ReferenceChar">
    <w:name w:val="Reference Char"/>
    <w:link w:val="Reference"/>
    <w:rsid w:val="00666ECE"/>
    <w:rPr>
      <w:sz w:val="24"/>
    </w:rPr>
  </w:style>
  <w:style w:type="character" w:customStyle="1" w:styleId="BodyTextChar">
    <w:name w:val="Body Text Char"/>
    <w:basedOn w:val="DefaultParagraphFont"/>
    <w:link w:val="BodyText"/>
    <w:rsid w:val="00690E17"/>
    <w:rPr>
      <w:sz w:val="24"/>
    </w:rPr>
  </w:style>
  <w:style w:type="character" w:customStyle="1" w:styleId="BoxListNumberChar">
    <w:name w:val="Box List Number Char"/>
    <w:link w:val="BoxListNumber"/>
    <w:rsid w:val="00666ECE"/>
    <w:rPr>
      <w:rFonts w:ascii="Arial" w:hAnsi="Arial"/>
    </w:rPr>
  </w:style>
  <w:style w:type="character" w:customStyle="1" w:styleId="BoxListNumber2Char">
    <w:name w:val="Box List Number 2 Char"/>
    <w:basedOn w:val="BoxListNumberChar"/>
    <w:link w:val="BoxListNumber2"/>
    <w:rsid w:val="00666ECE"/>
    <w:rPr>
      <w:rFonts w:ascii="Arial" w:hAnsi="Arial"/>
    </w:rPr>
  </w:style>
  <w:style w:type="character" w:styleId="FollowedHyperlink">
    <w:name w:val="FollowedHyperlink"/>
    <w:rsid w:val="00666ECE"/>
    <w:rPr>
      <w:color w:val="800080"/>
      <w:u w:val="single"/>
    </w:rPr>
  </w:style>
  <w:style w:type="character" w:customStyle="1" w:styleId="BoxQuoteChar">
    <w:name w:val="Box Quote Char"/>
    <w:link w:val="BoxQuote"/>
    <w:rsid w:val="00666ECE"/>
    <w:rPr>
      <w:rFonts w:ascii="Arial" w:hAnsi="Arial"/>
      <w:sz w:val="18"/>
    </w:rPr>
  </w:style>
  <w:style w:type="paragraph" w:customStyle="1" w:styleId="jurisdictioncommentsbodytext0">
    <w:name w:val="jurisdictioncommentsbodytext"/>
    <w:basedOn w:val="Normal"/>
    <w:rsid w:val="00666ECE"/>
    <w:pPr>
      <w:spacing w:after="140"/>
      <w:jc w:val="both"/>
    </w:pPr>
    <w:rPr>
      <w:rFonts w:ascii="Arial" w:eastAsia="SimSun" w:hAnsi="Arial" w:cs="Arial"/>
      <w:lang w:eastAsia="zh-CN"/>
    </w:rPr>
  </w:style>
  <w:style w:type="character" w:customStyle="1" w:styleId="BoxHeading1Char">
    <w:name w:val="Box Heading 1 Char"/>
    <w:link w:val="BoxHeading1"/>
    <w:rsid w:val="00666ECE"/>
    <w:rPr>
      <w:rFonts w:ascii="Arial" w:hAnsi="Arial"/>
      <w:b/>
      <w:sz w:val="22"/>
    </w:rPr>
  </w:style>
  <w:style w:type="character" w:customStyle="1" w:styleId="BoxHeading2Char">
    <w:name w:val="Box Heading 2 Char"/>
    <w:link w:val="BoxHeading2"/>
    <w:rsid w:val="00666ECE"/>
    <w:rPr>
      <w:rFonts w:ascii="Arial" w:hAnsi="Arial"/>
      <w:i/>
      <w:sz w:val="22"/>
    </w:rPr>
  </w:style>
  <w:style w:type="character" w:customStyle="1" w:styleId="ListBulletChar">
    <w:name w:val="List Bullet Char"/>
    <w:basedOn w:val="BodyTextChar"/>
    <w:link w:val="ListBullet"/>
    <w:rsid w:val="00666ECE"/>
    <w:rPr>
      <w:sz w:val="24"/>
    </w:rPr>
  </w:style>
  <w:style w:type="character" w:customStyle="1" w:styleId="CommentTextChar">
    <w:name w:val="Comment Text Char"/>
    <w:link w:val="CommentText"/>
    <w:semiHidden/>
    <w:rsid w:val="00666ECE"/>
    <w:rPr>
      <w:szCs w:val="24"/>
    </w:rPr>
  </w:style>
  <w:style w:type="paragraph" w:styleId="NormalWeb">
    <w:name w:val="Normal (Web)"/>
    <w:basedOn w:val="Normal"/>
    <w:uiPriority w:val="99"/>
    <w:unhideWhenUsed/>
    <w:rsid w:val="00B410A0"/>
    <w:pPr>
      <w:spacing w:before="100" w:beforeAutospacing="1" w:after="100" w:afterAutospacing="1"/>
    </w:pPr>
    <w:rPr>
      <w:rFonts w:eastAsiaTheme="minorHAnsi"/>
    </w:rPr>
  </w:style>
  <w:style w:type="paragraph" w:styleId="CommentSubject">
    <w:name w:val="annotation subject"/>
    <w:basedOn w:val="CommentText"/>
    <w:next w:val="CommentText"/>
    <w:link w:val="CommentSubjectChar"/>
    <w:rsid w:val="00DF3C6E"/>
    <w:pPr>
      <w:spacing w:before="0" w:line="240" w:lineRule="auto"/>
      <w:ind w:left="0" w:firstLine="0"/>
    </w:pPr>
    <w:rPr>
      <w:b/>
      <w:bCs/>
      <w:szCs w:val="20"/>
    </w:rPr>
  </w:style>
  <w:style w:type="character" w:customStyle="1" w:styleId="CommentSubjectChar">
    <w:name w:val="Comment Subject Char"/>
    <w:basedOn w:val="CommentTextChar"/>
    <w:link w:val="CommentSubject"/>
    <w:rsid w:val="00DF3C6E"/>
    <w:rPr>
      <w:b/>
      <w:bCs/>
      <w:szCs w:val="24"/>
    </w:rPr>
  </w:style>
  <w:style w:type="paragraph" w:customStyle="1" w:styleId="Default">
    <w:name w:val="Default"/>
    <w:basedOn w:val="Normal"/>
    <w:rsid w:val="00976D0E"/>
    <w:pPr>
      <w:autoSpaceDE w:val="0"/>
      <w:autoSpaceDN w:val="0"/>
    </w:pPr>
    <w:rPr>
      <w:rFonts w:ascii="Arial" w:eastAsiaTheme="minorHAnsi" w:hAnsi="Arial" w:cs="Arial"/>
      <w:color w:val="000000"/>
    </w:rPr>
  </w:style>
  <w:style w:type="character" w:customStyle="1" w:styleId="FootnoteTextChar">
    <w:name w:val="Footnote Text Char"/>
    <w:basedOn w:val="DefaultParagraphFont"/>
    <w:link w:val="FootnoteText"/>
    <w:rsid w:val="0041139D"/>
  </w:style>
  <w:style w:type="paragraph" w:styleId="ListParagraph">
    <w:name w:val="List Paragraph"/>
    <w:basedOn w:val="Normal"/>
    <w:uiPriority w:val="34"/>
    <w:rsid w:val="009B6671"/>
    <w:pPr>
      <w:ind w:left="720"/>
      <w:contextualSpacing/>
    </w:pPr>
  </w:style>
  <w:style w:type="paragraph" w:customStyle="1" w:styleId="BoxSpaceAbove">
    <w:name w:val="Box Space Above"/>
    <w:basedOn w:val="BodyText"/>
    <w:rsid w:val="00690E17"/>
    <w:pPr>
      <w:keepNext/>
      <w:spacing w:before="360" w:line="80" w:lineRule="exact"/>
      <w:jc w:val="left"/>
    </w:pPr>
  </w:style>
  <w:style w:type="paragraph" w:customStyle="1" w:styleId="BoxSpaceBelow">
    <w:name w:val="Box Space Below"/>
    <w:basedOn w:val="Box"/>
    <w:rsid w:val="00690E17"/>
    <w:pPr>
      <w:keepNext w:val="0"/>
      <w:spacing w:before="60" w:after="60" w:line="80" w:lineRule="exact"/>
    </w:pPr>
    <w:rPr>
      <w:sz w:val="14"/>
    </w:rPr>
  </w:style>
  <w:style w:type="paragraph" w:customStyle="1" w:styleId="KeyPointsListBullet">
    <w:name w:val="Key Points List Bullet"/>
    <w:basedOn w:val="Normal"/>
    <w:qFormat/>
    <w:rsid w:val="00690E17"/>
    <w:pPr>
      <w:keepNext/>
      <w:numPr>
        <w:numId w:val="2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690E17"/>
    <w:pPr>
      <w:numPr>
        <w:numId w:val="29"/>
      </w:numPr>
      <w:ind w:left="568" w:hanging="284"/>
    </w:pPr>
  </w:style>
  <w:style w:type="paragraph" w:customStyle="1" w:styleId="InformationRequestTitle">
    <w:name w:val="Information Request Title"/>
    <w:basedOn w:val="FindingTitle"/>
    <w:next w:val="InformationRequest"/>
    <w:rsid w:val="00690E17"/>
    <w:rPr>
      <w:i/>
    </w:rPr>
  </w:style>
  <w:style w:type="paragraph" w:customStyle="1" w:styleId="Space">
    <w:name w:val="Space"/>
    <w:basedOn w:val="Normal"/>
    <w:rsid w:val="00690E17"/>
    <w:pPr>
      <w:keepNext/>
      <w:spacing w:line="120" w:lineRule="exact"/>
      <w:jc w:val="both"/>
    </w:pPr>
    <w:rPr>
      <w:rFonts w:ascii="Arial" w:hAnsi="Arial"/>
      <w:sz w:val="20"/>
      <w:szCs w:val="20"/>
    </w:rPr>
  </w:style>
  <w:style w:type="paragraph" w:customStyle="1" w:styleId="Heading1nochapterno">
    <w:name w:val="Heading 1 (no chapter no.)"/>
    <w:basedOn w:val="Heading1"/>
    <w:rsid w:val="00690E17"/>
    <w:pPr>
      <w:spacing w:before="0"/>
      <w:ind w:left="0" w:firstLine="0"/>
    </w:pPr>
  </w:style>
  <w:style w:type="paragraph" w:customStyle="1" w:styleId="Heading2nosectionno">
    <w:name w:val="Heading 2 (no section no.)"/>
    <w:basedOn w:val="Heading2"/>
    <w:rsid w:val="00690E17"/>
    <w:pPr>
      <w:ind w:left="0" w:firstLine="0"/>
    </w:pPr>
  </w:style>
  <w:style w:type="paragraph" w:customStyle="1" w:styleId="Figurespace">
    <w:name w:val="Figure space"/>
    <w:basedOn w:val="Box"/>
    <w:rsid w:val="00690E17"/>
    <w:pPr>
      <w:spacing w:before="0" w:line="120" w:lineRule="exact"/>
    </w:pPr>
  </w:style>
  <w:style w:type="paragraph" w:customStyle="1" w:styleId="FooterDraftReport">
    <w:name w:val="FooterDraftReport"/>
    <w:basedOn w:val="Footer"/>
    <w:link w:val="FooterDraftReportChar"/>
    <w:rsid w:val="00690E17"/>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690E17"/>
    <w:rPr>
      <w:rFonts w:ascii="Arial" w:hAnsi="Arial"/>
      <w:caps/>
      <w:spacing w:val="-4"/>
      <w:sz w:val="16"/>
    </w:rPr>
  </w:style>
  <w:style w:type="character" w:customStyle="1" w:styleId="FooterDraftReportChar">
    <w:name w:val="FooterDraftReport Char"/>
    <w:basedOn w:val="FooterChar"/>
    <w:link w:val="FooterDraftReport"/>
    <w:rsid w:val="00690E17"/>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690E17"/>
    <w:rPr>
      <w:rFonts w:ascii="Arial" w:hAnsi="Arial"/>
      <w:b/>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Default Paragraph Font" w:uiPriority="1"/>
    <w:lsdException w:name="Body Text" w:qFormat="1"/>
    <w:lsdException w:name="Subtitle" w:qFormat="1"/>
    <w:lsdException w:name="Hyperlink"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690E17"/>
    <w:rPr>
      <w:sz w:val="24"/>
      <w:szCs w:val="24"/>
    </w:rPr>
  </w:style>
  <w:style w:type="paragraph" w:styleId="Heading1">
    <w:name w:val="heading 1"/>
    <w:basedOn w:val="BodyText"/>
    <w:next w:val="BodyText"/>
    <w:link w:val="Heading1Char"/>
    <w:rsid w:val="00690E17"/>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690E17"/>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690E17"/>
    <w:pPr>
      <w:spacing w:before="560" w:line="320" w:lineRule="exact"/>
      <w:ind w:left="0" w:firstLine="0"/>
      <w:outlineLvl w:val="2"/>
    </w:pPr>
    <w:rPr>
      <w:sz w:val="26"/>
    </w:rPr>
  </w:style>
  <w:style w:type="paragraph" w:styleId="Heading4">
    <w:name w:val="heading 4"/>
    <w:basedOn w:val="Heading3"/>
    <w:next w:val="BodyText"/>
    <w:link w:val="Heading4Char"/>
    <w:qFormat/>
    <w:rsid w:val="00690E17"/>
    <w:pPr>
      <w:spacing w:before="480"/>
      <w:outlineLvl w:val="3"/>
    </w:pPr>
    <w:rPr>
      <w:b w:val="0"/>
      <w:sz w:val="24"/>
    </w:rPr>
  </w:style>
  <w:style w:type="paragraph" w:styleId="Heading5">
    <w:name w:val="heading 5"/>
    <w:basedOn w:val="Heading4"/>
    <w:next w:val="BodyText"/>
    <w:link w:val="Heading5Char"/>
    <w:qFormat/>
    <w:rsid w:val="00690E17"/>
    <w:pPr>
      <w:outlineLvl w:val="4"/>
    </w:pPr>
    <w:rPr>
      <w:i/>
      <w:sz w:val="22"/>
    </w:rPr>
  </w:style>
  <w:style w:type="paragraph" w:styleId="Heading6">
    <w:name w:val="heading 6"/>
    <w:basedOn w:val="BodyText"/>
    <w:next w:val="BodyText"/>
    <w:rsid w:val="00690E17"/>
    <w:pPr>
      <w:spacing w:after="60"/>
      <w:jc w:val="left"/>
      <w:outlineLvl w:val="5"/>
    </w:pPr>
    <w:rPr>
      <w:i/>
      <w:sz w:val="22"/>
    </w:rPr>
  </w:style>
  <w:style w:type="paragraph" w:styleId="Heading7">
    <w:name w:val="heading 7"/>
    <w:basedOn w:val="BodyText"/>
    <w:next w:val="BodyText"/>
    <w:rsid w:val="00690E17"/>
    <w:pPr>
      <w:spacing w:after="60" w:line="240" w:lineRule="auto"/>
      <w:jc w:val="left"/>
      <w:outlineLvl w:val="6"/>
    </w:pPr>
    <w:rPr>
      <w:rFonts w:ascii="Arial" w:hAnsi="Arial"/>
      <w:sz w:val="20"/>
    </w:rPr>
  </w:style>
  <w:style w:type="paragraph" w:styleId="Heading8">
    <w:name w:val="heading 8"/>
    <w:basedOn w:val="BodyText"/>
    <w:next w:val="BodyText"/>
    <w:rsid w:val="00690E17"/>
    <w:pPr>
      <w:spacing w:after="60" w:line="240" w:lineRule="auto"/>
      <w:jc w:val="left"/>
      <w:outlineLvl w:val="7"/>
    </w:pPr>
    <w:rPr>
      <w:rFonts w:ascii="Arial" w:hAnsi="Arial"/>
      <w:i/>
      <w:sz w:val="20"/>
    </w:rPr>
  </w:style>
  <w:style w:type="paragraph" w:styleId="Heading9">
    <w:name w:val="heading 9"/>
    <w:basedOn w:val="BodyText"/>
    <w:next w:val="BodyText"/>
    <w:rsid w:val="00690E17"/>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690E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90E17"/>
  </w:style>
  <w:style w:type="paragraph" w:styleId="BodyText">
    <w:name w:val="Body Text"/>
    <w:link w:val="BodyTextChar"/>
    <w:qFormat/>
    <w:rsid w:val="00690E17"/>
    <w:pPr>
      <w:spacing w:before="240" w:line="300" w:lineRule="atLeast"/>
      <w:jc w:val="both"/>
    </w:pPr>
    <w:rPr>
      <w:sz w:val="24"/>
    </w:rPr>
  </w:style>
  <w:style w:type="paragraph" w:styleId="Footer">
    <w:name w:val="footer"/>
    <w:basedOn w:val="BodyText"/>
    <w:link w:val="FooterChar"/>
    <w:rsid w:val="00690E17"/>
    <w:pPr>
      <w:spacing w:before="80" w:line="200" w:lineRule="exact"/>
      <w:ind w:right="6"/>
      <w:jc w:val="left"/>
    </w:pPr>
    <w:rPr>
      <w:rFonts w:ascii="Arial" w:hAnsi="Arial"/>
      <w:caps/>
      <w:spacing w:val="-4"/>
      <w:sz w:val="16"/>
    </w:rPr>
  </w:style>
  <w:style w:type="paragraph" w:customStyle="1" w:styleId="FooterEnd">
    <w:name w:val="Footer End"/>
    <w:basedOn w:val="Footer"/>
    <w:rsid w:val="00690E17"/>
    <w:pPr>
      <w:spacing w:before="0" w:line="20" w:lineRule="exact"/>
    </w:pPr>
  </w:style>
  <w:style w:type="paragraph" w:styleId="Header">
    <w:name w:val="header"/>
    <w:basedOn w:val="BodyText"/>
    <w:rsid w:val="00690E17"/>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690E17"/>
    <w:pPr>
      <w:spacing w:line="20" w:lineRule="exact"/>
    </w:pPr>
    <w:rPr>
      <w:sz w:val="16"/>
    </w:rPr>
  </w:style>
  <w:style w:type="paragraph" w:customStyle="1" w:styleId="HeaderEven">
    <w:name w:val="Header Even"/>
    <w:basedOn w:val="Header"/>
    <w:semiHidden/>
    <w:rsid w:val="00690E17"/>
  </w:style>
  <w:style w:type="paragraph" w:customStyle="1" w:styleId="HeaderOdd">
    <w:name w:val="Header Odd"/>
    <w:basedOn w:val="Header"/>
    <w:semiHidden/>
    <w:rsid w:val="00690E17"/>
  </w:style>
  <w:style w:type="character" w:styleId="PageNumber">
    <w:name w:val="page number"/>
    <w:basedOn w:val="DefaultParagraphFont"/>
    <w:rsid w:val="00690E17"/>
    <w:rPr>
      <w:rFonts w:ascii="Arial" w:hAnsi="Arial"/>
      <w:b/>
      <w:sz w:val="16"/>
    </w:rPr>
  </w:style>
  <w:style w:type="paragraph" w:customStyle="1" w:styleId="Abbreviation">
    <w:name w:val="Abbreviation"/>
    <w:basedOn w:val="BodyText"/>
    <w:rsid w:val="00690E17"/>
    <w:pPr>
      <w:spacing w:before="120"/>
      <w:ind w:left="2381" w:hanging="2381"/>
      <w:jc w:val="left"/>
    </w:pPr>
  </w:style>
  <w:style w:type="paragraph" w:customStyle="1" w:styleId="Box">
    <w:name w:val="Box"/>
    <w:basedOn w:val="BodyText"/>
    <w:link w:val="BoxChar"/>
    <w:qFormat/>
    <w:rsid w:val="00690E17"/>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690E17"/>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690E17"/>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690E17"/>
    <w:rPr>
      <w:b w:val="0"/>
      <w:i/>
    </w:rPr>
  </w:style>
  <w:style w:type="paragraph" w:customStyle="1" w:styleId="BoxListBullet">
    <w:name w:val="Box List Bullet"/>
    <w:basedOn w:val="BodyText"/>
    <w:link w:val="BoxListBulletChar"/>
    <w:rsid w:val="00690E17"/>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690E17"/>
    <w:pPr>
      <w:numPr>
        <w:numId w:val="16"/>
      </w:numPr>
      <w:ind w:left="568" w:hanging="284"/>
    </w:pPr>
  </w:style>
  <w:style w:type="paragraph" w:customStyle="1" w:styleId="BoxListNumber">
    <w:name w:val="Box List Number"/>
    <w:basedOn w:val="BodyText"/>
    <w:link w:val="BoxListNumberChar"/>
    <w:rsid w:val="00690E17"/>
    <w:pPr>
      <w:keepNext/>
      <w:numPr>
        <w:numId w:val="12"/>
      </w:numPr>
      <w:spacing w:before="100" w:line="260" w:lineRule="atLeast"/>
    </w:pPr>
    <w:rPr>
      <w:rFonts w:ascii="Arial" w:hAnsi="Arial"/>
      <w:sz w:val="20"/>
    </w:rPr>
  </w:style>
  <w:style w:type="paragraph" w:customStyle="1" w:styleId="BoxListNumber2">
    <w:name w:val="Box List Number 2"/>
    <w:basedOn w:val="BoxListNumber"/>
    <w:link w:val="BoxListNumber2Char"/>
    <w:rsid w:val="00690E17"/>
    <w:pPr>
      <w:numPr>
        <w:ilvl w:val="1"/>
      </w:numPr>
      <w:ind w:left="681" w:hanging="397"/>
    </w:pPr>
  </w:style>
  <w:style w:type="paragraph" w:customStyle="1" w:styleId="BoxQuote">
    <w:name w:val="Box Quote"/>
    <w:basedOn w:val="BodyText"/>
    <w:next w:val="Box"/>
    <w:link w:val="BoxQuoteChar"/>
    <w:qFormat/>
    <w:rsid w:val="00690E17"/>
    <w:pPr>
      <w:keepNext/>
      <w:spacing w:before="60" w:line="240" w:lineRule="exact"/>
      <w:ind w:left="284"/>
    </w:pPr>
    <w:rPr>
      <w:rFonts w:ascii="Arial" w:hAnsi="Arial"/>
      <w:sz w:val="18"/>
    </w:rPr>
  </w:style>
  <w:style w:type="paragraph" w:customStyle="1" w:styleId="Note">
    <w:name w:val="Note"/>
    <w:basedOn w:val="BodyText"/>
    <w:next w:val="BodyText"/>
    <w:link w:val="NoteChar"/>
    <w:rsid w:val="00690E17"/>
    <w:pPr>
      <w:keepLines/>
      <w:spacing w:before="80" w:line="220" w:lineRule="exact"/>
    </w:pPr>
    <w:rPr>
      <w:rFonts w:ascii="Arial" w:hAnsi="Arial"/>
      <w:sz w:val="18"/>
    </w:rPr>
  </w:style>
  <w:style w:type="paragraph" w:customStyle="1" w:styleId="Source">
    <w:name w:val="Source"/>
    <w:basedOn w:val="Normal"/>
    <w:next w:val="BodyText"/>
    <w:link w:val="SourceChar"/>
    <w:rsid w:val="00690E17"/>
    <w:pPr>
      <w:keepLines/>
      <w:spacing w:before="80" w:line="220" w:lineRule="exact"/>
      <w:jc w:val="both"/>
    </w:pPr>
    <w:rPr>
      <w:rFonts w:ascii="Arial" w:hAnsi="Arial"/>
      <w:sz w:val="18"/>
      <w:szCs w:val="20"/>
    </w:rPr>
  </w:style>
  <w:style w:type="paragraph" w:customStyle="1" w:styleId="BoxSource">
    <w:name w:val="Box Source"/>
    <w:basedOn w:val="Source"/>
    <w:next w:val="BodyText"/>
    <w:rsid w:val="00690E17"/>
    <w:pPr>
      <w:spacing w:before="12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690E17"/>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690E17"/>
    <w:pPr>
      <w:spacing w:before="120" w:after="0"/>
    </w:pPr>
  </w:style>
  <w:style w:type="paragraph" w:customStyle="1" w:styleId="BoxSubtitle">
    <w:name w:val="Box Subtitle"/>
    <w:basedOn w:val="BoxTitle"/>
    <w:next w:val="Normal"/>
    <w:rsid w:val="00690E17"/>
    <w:pPr>
      <w:spacing w:after="80" w:line="200" w:lineRule="exact"/>
      <w:ind w:firstLine="0"/>
    </w:pPr>
    <w:rPr>
      <w:b w:val="0"/>
      <w:sz w:val="20"/>
    </w:rPr>
  </w:style>
  <w:style w:type="paragraph" w:customStyle="1" w:styleId="Chapter">
    <w:name w:val="Chapter"/>
    <w:basedOn w:val="Heading1"/>
    <w:next w:val="BodyText"/>
    <w:link w:val="ChapterChar"/>
    <w:semiHidden/>
    <w:rsid w:val="00690E17"/>
    <w:pPr>
      <w:ind w:left="0" w:firstLine="0"/>
      <w:outlineLvl w:val="9"/>
    </w:pPr>
  </w:style>
  <w:style w:type="paragraph" w:customStyle="1" w:styleId="ChapterSummary">
    <w:name w:val="Chapter Summary"/>
    <w:basedOn w:val="BodyText"/>
    <w:rsid w:val="00690E17"/>
    <w:pPr>
      <w:spacing w:line="280" w:lineRule="atLeast"/>
      <w:ind w:left="907"/>
    </w:pPr>
    <w:rPr>
      <w:rFonts w:ascii="Arial" w:hAnsi="Arial"/>
      <w:b/>
      <w:sz w:val="20"/>
    </w:rPr>
  </w:style>
  <w:style w:type="character" w:styleId="CommentReference">
    <w:name w:val="annotation reference"/>
    <w:basedOn w:val="DefaultParagraphFont"/>
    <w:semiHidden/>
    <w:rsid w:val="00690E17"/>
    <w:rPr>
      <w:b/>
      <w:vanish/>
      <w:color w:val="FF00FF"/>
      <w:sz w:val="20"/>
    </w:rPr>
  </w:style>
  <w:style w:type="paragraph" w:styleId="CommentText">
    <w:name w:val="annotation text"/>
    <w:basedOn w:val="Normal"/>
    <w:link w:val="CommentTextChar"/>
    <w:semiHidden/>
    <w:rsid w:val="00690E17"/>
    <w:pPr>
      <w:spacing w:before="120" w:line="240" w:lineRule="atLeast"/>
      <w:ind w:left="567" w:hanging="567"/>
    </w:pPr>
    <w:rPr>
      <w:sz w:val="20"/>
    </w:rPr>
  </w:style>
  <w:style w:type="paragraph" w:customStyle="1" w:styleId="Continued">
    <w:name w:val="Continued"/>
    <w:basedOn w:val="BoxContinued"/>
    <w:next w:val="BodyText"/>
    <w:rsid w:val="00690E17"/>
  </w:style>
  <w:style w:type="character" w:customStyle="1" w:styleId="DocumentInfo">
    <w:name w:val="Document Info"/>
    <w:basedOn w:val="DefaultParagraphFont"/>
    <w:semiHidden/>
    <w:rsid w:val="00690E17"/>
    <w:rPr>
      <w:rFonts w:ascii="Arial" w:hAnsi="Arial"/>
      <w:sz w:val="14"/>
    </w:rPr>
  </w:style>
  <w:style w:type="character" w:customStyle="1" w:styleId="DraftingNote">
    <w:name w:val="Drafting Note"/>
    <w:basedOn w:val="DefaultParagraphFont"/>
    <w:rsid w:val="00690E17"/>
    <w:rPr>
      <w:b/>
      <w:color w:val="FF0000"/>
      <w:sz w:val="24"/>
      <w:u w:val="dotted"/>
    </w:rPr>
  </w:style>
  <w:style w:type="paragraph" w:customStyle="1" w:styleId="Figure">
    <w:name w:val="Figure"/>
    <w:basedOn w:val="BodyText"/>
    <w:rsid w:val="00690E17"/>
    <w:pPr>
      <w:keepNext/>
      <w:spacing w:before="120" w:after="120" w:line="240" w:lineRule="atLeast"/>
      <w:jc w:val="center"/>
    </w:pPr>
  </w:style>
  <w:style w:type="paragraph" w:customStyle="1" w:styleId="FigureTitle">
    <w:name w:val="Figure Title"/>
    <w:basedOn w:val="Caption"/>
    <w:next w:val="Subtitle"/>
    <w:rsid w:val="00690E17"/>
    <w:pPr>
      <w:spacing w:before="120"/>
    </w:pPr>
  </w:style>
  <w:style w:type="paragraph" w:styleId="Subtitle">
    <w:name w:val="Subtitle"/>
    <w:basedOn w:val="Caption"/>
    <w:link w:val="SubtitleChar"/>
    <w:qFormat/>
    <w:rsid w:val="00690E17"/>
    <w:pPr>
      <w:spacing w:before="0" w:line="200" w:lineRule="exact"/>
      <w:ind w:firstLine="0"/>
    </w:pPr>
    <w:rPr>
      <w:b w:val="0"/>
      <w:sz w:val="20"/>
    </w:rPr>
  </w:style>
  <w:style w:type="paragraph" w:customStyle="1" w:styleId="Finding">
    <w:name w:val="Finding"/>
    <w:basedOn w:val="BodyText"/>
    <w:rsid w:val="00690E17"/>
    <w:pPr>
      <w:keepLines/>
      <w:spacing w:before="120" w:line="280" w:lineRule="atLeast"/>
    </w:pPr>
    <w:rPr>
      <w:rFonts w:ascii="Arial" w:hAnsi="Arial"/>
      <w:sz w:val="22"/>
    </w:rPr>
  </w:style>
  <w:style w:type="paragraph" w:customStyle="1" w:styleId="FindingBullet">
    <w:name w:val="Finding Bullet"/>
    <w:basedOn w:val="Finding"/>
    <w:rsid w:val="00690E17"/>
    <w:pPr>
      <w:numPr>
        <w:numId w:val="2"/>
      </w:numPr>
      <w:spacing w:before="80"/>
    </w:pPr>
  </w:style>
  <w:style w:type="paragraph" w:customStyle="1" w:styleId="FindingNoTitle">
    <w:name w:val="Finding NoTitle"/>
    <w:basedOn w:val="Finding"/>
    <w:rsid w:val="00690E17"/>
    <w:pPr>
      <w:spacing w:before="240"/>
    </w:pPr>
  </w:style>
  <w:style w:type="paragraph" w:customStyle="1" w:styleId="RecTitle">
    <w:name w:val="Rec Title"/>
    <w:basedOn w:val="BodyText"/>
    <w:next w:val="Rec"/>
    <w:qFormat/>
    <w:rsid w:val="00690E17"/>
    <w:pPr>
      <w:keepNext/>
      <w:keepLines/>
      <w:spacing w:line="280" w:lineRule="atLeast"/>
    </w:pPr>
    <w:rPr>
      <w:rFonts w:ascii="Arial" w:hAnsi="Arial"/>
      <w:caps/>
      <w:sz w:val="18"/>
    </w:rPr>
  </w:style>
  <w:style w:type="paragraph" w:customStyle="1" w:styleId="FindingTitle">
    <w:name w:val="Finding Title"/>
    <w:basedOn w:val="RecTitle"/>
    <w:next w:val="Finding"/>
    <w:rsid w:val="00690E17"/>
  </w:style>
  <w:style w:type="character" w:styleId="FootnoteReference">
    <w:name w:val="footnote reference"/>
    <w:basedOn w:val="DefaultParagraphFont"/>
    <w:semiHidden/>
    <w:rsid w:val="00690E17"/>
    <w:rPr>
      <w:rFonts w:ascii="Times New Roman" w:hAnsi="Times New Roman"/>
      <w:position w:val="6"/>
      <w:sz w:val="20"/>
      <w:vertAlign w:val="baseline"/>
    </w:rPr>
  </w:style>
  <w:style w:type="paragraph" w:styleId="FootnoteText">
    <w:name w:val="footnote text"/>
    <w:basedOn w:val="BodyText"/>
    <w:link w:val="FootnoteTextChar"/>
    <w:rsid w:val="00690E1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690E17"/>
    <w:rPr>
      <w:i/>
    </w:rPr>
  </w:style>
  <w:style w:type="paragraph" w:customStyle="1" w:styleId="Jurisdictioncommentsbodytext">
    <w:name w:val="Jurisdiction comments body text"/>
    <w:rsid w:val="00690E17"/>
    <w:pPr>
      <w:spacing w:after="140"/>
      <w:jc w:val="both"/>
    </w:pPr>
    <w:rPr>
      <w:rFonts w:ascii="Arial" w:hAnsi="Arial"/>
      <w:sz w:val="24"/>
      <w:lang w:eastAsia="en-US"/>
    </w:rPr>
  </w:style>
  <w:style w:type="paragraph" w:customStyle="1" w:styleId="Jurisdictioncommentsheading">
    <w:name w:val="Jurisdiction comments heading"/>
    <w:rsid w:val="00690E17"/>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690E17"/>
    <w:pPr>
      <w:numPr>
        <w:numId w:val="3"/>
      </w:numPr>
      <w:spacing w:after="140"/>
      <w:jc w:val="both"/>
    </w:pPr>
    <w:rPr>
      <w:rFonts w:ascii="Arial" w:hAnsi="Arial"/>
      <w:sz w:val="24"/>
      <w:lang w:eastAsia="en-US"/>
    </w:rPr>
  </w:style>
  <w:style w:type="paragraph" w:styleId="ListBullet">
    <w:name w:val="List Bullet"/>
    <w:basedOn w:val="BodyText"/>
    <w:link w:val="ListBulletChar"/>
    <w:rsid w:val="00690E17"/>
    <w:pPr>
      <w:numPr>
        <w:numId w:val="4"/>
      </w:numPr>
      <w:spacing w:before="120"/>
    </w:pPr>
  </w:style>
  <w:style w:type="paragraph" w:styleId="ListBullet2">
    <w:name w:val="List Bullet 2"/>
    <w:basedOn w:val="BodyText"/>
    <w:rsid w:val="00690E17"/>
    <w:pPr>
      <w:numPr>
        <w:numId w:val="5"/>
      </w:numPr>
      <w:spacing w:before="120"/>
    </w:pPr>
  </w:style>
  <w:style w:type="paragraph" w:styleId="ListBullet3">
    <w:name w:val="List Bullet 3"/>
    <w:basedOn w:val="BodyText"/>
    <w:rsid w:val="00690E17"/>
    <w:pPr>
      <w:numPr>
        <w:numId w:val="6"/>
      </w:numPr>
      <w:spacing w:before="120"/>
      <w:ind w:left="1020" w:hanging="340"/>
    </w:pPr>
  </w:style>
  <w:style w:type="paragraph" w:styleId="ListNumber">
    <w:name w:val="List Number"/>
    <w:basedOn w:val="BodyText"/>
    <w:rsid w:val="00690E17"/>
    <w:pPr>
      <w:numPr>
        <w:numId w:val="11"/>
      </w:numPr>
      <w:spacing w:before="120"/>
    </w:pPr>
  </w:style>
  <w:style w:type="paragraph" w:styleId="ListNumber2">
    <w:name w:val="List Number 2"/>
    <w:basedOn w:val="ListNumber"/>
    <w:rsid w:val="00690E17"/>
    <w:pPr>
      <w:numPr>
        <w:ilvl w:val="1"/>
      </w:numPr>
    </w:pPr>
  </w:style>
  <w:style w:type="paragraph" w:styleId="ListNumber3">
    <w:name w:val="List Number 3"/>
    <w:basedOn w:val="ListNumber2"/>
    <w:rsid w:val="00690E17"/>
    <w:pPr>
      <w:numPr>
        <w:ilvl w:val="2"/>
      </w:numPr>
    </w:pPr>
  </w:style>
  <w:style w:type="character" w:customStyle="1" w:styleId="NoteLabel">
    <w:name w:val="Note Label"/>
    <w:basedOn w:val="DefaultParagraphFont"/>
    <w:rsid w:val="00690E17"/>
    <w:rPr>
      <w:rFonts w:ascii="Arial" w:hAnsi="Arial"/>
      <w:b/>
      <w:position w:val="6"/>
      <w:sz w:val="18"/>
    </w:rPr>
  </w:style>
  <w:style w:type="paragraph" w:customStyle="1" w:styleId="PartDivider">
    <w:name w:val="Part Divider"/>
    <w:basedOn w:val="BodyText"/>
    <w:next w:val="BodyText"/>
    <w:semiHidden/>
    <w:rsid w:val="00690E17"/>
    <w:pPr>
      <w:spacing w:before="0" w:line="40" w:lineRule="exact"/>
      <w:jc w:val="right"/>
    </w:pPr>
    <w:rPr>
      <w:smallCaps/>
      <w:sz w:val="16"/>
    </w:rPr>
  </w:style>
  <w:style w:type="paragraph" w:customStyle="1" w:styleId="PartNumber">
    <w:name w:val="Part Number"/>
    <w:basedOn w:val="BodyText"/>
    <w:next w:val="BodyText"/>
    <w:semiHidden/>
    <w:rsid w:val="00690E17"/>
    <w:pPr>
      <w:spacing w:before="4000" w:line="320" w:lineRule="exact"/>
      <w:ind w:left="6634"/>
      <w:jc w:val="right"/>
    </w:pPr>
    <w:rPr>
      <w:smallCaps/>
      <w:spacing w:val="60"/>
      <w:sz w:val="32"/>
    </w:rPr>
  </w:style>
  <w:style w:type="paragraph" w:customStyle="1" w:styleId="PartTitle">
    <w:name w:val="Part Title"/>
    <w:basedOn w:val="BodyText"/>
    <w:semiHidden/>
    <w:rsid w:val="00690E17"/>
    <w:pPr>
      <w:spacing w:before="160" w:after="1360" w:line="520" w:lineRule="exact"/>
      <w:ind w:right="2381"/>
      <w:jc w:val="right"/>
    </w:pPr>
    <w:rPr>
      <w:smallCaps/>
      <w:sz w:val="52"/>
    </w:rPr>
  </w:style>
  <w:style w:type="paragraph" w:styleId="Quote">
    <w:name w:val="Quote"/>
    <w:basedOn w:val="BodyText"/>
    <w:next w:val="BodyText"/>
    <w:qFormat/>
    <w:rsid w:val="00690E17"/>
    <w:pPr>
      <w:spacing w:before="120" w:line="280" w:lineRule="exact"/>
      <w:ind w:left="340"/>
    </w:pPr>
    <w:rPr>
      <w:sz w:val="22"/>
    </w:rPr>
  </w:style>
  <w:style w:type="paragraph" w:customStyle="1" w:styleId="QuoteBullet">
    <w:name w:val="Quote Bullet"/>
    <w:basedOn w:val="Quote"/>
    <w:rsid w:val="00690E17"/>
    <w:pPr>
      <w:numPr>
        <w:numId w:val="7"/>
      </w:numPr>
    </w:pPr>
  </w:style>
  <w:style w:type="paragraph" w:customStyle="1" w:styleId="Rec">
    <w:name w:val="Rec"/>
    <w:basedOn w:val="BodyText"/>
    <w:qFormat/>
    <w:rsid w:val="00690E17"/>
    <w:pPr>
      <w:keepLines/>
      <w:spacing w:before="120" w:line="280" w:lineRule="atLeast"/>
    </w:pPr>
    <w:rPr>
      <w:rFonts w:ascii="Arial" w:hAnsi="Arial"/>
      <w:sz w:val="22"/>
    </w:rPr>
  </w:style>
  <w:style w:type="paragraph" w:customStyle="1" w:styleId="RecBullet">
    <w:name w:val="Rec Bullet"/>
    <w:basedOn w:val="Rec"/>
    <w:rsid w:val="00690E17"/>
    <w:pPr>
      <w:numPr>
        <w:numId w:val="8"/>
      </w:numPr>
      <w:spacing w:before="80"/>
    </w:pPr>
  </w:style>
  <w:style w:type="paragraph" w:customStyle="1" w:styleId="RecB">
    <w:name w:val="RecB"/>
    <w:basedOn w:val="Normal"/>
    <w:rsid w:val="00690E17"/>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690E17"/>
    <w:pPr>
      <w:numPr>
        <w:numId w:val="13"/>
      </w:numPr>
      <w:spacing w:before="80"/>
    </w:pPr>
  </w:style>
  <w:style w:type="paragraph" w:customStyle="1" w:styleId="RecBNoTitle">
    <w:name w:val="RecB NoTitle"/>
    <w:basedOn w:val="RecB"/>
    <w:rsid w:val="00690E17"/>
    <w:pPr>
      <w:spacing w:before="240"/>
    </w:pPr>
  </w:style>
  <w:style w:type="paragraph" w:customStyle="1" w:styleId="Reference">
    <w:name w:val="Reference"/>
    <w:basedOn w:val="BodyText"/>
    <w:link w:val="ReferenceChar"/>
    <w:rsid w:val="00690E17"/>
    <w:pPr>
      <w:spacing w:before="120"/>
      <w:ind w:left="340" w:hanging="340"/>
    </w:pPr>
  </w:style>
  <w:style w:type="paragraph" w:customStyle="1" w:styleId="SequenceInfo">
    <w:name w:val="Sequence Info"/>
    <w:basedOn w:val="BodyText"/>
    <w:semiHidden/>
    <w:rsid w:val="00690E17"/>
    <w:rPr>
      <w:vanish/>
      <w:sz w:val="16"/>
    </w:rPr>
  </w:style>
  <w:style w:type="paragraph" w:customStyle="1" w:styleId="SideNote">
    <w:name w:val="Side Note"/>
    <w:basedOn w:val="BodyText"/>
    <w:next w:val="BodyText"/>
    <w:semiHidden/>
    <w:rsid w:val="00690E17"/>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690E17"/>
    <w:pPr>
      <w:framePr w:wrap="around"/>
      <w:numPr>
        <w:numId w:val="9"/>
      </w:numPr>
      <w:tabs>
        <w:tab w:val="left" w:pos="227"/>
      </w:tabs>
    </w:pPr>
  </w:style>
  <w:style w:type="paragraph" w:customStyle="1" w:styleId="SideNoteGraphic">
    <w:name w:val="Side Note Graphic"/>
    <w:basedOn w:val="SideNote"/>
    <w:next w:val="BodyText"/>
    <w:semiHidden/>
    <w:rsid w:val="00690E17"/>
    <w:pPr>
      <w:framePr w:wrap="around"/>
    </w:pPr>
  </w:style>
  <w:style w:type="paragraph" w:customStyle="1" w:styleId="TableBodyText">
    <w:name w:val="Table Body Text"/>
    <w:basedOn w:val="BodyText"/>
    <w:link w:val="TableBodyTextChar"/>
    <w:rsid w:val="00690E17"/>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690E17"/>
    <w:pPr>
      <w:numPr>
        <w:numId w:val="10"/>
      </w:numPr>
      <w:jc w:val="left"/>
    </w:pPr>
  </w:style>
  <w:style w:type="paragraph" w:customStyle="1" w:styleId="TableColumnHeading">
    <w:name w:val="Table Column Heading"/>
    <w:basedOn w:val="TableBodyText"/>
    <w:rsid w:val="00690E17"/>
    <w:pPr>
      <w:spacing w:before="80" w:after="80"/>
    </w:pPr>
    <w:rPr>
      <w:i/>
    </w:rPr>
  </w:style>
  <w:style w:type="paragraph" w:styleId="TOC2">
    <w:name w:val="toc 2"/>
    <w:basedOn w:val="TOC1"/>
    <w:rsid w:val="00690E17"/>
    <w:pPr>
      <w:ind w:left="1134" w:hanging="624"/>
    </w:pPr>
    <w:rPr>
      <w:b w:val="0"/>
    </w:rPr>
  </w:style>
  <w:style w:type="paragraph" w:styleId="TOC3">
    <w:name w:val="toc 3"/>
    <w:basedOn w:val="TOC2"/>
    <w:rsid w:val="00690E17"/>
    <w:pPr>
      <w:spacing w:before="60"/>
      <w:ind w:left="1190" w:hanging="680"/>
    </w:pPr>
  </w:style>
  <w:style w:type="paragraph" w:styleId="TableofFigures">
    <w:name w:val="table of figures"/>
    <w:basedOn w:val="TOC3"/>
    <w:next w:val="BodyText"/>
    <w:semiHidden/>
    <w:rsid w:val="00690E17"/>
    <w:pPr>
      <w:ind w:left="737" w:hanging="737"/>
    </w:pPr>
  </w:style>
  <w:style w:type="paragraph" w:customStyle="1" w:styleId="TableTitle">
    <w:name w:val="Table Title"/>
    <w:basedOn w:val="Caption"/>
    <w:next w:val="Subtitle"/>
    <w:qFormat/>
    <w:rsid w:val="00690E17"/>
    <w:pPr>
      <w:spacing w:before="120"/>
    </w:pPr>
  </w:style>
  <w:style w:type="paragraph" w:customStyle="1" w:styleId="TableUnitsRow">
    <w:name w:val="Table Units Row"/>
    <w:basedOn w:val="TableBodyText"/>
    <w:rsid w:val="00690E17"/>
    <w:pPr>
      <w:spacing w:before="40"/>
    </w:pPr>
  </w:style>
  <w:style w:type="paragraph" w:styleId="TOC1">
    <w:name w:val="toc 1"/>
    <w:basedOn w:val="Normal"/>
    <w:next w:val="TOC2"/>
    <w:link w:val="TOC1Char"/>
    <w:rsid w:val="00690E1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690E17"/>
    <w:pPr>
      <w:ind w:left="1191" w:firstLine="0"/>
    </w:pPr>
  </w:style>
  <w:style w:type="paragraph" w:customStyle="1" w:styleId="RecBBullet2">
    <w:name w:val="RecB Bullet 2"/>
    <w:basedOn w:val="ListBullet2"/>
    <w:semiHidden/>
    <w:rsid w:val="00690E17"/>
    <w:pPr>
      <w:pBdr>
        <w:left w:val="single" w:sz="24" w:space="29" w:color="C0C0C0"/>
      </w:pBdr>
    </w:pPr>
    <w:rPr>
      <w:b/>
      <w:i/>
    </w:rPr>
  </w:style>
  <w:style w:type="paragraph" w:styleId="BalloonText">
    <w:name w:val="Balloon Text"/>
    <w:basedOn w:val="Normal"/>
    <w:link w:val="BalloonTextChar"/>
    <w:rsid w:val="00690E17"/>
    <w:rPr>
      <w:rFonts w:ascii="Tahoma" w:hAnsi="Tahoma" w:cs="Tahoma"/>
      <w:sz w:val="16"/>
      <w:szCs w:val="16"/>
    </w:rPr>
  </w:style>
  <w:style w:type="character" w:customStyle="1" w:styleId="BalloonTextChar">
    <w:name w:val="Balloon Text Char"/>
    <w:basedOn w:val="DefaultParagraphFont"/>
    <w:link w:val="BalloonText"/>
    <w:rsid w:val="00690E17"/>
    <w:rPr>
      <w:rFonts w:ascii="Tahoma" w:hAnsi="Tahoma" w:cs="Tahoma"/>
      <w:sz w:val="16"/>
      <w:szCs w:val="16"/>
    </w:rPr>
  </w:style>
  <w:style w:type="character" w:customStyle="1" w:styleId="SubtitleChar">
    <w:name w:val="Subtitle Char"/>
    <w:basedOn w:val="DefaultParagraphFont"/>
    <w:link w:val="Subtitle"/>
    <w:rsid w:val="00690E17"/>
    <w:rPr>
      <w:rFonts w:ascii="Arial" w:hAnsi="Arial"/>
      <w:szCs w:val="24"/>
    </w:rPr>
  </w:style>
  <w:style w:type="paragraph" w:customStyle="1" w:styleId="BoxListBullet3">
    <w:name w:val="Box List Bullet 3"/>
    <w:basedOn w:val="ListBullet3"/>
    <w:rsid w:val="00690E17"/>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690E17"/>
    <w:rPr>
      <w:i/>
      <w:iCs/>
    </w:rPr>
  </w:style>
  <w:style w:type="paragraph" w:customStyle="1" w:styleId="BoxQuoteBullet">
    <w:name w:val="Box Quote Bullet"/>
    <w:basedOn w:val="BoxQuote"/>
    <w:next w:val="Box"/>
    <w:rsid w:val="00690E17"/>
    <w:pPr>
      <w:numPr>
        <w:numId w:val="14"/>
      </w:numPr>
      <w:ind w:left="568" w:hanging="284"/>
    </w:pPr>
  </w:style>
  <w:style w:type="paragraph" w:customStyle="1" w:styleId="InformationRequestBullet">
    <w:name w:val="Information Request Bullet"/>
    <w:basedOn w:val="ListBullet"/>
    <w:next w:val="BodyText"/>
    <w:rsid w:val="00690E17"/>
    <w:pPr>
      <w:numPr>
        <w:numId w:val="15"/>
      </w:numPr>
      <w:spacing w:before="80" w:line="280" w:lineRule="atLeast"/>
      <w:ind w:left="357" w:hanging="357"/>
    </w:pPr>
    <w:rPr>
      <w:rFonts w:ascii="Arial" w:hAnsi="Arial"/>
      <w:i/>
      <w:sz w:val="22"/>
    </w:rPr>
  </w:style>
  <w:style w:type="character" w:customStyle="1" w:styleId="NoteChar">
    <w:name w:val="Note Char"/>
    <w:link w:val="Note"/>
    <w:rsid w:val="00666ECE"/>
    <w:rPr>
      <w:rFonts w:ascii="Arial" w:hAnsi="Arial"/>
      <w:sz w:val="18"/>
    </w:rPr>
  </w:style>
  <w:style w:type="character" w:customStyle="1" w:styleId="Heading1Char">
    <w:name w:val="Heading 1 Char"/>
    <w:link w:val="Heading1"/>
    <w:rsid w:val="00666ECE"/>
    <w:rPr>
      <w:sz w:val="52"/>
    </w:rPr>
  </w:style>
  <w:style w:type="character" w:customStyle="1" w:styleId="ChapterChar">
    <w:name w:val="Chapter Char"/>
    <w:basedOn w:val="Heading1Char"/>
    <w:link w:val="Chapter"/>
    <w:semiHidden/>
    <w:rsid w:val="00666ECE"/>
    <w:rPr>
      <w:sz w:val="52"/>
    </w:rPr>
  </w:style>
  <w:style w:type="character" w:customStyle="1" w:styleId="Heading2Char">
    <w:name w:val="Heading 2 Char"/>
    <w:link w:val="Heading2"/>
    <w:rsid w:val="00666ECE"/>
    <w:rPr>
      <w:rFonts w:ascii="Arial" w:hAnsi="Arial"/>
      <w:b/>
      <w:sz w:val="32"/>
    </w:rPr>
  </w:style>
  <w:style w:type="character" w:customStyle="1" w:styleId="Heading3Char">
    <w:name w:val="Heading 3 Char"/>
    <w:link w:val="Heading3"/>
    <w:rsid w:val="00666ECE"/>
    <w:rPr>
      <w:rFonts w:ascii="Arial" w:hAnsi="Arial"/>
      <w:b/>
      <w:sz w:val="26"/>
    </w:rPr>
  </w:style>
  <w:style w:type="character" w:customStyle="1" w:styleId="SourceChar">
    <w:name w:val="Source Char"/>
    <w:link w:val="Source"/>
    <w:rsid w:val="00666ECE"/>
    <w:rPr>
      <w:rFonts w:ascii="Arial" w:hAnsi="Arial"/>
      <w:sz w:val="18"/>
    </w:rPr>
  </w:style>
  <w:style w:type="character" w:customStyle="1" w:styleId="BoxTitleChar">
    <w:name w:val="Box Title Char"/>
    <w:link w:val="BoxTitle"/>
    <w:rsid w:val="00666ECE"/>
    <w:rPr>
      <w:rFonts w:ascii="Arial" w:hAnsi="Arial"/>
      <w:b/>
      <w:sz w:val="24"/>
      <w:szCs w:val="24"/>
    </w:rPr>
  </w:style>
  <w:style w:type="character" w:customStyle="1" w:styleId="BoxChar">
    <w:name w:val="Box Char"/>
    <w:link w:val="Box"/>
    <w:rsid w:val="00666ECE"/>
    <w:rPr>
      <w:rFonts w:ascii="Arial" w:hAnsi="Arial"/>
    </w:rPr>
  </w:style>
  <w:style w:type="character" w:customStyle="1" w:styleId="BoxListBulletChar">
    <w:name w:val="Box List Bullet Char"/>
    <w:link w:val="BoxListBullet"/>
    <w:rsid w:val="00666ECE"/>
    <w:rPr>
      <w:rFonts w:ascii="Arial" w:hAnsi="Arial"/>
    </w:rPr>
  </w:style>
  <w:style w:type="character" w:styleId="Hyperlink">
    <w:name w:val="Hyperlink"/>
    <w:uiPriority w:val="99"/>
    <w:rsid w:val="00666ECE"/>
    <w:rPr>
      <w:color w:val="0000FF"/>
      <w:u w:val="single"/>
    </w:rPr>
  </w:style>
  <w:style w:type="character" w:customStyle="1" w:styleId="Heading4Char">
    <w:name w:val="Heading 4 Char"/>
    <w:link w:val="Heading4"/>
    <w:rsid w:val="00666ECE"/>
    <w:rPr>
      <w:rFonts w:ascii="Arial" w:hAnsi="Arial"/>
      <w:sz w:val="24"/>
    </w:rPr>
  </w:style>
  <w:style w:type="character" w:customStyle="1" w:styleId="Heading5Char">
    <w:name w:val="Heading 5 Char"/>
    <w:basedOn w:val="DefaultParagraphFont"/>
    <w:link w:val="Heading5"/>
    <w:rsid w:val="00690E17"/>
    <w:rPr>
      <w:rFonts w:ascii="Arial" w:hAnsi="Arial"/>
      <w:i/>
      <w:sz w:val="22"/>
    </w:rPr>
  </w:style>
  <w:style w:type="character" w:customStyle="1" w:styleId="BoxContinuedChar">
    <w:name w:val="Box Continued Char"/>
    <w:link w:val="BoxContinued"/>
    <w:semiHidden/>
    <w:rsid w:val="00666ECE"/>
    <w:rPr>
      <w:rFonts w:ascii="Arial" w:hAnsi="Arial"/>
      <w:sz w:val="18"/>
    </w:rPr>
  </w:style>
  <w:style w:type="table" w:styleId="TableGrid">
    <w:name w:val="Table Grid"/>
    <w:basedOn w:val="TableNormal"/>
    <w:rsid w:val="00690E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ableBodyTextChar">
    <w:name w:val="Table Body Text Char"/>
    <w:link w:val="TableBodyText"/>
    <w:rsid w:val="00666ECE"/>
    <w:rPr>
      <w:rFonts w:ascii="Arial" w:hAnsi="Arial"/>
      <w:sz w:val="18"/>
    </w:rPr>
  </w:style>
  <w:style w:type="character" w:customStyle="1" w:styleId="ReferenceChar">
    <w:name w:val="Reference Char"/>
    <w:link w:val="Reference"/>
    <w:rsid w:val="00666ECE"/>
    <w:rPr>
      <w:sz w:val="24"/>
    </w:rPr>
  </w:style>
  <w:style w:type="character" w:customStyle="1" w:styleId="BodyTextChar">
    <w:name w:val="Body Text Char"/>
    <w:basedOn w:val="DefaultParagraphFont"/>
    <w:link w:val="BodyText"/>
    <w:rsid w:val="00690E17"/>
    <w:rPr>
      <w:sz w:val="24"/>
    </w:rPr>
  </w:style>
  <w:style w:type="character" w:customStyle="1" w:styleId="BoxListNumberChar">
    <w:name w:val="Box List Number Char"/>
    <w:link w:val="BoxListNumber"/>
    <w:rsid w:val="00666ECE"/>
    <w:rPr>
      <w:rFonts w:ascii="Arial" w:hAnsi="Arial"/>
    </w:rPr>
  </w:style>
  <w:style w:type="character" w:customStyle="1" w:styleId="BoxListNumber2Char">
    <w:name w:val="Box List Number 2 Char"/>
    <w:basedOn w:val="BoxListNumberChar"/>
    <w:link w:val="BoxListNumber2"/>
    <w:rsid w:val="00666ECE"/>
    <w:rPr>
      <w:rFonts w:ascii="Arial" w:hAnsi="Arial"/>
    </w:rPr>
  </w:style>
  <w:style w:type="character" w:styleId="FollowedHyperlink">
    <w:name w:val="FollowedHyperlink"/>
    <w:rsid w:val="00666ECE"/>
    <w:rPr>
      <w:color w:val="800080"/>
      <w:u w:val="single"/>
    </w:rPr>
  </w:style>
  <w:style w:type="character" w:customStyle="1" w:styleId="BoxQuoteChar">
    <w:name w:val="Box Quote Char"/>
    <w:link w:val="BoxQuote"/>
    <w:rsid w:val="00666ECE"/>
    <w:rPr>
      <w:rFonts w:ascii="Arial" w:hAnsi="Arial"/>
      <w:sz w:val="18"/>
    </w:rPr>
  </w:style>
  <w:style w:type="paragraph" w:customStyle="1" w:styleId="jurisdictioncommentsbodytext0">
    <w:name w:val="jurisdictioncommentsbodytext"/>
    <w:basedOn w:val="Normal"/>
    <w:rsid w:val="00666ECE"/>
    <w:pPr>
      <w:spacing w:after="140"/>
      <w:jc w:val="both"/>
    </w:pPr>
    <w:rPr>
      <w:rFonts w:ascii="Arial" w:eastAsia="SimSun" w:hAnsi="Arial" w:cs="Arial"/>
      <w:lang w:eastAsia="zh-CN"/>
    </w:rPr>
  </w:style>
  <w:style w:type="character" w:customStyle="1" w:styleId="BoxHeading1Char">
    <w:name w:val="Box Heading 1 Char"/>
    <w:link w:val="BoxHeading1"/>
    <w:rsid w:val="00666ECE"/>
    <w:rPr>
      <w:rFonts w:ascii="Arial" w:hAnsi="Arial"/>
      <w:b/>
      <w:sz w:val="22"/>
    </w:rPr>
  </w:style>
  <w:style w:type="character" w:customStyle="1" w:styleId="BoxHeading2Char">
    <w:name w:val="Box Heading 2 Char"/>
    <w:link w:val="BoxHeading2"/>
    <w:rsid w:val="00666ECE"/>
    <w:rPr>
      <w:rFonts w:ascii="Arial" w:hAnsi="Arial"/>
      <w:i/>
      <w:sz w:val="22"/>
    </w:rPr>
  </w:style>
  <w:style w:type="character" w:customStyle="1" w:styleId="ListBulletChar">
    <w:name w:val="List Bullet Char"/>
    <w:basedOn w:val="BodyTextChar"/>
    <w:link w:val="ListBullet"/>
    <w:rsid w:val="00666ECE"/>
    <w:rPr>
      <w:sz w:val="24"/>
    </w:rPr>
  </w:style>
  <w:style w:type="character" w:customStyle="1" w:styleId="CommentTextChar">
    <w:name w:val="Comment Text Char"/>
    <w:link w:val="CommentText"/>
    <w:semiHidden/>
    <w:rsid w:val="00666ECE"/>
    <w:rPr>
      <w:szCs w:val="24"/>
    </w:rPr>
  </w:style>
  <w:style w:type="paragraph" w:styleId="NormalWeb">
    <w:name w:val="Normal (Web)"/>
    <w:basedOn w:val="Normal"/>
    <w:uiPriority w:val="99"/>
    <w:unhideWhenUsed/>
    <w:rsid w:val="00B410A0"/>
    <w:pPr>
      <w:spacing w:before="100" w:beforeAutospacing="1" w:after="100" w:afterAutospacing="1"/>
    </w:pPr>
    <w:rPr>
      <w:rFonts w:eastAsiaTheme="minorHAnsi"/>
    </w:rPr>
  </w:style>
  <w:style w:type="paragraph" w:styleId="CommentSubject">
    <w:name w:val="annotation subject"/>
    <w:basedOn w:val="CommentText"/>
    <w:next w:val="CommentText"/>
    <w:link w:val="CommentSubjectChar"/>
    <w:rsid w:val="00DF3C6E"/>
    <w:pPr>
      <w:spacing w:before="0" w:line="240" w:lineRule="auto"/>
      <w:ind w:left="0" w:firstLine="0"/>
    </w:pPr>
    <w:rPr>
      <w:b/>
      <w:bCs/>
      <w:szCs w:val="20"/>
    </w:rPr>
  </w:style>
  <w:style w:type="character" w:customStyle="1" w:styleId="CommentSubjectChar">
    <w:name w:val="Comment Subject Char"/>
    <w:basedOn w:val="CommentTextChar"/>
    <w:link w:val="CommentSubject"/>
    <w:rsid w:val="00DF3C6E"/>
    <w:rPr>
      <w:b/>
      <w:bCs/>
      <w:szCs w:val="24"/>
    </w:rPr>
  </w:style>
  <w:style w:type="paragraph" w:customStyle="1" w:styleId="Default">
    <w:name w:val="Default"/>
    <w:basedOn w:val="Normal"/>
    <w:rsid w:val="00976D0E"/>
    <w:pPr>
      <w:autoSpaceDE w:val="0"/>
      <w:autoSpaceDN w:val="0"/>
    </w:pPr>
    <w:rPr>
      <w:rFonts w:ascii="Arial" w:eastAsiaTheme="minorHAnsi" w:hAnsi="Arial" w:cs="Arial"/>
      <w:color w:val="000000"/>
    </w:rPr>
  </w:style>
  <w:style w:type="character" w:customStyle="1" w:styleId="FootnoteTextChar">
    <w:name w:val="Footnote Text Char"/>
    <w:basedOn w:val="DefaultParagraphFont"/>
    <w:link w:val="FootnoteText"/>
    <w:rsid w:val="0041139D"/>
  </w:style>
  <w:style w:type="paragraph" w:styleId="ListParagraph">
    <w:name w:val="List Paragraph"/>
    <w:basedOn w:val="Normal"/>
    <w:uiPriority w:val="34"/>
    <w:rsid w:val="009B6671"/>
    <w:pPr>
      <w:ind w:left="720"/>
      <w:contextualSpacing/>
    </w:pPr>
  </w:style>
  <w:style w:type="paragraph" w:customStyle="1" w:styleId="BoxSpaceAbove">
    <w:name w:val="Box Space Above"/>
    <w:basedOn w:val="BodyText"/>
    <w:rsid w:val="00690E17"/>
    <w:pPr>
      <w:keepNext/>
      <w:spacing w:before="360" w:line="80" w:lineRule="exact"/>
      <w:jc w:val="left"/>
    </w:pPr>
  </w:style>
  <w:style w:type="paragraph" w:customStyle="1" w:styleId="BoxSpaceBelow">
    <w:name w:val="Box Space Below"/>
    <w:basedOn w:val="Box"/>
    <w:rsid w:val="00690E17"/>
    <w:pPr>
      <w:keepNext w:val="0"/>
      <w:spacing w:before="60" w:after="60" w:line="80" w:lineRule="exact"/>
    </w:pPr>
    <w:rPr>
      <w:sz w:val="14"/>
    </w:rPr>
  </w:style>
  <w:style w:type="paragraph" w:customStyle="1" w:styleId="KeyPointsListBullet">
    <w:name w:val="Key Points List Bullet"/>
    <w:basedOn w:val="Normal"/>
    <w:qFormat/>
    <w:rsid w:val="00690E17"/>
    <w:pPr>
      <w:keepNext/>
      <w:numPr>
        <w:numId w:val="2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690E17"/>
    <w:pPr>
      <w:numPr>
        <w:numId w:val="29"/>
      </w:numPr>
      <w:ind w:left="568" w:hanging="284"/>
    </w:pPr>
  </w:style>
  <w:style w:type="paragraph" w:customStyle="1" w:styleId="InformationRequestTitle">
    <w:name w:val="Information Request Title"/>
    <w:basedOn w:val="FindingTitle"/>
    <w:next w:val="InformationRequest"/>
    <w:rsid w:val="00690E17"/>
    <w:rPr>
      <w:i/>
    </w:rPr>
  </w:style>
  <w:style w:type="paragraph" w:customStyle="1" w:styleId="Space">
    <w:name w:val="Space"/>
    <w:basedOn w:val="Normal"/>
    <w:rsid w:val="00690E17"/>
    <w:pPr>
      <w:keepNext/>
      <w:spacing w:line="120" w:lineRule="exact"/>
      <w:jc w:val="both"/>
    </w:pPr>
    <w:rPr>
      <w:rFonts w:ascii="Arial" w:hAnsi="Arial"/>
      <w:sz w:val="20"/>
      <w:szCs w:val="20"/>
    </w:rPr>
  </w:style>
  <w:style w:type="paragraph" w:customStyle="1" w:styleId="Heading1nochapterno">
    <w:name w:val="Heading 1 (no chapter no.)"/>
    <w:basedOn w:val="Heading1"/>
    <w:rsid w:val="00690E17"/>
    <w:pPr>
      <w:spacing w:before="0"/>
      <w:ind w:left="0" w:firstLine="0"/>
    </w:pPr>
  </w:style>
  <w:style w:type="paragraph" w:customStyle="1" w:styleId="Heading2nosectionno">
    <w:name w:val="Heading 2 (no section no.)"/>
    <w:basedOn w:val="Heading2"/>
    <w:rsid w:val="00690E17"/>
    <w:pPr>
      <w:ind w:left="0" w:firstLine="0"/>
    </w:pPr>
  </w:style>
  <w:style w:type="paragraph" w:customStyle="1" w:styleId="Figurespace">
    <w:name w:val="Figure space"/>
    <w:basedOn w:val="Box"/>
    <w:rsid w:val="00690E17"/>
    <w:pPr>
      <w:spacing w:before="0" w:line="120" w:lineRule="exact"/>
    </w:pPr>
  </w:style>
  <w:style w:type="paragraph" w:customStyle="1" w:styleId="FooterDraftReport">
    <w:name w:val="FooterDraftReport"/>
    <w:basedOn w:val="Footer"/>
    <w:link w:val="FooterDraftReportChar"/>
    <w:rsid w:val="00690E17"/>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690E17"/>
    <w:rPr>
      <w:rFonts w:ascii="Arial" w:hAnsi="Arial"/>
      <w:caps/>
      <w:spacing w:val="-4"/>
      <w:sz w:val="16"/>
    </w:rPr>
  </w:style>
  <w:style w:type="character" w:customStyle="1" w:styleId="FooterDraftReportChar">
    <w:name w:val="FooterDraftReport Char"/>
    <w:basedOn w:val="FooterChar"/>
    <w:link w:val="FooterDraftReport"/>
    <w:rsid w:val="00690E17"/>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690E17"/>
    <w:rPr>
      <w:rFonts w:ascii="Arial" w:hAnsi="Arial"/>
      <w:b/>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8982">
      <w:bodyDiv w:val="1"/>
      <w:marLeft w:val="0"/>
      <w:marRight w:val="0"/>
      <w:marTop w:val="0"/>
      <w:marBottom w:val="0"/>
      <w:divBdr>
        <w:top w:val="none" w:sz="0" w:space="0" w:color="auto"/>
        <w:left w:val="none" w:sz="0" w:space="0" w:color="auto"/>
        <w:bottom w:val="none" w:sz="0" w:space="0" w:color="auto"/>
        <w:right w:val="none" w:sz="0" w:space="0" w:color="auto"/>
      </w:divBdr>
    </w:div>
    <w:div w:id="48578010">
      <w:bodyDiv w:val="1"/>
      <w:marLeft w:val="0"/>
      <w:marRight w:val="0"/>
      <w:marTop w:val="0"/>
      <w:marBottom w:val="0"/>
      <w:divBdr>
        <w:top w:val="none" w:sz="0" w:space="0" w:color="auto"/>
        <w:left w:val="none" w:sz="0" w:space="0" w:color="auto"/>
        <w:bottom w:val="none" w:sz="0" w:space="0" w:color="auto"/>
        <w:right w:val="none" w:sz="0" w:space="0" w:color="auto"/>
      </w:divBdr>
    </w:div>
    <w:div w:id="140345097">
      <w:bodyDiv w:val="1"/>
      <w:marLeft w:val="0"/>
      <w:marRight w:val="0"/>
      <w:marTop w:val="0"/>
      <w:marBottom w:val="0"/>
      <w:divBdr>
        <w:top w:val="none" w:sz="0" w:space="0" w:color="auto"/>
        <w:left w:val="none" w:sz="0" w:space="0" w:color="auto"/>
        <w:bottom w:val="none" w:sz="0" w:space="0" w:color="auto"/>
        <w:right w:val="none" w:sz="0" w:space="0" w:color="auto"/>
      </w:divBdr>
    </w:div>
    <w:div w:id="202593682">
      <w:bodyDiv w:val="1"/>
      <w:marLeft w:val="0"/>
      <w:marRight w:val="0"/>
      <w:marTop w:val="0"/>
      <w:marBottom w:val="0"/>
      <w:divBdr>
        <w:top w:val="none" w:sz="0" w:space="0" w:color="auto"/>
        <w:left w:val="none" w:sz="0" w:space="0" w:color="auto"/>
        <w:bottom w:val="none" w:sz="0" w:space="0" w:color="auto"/>
        <w:right w:val="none" w:sz="0" w:space="0" w:color="auto"/>
      </w:divBdr>
    </w:div>
    <w:div w:id="289476269">
      <w:bodyDiv w:val="1"/>
      <w:marLeft w:val="0"/>
      <w:marRight w:val="0"/>
      <w:marTop w:val="0"/>
      <w:marBottom w:val="0"/>
      <w:divBdr>
        <w:top w:val="none" w:sz="0" w:space="0" w:color="auto"/>
        <w:left w:val="none" w:sz="0" w:space="0" w:color="auto"/>
        <w:bottom w:val="none" w:sz="0" w:space="0" w:color="auto"/>
        <w:right w:val="none" w:sz="0" w:space="0" w:color="auto"/>
      </w:divBdr>
    </w:div>
    <w:div w:id="308947440">
      <w:bodyDiv w:val="1"/>
      <w:marLeft w:val="0"/>
      <w:marRight w:val="0"/>
      <w:marTop w:val="0"/>
      <w:marBottom w:val="0"/>
      <w:divBdr>
        <w:top w:val="none" w:sz="0" w:space="0" w:color="auto"/>
        <w:left w:val="none" w:sz="0" w:space="0" w:color="auto"/>
        <w:bottom w:val="none" w:sz="0" w:space="0" w:color="auto"/>
        <w:right w:val="none" w:sz="0" w:space="0" w:color="auto"/>
      </w:divBdr>
    </w:div>
    <w:div w:id="321930236">
      <w:bodyDiv w:val="1"/>
      <w:marLeft w:val="0"/>
      <w:marRight w:val="0"/>
      <w:marTop w:val="0"/>
      <w:marBottom w:val="0"/>
      <w:divBdr>
        <w:top w:val="none" w:sz="0" w:space="0" w:color="auto"/>
        <w:left w:val="none" w:sz="0" w:space="0" w:color="auto"/>
        <w:bottom w:val="none" w:sz="0" w:space="0" w:color="auto"/>
        <w:right w:val="none" w:sz="0" w:space="0" w:color="auto"/>
      </w:divBdr>
      <w:divsChild>
        <w:div w:id="936402691">
          <w:marLeft w:val="0"/>
          <w:marRight w:val="0"/>
          <w:marTop w:val="0"/>
          <w:marBottom w:val="0"/>
          <w:divBdr>
            <w:top w:val="none" w:sz="0" w:space="0" w:color="auto"/>
            <w:left w:val="none" w:sz="0" w:space="0" w:color="auto"/>
            <w:bottom w:val="none" w:sz="0" w:space="0" w:color="auto"/>
            <w:right w:val="none" w:sz="0" w:space="0" w:color="auto"/>
          </w:divBdr>
          <w:divsChild>
            <w:div w:id="1412040302">
              <w:marLeft w:val="0"/>
              <w:marRight w:val="0"/>
              <w:marTop w:val="0"/>
              <w:marBottom w:val="0"/>
              <w:divBdr>
                <w:top w:val="none" w:sz="0" w:space="0" w:color="auto"/>
                <w:left w:val="none" w:sz="0" w:space="0" w:color="auto"/>
                <w:bottom w:val="none" w:sz="0" w:space="0" w:color="auto"/>
                <w:right w:val="none" w:sz="0" w:space="0" w:color="auto"/>
              </w:divBdr>
              <w:divsChild>
                <w:div w:id="302272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2340876">
      <w:bodyDiv w:val="1"/>
      <w:marLeft w:val="0"/>
      <w:marRight w:val="0"/>
      <w:marTop w:val="0"/>
      <w:marBottom w:val="0"/>
      <w:divBdr>
        <w:top w:val="none" w:sz="0" w:space="0" w:color="auto"/>
        <w:left w:val="none" w:sz="0" w:space="0" w:color="auto"/>
        <w:bottom w:val="none" w:sz="0" w:space="0" w:color="auto"/>
        <w:right w:val="none" w:sz="0" w:space="0" w:color="auto"/>
      </w:divBdr>
    </w:div>
    <w:div w:id="383215548">
      <w:bodyDiv w:val="1"/>
      <w:marLeft w:val="0"/>
      <w:marRight w:val="0"/>
      <w:marTop w:val="0"/>
      <w:marBottom w:val="0"/>
      <w:divBdr>
        <w:top w:val="none" w:sz="0" w:space="0" w:color="auto"/>
        <w:left w:val="none" w:sz="0" w:space="0" w:color="auto"/>
        <w:bottom w:val="none" w:sz="0" w:space="0" w:color="auto"/>
        <w:right w:val="none" w:sz="0" w:space="0" w:color="auto"/>
      </w:divBdr>
    </w:div>
    <w:div w:id="489370254">
      <w:bodyDiv w:val="1"/>
      <w:marLeft w:val="0"/>
      <w:marRight w:val="0"/>
      <w:marTop w:val="0"/>
      <w:marBottom w:val="0"/>
      <w:divBdr>
        <w:top w:val="none" w:sz="0" w:space="0" w:color="auto"/>
        <w:left w:val="none" w:sz="0" w:space="0" w:color="auto"/>
        <w:bottom w:val="none" w:sz="0" w:space="0" w:color="auto"/>
        <w:right w:val="none" w:sz="0" w:space="0" w:color="auto"/>
      </w:divBdr>
    </w:div>
    <w:div w:id="513883359">
      <w:bodyDiv w:val="1"/>
      <w:marLeft w:val="0"/>
      <w:marRight w:val="0"/>
      <w:marTop w:val="0"/>
      <w:marBottom w:val="0"/>
      <w:divBdr>
        <w:top w:val="none" w:sz="0" w:space="0" w:color="auto"/>
        <w:left w:val="none" w:sz="0" w:space="0" w:color="auto"/>
        <w:bottom w:val="none" w:sz="0" w:space="0" w:color="auto"/>
        <w:right w:val="none" w:sz="0" w:space="0" w:color="auto"/>
      </w:divBdr>
    </w:div>
    <w:div w:id="539362584">
      <w:bodyDiv w:val="1"/>
      <w:marLeft w:val="0"/>
      <w:marRight w:val="0"/>
      <w:marTop w:val="0"/>
      <w:marBottom w:val="0"/>
      <w:divBdr>
        <w:top w:val="none" w:sz="0" w:space="0" w:color="auto"/>
        <w:left w:val="none" w:sz="0" w:space="0" w:color="auto"/>
        <w:bottom w:val="none" w:sz="0" w:space="0" w:color="auto"/>
        <w:right w:val="none" w:sz="0" w:space="0" w:color="auto"/>
      </w:divBdr>
    </w:div>
    <w:div w:id="582029670">
      <w:bodyDiv w:val="1"/>
      <w:marLeft w:val="0"/>
      <w:marRight w:val="0"/>
      <w:marTop w:val="0"/>
      <w:marBottom w:val="0"/>
      <w:divBdr>
        <w:top w:val="none" w:sz="0" w:space="0" w:color="auto"/>
        <w:left w:val="none" w:sz="0" w:space="0" w:color="auto"/>
        <w:bottom w:val="none" w:sz="0" w:space="0" w:color="auto"/>
        <w:right w:val="none" w:sz="0" w:space="0" w:color="auto"/>
      </w:divBdr>
    </w:div>
    <w:div w:id="599067387">
      <w:bodyDiv w:val="1"/>
      <w:marLeft w:val="0"/>
      <w:marRight w:val="0"/>
      <w:marTop w:val="0"/>
      <w:marBottom w:val="0"/>
      <w:divBdr>
        <w:top w:val="none" w:sz="0" w:space="0" w:color="auto"/>
        <w:left w:val="none" w:sz="0" w:space="0" w:color="auto"/>
        <w:bottom w:val="none" w:sz="0" w:space="0" w:color="auto"/>
        <w:right w:val="none" w:sz="0" w:space="0" w:color="auto"/>
      </w:divBdr>
    </w:div>
    <w:div w:id="628512741">
      <w:bodyDiv w:val="1"/>
      <w:marLeft w:val="0"/>
      <w:marRight w:val="0"/>
      <w:marTop w:val="0"/>
      <w:marBottom w:val="0"/>
      <w:divBdr>
        <w:top w:val="none" w:sz="0" w:space="0" w:color="auto"/>
        <w:left w:val="none" w:sz="0" w:space="0" w:color="auto"/>
        <w:bottom w:val="none" w:sz="0" w:space="0" w:color="auto"/>
        <w:right w:val="none" w:sz="0" w:space="0" w:color="auto"/>
      </w:divBdr>
    </w:div>
    <w:div w:id="679547479">
      <w:bodyDiv w:val="1"/>
      <w:marLeft w:val="0"/>
      <w:marRight w:val="0"/>
      <w:marTop w:val="0"/>
      <w:marBottom w:val="0"/>
      <w:divBdr>
        <w:top w:val="none" w:sz="0" w:space="0" w:color="auto"/>
        <w:left w:val="none" w:sz="0" w:space="0" w:color="auto"/>
        <w:bottom w:val="none" w:sz="0" w:space="0" w:color="auto"/>
        <w:right w:val="none" w:sz="0" w:space="0" w:color="auto"/>
      </w:divBdr>
    </w:div>
    <w:div w:id="751126342">
      <w:bodyDiv w:val="1"/>
      <w:marLeft w:val="0"/>
      <w:marRight w:val="0"/>
      <w:marTop w:val="0"/>
      <w:marBottom w:val="0"/>
      <w:divBdr>
        <w:top w:val="none" w:sz="0" w:space="0" w:color="auto"/>
        <w:left w:val="none" w:sz="0" w:space="0" w:color="auto"/>
        <w:bottom w:val="none" w:sz="0" w:space="0" w:color="auto"/>
        <w:right w:val="none" w:sz="0" w:space="0" w:color="auto"/>
      </w:divBdr>
    </w:div>
    <w:div w:id="772626035">
      <w:bodyDiv w:val="1"/>
      <w:marLeft w:val="0"/>
      <w:marRight w:val="0"/>
      <w:marTop w:val="0"/>
      <w:marBottom w:val="0"/>
      <w:divBdr>
        <w:top w:val="none" w:sz="0" w:space="0" w:color="auto"/>
        <w:left w:val="none" w:sz="0" w:space="0" w:color="auto"/>
        <w:bottom w:val="none" w:sz="0" w:space="0" w:color="auto"/>
        <w:right w:val="none" w:sz="0" w:space="0" w:color="auto"/>
      </w:divBdr>
    </w:div>
    <w:div w:id="780759897">
      <w:bodyDiv w:val="1"/>
      <w:marLeft w:val="0"/>
      <w:marRight w:val="0"/>
      <w:marTop w:val="0"/>
      <w:marBottom w:val="0"/>
      <w:divBdr>
        <w:top w:val="none" w:sz="0" w:space="0" w:color="auto"/>
        <w:left w:val="none" w:sz="0" w:space="0" w:color="auto"/>
        <w:bottom w:val="none" w:sz="0" w:space="0" w:color="auto"/>
        <w:right w:val="none" w:sz="0" w:space="0" w:color="auto"/>
      </w:divBdr>
    </w:div>
    <w:div w:id="875970278">
      <w:bodyDiv w:val="1"/>
      <w:marLeft w:val="0"/>
      <w:marRight w:val="0"/>
      <w:marTop w:val="0"/>
      <w:marBottom w:val="0"/>
      <w:divBdr>
        <w:top w:val="none" w:sz="0" w:space="0" w:color="auto"/>
        <w:left w:val="none" w:sz="0" w:space="0" w:color="auto"/>
        <w:bottom w:val="none" w:sz="0" w:space="0" w:color="auto"/>
        <w:right w:val="none" w:sz="0" w:space="0" w:color="auto"/>
      </w:divBdr>
    </w:div>
    <w:div w:id="909845487">
      <w:bodyDiv w:val="1"/>
      <w:marLeft w:val="0"/>
      <w:marRight w:val="0"/>
      <w:marTop w:val="0"/>
      <w:marBottom w:val="0"/>
      <w:divBdr>
        <w:top w:val="none" w:sz="0" w:space="0" w:color="auto"/>
        <w:left w:val="none" w:sz="0" w:space="0" w:color="auto"/>
        <w:bottom w:val="none" w:sz="0" w:space="0" w:color="auto"/>
        <w:right w:val="none" w:sz="0" w:space="0" w:color="auto"/>
      </w:divBdr>
    </w:div>
    <w:div w:id="986975300">
      <w:bodyDiv w:val="1"/>
      <w:marLeft w:val="0"/>
      <w:marRight w:val="0"/>
      <w:marTop w:val="0"/>
      <w:marBottom w:val="0"/>
      <w:divBdr>
        <w:top w:val="none" w:sz="0" w:space="0" w:color="auto"/>
        <w:left w:val="none" w:sz="0" w:space="0" w:color="auto"/>
        <w:bottom w:val="none" w:sz="0" w:space="0" w:color="auto"/>
        <w:right w:val="none" w:sz="0" w:space="0" w:color="auto"/>
      </w:divBdr>
    </w:div>
    <w:div w:id="990446169">
      <w:bodyDiv w:val="1"/>
      <w:marLeft w:val="0"/>
      <w:marRight w:val="0"/>
      <w:marTop w:val="0"/>
      <w:marBottom w:val="0"/>
      <w:divBdr>
        <w:top w:val="none" w:sz="0" w:space="0" w:color="auto"/>
        <w:left w:val="none" w:sz="0" w:space="0" w:color="auto"/>
        <w:bottom w:val="none" w:sz="0" w:space="0" w:color="auto"/>
        <w:right w:val="none" w:sz="0" w:space="0" w:color="auto"/>
      </w:divBdr>
    </w:div>
    <w:div w:id="1006522040">
      <w:bodyDiv w:val="1"/>
      <w:marLeft w:val="0"/>
      <w:marRight w:val="0"/>
      <w:marTop w:val="0"/>
      <w:marBottom w:val="0"/>
      <w:divBdr>
        <w:top w:val="none" w:sz="0" w:space="0" w:color="auto"/>
        <w:left w:val="none" w:sz="0" w:space="0" w:color="auto"/>
        <w:bottom w:val="none" w:sz="0" w:space="0" w:color="auto"/>
        <w:right w:val="none" w:sz="0" w:space="0" w:color="auto"/>
      </w:divBdr>
    </w:div>
    <w:div w:id="1065226333">
      <w:bodyDiv w:val="1"/>
      <w:marLeft w:val="0"/>
      <w:marRight w:val="0"/>
      <w:marTop w:val="0"/>
      <w:marBottom w:val="0"/>
      <w:divBdr>
        <w:top w:val="none" w:sz="0" w:space="0" w:color="auto"/>
        <w:left w:val="none" w:sz="0" w:space="0" w:color="auto"/>
        <w:bottom w:val="none" w:sz="0" w:space="0" w:color="auto"/>
        <w:right w:val="none" w:sz="0" w:space="0" w:color="auto"/>
      </w:divBdr>
    </w:div>
    <w:div w:id="1130900208">
      <w:bodyDiv w:val="1"/>
      <w:marLeft w:val="0"/>
      <w:marRight w:val="0"/>
      <w:marTop w:val="0"/>
      <w:marBottom w:val="0"/>
      <w:divBdr>
        <w:top w:val="none" w:sz="0" w:space="0" w:color="auto"/>
        <w:left w:val="none" w:sz="0" w:space="0" w:color="auto"/>
        <w:bottom w:val="none" w:sz="0" w:space="0" w:color="auto"/>
        <w:right w:val="none" w:sz="0" w:space="0" w:color="auto"/>
      </w:divBdr>
    </w:div>
    <w:div w:id="1248076305">
      <w:bodyDiv w:val="1"/>
      <w:marLeft w:val="0"/>
      <w:marRight w:val="0"/>
      <w:marTop w:val="0"/>
      <w:marBottom w:val="0"/>
      <w:divBdr>
        <w:top w:val="none" w:sz="0" w:space="0" w:color="auto"/>
        <w:left w:val="none" w:sz="0" w:space="0" w:color="auto"/>
        <w:bottom w:val="none" w:sz="0" w:space="0" w:color="auto"/>
        <w:right w:val="none" w:sz="0" w:space="0" w:color="auto"/>
      </w:divBdr>
    </w:div>
    <w:div w:id="1256552323">
      <w:bodyDiv w:val="1"/>
      <w:marLeft w:val="0"/>
      <w:marRight w:val="0"/>
      <w:marTop w:val="0"/>
      <w:marBottom w:val="0"/>
      <w:divBdr>
        <w:top w:val="none" w:sz="0" w:space="0" w:color="auto"/>
        <w:left w:val="none" w:sz="0" w:space="0" w:color="auto"/>
        <w:bottom w:val="none" w:sz="0" w:space="0" w:color="auto"/>
        <w:right w:val="none" w:sz="0" w:space="0" w:color="auto"/>
      </w:divBdr>
    </w:div>
    <w:div w:id="1286424686">
      <w:bodyDiv w:val="1"/>
      <w:marLeft w:val="0"/>
      <w:marRight w:val="0"/>
      <w:marTop w:val="0"/>
      <w:marBottom w:val="0"/>
      <w:divBdr>
        <w:top w:val="none" w:sz="0" w:space="0" w:color="auto"/>
        <w:left w:val="none" w:sz="0" w:space="0" w:color="auto"/>
        <w:bottom w:val="none" w:sz="0" w:space="0" w:color="auto"/>
        <w:right w:val="none" w:sz="0" w:space="0" w:color="auto"/>
      </w:divBdr>
    </w:div>
    <w:div w:id="1347058642">
      <w:bodyDiv w:val="1"/>
      <w:marLeft w:val="0"/>
      <w:marRight w:val="0"/>
      <w:marTop w:val="0"/>
      <w:marBottom w:val="0"/>
      <w:divBdr>
        <w:top w:val="none" w:sz="0" w:space="0" w:color="auto"/>
        <w:left w:val="none" w:sz="0" w:space="0" w:color="auto"/>
        <w:bottom w:val="none" w:sz="0" w:space="0" w:color="auto"/>
        <w:right w:val="none" w:sz="0" w:space="0" w:color="auto"/>
      </w:divBdr>
    </w:div>
    <w:div w:id="1529567643">
      <w:bodyDiv w:val="1"/>
      <w:marLeft w:val="0"/>
      <w:marRight w:val="0"/>
      <w:marTop w:val="0"/>
      <w:marBottom w:val="0"/>
      <w:divBdr>
        <w:top w:val="none" w:sz="0" w:space="0" w:color="auto"/>
        <w:left w:val="none" w:sz="0" w:space="0" w:color="auto"/>
        <w:bottom w:val="none" w:sz="0" w:space="0" w:color="auto"/>
        <w:right w:val="none" w:sz="0" w:space="0" w:color="auto"/>
      </w:divBdr>
    </w:div>
    <w:div w:id="1590577187">
      <w:bodyDiv w:val="1"/>
      <w:marLeft w:val="0"/>
      <w:marRight w:val="0"/>
      <w:marTop w:val="0"/>
      <w:marBottom w:val="0"/>
      <w:divBdr>
        <w:top w:val="none" w:sz="0" w:space="0" w:color="auto"/>
        <w:left w:val="none" w:sz="0" w:space="0" w:color="auto"/>
        <w:bottom w:val="none" w:sz="0" w:space="0" w:color="auto"/>
        <w:right w:val="none" w:sz="0" w:space="0" w:color="auto"/>
      </w:divBdr>
    </w:div>
    <w:div w:id="1596788569">
      <w:bodyDiv w:val="1"/>
      <w:marLeft w:val="0"/>
      <w:marRight w:val="0"/>
      <w:marTop w:val="0"/>
      <w:marBottom w:val="0"/>
      <w:divBdr>
        <w:top w:val="none" w:sz="0" w:space="0" w:color="auto"/>
        <w:left w:val="none" w:sz="0" w:space="0" w:color="auto"/>
        <w:bottom w:val="none" w:sz="0" w:space="0" w:color="auto"/>
        <w:right w:val="none" w:sz="0" w:space="0" w:color="auto"/>
      </w:divBdr>
    </w:div>
    <w:div w:id="1609043983">
      <w:bodyDiv w:val="1"/>
      <w:marLeft w:val="0"/>
      <w:marRight w:val="0"/>
      <w:marTop w:val="0"/>
      <w:marBottom w:val="0"/>
      <w:divBdr>
        <w:top w:val="none" w:sz="0" w:space="0" w:color="auto"/>
        <w:left w:val="none" w:sz="0" w:space="0" w:color="auto"/>
        <w:bottom w:val="none" w:sz="0" w:space="0" w:color="auto"/>
        <w:right w:val="none" w:sz="0" w:space="0" w:color="auto"/>
      </w:divBdr>
    </w:div>
    <w:div w:id="1650212528">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10339584">
      <w:bodyDiv w:val="1"/>
      <w:marLeft w:val="0"/>
      <w:marRight w:val="0"/>
      <w:marTop w:val="0"/>
      <w:marBottom w:val="0"/>
      <w:divBdr>
        <w:top w:val="none" w:sz="0" w:space="0" w:color="auto"/>
        <w:left w:val="none" w:sz="0" w:space="0" w:color="auto"/>
        <w:bottom w:val="none" w:sz="0" w:space="0" w:color="auto"/>
        <w:right w:val="none" w:sz="0" w:space="0" w:color="auto"/>
      </w:divBdr>
    </w:div>
    <w:div w:id="1951164039">
      <w:bodyDiv w:val="1"/>
      <w:marLeft w:val="0"/>
      <w:marRight w:val="0"/>
      <w:marTop w:val="0"/>
      <w:marBottom w:val="0"/>
      <w:divBdr>
        <w:top w:val="none" w:sz="0" w:space="0" w:color="auto"/>
        <w:left w:val="none" w:sz="0" w:space="0" w:color="auto"/>
        <w:bottom w:val="none" w:sz="0" w:space="0" w:color="auto"/>
        <w:right w:val="none" w:sz="0" w:space="0" w:color="auto"/>
      </w:divBdr>
    </w:div>
    <w:div w:id="1972048992">
      <w:bodyDiv w:val="1"/>
      <w:marLeft w:val="0"/>
      <w:marRight w:val="0"/>
      <w:marTop w:val="0"/>
      <w:marBottom w:val="0"/>
      <w:divBdr>
        <w:top w:val="none" w:sz="0" w:space="0" w:color="auto"/>
        <w:left w:val="none" w:sz="0" w:space="0" w:color="auto"/>
        <w:bottom w:val="none" w:sz="0" w:space="0" w:color="auto"/>
        <w:right w:val="none" w:sz="0" w:space="0" w:color="auto"/>
      </w:divBdr>
    </w:div>
    <w:div w:id="1982883361">
      <w:bodyDiv w:val="1"/>
      <w:marLeft w:val="0"/>
      <w:marRight w:val="0"/>
      <w:marTop w:val="0"/>
      <w:marBottom w:val="0"/>
      <w:divBdr>
        <w:top w:val="none" w:sz="0" w:space="0" w:color="auto"/>
        <w:left w:val="none" w:sz="0" w:space="0" w:color="auto"/>
        <w:bottom w:val="none" w:sz="0" w:space="0" w:color="auto"/>
        <w:right w:val="none" w:sz="0" w:space="0" w:color="auto"/>
      </w:divBdr>
    </w:div>
    <w:div w:id="2003657088">
      <w:bodyDiv w:val="1"/>
      <w:marLeft w:val="0"/>
      <w:marRight w:val="0"/>
      <w:marTop w:val="0"/>
      <w:marBottom w:val="0"/>
      <w:divBdr>
        <w:top w:val="none" w:sz="0" w:space="0" w:color="auto"/>
        <w:left w:val="none" w:sz="0" w:space="0" w:color="auto"/>
        <w:bottom w:val="none" w:sz="0" w:space="0" w:color="auto"/>
        <w:right w:val="none" w:sz="0" w:space="0" w:color="auto"/>
      </w:divBdr>
    </w:div>
    <w:div w:id="2047901659">
      <w:bodyDiv w:val="1"/>
      <w:marLeft w:val="0"/>
      <w:marRight w:val="0"/>
      <w:marTop w:val="0"/>
      <w:marBottom w:val="0"/>
      <w:divBdr>
        <w:top w:val="none" w:sz="0" w:space="0" w:color="auto"/>
        <w:left w:val="none" w:sz="0" w:space="0" w:color="auto"/>
        <w:bottom w:val="none" w:sz="0" w:space="0" w:color="auto"/>
        <w:right w:val="none" w:sz="0" w:space="0" w:color="auto"/>
      </w:divBdr>
    </w:div>
    <w:div w:id="2097822626">
      <w:bodyDiv w:val="1"/>
      <w:marLeft w:val="0"/>
      <w:marRight w:val="0"/>
      <w:marTop w:val="0"/>
      <w:marBottom w:val="0"/>
      <w:divBdr>
        <w:top w:val="none" w:sz="0" w:space="0" w:color="auto"/>
        <w:left w:val="none" w:sz="0" w:space="0" w:color="auto"/>
        <w:bottom w:val="none" w:sz="0" w:space="0" w:color="auto"/>
        <w:right w:val="none" w:sz="0" w:space="0" w:color="auto"/>
      </w:divBdr>
    </w:div>
    <w:div w:id="2140608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image" Target="media/image31.emf"/><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image" Target="media/image34.emf"/><Relationship Id="rId47" Type="http://schemas.openxmlformats.org/officeDocument/2006/relationships/image" Target="media/image39.emf"/><Relationship Id="rId50" Type="http://schemas.openxmlformats.org/officeDocument/2006/relationships/image" Target="media/image42.emf"/><Relationship Id="rId55"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image" Target="media/image30.emf"/><Relationship Id="rId46" Type="http://schemas.openxmlformats.org/officeDocument/2006/relationships/image" Target="media/image38.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41" Type="http://schemas.openxmlformats.org/officeDocument/2006/relationships/image" Target="media/image33.emf"/><Relationship Id="rId54"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image" Target="media/image32.emf"/><Relationship Id="rId45" Type="http://schemas.openxmlformats.org/officeDocument/2006/relationships/image" Target="media/image37.emf"/><Relationship Id="rId53" Type="http://schemas.openxmlformats.org/officeDocument/2006/relationships/header" Target="header1.xm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49" Type="http://schemas.openxmlformats.org/officeDocument/2006/relationships/image" Target="media/image41.emf"/><Relationship Id="rId57"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4" Type="http://schemas.openxmlformats.org/officeDocument/2006/relationships/image" Target="media/image36.emf"/><Relationship Id="rId52" Type="http://schemas.openxmlformats.org/officeDocument/2006/relationships/image" Target="media/image44.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image" Target="media/image35.emf"/><Relationship Id="rId48" Type="http://schemas.openxmlformats.org/officeDocument/2006/relationships/image" Target="media/image40.emf"/><Relationship Id="rId56" Type="http://schemas.openxmlformats.org/officeDocument/2006/relationships/footer" Target="footer2.xml"/><Relationship Id="rId8" Type="http://schemas.openxmlformats.org/officeDocument/2006/relationships/endnotes" Target="endnotes.xml"/><Relationship Id="rId51" Type="http://schemas.openxmlformats.org/officeDocument/2006/relationships/image" Target="media/image43.emf"/><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3D3FDD-3112-4A16-A411-958332E8D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4499</TotalTime>
  <Pages>123</Pages>
  <Words>40832</Words>
  <Characters>221442</Characters>
  <Application>Microsoft Office Word</Application>
  <DocSecurity>0</DocSecurity>
  <Lines>1845</Lines>
  <Paragraphs>523</Paragraphs>
  <ScaleCrop>false</ScaleCrop>
  <HeadingPairs>
    <vt:vector size="2" baseType="variant">
      <vt:variant>
        <vt:lpstr>Title</vt:lpstr>
      </vt:variant>
      <vt:variant>
        <vt:i4>1</vt:i4>
      </vt:variant>
    </vt:vector>
  </HeadingPairs>
  <TitlesOfParts>
    <vt:vector size="1" baseType="lpstr">
      <vt:lpstr>Chapter 4 School education - Report on Government Services 2015</vt:lpstr>
    </vt:vector>
  </TitlesOfParts>
  <Company>Productivity Commission</Company>
  <LinksUpToDate>false</LinksUpToDate>
  <CharactersWithSpaces>261751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School education - Report on Government Services 2015</dc:title>
  <dc:subject/>
  <dc:creator>Steering Committee for the Review of Government Service Provision</dc:creator>
  <dc:description/>
  <cp:lastModifiedBy>Steering Committee for the Review </cp:lastModifiedBy>
  <cp:revision>661</cp:revision>
  <cp:lastPrinted>2015-01-08T05:53:00Z</cp:lastPrinted>
  <dcterms:created xsi:type="dcterms:W3CDTF">2012-10-19T01:21:00Z</dcterms:created>
  <dcterms:modified xsi:type="dcterms:W3CDTF">2015-01-21T23:55:00Z</dcterms:modified>
</cp:coreProperties>
</file>