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391" w:rsidRDefault="008E0B3E" w:rsidP="002D5C97">
      <w:pPr>
        <w:pStyle w:val="Heading1"/>
      </w:pPr>
      <w:bookmarkStart w:id="0" w:name="_Toc395619909"/>
      <w:r>
        <w:t>5</w:t>
      </w:r>
      <w:r w:rsidR="00B56B5F">
        <w:tab/>
      </w:r>
      <w:bookmarkStart w:id="1" w:name="ChapterTitle"/>
      <w:r w:rsidR="00B56B5F">
        <w:t>Vocational education and training</w:t>
      </w:r>
      <w:bookmarkEnd w:id="1"/>
      <w:bookmarkEnd w:id="0"/>
    </w:p>
    <w:p w:rsidR="00584638" w:rsidRPr="00584638" w:rsidRDefault="00584638" w:rsidP="00584638">
      <w:pPr>
        <w:pStyle w:val="BodyText"/>
        <w:rPr>
          <w:rFonts w:ascii="Arial" w:hAnsi="Arial" w:cs="Arial"/>
        </w:rPr>
      </w:pPr>
      <w:r w:rsidRPr="00584638">
        <w:rPr>
          <w:rFonts w:ascii="Arial" w:hAnsi="Arial" w:cs="Arial"/>
        </w:rPr>
        <w:t>CONTENTS</w:t>
      </w:r>
    </w:p>
    <w:sdt>
      <w:sdtPr>
        <w:rPr>
          <w:kern w:val="28"/>
          <w:sz w:val="52"/>
        </w:rPr>
        <w:id w:val="-543906103"/>
        <w:docPartObj>
          <w:docPartGallery w:val="Table of Contents"/>
          <w:docPartUnique/>
        </w:docPartObj>
      </w:sdtPr>
      <w:sdtEndPr>
        <w:rPr>
          <w:noProof/>
          <w:kern w:val="0"/>
          <w:sz w:val="26"/>
        </w:rPr>
      </w:sdtEndPr>
      <w:sdtContent>
        <w:p w:rsidR="009E70A9" w:rsidRDefault="009E70A9">
          <w:pPr>
            <w:pStyle w:val="TOC2"/>
            <w:tabs>
              <w:tab w:val="left" w:pos="1134"/>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Profile of vocational education and training</w:t>
          </w:r>
          <w:r>
            <w:rPr>
              <w:noProof/>
            </w:rPr>
            <w:tab/>
            <w:t>5.</w:t>
          </w:r>
          <w:r w:rsidR="00D80B1E">
            <w:rPr>
              <w:noProof/>
            </w:rPr>
            <w:t>2</w:t>
          </w:r>
        </w:p>
        <w:p w:rsidR="009E70A9" w:rsidRDefault="009E70A9">
          <w:pPr>
            <w:pStyle w:val="TOC2"/>
            <w:tabs>
              <w:tab w:val="left" w:pos="1134"/>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Framework of performance indicators</w:t>
          </w:r>
          <w:r>
            <w:rPr>
              <w:noProof/>
            </w:rPr>
            <w:tab/>
            <w:t>5.</w:t>
          </w:r>
          <w:r w:rsidR="00D80B1E">
            <w:rPr>
              <w:noProof/>
            </w:rPr>
            <w:t>12</w:t>
          </w:r>
        </w:p>
        <w:p w:rsidR="009E70A9" w:rsidRDefault="009E70A9">
          <w:pPr>
            <w:pStyle w:val="TOC2"/>
            <w:tabs>
              <w:tab w:val="left" w:pos="1134"/>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Key performance indicator results</w:t>
          </w:r>
          <w:r>
            <w:rPr>
              <w:noProof/>
            </w:rPr>
            <w:tab/>
            <w:t>5.</w:t>
          </w:r>
          <w:r w:rsidR="00D80B1E">
            <w:rPr>
              <w:noProof/>
            </w:rPr>
            <w:t>15</w:t>
          </w:r>
        </w:p>
        <w:p w:rsidR="009E70A9" w:rsidRDefault="009E70A9">
          <w:pPr>
            <w:pStyle w:val="TOC2"/>
            <w:tabs>
              <w:tab w:val="left" w:pos="1134"/>
            </w:tabs>
            <w:rPr>
              <w:rFonts w:asciiTheme="minorHAnsi" w:eastAsiaTheme="minorEastAsia" w:hAnsiTheme="minorHAnsi" w:cstheme="minorBidi"/>
              <w:noProof/>
              <w:sz w:val="22"/>
              <w:szCs w:val="22"/>
              <w:lang w:eastAsia="en-AU"/>
            </w:rPr>
          </w:pPr>
          <w:r>
            <w:rPr>
              <w:noProof/>
            </w:rPr>
            <w:t>5.4</w:t>
          </w:r>
          <w:r>
            <w:rPr>
              <w:rFonts w:asciiTheme="minorHAnsi" w:eastAsiaTheme="minorEastAsia" w:hAnsiTheme="minorHAnsi" w:cstheme="minorBidi"/>
              <w:noProof/>
              <w:sz w:val="22"/>
              <w:szCs w:val="22"/>
              <w:lang w:eastAsia="en-AU"/>
            </w:rPr>
            <w:tab/>
          </w:r>
          <w:r>
            <w:rPr>
              <w:noProof/>
            </w:rPr>
            <w:t>Future directions in performance reporting</w:t>
          </w:r>
          <w:r>
            <w:rPr>
              <w:noProof/>
            </w:rPr>
            <w:tab/>
            <w:t>5.</w:t>
          </w:r>
          <w:r w:rsidR="00D80B1E">
            <w:rPr>
              <w:noProof/>
            </w:rPr>
            <w:t>84</w:t>
          </w:r>
        </w:p>
        <w:p w:rsidR="009E70A9" w:rsidRDefault="009E70A9">
          <w:pPr>
            <w:pStyle w:val="TOC2"/>
            <w:tabs>
              <w:tab w:val="left" w:pos="1134"/>
            </w:tabs>
            <w:rPr>
              <w:rFonts w:asciiTheme="minorHAnsi" w:eastAsiaTheme="minorEastAsia" w:hAnsiTheme="minorHAnsi" w:cstheme="minorBidi"/>
              <w:noProof/>
              <w:sz w:val="22"/>
              <w:szCs w:val="22"/>
              <w:lang w:eastAsia="en-AU"/>
            </w:rPr>
          </w:pPr>
          <w:r>
            <w:rPr>
              <w:noProof/>
            </w:rPr>
            <w:t>5.5</w:t>
          </w:r>
          <w:r>
            <w:rPr>
              <w:rFonts w:asciiTheme="minorHAnsi" w:eastAsiaTheme="minorEastAsia" w:hAnsiTheme="minorHAnsi" w:cstheme="minorBidi"/>
              <w:noProof/>
              <w:sz w:val="22"/>
              <w:szCs w:val="22"/>
              <w:lang w:eastAsia="en-AU"/>
            </w:rPr>
            <w:tab/>
          </w:r>
          <w:r>
            <w:rPr>
              <w:noProof/>
            </w:rPr>
            <w:t>Jurisdictions’ comments</w:t>
          </w:r>
          <w:r>
            <w:rPr>
              <w:noProof/>
            </w:rPr>
            <w:tab/>
            <w:t>5.</w:t>
          </w:r>
          <w:r w:rsidR="00D80B1E">
            <w:rPr>
              <w:noProof/>
            </w:rPr>
            <w:t>85</w:t>
          </w:r>
        </w:p>
        <w:p w:rsidR="009E70A9" w:rsidRDefault="009E70A9">
          <w:pPr>
            <w:pStyle w:val="TOC2"/>
            <w:tabs>
              <w:tab w:val="left" w:pos="1190"/>
            </w:tabs>
            <w:rPr>
              <w:rFonts w:asciiTheme="minorHAnsi" w:eastAsiaTheme="minorEastAsia" w:hAnsiTheme="minorHAnsi" w:cstheme="minorBidi"/>
              <w:noProof/>
              <w:sz w:val="22"/>
              <w:szCs w:val="22"/>
              <w:lang w:eastAsia="en-AU"/>
            </w:rPr>
          </w:pPr>
          <w:r>
            <w:rPr>
              <w:noProof/>
            </w:rPr>
            <w:t xml:space="preserve">5.6 </w:t>
          </w:r>
          <w:r>
            <w:rPr>
              <w:rFonts w:asciiTheme="minorHAnsi" w:eastAsiaTheme="minorEastAsia" w:hAnsiTheme="minorHAnsi" w:cstheme="minorBidi"/>
              <w:noProof/>
              <w:sz w:val="22"/>
              <w:szCs w:val="22"/>
              <w:lang w:eastAsia="en-AU"/>
            </w:rPr>
            <w:tab/>
          </w:r>
          <w:r>
            <w:rPr>
              <w:noProof/>
            </w:rPr>
            <w:t>Definitions of key terms</w:t>
          </w:r>
          <w:r>
            <w:rPr>
              <w:noProof/>
            </w:rPr>
            <w:tab/>
            <w:t>5.</w:t>
          </w:r>
          <w:r w:rsidR="00D80B1E">
            <w:rPr>
              <w:noProof/>
            </w:rPr>
            <w:t>95</w:t>
          </w:r>
        </w:p>
        <w:p w:rsidR="009E70A9" w:rsidRDefault="009E70A9">
          <w:pPr>
            <w:pStyle w:val="TOC2"/>
            <w:tabs>
              <w:tab w:val="left" w:pos="1134"/>
            </w:tabs>
            <w:rPr>
              <w:rFonts w:asciiTheme="minorHAnsi" w:eastAsiaTheme="minorEastAsia" w:hAnsiTheme="minorHAnsi" w:cstheme="minorBidi"/>
              <w:noProof/>
              <w:sz w:val="22"/>
              <w:szCs w:val="22"/>
              <w:lang w:eastAsia="en-AU"/>
            </w:rPr>
          </w:pPr>
          <w:r>
            <w:rPr>
              <w:noProof/>
            </w:rPr>
            <w:t>5.7</w:t>
          </w:r>
          <w:r>
            <w:rPr>
              <w:rFonts w:asciiTheme="minorHAnsi" w:eastAsiaTheme="minorEastAsia" w:hAnsiTheme="minorHAnsi" w:cstheme="minorBidi"/>
              <w:noProof/>
              <w:sz w:val="22"/>
              <w:szCs w:val="22"/>
              <w:lang w:eastAsia="en-AU"/>
            </w:rPr>
            <w:tab/>
          </w:r>
          <w:r>
            <w:rPr>
              <w:noProof/>
            </w:rPr>
            <w:t>List of attachment tables</w:t>
          </w:r>
          <w:r>
            <w:rPr>
              <w:noProof/>
            </w:rPr>
            <w:tab/>
            <w:t>5.</w:t>
          </w:r>
          <w:r w:rsidR="00D80B1E">
            <w:rPr>
              <w:noProof/>
            </w:rPr>
            <w:t>99</w:t>
          </w:r>
        </w:p>
        <w:p w:rsidR="009E70A9" w:rsidRDefault="009E70A9">
          <w:pPr>
            <w:pStyle w:val="TOC2"/>
            <w:tabs>
              <w:tab w:val="left" w:pos="1134"/>
            </w:tabs>
            <w:rPr>
              <w:rFonts w:asciiTheme="minorHAnsi" w:eastAsiaTheme="minorEastAsia" w:hAnsiTheme="minorHAnsi" w:cstheme="minorBidi"/>
              <w:noProof/>
              <w:sz w:val="22"/>
              <w:szCs w:val="22"/>
              <w:lang w:eastAsia="en-AU"/>
            </w:rPr>
          </w:pPr>
          <w:r>
            <w:rPr>
              <w:noProof/>
            </w:rPr>
            <w:t>5.8</w:t>
          </w:r>
          <w:r>
            <w:rPr>
              <w:rFonts w:asciiTheme="minorHAnsi" w:eastAsiaTheme="minorEastAsia" w:hAnsiTheme="minorHAnsi" w:cstheme="minorBidi"/>
              <w:noProof/>
              <w:sz w:val="22"/>
              <w:szCs w:val="22"/>
              <w:lang w:eastAsia="en-AU"/>
            </w:rPr>
            <w:tab/>
          </w:r>
          <w:r>
            <w:rPr>
              <w:noProof/>
            </w:rPr>
            <w:t>References</w:t>
          </w:r>
          <w:r>
            <w:rPr>
              <w:noProof/>
            </w:rPr>
            <w:tab/>
            <w:t>5.</w:t>
          </w:r>
          <w:r w:rsidR="00D80B1E">
            <w:rPr>
              <w:noProof/>
            </w:rPr>
            <w:t>103</w:t>
          </w:r>
        </w:p>
        <w:p w:rsidR="00BC49F4" w:rsidRDefault="00796270" w:rsidP="00917A82">
          <w:pPr>
            <w:pStyle w:val="TOC2"/>
            <w:tabs>
              <w:tab w:val="left" w:pos="1134"/>
            </w:tabs>
            <w:rPr>
              <w:noProof/>
            </w:rPr>
          </w:pPr>
        </w:p>
      </w:sdtContent>
    </w:sdt>
    <w:p w:rsidR="00C368C9" w:rsidRDefault="00C368C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368C9" w:rsidTr="00C368C9">
        <w:tc>
          <w:tcPr>
            <w:tcW w:w="8771" w:type="dxa"/>
            <w:tcBorders>
              <w:top w:val="single" w:sz="6" w:space="0" w:color="78A22F"/>
              <w:left w:val="nil"/>
              <w:bottom w:val="nil"/>
              <w:right w:val="nil"/>
            </w:tcBorders>
            <w:shd w:val="clear" w:color="auto" w:fill="F2F2F2" w:themeFill="background1" w:themeFillShade="F2"/>
          </w:tcPr>
          <w:p w:rsidR="00C368C9" w:rsidRDefault="00C368C9">
            <w:pPr>
              <w:pStyle w:val="BoxTitle"/>
            </w:pPr>
            <w:r w:rsidRPr="00EF5A5F">
              <w:t>Attachment tables</w:t>
            </w:r>
          </w:p>
        </w:tc>
      </w:tr>
      <w:tr w:rsidR="00C368C9" w:rsidTr="00C368C9">
        <w:trPr>
          <w:cantSplit/>
        </w:trPr>
        <w:tc>
          <w:tcPr>
            <w:tcW w:w="8771" w:type="dxa"/>
            <w:tcBorders>
              <w:top w:val="nil"/>
              <w:left w:val="nil"/>
              <w:bottom w:val="nil"/>
              <w:right w:val="nil"/>
            </w:tcBorders>
            <w:shd w:val="clear" w:color="auto" w:fill="F2F2F2" w:themeFill="background1" w:themeFillShade="F2"/>
          </w:tcPr>
          <w:p w:rsidR="00C368C9" w:rsidRPr="00EF5A5F" w:rsidRDefault="00C368C9" w:rsidP="00C368C9">
            <w:pPr>
              <w:pStyle w:val="Box"/>
            </w:pPr>
            <w:r w:rsidRPr="00EF5A5F">
              <w:t>Attachment tables are identified in references throughout this chapter by a ‘</w:t>
            </w:r>
            <w:proofErr w:type="spellStart"/>
            <w:r w:rsidRPr="00EF5A5F">
              <w:t>5A</w:t>
            </w:r>
            <w:proofErr w:type="spellEnd"/>
            <w:r w:rsidRPr="00EF5A5F">
              <w:t xml:space="preserve">’ </w:t>
            </w:r>
            <w:r>
              <w:t>prefix</w:t>
            </w:r>
            <w:r w:rsidRPr="00EF5A5F">
              <w:t xml:space="preserve"> (for example, table </w:t>
            </w:r>
            <w:proofErr w:type="spellStart"/>
            <w:r w:rsidRPr="00EF5A5F">
              <w:t>5A.1</w:t>
            </w:r>
            <w:proofErr w:type="spellEnd"/>
            <w:r w:rsidRPr="00EF5A5F">
              <w:t>). A full list of attachment tables is provided at the end of this chapter, and the attachment tables are available from the Review website at www.pc.gov.au/</w:t>
            </w:r>
            <w:proofErr w:type="spellStart"/>
            <w:r w:rsidRPr="00EF5A5F">
              <w:t>gsp</w:t>
            </w:r>
            <w:proofErr w:type="spellEnd"/>
            <w:r w:rsidRPr="00EF5A5F">
              <w:t>.</w:t>
            </w:r>
          </w:p>
        </w:tc>
      </w:tr>
      <w:tr w:rsidR="00C368C9" w:rsidTr="00C368C9">
        <w:trPr>
          <w:cantSplit/>
        </w:trPr>
        <w:tc>
          <w:tcPr>
            <w:tcW w:w="8771" w:type="dxa"/>
            <w:tcBorders>
              <w:top w:val="nil"/>
              <w:left w:val="nil"/>
              <w:bottom w:val="single" w:sz="6" w:space="0" w:color="78A22F"/>
              <w:right w:val="nil"/>
            </w:tcBorders>
            <w:shd w:val="clear" w:color="auto" w:fill="F2F2F2" w:themeFill="background1" w:themeFillShade="F2"/>
          </w:tcPr>
          <w:p w:rsidR="00C368C9" w:rsidRDefault="00C368C9">
            <w:pPr>
              <w:pStyle w:val="Box"/>
              <w:spacing w:before="0" w:line="120" w:lineRule="exact"/>
            </w:pPr>
          </w:p>
        </w:tc>
      </w:tr>
      <w:tr w:rsidR="00C368C9" w:rsidRPr="000863A5" w:rsidTr="00C368C9">
        <w:tc>
          <w:tcPr>
            <w:tcW w:w="8771" w:type="dxa"/>
            <w:tcBorders>
              <w:top w:val="single" w:sz="6" w:space="0" w:color="78A22F"/>
              <w:left w:val="nil"/>
              <w:bottom w:val="nil"/>
              <w:right w:val="nil"/>
            </w:tcBorders>
          </w:tcPr>
          <w:p w:rsidR="00C368C9" w:rsidRPr="00626D32" w:rsidRDefault="00C368C9" w:rsidP="00C368C9">
            <w:pPr>
              <w:pStyle w:val="BoxSpaceBelow"/>
            </w:pPr>
          </w:p>
        </w:tc>
      </w:tr>
    </w:tbl>
    <w:p w:rsidR="00C57336" w:rsidRPr="00EF5A5F" w:rsidRDefault="00C57336" w:rsidP="00743CC5">
      <w:pPr>
        <w:pStyle w:val="BodyText"/>
      </w:pPr>
      <w:r w:rsidRPr="00EF5A5F">
        <w:t xml:space="preserve">This chapter </w:t>
      </w:r>
      <w:r w:rsidR="00477011" w:rsidRPr="00EF5A5F">
        <w:t>reports</w:t>
      </w:r>
      <w:r w:rsidRPr="00EF5A5F">
        <w:t xml:space="preserve"> performance information</w:t>
      </w:r>
      <w:r w:rsidR="00477011" w:rsidRPr="00EF5A5F">
        <w:t xml:space="preserve"> about the</w:t>
      </w:r>
      <w:r w:rsidRPr="00EF5A5F">
        <w:t xml:space="preserve"> equity, effectiveness and efficiency </w:t>
      </w:r>
      <w:r w:rsidR="00477011" w:rsidRPr="00EF5A5F">
        <w:t>of</w:t>
      </w:r>
      <w:r w:rsidRPr="00EF5A5F">
        <w:t xml:space="preserve"> government funded vocational education and training (VET) in Australia. The VET </w:t>
      </w:r>
      <w:r w:rsidRPr="00DE0C89">
        <w:t xml:space="preserve">system </w:t>
      </w:r>
      <w:r w:rsidR="002D6DDD" w:rsidRPr="00DE0C89">
        <w:t>(including apprenticeships and traineeships)</w:t>
      </w:r>
      <w:r w:rsidR="002D6DDD" w:rsidRPr="008C5781">
        <w:t xml:space="preserve"> </w:t>
      </w:r>
      <w:r w:rsidRPr="008C5781">
        <w:t xml:space="preserve">delivers </w:t>
      </w:r>
      <w:r w:rsidRPr="00EF5A5F">
        <w:t>employment related skills across a wide range of vocations. It provides Australians with the skills to enter or re</w:t>
      </w:r>
      <w:r w:rsidR="00D34E3B">
        <w:noBreakHyphen/>
      </w:r>
      <w:r w:rsidRPr="00EF5A5F">
        <w:t>enter the labour force, retrain for a new job or upgrade skills for an existing job. The VET</w:t>
      </w:r>
      <w:r w:rsidR="002D5C97">
        <w:t xml:space="preserve"> system includes government and</w:t>
      </w:r>
      <w:r w:rsidR="0069034B">
        <w:t xml:space="preserve"> </w:t>
      </w:r>
      <w:r w:rsidRPr="00EF5A5F">
        <w:t>privately funded VET delivered through a number of methods by a wide range of trainin</w:t>
      </w:r>
      <w:r w:rsidR="008C763F" w:rsidRPr="00EF5A5F">
        <w:t>g institutions and enterprises.</w:t>
      </w:r>
    </w:p>
    <w:p w:rsidR="00C57336" w:rsidRPr="00EC7BEE" w:rsidRDefault="00477011" w:rsidP="00870042">
      <w:pPr>
        <w:pStyle w:val="BodyText"/>
      </w:pPr>
      <w:r w:rsidRPr="00EF5A5F">
        <w:t xml:space="preserve">The focus of this chapter is on </w:t>
      </w:r>
      <w:r w:rsidR="00C57336" w:rsidRPr="00EF5A5F">
        <w:t>VET services delivered by providers receiving government funding</w:t>
      </w:r>
      <w:r w:rsidRPr="00EF5A5F">
        <w:t>,</w:t>
      </w:r>
      <w:r w:rsidR="00C57336" w:rsidRPr="00EF5A5F">
        <w:t xml:space="preserve"> which </w:t>
      </w:r>
      <w:r w:rsidR="003D71BD" w:rsidRPr="00EF5A5F">
        <w:t>includes</w:t>
      </w:r>
      <w:r w:rsidR="00C57336" w:rsidRPr="00EF5A5F">
        <w:t xml:space="preserve"> training activity funded under </w:t>
      </w:r>
      <w:r w:rsidR="007A5A5E" w:rsidRPr="00EF5A5F">
        <w:t xml:space="preserve">the </w:t>
      </w:r>
      <w:r w:rsidR="007A5A5E" w:rsidRPr="00EF5A5F">
        <w:rPr>
          <w:i/>
        </w:rPr>
        <w:t>National Agreement for Skills and Workforce Development</w:t>
      </w:r>
      <w:r w:rsidR="007A5A5E" w:rsidRPr="00EF5A5F">
        <w:t xml:space="preserve"> (NASWD).</w:t>
      </w:r>
      <w:r w:rsidR="00C57336" w:rsidRPr="00EF5A5F">
        <w:t xml:space="preserve"> These services include the provision of VET programs in government owned technical and further education (TAFE) institutes and universities with TAFE divisions, other government and community institutions, and government funded activity by private registered training organisations (</w:t>
      </w:r>
      <w:proofErr w:type="spellStart"/>
      <w:r w:rsidR="00C57336" w:rsidRPr="00EF5A5F">
        <w:t>RTOs</w:t>
      </w:r>
      <w:proofErr w:type="spellEnd"/>
      <w:r w:rsidR="00C57336" w:rsidRPr="00EF5A5F">
        <w:t>). The scope of this chapter does not extend to VET services provided in schools (which a</w:t>
      </w:r>
      <w:r w:rsidR="009E04CD" w:rsidRPr="00EF5A5F">
        <w:t xml:space="preserve">re within the scope of </w:t>
      </w:r>
      <w:r w:rsidR="00B87D15" w:rsidRPr="00EF5A5F">
        <w:t>S</w:t>
      </w:r>
      <w:r w:rsidRPr="00EF5A5F">
        <w:t>chool education</w:t>
      </w:r>
      <w:r w:rsidR="00B87D15" w:rsidRPr="00EF5A5F">
        <w:t xml:space="preserve">, </w:t>
      </w:r>
      <w:r w:rsidR="007F4EF2" w:rsidRPr="00EF5A5F">
        <w:t>chapter</w:t>
      </w:r>
      <w:r w:rsidR="00293967">
        <w:t xml:space="preserve"> </w:t>
      </w:r>
      <w:r w:rsidR="009E04CD" w:rsidRPr="00EF5A5F">
        <w:t>4</w:t>
      </w:r>
      <w:r w:rsidR="00C57336" w:rsidRPr="00EF5A5F">
        <w:t>) or university education</w:t>
      </w:r>
      <w:r w:rsidR="00281C53" w:rsidRPr="00EF5A5F">
        <w:t xml:space="preserve"> (some information </w:t>
      </w:r>
      <w:r w:rsidRPr="00EF5A5F">
        <w:t xml:space="preserve">on </w:t>
      </w:r>
      <w:r w:rsidRPr="00EF5A5F">
        <w:lastRenderedPageBreak/>
        <w:t xml:space="preserve">university education </w:t>
      </w:r>
      <w:r w:rsidR="00281C53" w:rsidRPr="00EF5A5F">
        <w:t>is included in</w:t>
      </w:r>
      <w:r w:rsidR="0029633A" w:rsidRPr="00EF5A5F">
        <w:t xml:space="preserve"> </w:t>
      </w:r>
      <w:r w:rsidR="00870042">
        <w:t xml:space="preserve">the </w:t>
      </w:r>
      <w:r w:rsidR="006D120D" w:rsidRPr="006D120D">
        <w:t xml:space="preserve">Child care, education and training </w:t>
      </w:r>
      <w:r w:rsidR="00AD4953" w:rsidRPr="00EB23E6">
        <w:t xml:space="preserve">sector </w:t>
      </w:r>
      <w:r w:rsidR="006D0331" w:rsidRPr="00EB23E6">
        <w:t>overview</w:t>
      </w:r>
      <w:r w:rsidR="00AD4953">
        <w:t> </w:t>
      </w:r>
      <w:r w:rsidR="00B87D15" w:rsidRPr="00EF5A5F">
        <w:t>B</w:t>
      </w:r>
      <w:r w:rsidR="0029633A" w:rsidRPr="00EF5A5F">
        <w:t>)</w:t>
      </w:r>
      <w:r w:rsidR="00C57336" w:rsidRPr="00EF5A5F">
        <w:t>.</w:t>
      </w:r>
    </w:p>
    <w:p w:rsidR="00C57336" w:rsidRPr="0091113B" w:rsidRDefault="00690090" w:rsidP="0082139F">
      <w:pPr>
        <w:pStyle w:val="BodyText"/>
      </w:pPr>
      <w:r w:rsidRPr="0091113B">
        <w:t>M</w:t>
      </w:r>
      <w:r w:rsidR="00C609CF" w:rsidRPr="0091113B">
        <w:t xml:space="preserve">ajor improvements to reporting on VET </w:t>
      </w:r>
      <w:r w:rsidRPr="0091113B">
        <w:t>in this edition</w:t>
      </w:r>
      <w:r w:rsidR="00C609CF" w:rsidRPr="0091113B">
        <w:t xml:space="preserve"> include:</w:t>
      </w:r>
    </w:p>
    <w:p w:rsidR="00034BDF" w:rsidRDefault="00034BDF" w:rsidP="00034BDF">
      <w:pPr>
        <w:pStyle w:val="ListBullet"/>
      </w:pPr>
      <w:r>
        <w:t>i</w:t>
      </w:r>
      <w:r w:rsidR="0090067F">
        <w:t xml:space="preserve">nclusion of a new </w:t>
      </w:r>
      <w:r>
        <w:t>measure</w:t>
      </w:r>
      <w:r w:rsidR="0090067F">
        <w:t xml:space="preserve"> ‘</w:t>
      </w:r>
      <w:r>
        <w:t>e</w:t>
      </w:r>
      <w:r w:rsidRPr="00034BDF">
        <w:t>stimated qualification completion rate and subject pass rate</w:t>
      </w:r>
      <w:r>
        <w:t>’ within the outcome indicator ‘</w:t>
      </w:r>
      <w:r w:rsidRPr="0090681D">
        <w:t>Student achievement in VET’</w:t>
      </w:r>
      <w:r>
        <w:t>, using NCVER data for the years</w:t>
      </w:r>
      <w:r w:rsidRPr="00034BDF">
        <w:t xml:space="preserve"> 200</w:t>
      </w:r>
      <w:r>
        <w:t>8</w:t>
      </w:r>
      <w:r w:rsidRPr="00034BDF">
        <w:t>–2012 inclusive. In future, when sufficient data are available from the Unique Student Identifier, this source wil</w:t>
      </w:r>
      <w:r>
        <w:t>l be used to report the measure</w:t>
      </w:r>
    </w:p>
    <w:p w:rsidR="00034BDF" w:rsidRDefault="00034BDF" w:rsidP="00034BDF">
      <w:pPr>
        <w:pStyle w:val="ListBullet"/>
      </w:pPr>
      <w:r w:rsidRPr="00034BDF">
        <w:t xml:space="preserve">a new disaggregation by </w:t>
      </w:r>
      <w:r w:rsidR="00293967">
        <w:t xml:space="preserve">geolocation </w:t>
      </w:r>
      <w:r w:rsidRPr="00034BDF">
        <w:t>for graduates aged 20</w:t>
      </w:r>
      <w:r w:rsidRPr="00034BDF">
        <w:noBreakHyphen/>
        <w:t xml:space="preserve">64 years with improved employment status after training, </w:t>
      </w:r>
      <w:r>
        <w:t>within the outcome indicator ‘s</w:t>
      </w:r>
      <w:r w:rsidRPr="00034BDF">
        <w:t>tudent employment and further study outcomes</w:t>
      </w:r>
      <w:r>
        <w:t>’</w:t>
      </w:r>
    </w:p>
    <w:p w:rsidR="00034BDF" w:rsidRDefault="00034BDF" w:rsidP="00034BDF">
      <w:pPr>
        <w:pStyle w:val="ListBullet"/>
      </w:pPr>
      <w:r>
        <w:t>an updated funding flow diagram and associated text, in the profile section of the chapter</w:t>
      </w:r>
    </w:p>
    <w:p w:rsidR="00034BDF" w:rsidRDefault="00034BDF" w:rsidP="00034BDF">
      <w:pPr>
        <w:pStyle w:val="ListBullet"/>
      </w:pPr>
      <w:r>
        <w:t>exten</w:t>
      </w:r>
      <w:r w:rsidR="001D2776">
        <w:t>ded</w:t>
      </w:r>
      <w:r>
        <w:t xml:space="preserve"> time series reporting </w:t>
      </w:r>
      <w:r w:rsidR="001D2776">
        <w:t>in selected attachment tables relating to</w:t>
      </w:r>
      <w:r>
        <w:t xml:space="preserve"> all sections of the chapter.</w:t>
      </w:r>
    </w:p>
    <w:p w:rsidR="00C57336" w:rsidRPr="00EF5A5F" w:rsidRDefault="00FA7BB6" w:rsidP="0082139F">
      <w:pPr>
        <w:pStyle w:val="Heading2"/>
      </w:pPr>
      <w:bookmarkStart w:id="2" w:name="_Toc341279239"/>
      <w:bookmarkStart w:id="3" w:name="_Toc401829958"/>
      <w:r w:rsidRPr="00EF5A5F">
        <w:t>5</w:t>
      </w:r>
      <w:r w:rsidR="00C57336" w:rsidRPr="00EF5A5F">
        <w:t>.1</w:t>
      </w:r>
      <w:r w:rsidR="00C57336" w:rsidRPr="00EF5A5F">
        <w:tab/>
        <w:t>Profile of vocational education and training</w:t>
      </w:r>
      <w:bookmarkEnd w:id="2"/>
      <w:bookmarkEnd w:id="3"/>
    </w:p>
    <w:p w:rsidR="00C57336" w:rsidRPr="00EF5A5F" w:rsidRDefault="00C57336" w:rsidP="00281C53">
      <w:pPr>
        <w:pStyle w:val="Heading3"/>
      </w:pPr>
      <w:r w:rsidRPr="00EF5A5F">
        <w:t xml:space="preserve">Service overview </w:t>
      </w:r>
    </w:p>
    <w:p w:rsidR="003620C4" w:rsidRPr="00EF5A5F" w:rsidRDefault="003620C4" w:rsidP="003620C4">
      <w:pPr>
        <w:pStyle w:val="BodyText"/>
      </w:pPr>
      <w:r w:rsidRPr="00EF5A5F">
        <w:t>The general roles of the VET system, and the main reasons that students participate in VET programs, are to:</w:t>
      </w:r>
    </w:p>
    <w:p w:rsidR="003620C4" w:rsidRPr="00EF5A5F" w:rsidRDefault="003620C4" w:rsidP="003620C4">
      <w:pPr>
        <w:pStyle w:val="ListBullet"/>
      </w:pPr>
      <w:r w:rsidRPr="00EF5A5F">
        <w:t xml:space="preserve">obtain a qualification to enter the labour force </w:t>
      </w:r>
    </w:p>
    <w:p w:rsidR="003620C4" w:rsidRPr="00EF5A5F" w:rsidRDefault="003620C4" w:rsidP="003620C4">
      <w:pPr>
        <w:pStyle w:val="ListBullet"/>
      </w:pPr>
      <w:r w:rsidRPr="00EF5A5F">
        <w:t>retrain or update labour force skills</w:t>
      </w:r>
    </w:p>
    <w:p w:rsidR="003620C4" w:rsidRPr="00EF5A5F" w:rsidRDefault="003620C4" w:rsidP="003620C4">
      <w:pPr>
        <w:pStyle w:val="ListBullet"/>
      </w:pPr>
      <w:r w:rsidRPr="00EF5A5F">
        <w:t>develop skills, including general education skills such as literacy and numeracy, that enhance students’ ability to enter the labour force</w:t>
      </w:r>
    </w:p>
    <w:p w:rsidR="003620C4" w:rsidRPr="00EF5A5F" w:rsidRDefault="003620C4" w:rsidP="009C2C7E">
      <w:pPr>
        <w:pStyle w:val="ListBullet"/>
      </w:pPr>
      <w:r w:rsidRPr="009C2C7E">
        <w:t>provide</w:t>
      </w:r>
      <w:r w:rsidRPr="00EF5A5F">
        <w:t xml:space="preserve"> a pathway to further tertiary education, including entrance to higher education.</w:t>
      </w:r>
    </w:p>
    <w:p w:rsidR="00CB46E8" w:rsidRDefault="00CB46E8" w:rsidP="009C2C7E">
      <w:pPr>
        <w:pStyle w:val="BodyText"/>
      </w:pPr>
      <w:r w:rsidRPr="00EF5A5F">
        <w:t xml:space="preserve">The VET system involves the interaction of students, employers, the Australian, State, </w:t>
      </w:r>
      <w:r w:rsidRPr="005F2B76">
        <w:t xml:space="preserve">Territory and local governments (as both purchasers and providers), and an increasing number of private and community </w:t>
      </w:r>
      <w:proofErr w:type="spellStart"/>
      <w:r w:rsidRPr="005F2B76">
        <w:t>RTOs</w:t>
      </w:r>
      <w:proofErr w:type="spellEnd"/>
      <w:r w:rsidRPr="005F2B76">
        <w:t>. Students have access to a diverse range of programs</w:t>
      </w:r>
      <w:r w:rsidRPr="00EF5A5F">
        <w:t xml:space="preserve"> and qualification levels, with course durations varying across modules or units of competency (a stand-alone course component or subject) (box </w:t>
      </w:r>
      <w:r w:rsidR="00110AF6">
        <w:t>5.1</w:t>
      </w:r>
      <w:r w:rsidRPr="00EF5A5F">
        <w:t>).</w:t>
      </w:r>
    </w:p>
    <w:p w:rsidR="00296392" w:rsidRDefault="0029639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96392" w:rsidTr="00BC49F4">
        <w:tc>
          <w:tcPr>
            <w:tcW w:w="8771" w:type="dxa"/>
            <w:tcBorders>
              <w:top w:val="single" w:sz="6" w:space="0" w:color="78A22F"/>
              <w:left w:val="nil"/>
              <w:bottom w:val="nil"/>
              <w:right w:val="nil"/>
            </w:tcBorders>
            <w:shd w:val="clear" w:color="auto" w:fill="F2F2F2" w:themeFill="background1" w:themeFillShade="F2"/>
          </w:tcPr>
          <w:p w:rsidR="00296392" w:rsidRDefault="00296392">
            <w:pPr>
              <w:pStyle w:val="BoxTitle"/>
            </w:pPr>
            <w:r>
              <w:rPr>
                <w:b w:val="0"/>
              </w:rPr>
              <w:t>Box 5.</w:t>
            </w:r>
            <w:r w:rsidR="00D80B1E">
              <w:rPr>
                <w:b w:val="0"/>
                <w:noProof/>
              </w:rPr>
              <w:t>1</w:t>
            </w:r>
            <w:r>
              <w:tab/>
            </w:r>
            <w:r w:rsidRPr="00296392">
              <w:t>Diversity of the VET system</w:t>
            </w:r>
          </w:p>
        </w:tc>
      </w:tr>
      <w:tr w:rsidR="00296392" w:rsidTr="00BC49F4">
        <w:trPr>
          <w:cantSplit/>
        </w:trPr>
        <w:tc>
          <w:tcPr>
            <w:tcW w:w="8771" w:type="dxa"/>
            <w:tcBorders>
              <w:top w:val="nil"/>
              <w:left w:val="nil"/>
              <w:bottom w:val="nil"/>
              <w:right w:val="nil"/>
            </w:tcBorders>
            <w:shd w:val="clear" w:color="auto" w:fill="F2F2F2" w:themeFill="background1" w:themeFillShade="F2"/>
          </w:tcPr>
          <w:p w:rsidR="00296392" w:rsidRDefault="00296392" w:rsidP="00296392">
            <w:pPr>
              <w:pStyle w:val="Box"/>
            </w:pPr>
            <w:r>
              <w:t>Vocational education and training (VET) programs range from a single module or unit of competency (which can involve fewer than 10 contact hours) to associate degrees (which can involve up to four years of study). All training in the VET system needs to be assessed, because many students complete modules or units of competency without intending to complete a course or qualification.</w:t>
            </w:r>
          </w:p>
          <w:p w:rsidR="00296392" w:rsidRDefault="00296392" w:rsidP="00296392">
            <w:pPr>
              <w:pStyle w:val="Box"/>
            </w:pPr>
            <w:r>
              <w:t>The types of training range from formal classroom learning to workplace-based learning, and can include flexible, self-paced learning and/or online training, often in combination. Also included are apprenticeships/traineeships (referred to as Australian Apprenticeships), which combine employment and competency-based training, including both formalised training and on-the-job training. The availability of distance education has increased, with off-campus options such as correspondence, Internet study and interactive teleconferencing.</w:t>
            </w:r>
          </w:p>
          <w:p w:rsidR="00D34E3B" w:rsidRDefault="00296392" w:rsidP="00A26D57">
            <w:pPr>
              <w:pStyle w:val="Box"/>
            </w:pPr>
            <w:r>
              <w:t>The types of training organisation include: institutions specialising in VET delivery, such as government owned technical and further education (TAFE) institutes, agricultural colleges and private training businesses; adult community education (ACE) providers; secondary schools and colleges; universities; industry and community bodies with a registered training organisation (</w:t>
            </w:r>
            <w:proofErr w:type="spellStart"/>
            <w:r>
              <w:t>RTO</w:t>
            </w:r>
            <w:proofErr w:type="spellEnd"/>
            <w:r>
              <w:t xml:space="preserve">) arm; and businesses, organisations and government agencies that have </w:t>
            </w:r>
            <w:proofErr w:type="spellStart"/>
            <w:r>
              <w:t>RTO</w:t>
            </w:r>
            <w:proofErr w:type="spellEnd"/>
            <w:r>
              <w:t xml:space="preserve"> status to train their own staff. Group Training Organisations </w:t>
            </w:r>
            <w:r w:rsidR="00713EE4" w:rsidRPr="00513595">
              <w:t>may be</w:t>
            </w:r>
            <w:r>
              <w:t xml:space="preserve"> </w:t>
            </w:r>
            <w:proofErr w:type="spellStart"/>
            <w:r>
              <w:t>RTOs</w:t>
            </w:r>
            <w:proofErr w:type="spellEnd"/>
            <w:r>
              <w:t xml:space="preserve"> and some </w:t>
            </w:r>
            <w:proofErr w:type="spellStart"/>
            <w:r>
              <w:t>RTOs</w:t>
            </w:r>
            <w:proofErr w:type="spellEnd"/>
            <w:r>
              <w:t xml:space="preserve"> may also be Australian Apprenticeship Centres (formerly New Apprenticeship Centres). Schools and universities provide dual award courses that </w:t>
            </w:r>
            <w:r w:rsidR="00713EE4" w:rsidRPr="00513595">
              <w:t xml:space="preserve">may </w:t>
            </w:r>
            <w:r>
              <w:t xml:space="preserve">combine traditional studies with VET, with an award from both the VET provider and the secondary school or university. </w:t>
            </w:r>
          </w:p>
          <w:p w:rsidR="00296392" w:rsidRDefault="00296392" w:rsidP="00296392">
            <w:pPr>
              <w:pStyle w:val="Box"/>
            </w:pPr>
            <w:r>
              <w:t xml:space="preserve">In addition to formal VET delivered by an </w:t>
            </w:r>
            <w:proofErr w:type="spellStart"/>
            <w:r>
              <w:t>RTO</w:t>
            </w:r>
            <w:proofErr w:type="spellEnd"/>
            <w:r>
              <w:t>, many people undertake on-the-job training in the workplace or attend training courses that do not lead to a recognised VET qualification.</w:t>
            </w:r>
          </w:p>
        </w:tc>
      </w:tr>
      <w:tr w:rsidR="00296392" w:rsidTr="00BC49F4">
        <w:trPr>
          <w:cantSplit/>
        </w:trPr>
        <w:tc>
          <w:tcPr>
            <w:tcW w:w="8771" w:type="dxa"/>
            <w:tcBorders>
              <w:top w:val="nil"/>
              <w:left w:val="nil"/>
              <w:bottom w:val="single" w:sz="6" w:space="0" w:color="78A22F"/>
              <w:right w:val="nil"/>
            </w:tcBorders>
            <w:shd w:val="clear" w:color="auto" w:fill="F2F2F2" w:themeFill="background1" w:themeFillShade="F2"/>
          </w:tcPr>
          <w:p w:rsidR="00296392" w:rsidRDefault="00296392">
            <w:pPr>
              <w:pStyle w:val="Box"/>
              <w:spacing w:before="0" w:line="120" w:lineRule="exact"/>
            </w:pPr>
          </w:p>
        </w:tc>
      </w:tr>
      <w:tr w:rsidR="00296392" w:rsidRPr="000863A5" w:rsidTr="00BC49F4">
        <w:tc>
          <w:tcPr>
            <w:tcW w:w="8771" w:type="dxa"/>
            <w:tcBorders>
              <w:top w:val="single" w:sz="6" w:space="0" w:color="78A22F"/>
              <w:left w:val="nil"/>
              <w:bottom w:val="nil"/>
              <w:right w:val="nil"/>
            </w:tcBorders>
          </w:tcPr>
          <w:p w:rsidR="00296392" w:rsidRPr="00626D32" w:rsidRDefault="00296392" w:rsidP="00BC49F4">
            <w:pPr>
              <w:pStyle w:val="BoxSpaceBelow"/>
            </w:pPr>
          </w:p>
        </w:tc>
      </w:tr>
    </w:tbl>
    <w:p w:rsidR="00C57336" w:rsidRPr="00EF5A5F" w:rsidRDefault="005840E6" w:rsidP="00281C53">
      <w:pPr>
        <w:pStyle w:val="Heading3"/>
      </w:pPr>
      <w:r w:rsidRPr="00EF5A5F">
        <w:t>Expenditure</w:t>
      </w:r>
    </w:p>
    <w:p w:rsidR="00C57336" w:rsidRPr="00EF5A5F" w:rsidRDefault="00C57336" w:rsidP="00974313">
      <w:pPr>
        <w:pStyle w:val="BodyText"/>
      </w:pPr>
      <w:r w:rsidRPr="0091113B">
        <w:t>Recurrent expenditure on VET by Australian, State and Ter</w:t>
      </w:r>
      <w:r w:rsidR="008A2333" w:rsidRPr="0091113B">
        <w:t xml:space="preserve">ritory governments totalled </w:t>
      </w:r>
      <w:r w:rsidR="00E12034" w:rsidRPr="009F3D95">
        <w:t>$</w:t>
      </w:r>
      <w:r w:rsidR="009F3D95" w:rsidRPr="009F3D95">
        <w:t>5.8</w:t>
      </w:r>
      <w:r w:rsidR="007F4EF2" w:rsidRPr="008E0B3E">
        <w:rPr>
          <w:color w:val="FF0000"/>
        </w:rPr>
        <w:t> </w:t>
      </w:r>
      <w:r w:rsidR="007F4EF2" w:rsidRPr="0091113B">
        <w:t>b</w:t>
      </w:r>
      <w:r w:rsidR="004A1859" w:rsidRPr="0091113B">
        <w:t xml:space="preserve">illion in </w:t>
      </w:r>
      <w:r w:rsidR="00DD749B" w:rsidRPr="0091113B">
        <w:t>201</w:t>
      </w:r>
      <w:r w:rsidR="008E0B3E">
        <w:t>3</w:t>
      </w:r>
      <w:r w:rsidR="00DD749B" w:rsidRPr="0091113B">
        <w:t xml:space="preserve"> </w:t>
      </w:r>
      <w:r w:rsidR="004A1859" w:rsidRPr="0091113B">
        <w:t>—</w:t>
      </w:r>
      <w:r w:rsidR="001714DB" w:rsidRPr="0091113B">
        <w:t xml:space="preserve"> </w:t>
      </w:r>
      <w:r w:rsidR="003B28E5" w:rsidRPr="0091113B">
        <w:t xml:space="preserve">a </w:t>
      </w:r>
      <w:r w:rsidR="009F3D95">
        <w:t>de</w:t>
      </w:r>
      <w:r w:rsidR="003B28E5" w:rsidRPr="0091113B">
        <w:t xml:space="preserve">crease of </w:t>
      </w:r>
      <w:r w:rsidR="009F3D95">
        <w:t>3.3</w:t>
      </w:r>
      <w:r w:rsidR="0005591D" w:rsidRPr="008E0B3E">
        <w:rPr>
          <w:color w:val="FF0000"/>
        </w:rPr>
        <w:t xml:space="preserve"> </w:t>
      </w:r>
      <w:r w:rsidR="00E9747F" w:rsidRPr="0091113B">
        <w:t>per</w:t>
      </w:r>
      <w:r w:rsidR="0005591D" w:rsidRPr="0091113B">
        <w:t xml:space="preserve"> </w:t>
      </w:r>
      <w:r w:rsidR="007F4EF2" w:rsidRPr="0091113B">
        <w:t>c</w:t>
      </w:r>
      <w:r w:rsidR="00E9747F" w:rsidRPr="0091113B">
        <w:t xml:space="preserve">ent </w:t>
      </w:r>
      <w:r w:rsidR="007B5719" w:rsidRPr="0091113B">
        <w:t xml:space="preserve">(in real terms) </w:t>
      </w:r>
      <w:r w:rsidR="00E9747F" w:rsidRPr="0091113B">
        <w:t xml:space="preserve">from </w:t>
      </w:r>
      <w:r w:rsidR="00DD749B" w:rsidRPr="0091113B">
        <w:t>201</w:t>
      </w:r>
      <w:r w:rsidR="008E0B3E">
        <w:t>2</w:t>
      </w:r>
      <w:r w:rsidR="0005591D" w:rsidRPr="0091113B">
        <w:t xml:space="preserve">, </w:t>
      </w:r>
      <w:r w:rsidR="00D34E3B">
        <w:t>but</w:t>
      </w:r>
      <w:r w:rsidR="0005591D" w:rsidRPr="0091113B">
        <w:t xml:space="preserve"> a </w:t>
      </w:r>
      <w:r w:rsidR="009F3D95">
        <w:t>14.2</w:t>
      </w:r>
      <w:r w:rsidR="008E0B3E">
        <w:rPr>
          <w:color w:val="FF0000"/>
        </w:rPr>
        <w:t> </w:t>
      </w:r>
      <w:r w:rsidR="0005591D" w:rsidRPr="0091113B">
        <w:t>per</w:t>
      </w:r>
      <w:r w:rsidR="008E0B3E">
        <w:t> </w:t>
      </w:r>
      <w:r w:rsidR="0005591D" w:rsidRPr="0091113B">
        <w:t>cent increase (in real te</w:t>
      </w:r>
      <w:r w:rsidR="0005591D" w:rsidRPr="004B397D">
        <w:t>rms) from 200</w:t>
      </w:r>
      <w:r w:rsidR="008E0B3E">
        <w:t>9</w:t>
      </w:r>
      <w:r w:rsidR="00493FC8">
        <w:t xml:space="preserve"> </w:t>
      </w:r>
      <w:r w:rsidR="00493FC8" w:rsidRPr="000C682B">
        <w:rPr>
          <w:shd w:val="clear" w:color="auto" w:fill="FFFFFF" w:themeFill="background1"/>
        </w:rPr>
        <w:t>to 201</w:t>
      </w:r>
      <w:r w:rsidR="008E0B3E">
        <w:rPr>
          <w:shd w:val="clear" w:color="auto" w:fill="FFFFFF" w:themeFill="background1"/>
        </w:rPr>
        <w:t>3</w:t>
      </w:r>
      <w:r w:rsidR="00493FC8" w:rsidRPr="000C682B">
        <w:rPr>
          <w:shd w:val="clear" w:color="auto" w:fill="FFFFFF" w:themeFill="background1"/>
        </w:rPr>
        <w:t xml:space="preserve">, equivalent to an average annual increase of </w:t>
      </w:r>
      <w:r w:rsidR="009F3D95">
        <w:rPr>
          <w:shd w:val="clear" w:color="auto" w:fill="FFFFFF" w:themeFill="background1"/>
        </w:rPr>
        <w:t>3.4</w:t>
      </w:r>
      <w:r w:rsidR="00493FC8" w:rsidRPr="008E0B3E">
        <w:rPr>
          <w:color w:val="FF0000"/>
          <w:shd w:val="clear" w:color="auto" w:fill="FFFFFF" w:themeFill="background1"/>
        </w:rPr>
        <w:t xml:space="preserve"> </w:t>
      </w:r>
      <w:r w:rsidR="00493FC8" w:rsidRPr="000C682B">
        <w:rPr>
          <w:shd w:val="clear" w:color="auto" w:fill="FFFFFF" w:themeFill="background1"/>
        </w:rPr>
        <w:t xml:space="preserve">per cent </w:t>
      </w:r>
      <w:r w:rsidR="00E9747F" w:rsidRPr="000C682B">
        <w:rPr>
          <w:shd w:val="clear" w:color="auto" w:fill="FFFFFF" w:themeFill="background1"/>
        </w:rPr>
        <w:t>(table </w:t>
      </w:r>
      <w:proofErr w:type="spellStart"/>
      <w:r w:rsidR="00BE4089" w:rsidRPr="000C682B">
        <w:rPr>
          <w:shd w:val="clear" w:color="auto" w:fill="FFFFFF" w:themeFill="background1"/>
        </w:rPr>
        <w:t>5</w:t>
      </w:r>
      <w:r w:rsidRPr="000C682B">
        <w:rPr>
          <w:shd w:val="clear" w:color="auto" w:fill="FFFFFF" w:themeFill="background1"/>
        </w:rPr>
        <w:t>A.1</w:t>
      </w:r>
      <w:proofErr w:type="spellEnd"/>
      <w:r w:rsidRPr="00EF5A5F">
        <w:t xml:space="preserve">). Government recurrent expenditure was equal </w:t>
      </w:r>
      <w:r w:rsidRPr="0091113B">
        <w:t xml:space="preserve">to </w:t>
      </w:r>
      <w:r w:rsidR="009F3D95">
        <w:t>$376.43</w:t>
      </w:r>
      <w:r w:rsidR="007F4EF2" w:rsidRPr="008E0B3E">
        <w:rPr>
          <w:color w:val="FF0000"/>
        </w:rPr>
        <w:t> </w:t>
      </w:r>
      <w:r w:rsidRPr="0091113B">
        <w:t>per</w:t>
      </w:r>
      <w:r w:rsidR="007F4EF2" w:rsidRPr="0091113B">
        <w:t> </w:t>
      </w:r>
      <w:r w:rsidRPr="00EF5A5F">
        <w:t>person aged 15–64 years across Australia</w:t>
      </w:r>
      <w:r w:rsidR="00BE4089" w:rsidRPr="00EF5A5F">
        <w:t xml:space="preserve"> in </w:t>
      </w:r>
      <w:r w:rsidR="00DD749B">
        <w:t>201</w:t>
      </w:r>
      <w:r w:rsidR="008E0B3E">
        <w:t>3</w:t>
      </w:r>
      <w:r w:rsidR="00532BAD">
        <w:t xml:space="preserve"> </w:t>
      </w:r>
      <w:r w:rsidR="00BE4089" w:rsidRPr="00EF5A5F">
        <w:t>(table</w:t>
      </w:r>
      <w:r w:rsidR="007F4EF2" w:rsidRPr="00EF5A5F">
        <w:t> </w:t>
      </w:r>
      <w:proofErr w:type="spellStart"/>
      <w:r w:rsidR="00BE4089" w:rsidRPr="00EF5A5F">
        <w:t>5</w:t>
      </w:r>
      <w:r w:rsidRPr="00EF5A5F">
        <w:t>A.2</w:t>
      </w:r>
      <w:proofErr w:type="spellEnd"/>
      <w:r w:rsidRPr="00EF5A5F">
        <w:t xml:space="preserve">). Further information on the breakdown of real funding by jurisdictions </w:t>
      </w:r>
      <w:r w:rsidR="00CB4733">
        <w:t xml:space="preserve">is </w:t>
      </w:r>
      <w:r w:rsidRPr="00EF5A5F">
        <w:t>available in attachment tables</w:t>
      </w:r>
      <w:r w:rsidR="00B749E2" w:rsidRPr="00EF5A5F">
        <w:t xml:space="preserve"> </w:t>
      </w:r>
      <w:proofErr w:type="spellStart"/>
      <w:r w:rsidR="00B749E2" w:rsidRPr="00EF5A5F">
        <w:t>5A.1</w:t>
      </w:r>
      <w:proofErr w:type="spellEnd"/>
      <w:r w:rsidR="001D2776">
        <w:t xml:space="preserve"> (2004 to 2013) and </w:t>
      </w:r>
      <w:proofErr w:type="spellStart"/>
      <w:r w:rsidR="001D2776">
        <w:t>5A.2</w:t>
      </w:r>
      <w:proofErr w:type="spellEnd"/>
      <w:r w:rsidR="001D2776">
        <w:t xml:space="preserve"> (2009 to</w:t>
      </w:r>
      <w:r w:rsidR="00F641E6">
        <w:t xml:space="preserve"> 201</w:t>
      </w:r>
      <w:r w:rsidR="008E0B3E">
        <w:t>3</w:t>
      </w:r>
      <w:r w:rsidR="001D2776">
        <w:t>)</w:t>
      </w:r>
      <w:r w:rsidRPr="00EF5A5F">
        <w:t>.</w:t>
      </w:r>
    </w:p>
    <w:p w:rsidR="00C57336" w:rsidRDefault="00C57336" w:rsidP="00C57336">
      <w:pPr>
        <w:pStyle w:val="BodyText"/>
      </w:pPr>
      <w:r w:rsidRPr="00EF5A5F">
        <w:t xml:space="preserve">Government funded activity is the primary focus of </w:t>
      </w:r>
      <w:r w:rsidR="00B749E2" w:rsidRPr="00EF5A5F">
        <w:t>this</w:t>
      </w:r>
      <w:r w:rsidRPr="00EF5A5F">
        <w:t xml:space="preserve"> Report. However, not all data can be limited to </w:t>
      </w:r>
      <w:r w:rsidR="00C67350" w:rsidRPr="00EF5A5F">
        <w:t>g</w:t>
      </w:r>
      <w:r w:rsidRPr="00EF5A5F">
        <w:t>overnment funded activity. A representation of data used for statis</w:t>
      </w:r>
      <w:r w:rsidR="00981FDC" w:rsidRPr="00EF5A5F">
        <w:t>tical reporting is provided in f</w:t>
      </w:r>
      <w:r w:rsidRPr="00EF5A5F">
        <w:t xml:space="preserve">igure </w:t>
      </w:r>
      <w:r w:rsidR="00110AF6">
        <w:t>5.1</w:t>
      </w:r>
      <w:r w:rsidRPr="00EF5A5F">
        <w:t>.</w:t>
      </w:r>
      <w:r w:rsidR="00CD63A7" w:rsidRPr="00EF5A5F">
        <w:t xml:space="preserve"> A detailed explanation of data inclusions </w:t>
      </w:r>
      <w:r w:rsidR="00306D35" w:rsidRPr="00EF5A5F">
        <w:t xml:space="preserve">in this chapter </w:t>
      </w:r>
      <w:r w:rsidR="00CD63A7" w:rsidRPr="00EF5A5F">
        <w:t>is provided in box </w:t>
      </w:r>
      <w:r w:rsidR="00110AF6">
        <w:t>5.2</w:t>
      </w:r>
      <w:r w:rsidR="00CD63A7" w:rsidRPr="00EF5A5F">
        <w:t>.</w:t>
      </w:r>
    </w:p>
    <w:p w:rsidR="009F3D95" w:rsidRDefault="009F3D95" w:rsidP="00C57336">
      <w:pPr>
        <w:pStyle w:val="BodyText"/>
      </w:pPr>
    </w:p>
    <w:p w:rsidR="00296392" w:rsidRDefault="00296392" w:rsidP="00BC49F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304"/>
        <w:gridCol w:w="525"/>
        <w:gridCol w:w="7942"/>
      </w:tblGrid>
      <w:tr w:rsidR="00296392" w:rsidTr="00BC49F4">
        <w:tc>
          <w:tcPr>
            <w:tcW w:w="8771" w:type="dxa"/>
            <w:gridSpan w:val="3"/>
            <w:tcBorders>
              <w:top w:val="single" w:sz="6" w:space="0" w:color="78A22F"/>
              <w:left w:val="nil"/>
              <w:bottom w:val="nil"/>
              <w:right w:val="nil"/>
            </w:tcBorders>
            <w:shd w:val="clear" w:color="auto" w:fill="auto"/>
          </w:tcPr>
          <w:p w:rsidR="00296392" w:rsidRPr="00176D3F" w:rsidRDefault="00296392" w:rsidP="00296392">
            <w:pPr>
              <w:pStyle w:val="FigureTitle"/>
            </w:pPr>
            <w:r w:rsidRPr="00784A05">
              <w:rPr>
                <w:b w:val="0"/>
              </w:rPr>
              <w:t xml:space="preserve">Figure </w:t>
            </w:r>
            <w:r>
              <w:rPr>
                <w:b w:val="0"/>
              </w:rPr>
              <w:t>5.</w:t>
            </w:r>
            <w:r w:rsidR="00D80B1E">
              <w:rPr>
                <w:b w:val="0"/>
                <w:noProof/>
              </w:rPr>
              <w:t>1</w:t>
            </w:r>
            <w:r>
              <w:tab/>
            </w:r>
            <w:r w:rsidRPr="00EF5A5F">
              <w:t>Scope of reporting</w:t>
            </w:r>
          </w:p>
        </w:tc>
      </w:tr>
      <w:tr w:rsidR="00296392" w:rsidTr="00BC49F4">
        <w:tc>
          <w:tcPr>
            <w:tcW w:w="8771" w:type="dxa"/>
            <w:gridSpan w:val="3"/>
            <w:tcBorders>
              <w:top w:val="nil"/>
              <w:left w:val="nil"/>
              <w:bottom w:val="nil"/>
              <w:right w:val="nil"/>
            </w:tcBorders>
            <w:shd w:val="clear" w:color="auto" w:fill="auto"/>
            <w:tcMar>
              <w:top w:w="28" w:type="dxa"/>
              <w:bottom w:w="28" w:type="dxa"/>
            </w:tcMar>
          </w:tcPr>
          <w:tbl>
            <w:tblPr>
              <w:tblW w:w="5000" w:type="pct"/>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487"/>
            </w:tblGrid>
            <w:tr w:rsidR="00730726" w:rsidTr="00BC49F4">
              <w:tc>
                <w:tcPr>
                  <w:tcW w:w="5000" w:type="pct"/>
                  <w:tcBorders>
                    <w:top w:val="nil"/>
                    <w:bottom w:val="nil"/>
                  </w:tcBorders>
                </w:tcPr>
                <w:tbl>
                  <w:tblPr>
                    <w:tblW w:w="5000" w:type="pct"/>
                    <w:tblLayout w:type="fixed"/>
                    <w:tblCellMar>
                      <w:top w:w="28" w:type="dxa"/>
                      <w:left w:w="0" w:type="dxa"/>
                      <w:right w:w="0" w:type="dxa"/>
                    </w:tblCellMar>
                    <w:tblLook w:val="0000" w:firstRow="0" w:lastRow="0" w:firstColumn="0" w:lastColumn="0" w:noHBand="0" w:noVBand="0"/>
                    <w:tblDescription w:val="Figure 5.1 Scope of reporting&#10;&#10;More details can be found in box 5.2."/>
                  </w:tblPr>
                  <w:tblGrid>
                    <w:gridCol w:w="2867"/>
                    <w:gridCol w:w="339"/>
                    <w:gridCol w:w="1888"/>
                    <w:gridCol w:w="1697"/>
                    <w:gridCol w:w="1696"/>
                  </w:tblGrid>
                  <w:tr w:rsidR="00730726" w:rsidTr="00AD6D24">
                    <w:trPr>
                      <w:trHeight w:hRule="exact" w:val="454"/>
                    </w:trPr>
                    <w:tc>
                      <w:tcPr>
                        <w:tcW w:w="1689" w:type="pct"/>
                        <w:tcBorders>
                          <w:top w:val="single" w:sz="6" w:space="0" w:color="BFBFBF"/>
                        </w:tcBorders>
                        <w:shd w:val="clear" w:color="auto" w:fill="auto"/>
                        <w:tcMar>
                          <w:top w:w="28" w:type="dxa"/>
                        </w:tcMar>
                      </w:tcPr>
                      <w:p w:rsidR="00730726" w:rsidRDefault="00730726" w:rsidP="00FA0853">
                        <w:pPr>
                          <w:pStyle w:val="BoxHeading1"/>
                        </w:pPr>
                      </w:p>
                    </w:tc>
                    <w:tc>
                      <w:tcPr>
                        <w:tcW w:w="200" w:type="pct"/>
                        <w:tcBorders>
                          <w:top w:val="single" w:sz="6" w:space="0" w:color="BFBFBF"/>
                        </w:tcBorders>
                        <w:shd w:val="clear" w:color="auto" w:fill="auto"/>
                        <w:tcMar>
                          <w:top w:w="28" w:type="dxa"/>
                        </w:tcMar>
                      </w:tcPr>
                      <w:p w:rsidR="00730726" w:rsidRDefault="00730726" w:rsidP="00AD6D24">
                        <w:pPr>
                          <w:pStyle w:val="BoxHeading1"/>
                        </w:pPr>
                      </w:p>
                    </w:tc>
                    <w:tc>
                      <w:tcPr>
                        <w:tcW w:w="3111" w:type="pct"/>
                        <w:gridSpan w:val="3"/>
                        <w:tcBorders>
                          <w:top w:val="single" w:sz="6" w:space="0" w:color="BFBFBF"/>
                          <w:bottom w:val="single" w:sz="8" w:space="0" w:color="BFBFBF"/>
                        </w:tcBorders>
                        <w:vAlign w:val="center"/>
                      </w:tcPr>
                      <w:p w:rsidR="00730726" w:rsidRDefault="00730726" w:rsidP="00AD6D24">
                        <w:pPr>
                          <w:pStyle w:val="BoxHeading1"/>
                          <w:spacing w:before="0"/>
                          <w:jc w:val="center"/>
                        </w:pPr>
                        <w:r>
                          <w:t>Registered Training Organisations</w:t>
                        </w:r>
                      </w:p>
                    </w:tc>
                  </w:tr>
                  <w:tr w:rsidR="00730726" w:rsidTr="00AD6D24">
                    <w:trPr>
                      <w:trHeight w:hRule="exact" w:val="737"/>
                    </w:trPr>
                    <w:tc>
                      <w:tcPr>
                        <w:tcW w:w="1689" w:type="pct"/>
                        <w:vMerge w:val="restart"/>
                        <w:shd w:val="clear" w:color="auto" w:fill="auto"/>
                        <w:tcMar>
                          <w:top w:w="28" w:type="dxa"/>
                        </w:tcMar>
                        <w:vAlign w:val="bottom"/>
                      </w:tcPr>
                      <w:p w:rsidR="00730726" w:rsidRDefault="00730726" w:rsidP="00FA0853">
                        <w:pPr>
                          <w:pStyle w:val="BoxHeading1"/>
                          <w:jc w:val="left"/>
                        </w:pPr>
                        <w:r>
                          <w:t>Training Fund Type</w:t>
                        </w:r>
                      </w:p>
                    </w:tc>
                    <w:tc>
                      <w:tcPr>
                        <w:tcW w:w="200" w:type="pct"/>
                        <w:tcBorders>
                          <w:right w:val="single" w:sz="6" w:space="0" w:color="BFBFBF"/>
                        </w:tcBorders>
                        <w:shd w:val="clear" w:color="auto" w:fill="auto"/>
                        <w:tcMar>
                          <w:top w:w="28" w:type="dxa"/>
                        </w:tcMar>
                      </w:tcPr>
                      <w:p w:rsidR="00730726" w:rsidRDefault="00730726" w:rsidP="00FA0853">
                        <w:pPr>
                          <w:pStyle w:val="TableColumnHeading"/>
                        </w:pPr>
                      </w:p>
                    </w:tc>
                    <w:tc>
                      <w:tcPr>
                        <w:tcW w:w="1112" w:type="pct"/>
                        <w:tcBorders>
                          <w:top w:val="single" w:sz="8" w:space="0" w:color="BFBFBF"/>
                          <w:left w:val="single" w:sz="6" w:space="0" w:color="BFBFBF"/>
                          <w:right w:val="single" w:sz="6" w:space="0" w:color="BFBFBF"/>
                        </w:tcBorders>
                        <w:vAlign w:val="center"/>
                      </w:tcPr>
                      <w:p w:rsidR="00730726" w:rsidRDefault="00730726" w:rsidP="00FA0853">
                        <w:pPr>
                          <w:pStyle w:val="Box"/>
                          <w:jc w:val="center"/>
                        </w:pPr>
                        <w:r>
                          <w:t>TAFE and other government providers</w:t>
                        </w:r>
                      </w:p>
                    </w:tc>
                    <w:tc>
                      <w:tcPr>
                        <w:tcW w:w="1000" w:type="pct"/>
                        <w:tcBorders>
                          <w:top w:val="single" w:sz="8" w:space="0" w:color="BFBFBF"/>
                          <w:left w:val="single" w:sz="6" w:space="0" w:color="BFBFBF"/>
                          <w:right w:val="single" w:sz="6" w:space="0" w:color="BFBFBF"/>
                        </w:tcBorders>
                        <w:vAlign w:val="center"/>
                      </w:tcPr>
                      <w:p w:rsidR="00730726" w:rsidRDefault="00730726" w:rsidP="00FA0853">
                        <w:pPr>
                          <w:pStyle w:val="Box"/>
                          <w:jc w:val="center"/>
                        </w:pPr>
                        <w:r>
                          <w:t>Community providers</w:t>
                        </w:r>
                      </w:p>
                    </w:tc>
                    <w:tc>
                      <w:tcPr>
                        <w:tcW w:w="999" w:type="pct"/>
                        <w:tcBorders>
                          <w:top w:val="single" w:sz="8" w:space="0" w:color="BFBFBF"/>
                          <w:left w:val="single" w:sz="6" w:space="0" w:color="BFBFBF"/>
                          <w:right w:val="single" w:sz="6" w:space="0" w:color="BFBFBF"/>
                        </w:tcBorders>
                        <w:vAlign w:val="center"/>
                      </w:tcPr>
                      <w:p w:rsidR="00730726" w:rsidRDefault="00730726" w:rsidP="00FA0853">
                        <w:pPr>
                          <w:pStyle w:val="Box"/>
                          <w:jc w:val="center"/>
                        </w:pPr>
                        <w:r>
                          <w:t>Private providers</w:t>
                        </w:r>
                      </w:p>
                    </w:tc>
                  </w:tr>
                  <w:tr w:rsidR="00730726" w:rsidTr="00730726">
                    <w:trPr>
                      <w:trHeight w:val="162"/>
                    </w:trPr>
                    <w:tc>
                      <w:tcPr>
                        <w:tcW w:w="1689" w:type="pct"/>
                        <w:vMerge/>
                        <w:tcBorders>
                          <w:bottom w:val="single" w:sz="8" w:space="0" w:color="BFBFBF"/>
                        </w:tcBorders>
                        <w:shd w:val="clear" w:color="auto" w:fill="auto"/>
                        <w:tcMar>
                          <w:top w:w="28" w:type="dxa"/>
                        </w:tcMar>
                      </w:tcPr>
                      <w:p w:rsidR="00730726" w:rsidRDefault="00730726" w:rsidP="00FA0853">
                        <w:pPr>
                          <w:pStyle w:val="BoxHeading1"/>
                        </w:pPr>
                      </w:p>
                    </w:tc>
                    <w:tc>
                      <w:tcPr>
                        <w:tcW w:w="200" w:type="pct"/>
                        <w:tcBorders>
                          <w:bottom w:val="single" w:sz="8" w:space="0" w:color="BFBFBF"/>
                          <w:right w:val="single" w:sz="6" w:space="0" w:color="BFBFBF"/>
                        </w:tcBorders>
                        <w:shd w:val="clear" w:color="auto" w:fill="auto"/>
                        <w:tcMar>
                          <w:top w:w="28" w:type="dxa"/>
                        </w:tcMar>
                      </w:tcPr>
                      <w:p w:rsidR="00730726" w:rsidRDefault="00730726" w:rsidP="00FA0853">
                        <w:pPr>
                          <w:pStyle w:val="BoxSpaceBelow"/>
                        </w:pPr>
                      </w:p>
                    </w:tc>
                    <w:tc>
                      <w:tcPr>
                        <w:tcW w:w="1112" w:type="pct"/>
                        <w:tcBorders>
                          <w:left w:val="single" w:sz="6" w:space="0" w:color="BFBFBF"/>
                          <w:bottom w:val="single" w:sz="8" w:space="0" w:color="BFBFBF"/>
                          <w:right w:val="single" w:sz="6" w:space="0" w:color="BFBFBF"/>
                        </w:tcBorders>
                      </w:tcPr>
                      <w:p w:rsidR="00730726" w:rsidRDefault="00730726" w:rsidP="00FA0853">
                        <w:pPr>
                          <w:pStyle w:val="BoxSpaceBelow"/>
                        </w:pPr>
                      </w:p>
                    </w:tc>
                    <w:tc>
                      <w:tcPr>
                        <w:tcW w:w="1000" w:type="pct"/>
                        <w:tcBorders>
                          <w:left w:val="single" w:sz="6" w:space="0" w:color="BFBFBF"/>
                          <w:bottom w:val="single" w:sz="8" w:space="0" w:color="BFBFBF"/>
                          <w:right w:val="single" w:sz="6" w:space="0" w:color="BFBFBF"/>
                        </w:tcBorders>
                      </w:tcPr>
                      <w:p w:rsidR="00730726" w:rsidRDefault="00730726" w:rsidP="00FA0853">
                        <w:pPr>
                          <w:pStyle w:val="BoxSpaceBelow"/>
                        </w:pPr>
                      </w:p>
                    </w:tc>
                    <w:tc>
                      <w:tcPr>
                        <w:tcW w:w="999" w:type="pct"/>
                        <w:tcBorders>
                          <w:left w:val="single" w:sz="6" w:space="0" w:color="BFBFBF"/>
                          <w:bottom w:val="single" w:sz="8" w:space="0" w:color="BFBFBF"/>
                          <w:right w:val="single" w:sz="6" w:space="0" w:color="BFBFBF"/>
                        </w:tcBorders>
                      </w:tcPr>
                      <w:p w:rsidR="00730726" w:rsidRDefault="00730726" w:rsidP="00FA0853">
                        <w:pPr>
                          <w:pStyle w:val="BoxSpaceBelow"/>
                        </w:pPr>
                      </w:p>
                    </w:tc>
                  </w:tr>
                  <w:tr w:rsidR="00730726" w:rsidTr="00730726">
                    <w:trPr>
                      <w:trHeight w:val="567"/>
                    </w:trPr>
                    <w:tc>
                      <w:tcPr>
                        <w:tcW w:w="1689" w:type="pct"/>
                        <w:tcBorders>
                          <w:top w:val="single" w:sz="8" w:space="0" w:color="BFBFBF"/>
                          <w:left w:val="single" w:sz="8" w:space="0" w:color="BFBFBF"/>
                          <w:bottom w:val="single" w:sz="8" w:space="0" w:color="BFBFBF"/>
                        </w:tcBorders>
                      </w:tcPr>
                      <w:p w:rsidR="00730726" w:rsidRDefault="00730726" w:rsidP="00FA0853">
                        <w:pPr>
                          <w:pStyle w:val="Box"/>
                          <w:ind w:left="340"/>
                        </w:pPr>
                        <w:r>
                          <w:t>Government Funded</w:t>
                        </w:r>
                      </w:p>
                    </w:tc>
                    <w:tc>
                      <w:tcPr>
                        <w:tcW w:w="200" w:type="pct"/>
                        <w:tcBorders>
                          <w:top w:val="single" w:sz="8" w:space="0" w:color="BFBFBF"/>
                          <w:bottom w:val="single" w:sz="8" w:space="0" w:color="BFBFBF"/>
                          <w:right w:val="single" w:sz="6" w:space="0" w:color="BFBFBF"/>
                        </w:tcBorders>
                      </w:tcPr>
                      <w:p w:rsidR="00730726" w:rsidRDefault="00730726" w:rsidP="00FA0853">
                        <w:pPr>
                          <w:pStyle w:val="TableBodyText"/>
                        </w:pPr>
                      </w:p>
                    </w:tc>
                    <w:tc>
                      <w:tcPr>
                        <w:tcW w:w="1112" w:type="pct"/>
                        <w:tcBorders>
                          <w:top w:val="single" w:sz="8" w:space="0" w:color="BFBFBF"/>
                          <w:left w:val="single" w:sz="6" w:space="0" w:color="BFBFBF"/>
                          <w:bottom w:val="single" w:sz="8" w:space="0" w:color="BFBFBF"/>
                          <w:right w:val="single" w:sz="6" w:space="0" w:color="BFBFBF"/>
                        </w:tcBorders>
                        <w:shd w:val="clear" w:color="auto" w:fill="78A22F"/>
                      </w:tcPr>
                      <w:p w:rsidR="00730726" w:rsidRDefault="00730726" w:rsidP="00FA0853">
                        <w:pPr>
                          <w:pStyle w:val="TableBodyText"/>
                          <w:ind w:right="28"/>
                        </w:pPr>
                      </w:p>
                    </w:tc>
                    <w:tc>
                      <w:tcPr>
                        <w:tcW w:w="1000" w:type="pct"/>
                        <w:tcBorders>
                          <w:top w:val="single" w:sz="8" w:space="0" w:color="BFBFBF"/>
                          <w:left w:val="single" w:sz="6" w:space="0" w:color="BFBFBF"/>
                          <w:bottom w:val="single" w:sz="8" w:space="0" w:color="BFBFBF"/>
                          <w:right w:val="single" w:sz="6" w:space="0" w:color="BFBFBF"/>
                        </w:tcBorders>
                        <w:shd w:val="clear" w:color="auto" w:fill="78A22F"/>
                      </w:tcPr>
                      <w:p w:rsidR="00730726" w:rsidRDefault="00730726" w:rsidP="00FA0853">
                        <w:pPr>
                          <w:pStyle w:val="TableBodyText"/>
                          <w:ind w:right="28"/>
                        </w:pPr>
                      </w:p>
                    </w:tc>
                    <w:tc>
                      <w:tcPr>
                        <w:tcW w:w="999" w:type="pct"/>
                        <w:tcBorders>
                          <w:top w:val="single" w:sz="8" w:space="0" w:color="BFBFBF"/>
                          <w:left w:val="single" w:sz="6" w:space="0" w:color="BFBFBF"/>
                          <w:bottom w:val="single" w:sz="8" w:space="0" w:color="BFBFBF"/>
                          <w:right w:val="single" w:sz="6" w:space="0" w:color="BFBFBF"/>
                        </w:tcBorders>
                        <w:shd w:val="clear" w:color="auto" w:fill="78A22F"/>
                      </w:tcPr>
                      <w:p w:rsidR="00730726" w:rsidRDefault="00730726" w:rsidP="00FA0853">
                        <w:pPr>
                          <w:pStyle w:val="TableBodyText"/>
                          <w:ind w:right="28"/>
                        </w:pPr>
                      </w:p>
                    </w:tc>
                  </w:tr>
                  <w:tr w:rsidR="00730726" w:rsidTr="00730726">
                    <w:trPr>
                      <w:trHeight w:val="567"/>
                    </w:trPr>
                    <w:tc>
                      <w:tcPr>
                        <w:tcW w:w="1689" w:type="pct"/>
                        <w:tcBorders>
                          <w:top w:val="single" w:sz="8" w:space="0" w:color="BFBFBF"/>
                          <w:left w:val="single" w:sz="8" w:space="0" w:color="BFBFBF"/>
                          <w:bottom w:val="single" w:sz="6" w:space="0" w:color="BFBFBF"/>
                        </w:tcBorders>
                        <w:shd w:val="clear" w:color="auto" w:fill="auto"/>
                      </w:tcPr>
                      <w:p w:rsidR="00730726" w:rsidRDefault="00730726" w:rsidP="00FA0853">
                        <w:pPr>
                          <w:pStyle w:val="Box"/>
                          <w:ind w:left="340"/>
                        </w:pPr>
                        <w:r>
                          <w:t>Fee-for-Service</w:t>
                        </w:r>
                        <w:r>
                          <w:br/>
                          <w:t>(domestic and international)</w:t>
                        </w:r>
                      </w:p>
                    </w:tc>
                    <w:tc>
                      <w:tcPr>
                        <w:tcW w:w="200" w:type="pct"/>
                        <w:tcBorders>
                          <w:top w:val="single" w:sz="8" w:space="0" w:color="BFBFBF"/>
                          <w:bottom w:val="single" w:sz="6" w:space="0" w:color="BFBFBF"/>
                          <w:right w:val="single" w:sz="6" w:space="0" w:color="BFBFBF"/>
                        </w:tcBorders>
                        <w:shd w:val="clear" w:color="auto" w:fill="auto"/>
                      </w:tcPr>
                      <w:p w:rsidR="00730726" w:rsidRDefault="00730726" w:rsidP="00FA0853">
                        <w:pPr>
                          <w:pStyle w:val="TableBodyText"/>
                        </w:pPr>
                      </w:p>
                    </w:tc>
                    <w:tc>
                      <w:tcPr>
                        <w:tcW w:w="1112" w:type="pct"/>
                        <w:tcBorders>
                          <w:top w:val="single" w:sz="8" w:space="0" w:color="BFBFBF"/>
                          <w:left w:val="single" w:sz="6" w:space="0" w:color="BFBFBF"/>
                          <w:bottom w:val="single" w:sz="6" w:space="0" w:color="BFBFBF"/>
                          <w:right w:val="single" w:sz="6" w:space="0" w:color="BFBFBF"/>
                        </w:tcBorders>
                        <w:shd w:val="clear" w:color="auto" w:fill="263C9A"/>
                      </w:tcPr>
                      <w:p w:rsidR="00730726" w:rsidRDefault="00730726" w:rsidP="00FA0853">
                        <w:pPr>
                          <w:pStyle w:val="TableBodyText"/>
                          <w:ind w:right="28"/>
                        </w:pPr>
                      </w:p>
                    </w:tc>
                    <w:tc>
                      <w:tcPr>
                        <w:tcW w:w="1000" w:type="pct"/>
                        <w:tcBorders>
                          <w:top w:val="single" w:sz="8" w:space="0" w:color="BFBFBF"/>
                          <w:left w:val="single" w:sz="6" w:space="0" w:color="BFBFBF"/>
                          <w:bottom w:val="single" w:sz="6" w:space="0" w:color="BFBFBF"/>
                          <w:right w:val="single" w:sz="6" w:space="0" w:color="BFBFBF"/>
                        </w:tcBorders>
                        <w:shd w:val="clear" w:color="auto" w:fill="263C9A"/>
                      </w:tcPr>
                      <w:p w:rsidR="00730726" w:rsidRDefault="00730726" w:rsidP="00FA0853">
                        <w:pPr>
                          <w:pStyle w:val="TableBodyText"/>
                          <w:ind w:right="28"/>
                        </w:pPr>
                      </w:p>
                    </w:tc>
                    <w:tc>
                      <w:tcPr>
                        <w:tcW w:w="999" w:type="pct"/>
                        <w:tcBorders>
                          <w:top w:val="single" w:sz="8" w:space="0" w:color="BFBFBF"/>
                          <w:left w:val="single" w:sz="6" w:space="0" w:color="BFBFBF"/>
                          <w:bottom w:val="single" w:sz="6" w:space="0" w:color="BFBFBF"/>
                          <w:right w:val="single" w:sz="6" w:space="0" w:color="BFBFBF"/>
                        </w:tcBorders>
                      </w:tcPr>
                      <w:p w:rsidR="00730726" w:rsidRDefault="00730726" w:rsidP="00FA0853">
                        <w:pPr>
                          <w:pStyle w:val="TableBodyText"/>
                          <w:ind w:right="28"/>
                        </w:pPr>
                      </w:p>
                    </w:tc>
                  </w:tr>
                </w:tbl>
                <w:p w:rsidR="00730726" w:rsidRDefault="00730726" w:rsidP="00FA0853">
                  <w:pPr>
                    <w:pStyle w:val="Box"/>
                  </w:pPr>
                </w:p>
              </w:tc>
            </w:tr>
          </w:tbl>
          <w:p w:rsidR="00296392" w:rsidRDefault="00296392" w:rsidP="00BC49F4">
            <w:pPr>
              <w:pStyle w:val="Figure"/>
            </w:pPr>
          </w:p>
        </w:tc>
      </w:tr>
      <w:tr w:rsidR="00730726" w:rsidTr="00FA0853">
        <w:tblPrEx>
          <w:tblBorders>
            <w:top w:val="single" w:sz="6" w:space="0" w:color="auto"/>
            <w:left w:val="single" w:sz="6" w:space="0" w:color="auto"/>
            <w:bottom w:val="single" w:sz="6" w:space="0" w:color="auto"/>
            <w:right w:val="single" w:sz="6" w:space="0" w:color="auto"/>
          </w:tblBorders>
        </w:tblPrEx>
        <w:trPr>
          <w:cantSplit/>
          <w:trHeight w:val="100"/>
        </w:trPr>
        <w:tc>
          <w:tcPr>
            <w:tcW w:w="304" w:type="dxa"/>
            <w:tcBorders>
              <w:top w:val="nil"/>
              <w:left w:val="nil"/>
              <w:bottom w:val="nil"/>
              <w:right w:val="single" w:sz="6" w:space="0" w:color="BFBFBF"/>
            </w:tcBorders>
            <w:shd w:val="clear" w:color="auto" w:fill="auto"/>
          </w:tcPr>
          <w:p w:rsidR="00730726" w:rsidRDefault="00730726" w:rsidP="00FA0853">
            <w:pPr>
              <w:pStyle w:val="BoxSpaceBelow"/>
            </w:pPr>
          </w:p>
        </w:tc>
        <w:tc>
          <w:tcPr>
            <w:tcW w:w="525" w:type="dxa"/>
            <w:tcBorders>
              <w:top w:val="single" w:sz="6" w:space="0" w:color="BFBFBF"/>
              <w:left w:val="single" w:sz="6" w:space="0" w:color="BFBFBF"/>
              <w:bottom w:val="single" w:sz="6" w:space="0" w:color="BFBFBF"/>
              <w:right w:val="single" w:sz="6" w:space="0" w:color="BFBFBF"/>
            </w:tcBorders>
            <w:shd w:val="clear" w:color="auto" w:fill="78A22F"/>
          </w:tcPr>
          <w:p w:rsidR="00730726" w:rsidRDefault="00730726" w:rsidP="00FA0853">
            <w:pPr>
              <w:pStyle w:val="Note"/>
              <w:rPr>
                <w:i/>
              </w:rPr>
            </w:pPr>
          </w:p>
        </w:tc>
        <w:tc>
          <w:tcPr>
            <w:tcW w:w="7942" w:type="dxa"/>
            <w:tcBorders>
              <w:top w:val="nil"/>
              <w:left w:val="single" w:sz="6" w:space="0" w:color="BFBFBF"/>
              <w:bottom w:val="nil"/>
              <w:right w:val="nil"/>
            </w:tcBorders>
            <w:shd w:val="clear" w:color="auto" w:fill="auto"/>
          </w:tcPr>
          <w:p w:rsidR="00730726" w:rsidRDefault="00730726" w:rsidP="00FA0853">
            <w:pPr>
              <w:pStyle w:val="Note"/>
              <w:rPr>
                <w:i/>
              </w:rPr>
            </w:pPr>
            <w:r w:rsidRPr="009F2998">
              <w:t>Data ava</w:t>
            </w:r>
            <w:r>
              <w:t>ilable for reporting and used to report government funded activity</w:t>
            </w:r>
          </w:p>
        </w:tc>
      </w:tr>
      <w:tr w:rsidR="00730726" w:rsidTr="00FA0853">
        <w:tblPrEx>
          <w:tblBorders>
            <w:top w:val="single" w:sz="6" w:space="0" w:color="auto"/>
            <w:left w:val="single" w:sz="6" w:space="0" w:color="auto"/>
            <w:bottom w:val="single" w:sz="6" w:space="0" w:color="auto"/>
            <w:right w:val="single" w:sz="6" w:space="0" w:color="auto"/>
          </w:tblBorders>
        </w:tblPrEx>
        <w:trPr>
          <w:cantSplit/>
          <w:trHeight w:val="100"/>
        </w:trPr>
        <w:tc>
          <w:tcPr>
            <w:tcW w:w="304" w:type="dxa"/>
            <w:tcBorders>
              <w:top w:val="nil"/>
              <w:left w:val="nil"/>
              <w:bottom w:val="nil"/>
              <w:right w:val="single" w:sz="6" w:space="0" w:color="BFBFBF"/>
            </w:tcBorders>
            <w:shd w:val="clear" w:color="auto" w:fill="auto"/>
          </w:tcPr>
          <w:p w:rsidR="00730726" w:rsidRPr="008E77FE" w:rsidRDefault="00730726" w:rsidP="00FA0853">
            <w:pPr>
              <w:pStyle w:val="BoxSpaceBelow"/>
              <w:rPr>
                <w:rStyle w:val="NoteLabel"/>
              </w:rPr>
            </w:pPr>
          </w:p>
        </w:tc>
        <w:tc>
          <w:tcPr>
            <w:tcW w:w="525" w:type="dxa"/>
            <w:tcBorders>
              <w:top w:val="single" w:sz="6" w:space="0" w:color="BFBFBF"/>
              <w:left w:val="single" w:sz="6" w:space="0" w:color="BFBFBF"/>
              <w:bottom w:val="single" w:sz="6" w:space="0" w:color="BFBFBF"/>
              <w:right w:val="single" w:sz="6" w:space="0" w:color="BFBFBF"/>
            </w:tcBorders>
            <w:shd w:val="clear" w:color="auto" w:fill="263C9A"/>
          </w:tcPr>
          <w:p w:rsidR="00730726" w:rsidRPr="008E77FE" w:rsidRDefault="00730726" w:rsidP="00FA0853">
            <w:pPr>
              <w:pStyle w:val="Note"/>
              <w:rPr>
                <w:rStyle w:val="NoteLabel"/>
              </w:rPr>
            </w:pPr>
          </w:p>
        </w:tc>
        <w:tc>
          <w:tcPr>
            <w:tcW w:w="7942" w:type="dxa"/>
            <w:tcBorders>
              <w:top w:val="nil"/>
              <w:left w:val="single" w:sz="6" w:space="0" w:color="BFBFBF"/>
              <w:bottom w:val="nil"/>
              <w:right w:val="nil"/>
            </w:tcBorders>
            <w:shd w:val="clear" w:color="auto" w:fill="auto"/>
          </w:tcPr>
          <w:p w:rsidR="00730726" w:rsidRPr="008E77FE" w:rsidRDefault="00730726" w:rsidP="00FA0853">
            <w:pPr>
              <w:pStyle w:val="Note"/>
              <w:rPr>
                <w:rStyle w:val="NoteLabel"/>
              </w:rPr>
            </w:pPr>
            <w:r w:rsidRPr="009F2998">
              <w:t>Data ava</w:t>
            </w:r>
            <w:r>
              <w:t>ilable for reporting and used to report VET funded activity</w:t>
            </w:r>
          </w:p>
        </w:tc>
      </w:tr>
      <w:tr w:rsidR="00730726" w:rsidTr="00FA0853">
        <w:tblPrEx>
          <w:tblBorders>
            <w:top w:val="single" w:sz="6" w:space="0" w:color="auto"/>
            <w:left w:val="single" w:sz="6" w:space="0" w:color="auto"/>
            <w:bottom w:val="single" w:sz="6" w:space="0" w:color="auto"/>
            <w:right w:val="single" w:sz="6" w:space="0" w:color="auto"/>
          </w:tblBorders>
        </w:tblPrEx>
        <w:trPr>
          <w:cantSplit/>
          <w:trHeight w:val="100"/>
        </w:trPr>
        <w:tc>
          <w:tcPr>
            <w:tcW w:w="304" w:type="dxa"/>
            <w:tcBorders>
              <w:top w:val="nil"/>
              <w:left w:val="nil"/>
              <w:bottom w:val="nil"/>
              <w:right w:val="single" w:sz="6" w:space="0" w:color="BFBFBF"/>
            </w:tcBorders>
            <w:shd w:val="clear" w:color="auto" w:fill="auto"/>
          </w:tcPr>
          <w:p w:rsidR="00730726" w:rsidRPr="008E77FE" w:rsidRDefault="00730726" w:rsidP="00FA0853">
            <w:pPr>
              <w:pStyle w:val="BoxSpaceBelow"/>
              <w:rPr>
                <w:rStyle w:val="NoteLabel"/>
              </w:rPr>
            </w:pPr>
          </w:p>
        </w:tc>
        <w:tc>
          <w:tcPr>
            <w:tcW w:w="525" w:type="dxa"/>
            <w:tcBorders>
              <w:top w:val="single" w:sz="6" w:space="0" w:color="BFBFBF"/>
              <w:left w:val="single" w:sz="6" w:space="0" w:color="BFBFBF"/>
              <w:bottom w:val="single" w:sz="6" w:space="0" w:color="BFBFBF"/>
              <w:right w:val="single" w:sz="6" w:space="0" w:color="BFBFBF"/>
            </w:tcBorders>
            <w:shd w:val="clear" w:color="auto" w:fill="auto"/>
          </w:tcPr>
          <w:p w:rsidR="00730726" w:rsidRPr="008E77FE" w:rsidRDefault="00730726" w:rsidP="00FA0853">
            <w:pPr>
              <w:pStyle w:val="Note"/>
              <w:rPr>
                <w:rStyle w:val="NoteLabel"/>
              </w:rPr>
            </w:pPr>
          </w:p>
        </w:tc>
        <w:tc>
          <w:tcPr>
            <w:tcW w:w="7942" w:type="dxa"/>
            <w:tcBorders>
              <w:top w:val="nil"/>
              <w:left w:val="single" w:sz="6" w:space="0" w:color="BFBFBF"/>
              <w:bottom w:val="nil"/>
              <w:right w:val="nil"/>
            </w:tcBorders>
            <w:shd w:val="clear" w:color="auto" w:fill="auto"/>
          </w:tcPr>
          <w:p w:rsidR="00730726" w:rsidRPr="009F2998" w:rsidRDefault="00730726" w:rsidP="00FA0853">
            <w:pPr>
              <w:pStyle w:val="Note"/>
              <w:rPr>
                <w:rStyle w:val="NoteLabel"/>
                <w:b w:val="0"/>
                <w:position w:val="0"/>
              </w:rPr>
            </w:pPr>
            <w:r w:rsidRPr="009F2998">
              <w:t>Data not available for reporting</w:t>
            </w:r>
          </w:p>
        </w:tc>
      </w:tr>
      <w:tr w:rsidR="00296392" w:rsidTr="00BC49F4">
        <w:tc>
          <w:tcPr>
            <w:tcW w:w="8771" w:type="dxa"/>
            <w:gridSpan w:val="3"/>
            <w:tcBorders>
              <w:top w:val="nil"/>
              <w:left w:val="nil"/>
              <w:bottom w:val="single" w:sz="6" w:space="0" w:color="78A22F"/>
              <w:right w:val="nil"/>
            </w:tcBorders>
            <w:shd w:val="clear" w:color="auto" w:fill="auto"/>
          </w:tcPr>
          <w:p w:rsidR="00296392" w:rsidRDefault="00296392" w:rsidP="00BC49F4">
            <w:pPr>
              <w:pStyle w:val="Figurespace"/>
            </w:pPr>
          </w:p>
        </w:tc>
      </w:tr>
      <w:tr w:rsidR="00296392" w:rsidRPr="000863A5" w:rsidTr="00BC49F4">
        <w:tc>
          <w:tcPr>
            <w:tcW w:w="8771" w:type="dxa"/>
            <w:gridSpan w:val="3"/>
            <w:tcBorders>
              <w:top w:val="single" w:sz="6" w:space="0" w:color="78A22F"/>
              <w:left w:val="nil"/>
              <w:bottom w:val="nil"/>
              <w:right w:val="nil"/>
            </w:tcBorders>
          </w:tcPr>
          <w:p w:rsidR="00296392" w:rsidRPr="00626D32" w:rsidRDefault="00296392" w:rsidP="00BC49F4">
            <w:pPr>
              <w:pStyle w:val="BoxSpaceBelow"/>
            </w:pPr>
          </w:p>
        </w:tc>
      </w:tr>
    </w:tbl>
    <w:p w:rsidR="00296392" w:rsidRDefault="0029639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96392" w:rsidTr="00A26D57">
        <w:tc>
          <w:tcPr>
            <w:tcW w:w="8771" w:type="dxa"/>
            <w:tcBorders>
              <w:top w:val="single" w:sz="6" w:space="0" w:color="78A22F"/>
              <w:left w:val="nil"/>
              <w:bottom w:val="nil"/>
              <w:right w:val="nil"/>
            </w:tcBorders>
            <w:shd w:val="clear" w:color="auto" w:fill="F2F2F2" w:themeFill="background1" w:themeFillShade="F2"/>
          </w:tcPr>
          <w:p w:rsidR="00296392" w:rsidRDefault="00296392" w:rsidP="00AD6D24">
            <w:pPr>
              <w:pStyle w:val="BoxTitle"/>
              <w:keepNext w:val="0"/>
            </w:pPr>
            <w:r>
              <w:rPr>
                <w:b w:val="0"/>
              </w:rPr>
              <w:t>Box 5.</w:t>
            </w:r>
            <w:r w:rsidR="00D80B1E">
              <w:rPr>
                <w:b w:val="0"/>
                <w:noProof/>
              </w:rPr>
              <w:t>2</w:t>
            </w:r>
            <w:r>
              <w:tab/>
            </w:r>
            <w:r w:rsidRPr="00296392">
              <w:t>Scope of VET reporting</w:t>
            </w:r>
          </w:p>
        </w:tc>
      </w:tr>
      <w:tr w:rsidR="00296392" w:rsidTr="00A26D57">
        <w:tc>
          <w:tcPr>
            <w:tcW w:w="8771" w:type="dxa"/>
            <w:tcBorders>
              <w:top w:val="nil"/>
              <w:left w:val="nil"/>
              <w:bottom w:val="nil"/>
              <w:right w:val="nil"/>
            </w:tcBorders>
            <w:shd w:val="clear" w:color="auto" w:fill="F2F2F2" w:themeFill="background1" w:themeFillShade="F2"/>
          </w:tcPr>
          <w:p w:rsidR="00296392" w:rsidRPr="00296392" w:rsidRDefault="00296392" w:rsidP="00AD6D24">
            <w:pPr>
              <w:pStyle w:val="Box"/>
              <w:keepNext w:val="0"/>
            </w:pPr>
            <w:r w:rsidRPr="00296392">
              <w:t xml:space="preserve">Where this chapter refers to ‘government funded’ activity, it is defined as VET activity that is funded under Commonwealth and State/Territory recurrent, Commonwealth specific and State/Territory specific funding. This includes activity funded under the NASWD. Any government funded training activity that a student undertakes, regardless of whether or not it forms the majority of their course of training, is in scope of this Report. This definition of ‘government funded’ activity has been broadened, commencing with the 2011 Report. Until the 2010 Report, the VET activity reported was that funded by Commonwealth and State recurrent funding under the </w:t>
            </w:r>
            <w:r w:rsidRPr="00296392">
              <w:rPr>
                <w:i/>
              </w:rPr>
              <w:t>Commonwealth–State Agreement for Skilling Australia’s Workforce</w:t>
            </w:r>
            <w:r w:rsidRPr="00296392">
              <w:t xml:space="preserve"> (</w:t>
            </w:r>
            <w:proofErr w:type="spellStart"/>
            <w:r w:rsidRPr="00296392">
              <w:t>CSASAW</w:t>
            </w:r>
            <w:proofErr w:type="spellEnd"/>
            <w:r w:rsidRPr="00296392">
              <w:t>) (replaced by the NASWD on 1 January 2009). Historical data in this chapter reflect the revised definition of ‘government funded’ activity. Some other VET activity is beyond the scope of this chapter and is not reported.</w:t>
            </w:r>
          </w:p>
          <w:p w:rsidR="00296392" w:rsidRPr="00296392" w:rsidRDefault="00296392" w:rsidP="00AD6D24">
            <w:pPr>
              <w:pStyle w:val="Box"/>
              <w:keepNext w:val="0"/>
            </w:pPr>
            <w:r w:rsidRPr="00296392">
              <w:t xml:space="preserve">Data on student participation, efficiency measures, student achievement, Qualification Equivalents, and competencies/modules completed in this chapter are limited to services that are government funded. These include VET services provided by: </w:t>
            </w:r>
          </w:p>
          <w:p w:rsidR="00296392" w:rsidRPr="00296392" w:rsidRDefault="00296392" w:rsidP="00AD6D24">
            <w:pPr>
              <w:pStyle w:val="Box"/>
              <w:keepNext w:val="0"/>
              <w:numPr>
                <w:ilvl w:val="0"/>
                <w:numId w:val="6"/>
              </w:numPr>
            </w:pPr>
            <w:r w:rsidRPr="00296392">
              <w:t>TAFE and other government providers, including multi-sector higher education institutions</w:t>
            </w:r>
          </w:p>
          <w:p w:rsidR="00296392" w:rsidRPr="00296392" w:rsidRDefault="00296392" w:rsidP="00AD6D24">
            <w:pPr>
              <w:pStyle w:val="Box"/>
              <w:keepNext w:val="0"/>
              <w:numPr>
                <w:ilvl w:val="0"/>
                <w:numId w:val="6"/>
              </w:numPr>
            </w:pPr>
            <w:r w:rsidRPr="00296392">
              <w:t>registered community providers and registered private providers.</w:t>
            </w:r>
          </w:p>
          <w:p w:rsidR="00296392" w:rsidRPr="00296392" w:rsidRDefault="00296392" w:rsidP="00AD6D24">
            <w:pPr>
              <w:pStyle w:val="Box"/>
              <w:keepNext w:val="0"/>
            </w:pPr>
            <w:r w:rsidRPr="00296392">
              <w:t>Where the chapter refers to VET activity, it is defined as all VET data available for reporting, unless otherwise specified.</w:t>
            </w:r>
          </w:p>
          <w:p w:rsidR="00296392" w:rsidRPr="00296392" w:rsidRDefault="00296392" w:rsidP="00AD6D24">
            <w:pPr>
              <w:pStyle w:val="Box"/>
              <w:keepNext w:val="0"/>
            </w:pPr>
            <w:r w:rsidRPr="00296392">
              <w:t>The discussion in this chapter of student outcomes and student satisfaction focuses on students undertaking government funded training.</w:t>
            </w:r>
          </w:p>
          <w:p w:rsidR="00296392" w:rsidRDefault="00296392" w:rsidP="00AD6D24">
            <w:pPr>
              <w:pStyle w:val="Box"/>
              <w:keepNext w:val="0"/>
            </w:pPr>
            <w:r w:rsidRPr="00296392">
              <w:t>Data on qualifications completed include both government and non-government funded VET students attending TAFE, and only government funded students from private providers.</w:t>
            </w:r>
          </w:p>
          <w:p w:rsidR="00A74E92" w:rsidRPr="00296392" w:rsidRDefault="00A74E92" w:rsidP="00AD6D24">
            <w:pPr>
              <w:pStyle w:val="Box"/>
              <w:keepNext w:val="0"/>
            </w:pPr>
            <w:r w:rsidRPr="00A26D57">
              <w:t>Data on estimated qualification completion rates include all VET qualifications (both government and non-government funded)</w:t>
            </w:r>
          </w:p>
          <w:p w:rsidR="00296392" w:rsidRDefault="00296392" w:rsidP="00AD6D24">
            <w:pPr>
              <w:pStyle w:val="Box"/>
              <w:keepNext w:val="0"/>
            </w:pPr>
            <w:r w:rsidRPr="00296392">
              <w:t>Data on employer engagement and satisfaction are on all nationally recognised training, from all provider types, irrespective of funding source.</w:t>
            </w:r>
          </w:p>
        </w:tc>
      </w:tr>
      <w:tr w:rsidR="00296392" w:rsidTr="00AD6D24">
        <w:tc>
          <w:tcPr>
            <w:tcW w:w="8771" w:type="dxa"/>
            <w:tcBorders>
              <w:top w:val="nil"/>
              <w:left w:val="nil"/>
              <w:bottom w:val="single" w:sz="6" w:space="0" w:color="78A22F"/>
              <w:right w:val="nil"/>
            </w:tcBorders>
            <w:shd w:val="clear" w:color="auto" w:fill="F2F2F2" w:themeFill="background1" w:themeFillShade="F2"/>
          </w:tcPr>
          <w:p w:rsidR="00296392" w:rsidRDefault="00296392" w:rsidP="00AD6D24">
            <w:pPr>
              <w:pStyle w:val="Box"/>
              <w:keepNext w:val="0"/>
              <w:spacing w:before="0" w:line="120" w:lineRule="exact"/>
            </w:pPr>
          </w:p>
        </w:tc>
      </w:tr>
    </w:tbl>
    <w:p w:rsidR="00C57336" w:rsidRPr="00EF5A5F" w:rsidRDefault="00C57336" w:rsidP="00296392">
      <w:pPr>
        <w:pStyle w:val="Heading3"/>
      </w:pPr>
      <w:r w:rsidRPr="00EF5A5F">
        <w:lastRenderedPageBreak/>
        <w:t xml:space="preserve">Size and scope </w:t>
      </w:r>
    </w:p>
    <w:p w:rsidR="002E0514" w:rsidRPr="00EF5A5F" w:rsidRDefault="00C57336" w:rsidP="002D7A95">
      <w:pPr>
        <w:pStyle w:val="BodyText"/>
      </w:pPr>
      <w:r w:rsidRPr="00EF5A5F">
        <w:t xml:space="preserve">In </w:t>
      </w:r>
      <w:r w:rsidR="00DD749B" w:rsidRPr="00011F1A">
        <w:t>201</w:t>
      </w:r>
      <w:r w:rsidR="008E0B3E">
        <w:t>3</w:t>
      </w:r>
      <w:r w:rsidRPr="00011F1A">
        <w:t xml:space="preserve">, </w:t>
      </w:r>
      <w:r w:rsidR="00730726">
        <w:t>31.8</w:t>
      </w:r>
      <w:r w:rsidR="00730726">
        <w:rPr>
          <w:color w:val="FF0000"/>
        </w:rPr>
        <w:t xml:space="preserve"> </w:t>
      </w:r>
      <w:r w:rsidRPr="00011F1A">
        <w:t>per</w:t>
      </w:r>
      <w:r w:rsidR="00AE5734">
        <w:t xml:space="preserve"> </w:t>
      </w:r>
      <w:r w:rsidRPr="00011F1A">
        <w:t xml:space="preserve">cent of Australians aged 15–64 years held a </w:t>
      </w:r>
      <w:r w:rsidR="00672982" w:rsidRPr="00011F1A">
        <w:t>certificate or diploma</w:t>
      </w:r>
      <w:r w:rsidRPr="00011F1A">
        <w:t xml:space="preserve"> as their highest level qualification (</w:t>
      </w:r>
      <w:r w:rsidR="00672982" w:rsidRPr="00011F1A">
        <w:t xml:space="preserve">table </w:t>
      </w:r>
      <w:proofErr w:type="spellStart"/>
      <w:r w:rsidR="00672982" w:rsidRPr="00011F1A">
        <w:t>BA</w:t>
      </w:r>
      <w:r w:rsidR="00316B87" w:rsidRPr="00011F1A">
        <w:t>.</w:t>
      </w:r>
      <w:r w:rsidR="00D60624" w:rsidRPr="00011F1A">
        <w:t>2</w:t>
      </w:r>
      <w:r w:rsidR="00730726">
        <w:t>8</w:t>
      </w:r>
      <w:proofErr w:type="spellEnd"/>
      <w:r w:rsidR="00316B87" w:rsidRPr="00011F1A">
        <w:t xml:space="preserve">). </w:t>
      </w:r>
      <w:r w:rsidR="0043130B" w:rsidRPr="00011F1A">
        <w:t xml:space="preserve">These qualifications could have been completed in schools, VET </w:t>
      </w:r>
      <w:r w:rsidR="008761CF" w:rsidRPr="00011F1A">
        <w:t>institutions or</w:t>
      </w:r>
      <w:r w:rsidR="0043130B" w:rsidRPr="00011F1A">
        <w:t xml:space="preserve"> </w:t>
      </w:r>
      <w:r w:rsidR="0043130B" w:rsidRPr="00EF5A5F">
        <w:t>higher education institutions.</w:t>
      </w:r>
    </w:p>
    <w:p w:rsidR="00672982" w:rsidRPr="00EF5A5F" w:rsidRDefault="0043130B" w:rsidP="005440C7">
      <w:pPr>
        <w:pStyle w:val="BodyText"/>
      </w:pPr>
      <w:r w:rsidRPr="00EF5A5F">
        <w:t xml:space="preserve">The VET sector is large and varied. Qualifications vary significantly </w:t>
      </w:r>
      <w:r w:rsidR="00EE1C78" w:rsidRPr="00EF5A5F">
        <w:t>in</w:t>
      </w:r>
      <w:r w:rsidRPr="00EF5A5F">
        <w:t xml:space="preserve"> length, level and field. </w:t>
      </w:r>
      <w:r w:rsidR="00B31587" w:rsidRPr="003D2994">
        <w:t xml:space="preserve">Approximately </w:t>
      </w:r>
      <w:r w:rsidR="00FA54E9">
        <w:t>1.9</w:t>
      </w:r>
      <w:r w:rsidR="00AE5734">
        <w:t xml:space="preserve"> </w:t>
      </w:r>
      <w:r w:rsidR="00C57336" w:rsidRPr="003D2994">
        <w:t>million</w:t>
      </w:r>
      <w:r w:rsidR="00C57336" w:rsidRPr="00EF5A5F">
        <w:t xml:space="preserve"> people </w:t>
      </w:r>
      <w:r w:rsidR="00850BEA" w:rsidRPr="00EF5A5F">
        <w:t xml:space="preserve">were reported as participating </w:t>
      </w:r>
      <w:r w:rsidR="00C57336" w:rsidRPr="00EF5A5F">
        <w:t xml:space="preserve">in VET programs </w:t>
      </w:r>
      <w:r w:rsidR="004C4063" w:rsidRPr="00EF5A5F">
        <w:t xml:space="preserve">at </w:t>
      </w:r>
      <w:r w:rsidR="00FA54E9">
        <w:t xml:space="preserve">25 027 </w:t>
      </w:r>
      <w:r w:rsidR="004C4063" w:rsidRPr="00EF5A5F">
        <w:t xml:space="preserve">locations across Australia </w:t>
      </w:r>
      <w:r w:rsidR="007E1968" w:rsidRPr="00EF5A5F">
        <w:t xml:space="preserve">in </w:t>
      </w:r>
      <w:r w:rsidR="009C7445">
        <w:t>201</w:t>
      </w:r>
      <w:r w:rsidR="008E0B3E">
        <w:t>3</w:t>
      </w:r>
      <w:r w:rsidR="009C7445" w:rsidRPr="00EF5A5F">
        <w:t xml:space="preserve"> </w:t>
      </w:r>
      <w:r w:rsidR="009F3179" w:rsidRPr="00EF5A5F">
        <w:t>(</w:t>
      </w:r>
      <w:proofErr w:type="spellStart"/>
      <w:r w:rsidR="00FA54E9">
        <w:t>NCVER</w:t>
      </w:r>
      <w:proofErr w:type="spellEnd"/>
      <w:r w:rsidR="00FA54E9">
        <w:t xml:space="preserve"> 2014</w:t>
      </w:r>
      <w:r w:rsidR="00100935" w:rsidRPr="00EF5A5F">
        <w:t>,</w:t>
      </w:r>
      <w:r w:rsidR="00FB448B" w:rsidRPr="00EF5A5F">
        <w:t xml:space="preserve"> </w:t>
      </w:r>
      <w:r w:rsidR="004C4063" w:rsidRPr="00EF5A5F">
        <w:t>table</w:t>
      </w:r>
      <w:r w:rsidR="00AE5734">
        <w:t xml:space="preserve"> </w:t>
      </w:r>
      <w:proofErr w:type="spellStart"/>
      <w:r w:rsidR="004C4063" w:rsidRPr="00EF5A5F">
        <w:t>5A.3</w:t>
      </w:r>
      <w:proofErr w:type="spellEnd"/>
      <w:r w:rsidR="004C4063" w:rsidRPr="00EF5A5F">
        <w:t xml:space="preserve">). </w:t>
      </w:r>
      <w:r w:rsidR="00C57336" w:rsidRPr="00EF5A5F">
        <w:t>The number of VE</w:t>
      </w:r>
      <w:r w:rsidRPr="00EF5A5F">
        <w:t xml:space="preserve">T students </w:t>
      </w:r>
      <w:r w:rsidR="00FA54E9">
        <w:t>de</w:t>
      </w:r>
      <w:r w:rsidR="004939F3" w:rsidRPr="003D2994">
        <w:t xml:space="preserve">creased by </w:t>
      </w:r>
      <w:r w:rsidR="00FA54E9">
        <w:t>3.4</w:t>
      </w:r>
      <w:r w:rsidR="00AE5734">
        <w:t xml:space="preserve"> </w:t>
      </w:r>
      <w:r w:rsidRPr="003D2994">
        <w:t>per</w:t>
      </w:r>
      <w:r w:rsidR="00AE5734">
        <w:t xml:space="preserve"> </w:t>
      </w:r>
      <w:r w:rsidR="00C57336" w:rsidRPr="003D2994">
        <w:t xml:space="preserve">cent between </w:t>
      </w:r>
      <w:r w:rsidR="009C7445">
        <w:t>201</w:t>
      </w:r>
      <w:r w:rsidR="008E0B3E">
        <w:t>2</w:t>
      </w:r>
      <w:r w:rsidR="009C7445" w:rsidRPr="00EF5A5F">
        <w:t xml:space="preserve"> </w:t>
      </w:r>
      <w:r w:rsidR="00C57336" w:rsidRPr="00EF5A5F">
        <w:t xml:space="preserve">and </w:t>
      </w:r>
      <w:r w:rsidR="00D35B60">
        <w:t>201</w:t>
      </w:r>
      <w:r w:rsidR="008E0B3E">
        <w:t>3</w:t>
      </w:r>
      <w:r w:rsidR="00C57336" w:rsidRPr="00EF5A5F">
        <w:t xml:space="preserve">, </w:t>
      </w:r>
      <w:r w:rsidR="00D34E3B">
        <w:t>but</w:t>
      </w:r>
      <w:r w:rsidR="00BE4E17" w:rsidRPr="00EF5A5F">
        <w:t xml:space="preserve"> </w:t>
      </w:r>
      <w:r w:rsidR="003B5391" w:rsidRPr="00EF5A5F">
        <w:t xml:space="preserve">increased by </w:t>
      </w:r>
      <w:r w:rsidR="00E20578">
        <w:t>10.0</w:t>
      </w:r>
      <w:r w:rsidR="00AE5734">
        <w:t xml:space="preserve"> </w:t>
      </w:r>
      <w:r w:rsidR="00C57336" w:rsidRPr="003D2994">
        <w:t>per</w:t>
      </w:r>
      <w:r w:rsidR="00AE5734">
        <w:t xml:space="preserve"> </w:t>
      </w:r>
      <w:r w:rsidR="00C57336" w:rsidRPr="003D2994">
        <w:t xml:space="preserve">cent </w:t>
      </w:r>
      <w:r w:rsidR="00C57336" w:rsidRPr="00EF5A5F">
        <w:t xml:space="preserve">between </w:t>
      </w:r>
      <w:r w:rsidR="000C725A" w:rsidRPr="00EF5A5F">
        <w:t>200</w:t>
      </w:r>
      <w:r w:rsidR="008E0B3E">
        <w:t>9</w:t>
      </w:r>
      <w:r w:rsidR="000C725A" w:rsidRPr="00EF5A5F">
        <w:t xml:space="preserve"> </w:t>
      </w:r>
      <w:r w:rsidR="00C57336" w:rsidRPr="00EF5A5F">
        <w:t xml:space="preserve">and </w:t>
      </w:r>
      <w:r w:rsidR="000C725A" w:rsidRPr="00EF5A5F">
        <w:t>201</w:t>
      </w:r>
      <w:r w:rsidR="008E0B3E">
        <w:t>3</w:t>
      </w:r>
      <w:r w:rsidR="000C725A" w:rsidRPr="00EF5A5F">
        <w:t xml:space="preserve"> </w:t>
      </w:r>
      <w:r w:rsidR="00EE1C78" w:rsidRPr="00EF5A5F">
        <w:t>(</w:t>
      </w:r>
      <w:r w:rsidR="00AE54BA">
        <w:t>NCVER </w:t>
      </w:r>
      <w:r w:rsidR="00E20578">
        <w:t>2014</w:t>
      </w:r>
      <w:r w:rsidR="00100935" w:rsidRPr="00EF5A5F">
        <w:t>).</w:t>
      </w:r>
    </w:p>
    <w:p w:rsidR="00C57336" w:rsidRPr="00EF5A5F" w:rsidRDefault="0043130B" w:rsidP="00D431B5">
      <w:pPr>
        <w:pStyle w:val="BodyText"/>
      </w:pPr>
      <w:r w:rsidRPr="00EF5A5F">
        <w:t xml:space="preserve">Of the </w:t>
      </w:r>
      <w:r w:rsidR="002A6D89" w:rsidRPr="00CD1E03">
        <w:t xml:space="preserve">approximately </w:t>
      </w:r>
      <w:r w:rsidR="00383D98">
        <w:t>1.9</w:t>
      </w:r>
      <w:r w:rsidR="00AE5734">
        <w:t xml:space="preserve"> </w:t>
      </w:r>
      <w:r w:rsidR="007F4EF2" w:rsidRPr="00CD1E03">
        <w:t>m</w:t>
      </w:r>
      <w:r w:rsidRPr="00CD1E03">
        <w:t xml:space="preserve">illion </w:t>
      </w:r>
      <w:r w:rsidR="005F092F" w:rsidRPr="00CD1E03">
        <w:t xml:space="preserve">VET </w:t>
      </w:r>
      <w:r w:rsidRPr="00CD1E03">
        <w:t>students</w:t>
      </w:r>
      <w:r w:rsidR="00DC44A5" w:rsidRPr="00CD1E03">
        <w:t xml:space="preserve"> </w:t>
      </w:r>
      <w:r w:rsidR="00850BEA" w:rsidRPr="00CD1E03">
        <w:t xml:space="preserve">who were reported as participating in VET programs </w:t>
      </w:r>
      <w:r w:rsidR="00DC44A5" w:rsidRPr="00CD1E03">
        <w:t xml:space="preserve">in </w:t>
      </w:r>
      <w:r w:rsidR="006F4E63" w:rsidRPr="00CD1E03">
        <w:t>201</w:t>
      </w:r>
      <w:r w:rsidR="008E0B3E">
        <w:t>3</w:t>
      </w:r>
      <w:r w:rsidRPr="00CD1E03">
        <w:t xml:space="preserve">, </w:t>
      </w:r>
      <w:r w:rsidR="00FA0853">
        <w:t>1.5</w:t>
      </w:r>
      <w:r w:rsidR="00AE5734">
        <w:t xml:space="preserve"> </w:t>
      </w:r>
      <w:r w:rsidRPr="00CD1E03">
        <w:t xml:space="preserve">million students </w:t>
      </w:r>
      <w:r w:rsidR="00815E61" w:rsidRPr="00CD1E03">
        <w:t>(</w:t>
      </w:r>
      <w:r w:rsidR="00383D98">
        <w:t>79.2</w:t>
      </w:r>
      <w:r w:rsidR="00AE5734">
        <w:t xml:space="preserve"> </w:t>
      </w:r>
      <w:r w:rsidR="00815E61" w:rsidRPr="00CD1E03">
        <w:t>per</w:t>
      </w:r>
      <w:r w:rsidR="00AE5734">
        <w:t xml:space="preserve"> </w:t>
      </w:r>
      <w:r w:rsidR="00815E61" w:rsidRPr="00CD1E03">
        <w:t xml:space="preserve">cent) </w:t>
      </w:r>
      <w:r w:rsidRPr="00CD1E03">
        <w:t xml:space="preserve">were </w:t>
      </w:r>
      <w:r w:rsidR="009B799F" w:rsidRPr="00CD1E03">
        <w:t xml:space="preserve">government </w:t>
      </w:r>
      <w:r w:rsidRPr="00CD1E03">
        <w:t xml:space="preserve">funded </w:t>
      </w:r>
      <w:r w:rsidR="00AE5734">
        <w:br/>
      </w:r>
      <w:r w:rsidR="00672982" w:rsidRPr="0090067F">
        <w:t>(</w:t>
      </w:r>
      <w:r w:rsidR="00383D98" w:rsidRPr="0090067F">
        <w:t>NCVER</w:t>
      </w:r>
      <w:r w:rsidR="00AE5734">
        <w:t xml:space="preserve"> </w:t>
      </w:r>
      <w:r w:rsidR="00383D98" w:rsidRPr="0090067F">
        <w:t>2014</w:t>
      </w:r>
      <w:r w:rsidR="00672982" w:rsidRPr="0090067F">
        <w:t xml:space="preserve">). </w:t>
      </w:r>
      <w:r w:rsidR="00950580" w:rsidRPr="0090067F">
        <w:t>The</w:t>
      </w:r>
      <w:r w:rsidR="00950580" w:rsidRPr="00CD1E03">
        <w:t xml:space="preserve"> remaining</w:t>
      </w:r>
      <w:r w:rsidR="00815E61" w:rsidRPr="00CD1E03">
        <w:t xml:space="preserve"> </w:t>
      </w:r>
      <w:r w:rsidR="00383D98">
        <w:t>390</w:t>
      </w:r>
      <w:r w:rsidR="00AE5734">
        <w:t xml:space="preserve"> </w:t>
      </w:r>
      <w:r w:rsidR="00383D98">
        <w:t xml:space="preserve">900 </w:t>
      </w:r>
      <w:r w:rsidR="00672982" w:rsidRPr="00CD1E03">
        <w:t>students participated on a fee</w:t>
      </w:r>
      <w:r w:rsidR="00922D6D" w:rsidRPr="00CD1E03">
        <w:noBreakHyphen/>
        <w:t>for</w:t>
      </w:r>
      <w:r w:rsidR="00922D6D" w:rsidRPr="00CD1E03">
        <w:noBreakHyphen/>
      </w:r>
      <w:r w:rsidR="00672982" w:rsidRPr="00CD1E03">
        <w:t xml:space="preserve">service </w:t>
      </w:r>
      <w:r w:rsidR="00672982" w:rsidRPr="000C682B">
        <w:rPr>
          <w:shd w:val="clear" w:color="auto" w:fill="FFFFFF" w:themeFill="background1"/>
        </w:rPr>
        <w:t>b</w:t>
      </w:r>
      <w:r w:rsidR="007B1F05" w:rsidRPr="000C682B">
        <w:rPr>
          <w:shd w:val="clear" w:color="auto" w:fill="FFFFFF" w:themeFill="background1"/>
        </w:rPr>
        <w:t>asis as domestic students (</w:t>
      </w:r>
      <w:r w:rsidR="00383D98">
        <w:rPr>
          <w:shd w:val="clear" w:color="auto" w:fill="FFFFFF" w:themeFill="background1"/>
        </w:rPr>
        <w:t>19.2</w:t>
      </w:r>
      <w:r w:rsidR="00AE5734">
        <w:rPr>
          <w:shd w:val="clear" w:color="auto" w:fill="FFFFFF" w:themeFill="background1"/>
        </w:rPr>
        <w:t xml:space="preserve"> </w:t>
      </w:r>
      <w:r w:rsidR="00672982" w:rsidRPr="000C682B">
        <w:rPr>
          <w:shd w:val="clear" w:color="auto" w:fill="FFFFFF" w:themeFill="background1"/>
        </w:rPr>
        <w:t>per</w:t>
      </w:r>
      <w:r w:rsidR="00AE5734">
        <w:rPr>
          <w:shd w:val="clear" w:color="auto" w:fill="FFFFFF" w:themeFill="background1"/>
        </w:rPr>
        <w:t xml:space="preserve"> </w:t>
      </w:r>
      <w:r w:rsidR="00672982" w:rsidRPr="000C682B">
        <w:rPr>
          <w:shd w:val="clear" w:color="auto" w:fill="FFFFFF" w:themeFill="background1"/>
        </w:rPr>
        <w:t xml:space="preserve">cent of </w:t>
      </w:r>
      <w:r w:rsidR="00815E61" w:rsidRPr="000C682B">
        <w:rPr>
          <w:shd w:val="clear" w:color="auto" w:fill="FFFFFF" w:themeFill="background1"/>
        </w:rPr>
        <w:t>all</w:t>
      </w:r>
      <w:r w:rsidR="00672982" w:rsidRPr="000C682B">
        <w:rPr>
          <w:shd w:val="clear" w:color="auto" w:fill="FFFFFF" w:themeFill="background1"/>
        </w:rPr>
        <w:t xml:space="preserve"> VET students) or </w:t>
      </w:r>
      <w:r w:rsidR="00C25ECA" w:rsidRPr="000C682B">
        <w:rPr>
          <w:shd w:val="clear" w:color="auto" w:fill="FFFFFF" w:themeFill="background1"/>
        </w:rPr>
        <w:t xml:space="preserve">were </w:t>
      </w:r>
      <w:r w:rsidR="00672982" w:rsidRPr="000C682B">
        <w:rPr>
          <w:shd w:val="clear" w:color="auto" w:fill="FFFFFF" w:themeFill="background1"/>
        </w:rPr>
        <w:t>international students (</w:t>
      </w:r>
      <w:r w:rsidR="00383D98">
        <w:rPr>
          <w:shd w:val="clear" w:color="auto" w:fill="FFFFFF" w:themeFill="background1"/>
        </w:rPr>
        <w:t>1.6 </w:t>
      </w:r>
      <w:r w:rsidR="00672982" w:rsidRPr="000C682B">
        <w:rPr>
          <w:shd w:val="clear" w:color="auto" w:fill="FFFFFF" w:themeFill="background1"/>
        </w:rPr>
        <w:t>per</w:t>
      </w:r>
      <w:r w:rsidR="00A71E6A" w:rsidRPr="000C682B">
        <w:rPr>
          <w:shd w:val="clear" w:color="auto" w:fill="FFFFFF" w:themeFill="background1"/>
        </w:rPr>
        <w:t> </w:t>
      </w:r>
      <w:r w:rsidR="00672982" w:rsidRPr="000C682B">
        <w:rPr>
          <w:shd w:val="clear" w:color="auto" w:fill="FFFFFF" w:themeFill="background1"/>
        </w:rPr>
        <w:t xml:space="preserve">cent of </w:t>
      </w:r>
      <w:r w:rsidR="00815E61" w:rsidRPr="000C682B">
        <w:rPr>
          <w:shd w:val="clear" w:color="auto" w:fill="FFFFFF" w:themeFill="background1"/>
        </w:rPr>
        <w:t>all</w:t>
      </w:r>
      <w:r w:rsidR="00672982" w:rsidRPr="000C682B">
        <w:rPr>
          <w:shd w:val="clear" w:color="auto" w:fill="FFFFFF" w:themeFill="background1"/>
        </w:rPr>
        <w:t xml:space="preserve"> VET students). The proportion of domestic fee-for-servi</w:t>
      </w:r>
      <w:r w:rsidR="007B1F05" w:rsidRPr="000C682B">
        <w:rPr>
          <w:shd w:val="clear" w:color="auto" w:fill="FFFFFF" w:themeFill="background1"/>
        </w:rPr>
        <w:t xml:space="preserve">ce students </w:t>
      </w:r>
      <w:r w:rsidR="0023140C" w:rsidRPr="000C682B">
        <w:rPr>
          <w:shd w:val="clear" w:color="auto" w:fill="FFFFFF" w:themeFill="background1"/>
        </w:rPr>
        <w:t xml:space="preserve">decreased from </w:t>
      </w:r>
      <w:r w:rsidR="00383D98">
        <w:rPr>
          <w:shd w:val="clear" w:color="auto" w:fill="FFFFFF" w:themeFill="background1"/>
        </w:rPr>
        <w:t>22.4</w:t>
      </w:r>
      <w:r w:rsidR="00AE5734">
        <w:rPr>
          <w:shd w:val="clear" w:color="auto" w:fill="FFFFFF" w:themeFill="background1"/>
        </w:rPr>
        <w:t xml:space="preserve"> </w:t>
      </w:r>
      <w:r w:rsidR="00672982" w:rsidRPr="000C682B">
        <w:rPr>
          <w:shd w:val="clear" w:color="auto" w:fill="FFFFFF" w:themeFill="background1"/>
        </w:rPr>
        <w:t>per</w:t>
      </w:r>
      <w:r w:rsidR="00AE5734">
        <w:rPr>
          <w:shd w:val="clear" w:color="auto" w:fill="FFFFFF" w:themeFill="background1"/>
        </w:rPr>
        <w:t xml:space="preserve"> </w:t>
      </w:r>
      <w:r w:rsidR="00672982" w:rsidRPr="000C682B">
        <w:rPr>
          <w:shd w:val="clear" w:color="auto" w:fill="FFFFFF" w:themeFill="background1"/>
        </w:rPr>
        <w:t xml:space="preserve">cent of </w:t>
      </w:r>
      <w:r w:rsidR="00815E61" w:rsidRPr="000C682B">
        <w:rPr>
          <w:shd w:val="clear" w:color="auto" w:fill="FFFFFF" w:themeFill="background1"/>
        </w:rPr>
        <w:t>all</w:t>
      </w:r>
      <w:r w:rsidR="00672982" w:rsidRPr="000C682B">
        <w:rPr>
          <w:shd w:val="clear" w:color="auto" w:fill="FFFFFF" w:themeFill="background1"/>
        </w:rPr>
        <w:t xml:space="preserve"> VET students in </w:t>
      </w:r>
      <w:r w:rsidR="00E05A33" w:rsidRPr="000C682B">
        <w:rPr>
          <w:shd w:val="clear" w:color="auto" w:fill="FFFFFF" w:themeFill="background1"/>
        </w:rPr>
        <w:t>200</w:t>
      </w:r>
      <w:r w:rsidR="008E0B3E">
        <w:rPr>
          <w:shd w:val="clear" w:color="auto" w:fill="FFFFFF" w:themeFill="background1"/>
        </w:rPr>
        <w:t>9</w:t>
      </w:r>
      <w:r w:rsidR="00E05A33" w:rsidRPr="000C682B">
        <w:rPr>
          <w:shd w:val="clear" w:color="auto" w:fill="FFFFFF" w:themeFill="background1"/>
        </w:rPr>
        <w:t xml:space="preserve"> </w:t>
      </w:r>
      <w:r w:rsidRPr="000C682B">
        <w:rPr>
          <w:shd w:val="clear" w:color="auto" w:fill="FFFFFF" w:themeFill="background1"/>
        </w:rPr>
        <w:t xml:space="preserve">to </w:t>
      </w:r>
      <w:r w:rsidR="00383D98">
        <w:rPr>
          <w:shd w:val="clear" w:color="auto" w:fill="FFFFFF" w:themeFill="background1"/>
        </w:rPr>
        <w:t>19.2</w:t>
      </w:r>
      <w:r w:rsidR="00AE5734">
        <w:rPr>
          <w:shd w:val="clear" w:color="auto" w:fill="FFFFFF" w:themeFill="background1"/>
        </w:rPr>
        <w:t xml:space="preserve"> </w:t>
      </w:r>
      <w:r w:rsidRPr="000C682B">
        <w:rPr>
          <w:shd w:val="clear" w:color="auto" w:fill="FFFFFF" w:themeFill="background1"/>
        </w:rPr>
        <w:t>per</w:t>
      </w:r>
      <w:r w:rsidR="00AE5734">
        <w:rPr>
          <w:shd w:val="clear" w:color="auto" w:fill="FFFFFF" w:themeFill="background1"/>
        </w:rPr>
        <w:t xml:space="preserve"> </w:t>
      </w:r>
      <w:r w:rsidRPr="000C682B">
        <w:rPr>
          <w:shd w:val="clear" w:color="auto" w:fill="FFFFFF" w:themeFill="background1"/>
        </w:rPr>
        <w:t>cent</w:t>
      </w:r>
      <w:r w:rsidR="00672982" w:rsidRPr="00EF5A5F">
        <w:t xml:space="preserve"> </w:t>
      </w:r>
      <w:r w:rsidR="003E33CC" w:rsidRPr="00EF5A5F">
        <w:t xml:space="preserve">in </w:t>
      </w:r>
      <w:r w:rsidR="00E05A33">
        <w:t>201</w:t>
      </w:r>
      <w:r w:rsidR="008E0B3E">
        <w:t>3</w:t>
      </w:r>
      <w:r w:rsidR="00E05A33" w:rsidRPr="00EF5A5F">
        <w:t xml:space="preserve"> </w:t>
      </w:r>
      <w:r w:rsidR="00672982" w:rsidRPr="0090067F">
        <w:t>(</w:t>
      </w:r>
      <w:r w:rsidR="00383D98" w:rsidRPr="0090067F">
        <w:t>NCVER</w:t>
      </w:r>
      <w:r w:rsidR="00AE5734">
        <w:t xml:space="preserve"> </w:t>
      </w:r>
      <w:r w:rsidR="00383D98" w:rsidRPr="0090067F">
        <w:t>2014</w:t>
      </w:r>
      <w:r w:rsidR="00672982" w:rsidRPr="0090067F">
        <w:t>).</w:t>
      </w:r>
      <w:r w:rsidR="004F2E09">
        <w:t xml:space="preserve"> </w:t>
      </w:r>
    </w:p>
    <w:p w:rsidR="00C57336" w:rsidRPr="00EF5A5F" w:rsidRDefault="00C57336" w:rsidP="00100935">
      <w:pPr>
        <w:pStyle w:val="Heading4"/>
      </w:pPr>
      <w:r w:rsidRPr="00EF5A5F">
        <w:t>Students</w:t>
      </w:r>
    </w:p>
    <w:p w:rsidR="00C57336" w:rsidRPr="00EF5A5F" w:rsidRDefault="00C57336" w:rsidP="00937A0C">
      <w:pPr>
        <w:pStyle w:val="BodyText"/>
      </w:pPr>
      <w:r w:rsidRPr="00EF5A5F">
        <w:t xml:space="preserve">Student participation data presented in this </w:t>
      </w:r>
      <w:r w:rsidR="000420D1" w:rsidRPr="00EF5A5F">
        <w:t>chapter refer</w:t>
      </w:r>
      <w:r w:rsidRPr="00EF5A5F">
        <w:t xml:space="preserve"> to VET students who were </w:t>
      </w:r>
      <w:r w:rsidR="00463D0A" w:rsidRPr="00EF5A5F">
        <w:t xml:space="preserve">government </w:t>
      </w:r>
      <w:r w:rsidRPr="00EF5A5F">
        <w:t xml:space="preserve">funded and </w:t>
      </w:r>
      <w:r w:rsidR="000A2BBE" w:rsidRPr="00EF5A5F">
        <w:t xml:space="preserve">where the program was </w:t>
      </w:r>
      <w:r w:rsidRPr="00EF5A5F">
        <w:t xml:space="preserve">delivered by TAFE </w:t>
      </w:r>
      <w:r w:rsidR="000A2BBE" w:rsidRPr="00EF5A5F">
        <w:t>or</w:t>
      </w:r>
      <w:r w:rsidRPr="00EF5A5F">
        <w:t xml:space="preserve"> other government providers (including multi</w:t>
      </w:r>
      <w:r w:rsidR="00A9250C" w:rsidRPr="00EF5A5F">
        <w:noBreakHyphen/>
      </w:r>
      <w:r w:rsidRPr="00EF5A5F">
        <w:t xml:space="preserve">sector higher education institutions), registered community providers </w:t>
      </w:r>
      <w:r w:rsidR="000A2BBE" w:rsidRPr="00EF5A5F">
        <w:t>or</w:t>
      </w:r>
      <w:r w:rsidRPr="00EF5A5F">
        <w:t xml:space="preserve"> registered private providers. </w:t>
      </w:r>
      <w:r w:rsidR="00853417" w:rsidRPr="00937A0C">
        <w:t>The data do not include students who participated in VET programs where the delivery was undertaken by schools</w:t>
      </w:r>
      <w:r w:rsidR="009042D7" w:rsidRPr="00937A0C">
        <w:t>,</w:t>
      </w:r>
      <w:r w:rsidR="00853417" w:rsidRPr="00937A0C">
        <w:t xml:space="preserve"> or students who undertook ‘recreation, leisure or personal enrichment’ education programs. </w:t>
      </w:r>
      <w:r w:rsidR="00B5040D" w:rsidRPr="00937A0C">
        <w:t>S</w:t>
      </w:r>
      <w:r w:rsidR="00853417" w:rsidRPr="00937A0C">
        <w:t>tudents who undertook VET in schools programs at TAFE are in-scope for this chapter</w:t>
      </w:r>
      <w:r w:rsidR="00853417" w:rsidRPr="00EF5A5F">
        <w:t>.</w:t>
      </w:r>
    </w:p>
    <w:p w:rsidR="00EF175E" w:rsidRPr="00EF5A5F" w:rsidRDefault="008E31AF" w:rsidP="00EF175E">
      <w:pPr>
        <w:pStyle w:val="BodyText"/>
      </w:pPr>
      <w:r w:rsidRPr="00EF5A5F">
        <w:t xml:space="preserve">Nationally, </w:t>
      </w:r>
      <w:r w:rsidR="00FA0853">
        <w:t>1.5</w:t>
      </w:r>
      <w:r w:rsidR="00532BAD">
        <w:t xml:space="preserve"> </w:t>
      </w:r>
      <w:r w:rsidR="00C57336" w:rsidRPr="007C671D">
        <w:t xml:space="preserve">million </w:t>
      </w:r>
      <w:r w:rsidR="00C57336" w:rsidRPr="00EF5A5F">
        <w:t>students participated in VET programs funded by government through State and Territo</w:t>
      </w:r>
      <w:r w:rsidR="00132C7E" w:rsidRPr="00EF5A5F">
        <w:t>ry agencies</w:t>
      </w:r>
      <w:r w:rsidR="00011F1A">
        <w:t xml:space="preserve"> in 201</w:t>
      </w:r>
      <w:r w:rsidR="008E0B3E">
        <w:t>3</w:t>
      </w:r>
      <w:r w:rsidR="00132C7E" w:rsidRPr="00EF5A5F">
        <w:t xml:space="preserve"> (</w:t>
      </w:r>
      <w:r w:rsidR="00B224C7" w:rsidRPr="00EF5A5F">
        <w:t>table</w:t>
      </w:r>
      <w:r w:rsidR="00BE4089" w:rsidRPr="00EF5A5F">
        <w:t xml:space="preserve"> </w:t>
      </w:r>
      <w:proofErr w:type="spellStart"/>
      <w:r w:rsidR="00BE4089" w:rsidRPr="00EF5A5F">
        <w:t>5</w:t>
      </w:r>
      <w:r w:rsidR="00D6067A" w:rsidRPr="00EF5A5F">
        <w:t>A.</w:t>
      </w:r>
      <w:r w:rsidR="00C57336" w:rsidRPr="00EF5A5F">
        <w:t>4</w:t>
      </w:r>
      <w:proofErr w:type="spellEnd"/>
      <w:r w:rsidR="00C57336" w:rsidRPr="00C542B1">
        <w:t>).</w:t>
      </w:r>
      <w:r w:rsidR="002074EF">
        <w:t xml:space="preserve"> </w:t>
      </w:r>
      <w:r w:rsidR="004872C2" w:rsidRPr="004872C2">
        <w:rPr>
          <w:shd w:val="clear" w:color="auto" w:fill="FFFFFF" w:themeFill="background1"/>
        </w:rPr>
        <w:t>O</w:t>
      </w:r>
      <w:r w:rsidR="002074EF" w:rsidRPr="000C682B">
        <w:rPr>
          <w:shd w:val="clear" w:color="auto" w:fill="FFFFFF" w:themeFill="background1"/>
        </w:rPr>
        <w:t xml:space="preserve">f </w:t>
      </w:r>
      <w:r w:rsidR="004872C2">
        <w:rPr>
          <w:shd w:val="clear" w:color="auto" w:fill="FFFFFF" w:themeFill="background1"/>
        </w:rPr>
        <w:t xml:space="preserve">the total number of </w:t>
      </w:r>
      <w:r w:rsidR="002074EF" w:rsidRPr="000C682B">
        <w:rPr>
          <w:shd w:val="clear" w:color="auto" w:fill="FFFFFF" w:themeFill="background1"/>
        </w:rPr>
        <w:t>government funded students</w:t>
      </w:r>
      <w:r w:rsidR="004872C2">
        <w:rPr>
          <w:shd w:val="clear" w:color="auto" w:fill="FFFFFF" w:themeFill="background1"/>
        </w:rPr>
        <w:t>, 22.6</w:t>
      </w:r>
      <w:r w:rsidR="00AE5734">
        <w:rPr>
          <w:shd w:val="clear" w:color="auto" w:fill="FFFFFF" w:themeFill="background1"/>
        </w:rPr>
        <w:t xml:space="preserve"> </w:t>
      </w:r>
      <w:r w:rsidR="004872C2">
        <w:rPr>
          <w:shd w:val="clear" w:color="auto" w:fill="FFFFFF" w:themeFill="background1"/>
        </w:rPr>
        <w:t>per</w:t>
      </w:r>
      <w:r w:rsidR="00AE5734">
        <w:rPr>
          <w:shd w:val="clear" w:color="auto" w:fill="FFFFFF" w:themeFill="background1"/>
        </w:rPr>
        <w:t xml:space="preserve"> </w:t>
      </w:r>
      <w:r w:rsidR="004872C2">
        <w:rPr>
          <w:shd w:val="clear" w:color="auto" w:fill="FFFFFF" w:themeFill="background1"/>
        </w:rPr>
        <w:t>cent</w:t>
      </w:r>
      <w:r w:rsidR="002074EF" w:rsidRPr="000C682B">
        <w:rPr>
          <w:shd w:val="clear" w:color="auto" w:fill="FFFFFF" w:themeFill="background1"/>
        </w:rPr>
        <w:t xml:space="preserve"> </w:t>
      </w:r>
      <w:r w:rsidR="00EF175E" w:rsidRPr="000C682B">
        <w:rPr>
          <w:shd w:val="clear" w:color="auto" w:fill="FFFFFF" w:themeFill="background1"/>
        </w:rPr>
        <w:t>we</w:t>
      </w:r>
      <w:r w:rsidR="002D6DDD" w:rsidRPr="000C682B">
        <w:rPr>
          <w:shd w:val="clear" w:color="auto" w:fill="FFFFFF" w:themeFill="background1"/>
        </w:rPr>
        <w:t xml:space="preserve">re enrolled in apprenticeships and traineeships </w:t>
      </w:r>
      <w:r w:rsidR="007C671D" w:rsidRPr="000C682B">
        <w:rPr>
          <w:shd w:val="clear" w:color="auto" w:fill="FFFFFF" w:themeFill="background1"/>
        </w:rPr>
        <w:t>(</w:t>
      </w:r>
      <w:r w:rsidR="007C671D" w:rsidRPr="0090067F">
        <w:rPr>
          <w:shd w:val="clear" w:color="auto" w:fill="FFFFFF" w:themeFill="background1"/>
        </w:rPr>
        <w:t xml:space="preserve">NCVER </w:t>
      </w:r>
      <w:r w:rsidR="004872C2" w:rsidRPr="0090067F">
        <w:rPr>
          <w:shd w:val="clear" w:color="auto" w:fill="FFFFFF" w:themeFill="background1"/>
        </w:rPr>
        <w:t>2014</w:t>
      </w:r>
      <w:r w:rsidR="007C671D" w:rsidRPr="000C682B">
        <w:rPr>
          <w:shd w:val="clear" w:color="auto" w:fill="FFFFFF" w:themeFill="background1"/>
        </w:rPr>
        <w:t>).</w:t>
      </w:r>
      <w:r w:rsidR="005F6BB3" w:rsidRPr="005F6BB3">
        <w:rPr>
          <w:shd w:val="clear" w:color="auto" w:fill="FFFFFF" w:themeFill="background1"/>
        </w:rPr>
        <w:t xml:space="preserve"> The </w:t>
      </w:r>
      <w:r w:rsidR="005F6BB3">
        <w:rPr>
          <w:shd w:val="clear" w:color="auto" w:fill="FFFFFF" w:themeFill="background1"/>
        </w:rPr>
        <w:t xml:space="preserve">participation rate of </w:t>
      </w:r>
      <w:r w:rsidR="00EF175E" w:rsidRPr="000C682B">
        <w:rPr>
          <w:shd w:val="clear" w:color="auto" w:fill="FFFFFF" w:themeFill="background1"/>
        </w:rPr>
        <w:t xml:space="preserve">females aged 15–64 years was </w:t>
      </w:r>
      <w:r w:rsidR="00BA599A">
        <w:rPr>
          <w:shd w:val="clear" w:color="auto" w:fill="FFFFFF" w:themeFill="background1"/>
        </w:rPr>
        <w:t>8.2</w:t>
      </w:r>
      <w:r w:rsidR="00FA0853">
        <w:rPr>
          <w:shd w:val="clear" w:color="auto" w:fill="FFFFFF" w:themeFill="background1"/>
        </w:rPr>
        <w:t> </w:t>
      </w:r>
      <w:r w:rsidR="00EF175E" w:rsidRPr="000C682B">
        <w:rPr>
          <w:shd w:val="clear" w:color="auto" w:fill="FFFFFF" w:themeFill="background1"/>
        </w:rPr>
        <w:t>per cent and participation</w:t>
      </w:r>
      <w:r w:rsidR="00EF175E" w:rsidRPr="007C671D">
        <w:t xml:space="preserve"> </w:t>
      </w:r>
      <w:r w:rsidR="005F6BB3">
        <w:t xml:space="preserve">rate of </w:t>
      </w:r>
      <w:r w:rsidR="00EF175E" w:rsidRPr="007C671D">
        <w:t xml:space="preserve">males aged 15–64 years was </w:t>
      </w:r>
      <w:r w:rsidR="00BA599A">
        <w:t>8.6</w:t>
      </w:r>
      <w:r w:rsidR="00FA0853">
        <w:t xml:space="preserve"> </w:t>
      </w:r>
      <w:r w:rsidR="00EF175E" w:rsidRPr="007C671D">
        <w:t xml:space="preserve">per cent. The participation rate for the total population aged 15–64 years was </w:t>
      </w:r>
      <w:r w:rsidR="005F6BB3">
        <w:t>8</w:t>
      </w:r>
      <w:r w:rsidR="00FA0853">
        <w:t>.4</w:t>
      </w:r>
      <w:r w:rsidR="00EF175E" w:rsidRPr="008E0B3E">
        <w:rPr>
          <w:color w:val="FF0000"/>
        </w:rPr>
        <w:t xml:space="preserve"> </w:t>
      </w:r>
      <w:r w:rsidR="00EF175E" w:rsidRPr="007C671D">
        <w:t xml:space="preserve">per cent </w:t>
      </w:r>
      <w:r w:rsidR="00EF175E" w:rsidRPr="00EF5A5F">
        <w:t>(table</w:t>
      </w:r>
      <w:r w:rsidR="00AE5734">
        <w:t xml:space="preserve"> </w:t>
      </w:r>
      <w:proofErr w:type="spellStart"/>
      <w:r w:rsidR="00EF175E" w:rsidRPr="00EF5A5F">
        <w:t>5A.11</w:t>
      </w:r>
      <w:proofErr w:type="spellEnd"/>
      <w:r w:rsidR="00EF175E" w:rsidRPr="00EF5A5F">
        <w:t>).</w:t>
      </w:r>
    </w:p>
    <w:p w:rsidR="00753DEA" w:rsidRPr="00EF5A5F" w:rsidRDefault="00A85A05" w:rsidP="00937A0C">
      <w:pPr>
        <w:pStyle w:val="BodyText"/>
      </w:pPr>
      <w:r w:rsidRPr="00EF5A5F">
        <w:t xml:space="preserve">Between </w:t>
      </w:r>
      <w:r w:rsidR="00D160FE">
        <w:t>20</w:t>
      </w:r>
      <w:r w:rsidR="00C64AD1">
        <w:t>1</w:t>
      </w:r>
      <w:r w:rsidR="008E0B3E">
        <w:t>2</w:t>
      </w:r>
      <w:r w:rsidR="00D160FE" w:rsidRPr="00EF5A5F">
        <w:t xml:space="preserve"> </w:t>
      </w:r>
      <w:r w:rsidRPr="00EF5A5F">
        <w:t xml:space="preserve">and </w:t>
      </w:r>
      <w:r w:rsidR="00D160FE">
        <w:t>201</w:t>
      </w:r>
      <w:r w:rsidR="008E0B3E">
        <w:t>3</w:t>
      </w:r>
      <w:r w:rsidR="00B224C7" w:rsidRPr="00EF5A5F">
        <w:t>,</w:t>
      </w:r>
      <w:r w:rsidRPr="00EF5A5F">
        <w:t xml:space="preserve"> </w:t>
      </w:r>
      <w:r w:rsidRPr="007C671D">
        <w:t xml:space="preserve">the number of government funded students </w:t>
      </w:r>
      <w:r w:rsidR="00FA0853">
        <w:t>dec</w:t>
      </w:r>
      <w:r w:rsidR="003A3EF1" w:rsidRPr="007C671D">
        <w:t xml:space="preserve">reased </w:t>
      </w:r>
      <w:r w:rsidRPr="007C671D">
        <w:t xml:space="preserve">by </w:t>
      </w:r>
      <w:r w:rsidR="00FA0853">
        <w:t>3.9</w:t>
      </w:r>
      <w:r w:rsidR="004872C2">
        <w:t> </w:t>
      </w:r>
      <w:r w:rsidRPr="007C671D">
        <w:t>per</w:t>
      </w:r>
      <w:r w:rsidR="008E0B3E">
        <w:t> </w:t>
      </w:r>
      <w:r w:rsidRPr="007C671D">
        <w:t xml:space="preserve">cent </w:t>
      </w:r>
      <w:r w:rsidR="007F7831" w:rsidRPr="007C671D">
        <w:t xml:space="preserve">(approximately </w:t>
      </w:r>
      <w:r w:rsidR="00FA0853">
        <w:t>60 700</w:t>
      </w:r>
      <w:r w:rsidR="003A3EF1" w:rsidRPr="008E0B3E">
        <w:rPr>
          <w:color w:val="FF0000"/>
        </w:rPr>
        <w:t xml:space="preserve"> </w:t>
      </w:r>
      <w:r w:rsidR="007F7831" w:rsidRPr="007C671D">
        <w:t xml:space="preserve">students) </w:t>
      </w:r>
      <w:r w:rsidR="008E3D8A" w:rsidRPr="007C671D">
        <w:t xml:space="preserve">(table </w:t>
      </w:r>
      <w:proofErr w:type="spellStart"/>
      <w:r w:rsidR="008E3D8A" w:rsidRPr="007C671D">
        <w:t>5A.5</w:t>
      </w:r>
      <w:proofErr w:type="spellEnd"/>
      <w:r w:rsidR="008E3D8A" w:rsidRPr="007C671D">
        <w:t>)</w:t>
      </w:r>
      <w:r w:rsidR="00A9250C" w:rsidRPr="007C671D">
        <w:t>.</w:t>
      </w:r>
      <w:r w:rsidR="0043130B" w:rsidRPr="007C671D">
        <w:t xml:space="preserve"> </w:t>
      </w:r>
      <w:r w:rsidR="009B55E9" w:rsidRPr="007C671D">
        <w:t xml:space="preserve">Between </w:t>
      </w:r>
      <w:r w:rsidR="00D160FE" w:rsidRPr="007C671D">
        <w:t>200</w:t>
      </w:r>
      <w:r w:rsidR="008E0B3E">
        <w:t>9</w:t>
      </w:r>
      <w:r w:rsidR="00D160FE" w:rsidRPr="007C671D">
        <w:t xml:space="preserve"> </w:t>
      </w:r>
      <w:r w:rsidR="0043130B" w:rsidRPr="007C671D">
        <w:t xml:space="preserve">and </w:t>
      </w:r>
      <w:r w:rsidR="00D160FE" w:rsidRPr="007C671D">
        <w:t>201</w:t>
      </w:r>
      <w:r w:rsidR="008E0B3E">
        <w:t>3</w:t>
      </w:r>
      <w:r w:rsidR="0043130B" w:rsidRPr="007C671D">
        <w:t>, t</w:t>
      </w:r>
      <w:r w:rsidR="00C57336" w:rsidRPr="007C671D">
        <w:t xml:space="preserve">he number of government </w:t>
      </w:r>
      <w:r w:rsidR="00C57336" w:rsidRPr="00EF5A5F">
        <w:t xml:space="preserve">funded VET students </w:t>
      </w:r>
      <w:r w:rsidR="00894623" w:rsidRPr="007C671D">
        <w:t xml:space="preserve">increased by </w:t>
      </w:r>
      <w:r w:rsidR="00FA0853">
        <w:t xml:space="preserve">16.3 </w:t>
      </w:r>
      <w:r w:rsidR="00C57336" w:rsidRPr="007C671D">
        <w:t>per</w:t>
      </w:r>
      <w:r w:rsidR="00AE5734">
        <w:t xml:space="preserve"> </w:t>
      </w:r>
      <w:r w:rsidR="00C57336" w:rsidRPr="007C671D">
        <w:t>cen</w:t>
      </w:r>
      <w:r w:rsidR="0043130B" w:rsidRPr="007C671D">
        <w:t xml:space="preserve">t </w:t>
      </w:r>
      <w:r w:rsidR="00A65669" w:rsidRPr="00EF5A5F">
        <w:t>(</w:t>
      </w:r>
      <w:r w:rsidR="00B224C7" w:rsidRPr="00EF5A5F">
        <w:t>table</w:t>
      </w:r>
      <w:r w:rsidR="00A71E6A" w:rsidRPr="00EF5A5F">
        <w:t> </w:t>
      </w:r>
      <w:proofErr w:type="spellStart"/>
      <w:r w:rsidR="0043130B" w:rsidRPr="00EF5A5F">
        <w:t>5A.</w:t>
      </w:r>
      <w:r w:rsidR="00894623" w:rsidRPr="00EF5A5F">
        <w:t>5</w:t>
      </w:r>
      <w:proofErr w:type="spellEnd"/>
      <w:r w:rsidR="00A65669" w:rsidRPr="00EF5A5F">
        <w:t>)</w:t>
      </w:r>
      <w:r w:rsidR="008E31AF" w:rsidRPr="00EF5A5F">
        <w:t>.</w:t>
      </w:r>
      <w:r w:rsidR="00EF175E">
        <w:t xml:space="preserve"> </w:t>
      </w:r>
    </w:p>
    <w:p w:rsidR="00C57336" w:rsidRPr="00EF5A5F" w:rsidRDefault="00C57336" w:rsidP="00100935">
      <w:pPr>
        <w:pStyle w:val="Heading4"/>
      </w:pPr>
      <w:r w:rsidRPr="00EF5A5F">
        <w:lastRenderedPageBreak/>
        <w:t>Hours</w:t>
      </w:r>
    </w:p>
    <w:p w:rsidR="00C57336" w:rsidRPr="00EF5A5F" w:rsidRDefault="00C57336" w:rsidP="00100935">
      <w:pPr>
        <w:pStyle w:val="BodyText"/>
      </w:pPr>
      <w:r w:rsidRPr="00EF5A5F">
        <w:t xml:space="preserve">Government </w:t>
      </w:r>
      <w:r w:rsidRPr="00120335">
        <w:t>funde</w:t>
      </w:r>
      <w:r w:rsidR="008A2333" w:rsidRPr="00120335">
        <w:t xml:space="preserve">d VET students participated in </w:t>
      </w:r>
      <w:r w:rsidR="00FA0853">
        <w:t>460.1</w:t>
      </w:r>
      <w:r w:rsidR="00AE5734">
        <w:t xml:space="preserve"> </w:t>
      </w:r>
      <w:r w:rsidRPr="00120335">
        <w:t xml:space="preserve">million government funded annual hours in </w:t>
      </w:r>
      <w:r w:rsidR="00AD4A58" w:rsidRPr="00120335">
        <w:t>201</w:t>
      </w:r>
      <w:r w:rsidR="008E0B3E">
        <w:t>3</w:t>
      </w:r>
      <w:r w:rsidRPr="00120335">
        <w:t xml:space="preserve">. </w:t>
      </w:r>
      <w:r w:rsidR="000420D1" w:rsidRPr="00120335">
        <w:t>On</w:t>
      </w:r>
      <w:r w:rsidRPr="00120335">
        <w:t xml:space="preserve"> average</w:t>
      </w:r>
      <w:r w:rsidR="000420D1" w:rsidRPr="00120335">
        <w:t>, each</w:t>
      </w:r>
      <w:r w:rsidRPr="00120335">
        <w:t xml:space="preserve"> government funded VET st</w:t>
      </w:r>
      <w:r w:rsidR="000420D1" w:rsidRPr="00120335">
        <w:t xml:space="preserve">udent in </w:t>
      </w:r>
      <w:r w:rsidR="00AD4A58" w:rsidRPr="00120335">
        <w:t>201</w:t>
      </w:r>
      <w:r w:rsidR="008E0B3E">
        <w:t>3</w:t>
      </w:r>
      <w:r w:rsidR="00AD4A58" w:rsidRPr="00120335">
        <w:t xml:space="preserve"> </w:t>
      </w:r>
      <w:r w:rsidR="000420D1" w:rsidRPr="00120335">
        <w:t>received</w:t>
      </w:r>
      <w:r w:rsidR="00BE4089" w:rsidRPr="00120335">
        <w:t xml:space="preserve"> </w:t>
      </w:r>
      <w:r w:rsidR="00FA0853">
        <w:t>309.5 </w:t>
      </w:r>
      <w:r w:rsidR="000420D1" w:rsidRPr="00120335">
        <w:t xml:space="preserve">hours of </w:t>
      </w:r>
      <w:r w:rsidR="000420D1" w:rsidRPr="00EF5A5F">
        <w:t xml:space="preserve">VET </w:t>
      </w:r>
      <w:r w:rsidR="00BE4089" w:rsidRPr="00EF5A5F">
        <w:t xml:space="preserve">(table </w:t>
      </w:r>
      <w:proofErr w:type="spellStart"/>
      <w:r w:rsidR="00BE4089" w:rsidRPr="00EF5A5F">
        <w:t>5</w:t>
      </w:r>
      <w:r w:rsidR="000420D1" w:rsidRPr="00EF5A5F">
        <w:t>A.4</w:t>
      </w:r>
      <w:proofErr w:type="spellEnd"/>
      <w:r w:rsidR="000420D1" w:rsidRPr="00EF5A5F">
        <w:t>).</w:t>
      </w:r>
    </w:p>
    <w:p w:rsidR="00C57336" w:rsidRPr="00EF5A5F" w:rsidRDefault="00C57336" w:rsidP="00100935">
      <w:pPr>
        <w:pStyle w:val="Heading4"/>
      </w:pPr>
      <w:r w:rsidRPr="00EF5A5F">
        <w:t>Courses</w:t>
      </w:r>
    </w:p>
    <w:p w:rsidR="00C57336" w:rsidRDefault="00C57336" w:rsidP="00100935">
      <w:pPr>
        <w:pStyle w:val="BodyText"/>
      </w:pPr>
      <w:r w:rsidRPr="00120335">
        <w:t xml:space="preserve">VET qualifications range from non-award courses to certificates (levels I–IV), diplomas and </w:t>
      </w:r>
      <w:r w:rsidR="00BB4BB0" w:rsidRPr="00120335">
        <w:t>above</w:t>
      </w:r>
      <w:r w:rsidR="005A74B8" w:rsidRPr="00120335">
        <w:t>.</w:t>
      </w:r>
      <w:r w:rsidR="005A74B8" w:rsidRPr="00120335">
        <w:rPr>
          <w:b/>
        </w:rPr>
        <w:t xml:space="preserve"> </w:t>
      </w:r>
      <w:r w:rsidRPr="00120335">
        <w:t xml:space="preserve">In </w:t>
      </w:r>
      <w:r w:rsidR="00D807DB" w:rsidRPr="00120335">
        <w:t>201</w:t>
      </w:r>
      <w:r w:rsidR="008E0B3E">
        <w:t>3</w:t>
      </w:r>
      <w:r w:rsidRPr="00120335">
        <w:t xml:space="preserve">, </w:t>
      </w:r>
      <w:r w:rsidR="00FA0853">
        <w:t>11.7</w:t>
      </w:r>
      <w:r w:rsidR="00AE5734">
        <w:t xml:space="preserve"> </w:t>
      </w:r>
      <w:r w:rsidRPr="00120335">
        <w:t>per</w:t>
      </w:r>
      <w:r w:rsidR="00AE5734">
        <w:t xml:space="preserve"> </w:t>
      </w:r>
      <w:r w:rsidRPr="00120335">
        <w:t xml:space="preserve">cent of government funded VET students were undertaking a diploma or </w:t>
      </w:r>
      <w:r w:rsidR="00922D6D" w:rsidRPr="00120335">
        <w:t>above</w:t>
      </w:r>
      <w:r w:rsidRPr="00120335">
        <w:t xml:space="preserve">, </w:t>
      </w:r>
      <w:r w:rsidR="00FA0853">
        <w:t>57.4</w:t>
      </w:r>
      <w:r w:rsidR="00AE5734">
        <w:t xml:space="preserve"> </w:t>
      </w:r>
      <w:r w:rsidRPr="00120335">
        <w:t>per</w:t>
      </w:r>
      <w:r w:rsidR="00AE5734">
        <w:t xml:space="preserve"> </w:t>
      </w:r>
      <w:r w:rsidRPr="00120335">
        <w:t xml:space="preserve">cent were enrolled in a certificate level III or IV, </w:t>
      </w:r>
      <w:r w:rsidR="00FA0853">
        <w:t xml:space="preserve">22.3 </w:t>
      </w:r>
      <w:r w:rsidRPr="00120335">
        <w:t>per</w:t>
      </w:r>
      <w:r w:rsidR="002872FE" w:rsidRPr="00120335">
        <w:t xml:space="preserve"> </w:t>
      </w:r>
      <w:r w:rsidRPr="00120335">
        <w:t xml:space="preserve">cent were enrolled in a certificate level I or II or lower, and </w:t>
      </w:r>
      <w:r w:rsidR="00FA0853">
        <w:t>8.6</w:t>
      </w:r>
      <w:r w:rsidR="00AE5734">
        <w:t xml:space="preserve"> </w:t>
      </w:r>
      <w:r w:rsidRPr="00120335">
        <w:t>per</w:t>
      </w:r>
      <w:r w:rsidR="002872FE" w:rsidRPr="00120335">
        <w:t xml:space="preserve"> </w:t>
      </w:r>
      <w:r w:rsidRPr="00120335">
        <w:t xml:space="preserve">cent were enrolled in a course that did not lead directly to a qualification (table </w:t>
      </w:r>
      <w:proofErr w:type="spellStart"/>
      <w:r w:rsidR="00BE4089" w:rsidRPr="00120335">
        <w:t>5</w:t>
      </w:r>
      <w:r w:rsidRPr="00120335">
        <w:t>A.</w:t>
      </w:r>
      <w:r w:rsidR="00BE4089" w:rsidRPr="00120335">
        <w:t>5</w:t>
      </w:r>
      <w:proofErr w:type="spellEnd"/>
      <w:r w:rsidRPr="00120335">
        <w:t>).</w:t>
      </w:r>
    </w:p>
    <w:p w:rsidR="008C19FB" w:rsidRDefault="00C57336" w:rsidP="00A26D57">
      <w:pPr>
        <w:pStyle w:val="BodyText"/>
      </w:pPr>
      <w:r w:rsidRPr="00730B86">
        <w:rPr>
          <w:shd w:val="clear" w:color="auto" w:fill="FFFFFF" w:themeFill="background1"/>
        </w:rPr>
        <w:t xml:space="preserve">Fields of </w:t>
      </w:r>
      <w:r w:rsidR="00BB6E8C" w:rsidRPr="00730B86">
        <w:rPr>
          <w:shd w:val="clear" w:color="auto" w:fill="FFFFFF" w:themeFill="background1"/>
        </w:rPr>
        <w:t>education</w:t>
      </w:r>
      <w:r w:rsidRPr="00730B86">
        <w:rPr>
          <w:shd w:val="clear" w:color="auto" w:fill="FFFFFF" w:themeFill="background1"/>
        </w:rPr>
        <w:t xml:space="preserve"> also varied. </w:t>
      </w:r>
      <w:r w:rsidR="00972A2F" w:rsidRPr="00730B86">
        <w:rPr>
          <w:shd w:val="clear" w:color="auto" w:fill="FFFFFF" w:themeFill="background1"/>
        </w:rPr>
        <w:t xml:space="preserve">Nationally in 2013, </w:t>
      </w:r>
      <w:r w:rsidR="00BB6E8C" w:rsidRPr="00730B86">
        <w:rPr>
          <w:shd w:val="clear" w:color="auto" w:fill="FFFFFF" w:themeFill="background1"/>
        </w:rPr>
        <w:t>19.1</w:t>
      </w:r>
      <w:r w:rsidR="00AE5734" w:rsidRPr="00730B86">
        <w:rPr>
          <w:shd w:val="clear" w:color="auto" w:fill="FFFFFF" w:themeFill="background1"/>
        </w:rPr>
        <w:t xml:space="preserve"> </w:t>
      </w:r>
      <w:r w:rsidR="00972A2F" w:rsidRPr="00730B86">
        <w:rPr>
          <w:shd w:val="clear" w:color="auto" w:fill="FFFFFF" w:themeFill="background1"/>
        </w:rPr>
        <w:t>per</w:t>
      </w:r>
      <w:r w:rsidR="00AE5734" w:rsidRPr="00730B86">
        <w:rPr>
          <w:shd w:val="clear" w:color="auto" w:fill="FFFFFF" w:themeFill="background1"/>
        </w:rPr>
        <w:t xml:space="preserve"> </w:t>
      </w:r>
      <w:r w:rsidR="00972A2F" w:rsidRPr="00730B86">
        <w:rPr>
          <w:shd w:val="clear" w:color="auto" w:fill="FFFFFF" w:themeFill="background1"/>
        </w:rPr>
        <w:t xml:space="preserve">cent of </w:t>
      </w:r>
      <w:r w:rsidR="00BB6E8C" w:rsidRPr="00730B86">
        <w:rPr>
          <w:shd w:val="clear" w:color="auto" w:fill="FFFFFF" w:themeFill="background1"/>
        </w:rPr>
        <w:t>government</w:t>
      </w:r>
      <w:r w:rsidR="00972A2F" w:rsidRPr="00730B86">
        <w:rPr>
          <w:shd w:val="clear" w:color="auto" w:fill="FFFFFF" w:themeFill="background1"/>
        </w:rPr>
        <w:t xml:space="preserve"> funded VET students were undertaking a course in the field of management and commerce, </w:t>
      </w:r>
      <w:r w:rsidR="00BB6E8C" w:rsidRPr="00730B86">
        <w:rPr>
          <w:shd w:val="clear" w:color="auto" w:fill="FFFFFF" w:themeFill="background1"/>
        </w:rPr>
        <w:t>17.5</w:t>
      </w:r>
      <w:r w:rsidR="00972A2F" w:rsidRPr="00730B86">
        <w:rPr>
          <w:shd w:val="clear" w:color="auto" w:fill="FFFFFF" w:themeFill="background1"/>
        </w:rPr>
        <w:t> per cent in engineering and related technologies, and 1</w:t>
      </w:r>
      <w:r w:rsidR="00BB6E8C" w:rsidRPr="00730B86">
        <w:rPr>
          <w:shd w:val="clear" w:color="auto" w:fill="FFFFFF" w:themeFill="background1"/>
        </w:rPr>
        <w:t>4</w:t>
      </w:r>
      <w:r w:rsidR="00972A2F" w:rsidRPr="00730B86">
        <w:rPr>
          <w:shd w:val="clear" w:color="auto" w:fill="FFFFFF" w:themeFill="background1"/>
        </w:rPr>
        <w:t>.7</w:t>
      </w:r>
      <w:r w:rsidR="00AE5734" w:rsidRPr="00730B86">
        <w:rPr>
          <w:shd w:val="clear" w:color="auto" w:fill="FFFFFF" w:themeFill="background1"/>
        </w:rPr>
        <w:t xml:space="preserve"> </w:t>
      </w:r>
      <w:r w:rsidR="00972A2F" w:rsidRPr="00730B86">
        <w:rPr>
          <w:shd w:val="clear" w:color="auto" w:fill="FFFFFF" w:themeFill="background1"/>
        </w:rPr>
        <w:t>per</w:t>
      </w:r>
      <w:r w:rsidR="00AE5734" w:rsidRPr="00730B86">
        <w:rPr>
          <w:shd w:val="clear" w:color="auto" w:fill="FFFFFF" w:themeFill="background1"/>
        </w:rPr>
        <w:t xml:space="preserve"> </w:t>
      </w:r>
      <w:r w:rsidR="00972A2F" w:rsidRPr="00730B86">
        <w:rPr>
          <w:shd w:val="clear" w:color="auto" w:fill="FFFFFF" w:themeFill="background1"/>
        </w:rPr>
        <w:t>cent in society and culture (NCVER</w:t>
      </w:r>
      <w:r w:rsidR="00AE5734" w:rsidRPr="00730B86">
        <w:rPr>
          <w:shd w:val="clear" w:color="auto" w:fill="FFFFFF" w:themeFill="background1"/>
        </w:rPr>
        <w:t xml:space="preserve"> </w:t>
      </w:r>
      <w:r w:rsidR="00972A2F" w:rsidRPr="00730B86">
        <w:rPr>
          <w:shd w:val="clear" w:color="auto" w:fill="FFFFFF" w:themeFill="background1"/>
        </w:rPr>
        <w:t xml:space="preserve">2014). Other fields studied by </w:t>
      </w:r>
      <w:r w:rsidR="00BB6E8C" w:rsidRPr="00730B86">
        <w:rPr>
          <w:shd w:val="clear" w:color="auto" w:fill="FFFFFF" w:themeFill="background1"/>
        </w:rPr>
        <w:t>government</w:t>
      </w:r>
      <w:r w:rsidR="00972A2F" w:rsidRPr="00730B86">
        <w:rPr>
          <w:shd w:val="clear" w:color="auto" w:fill="FFFFFF" w:themeFill="background1"/>
        </w:rPr>
        <w:t xml:space="preserve"> funded</w:t>
      </w:r>
      <w:r w:rsidR="00972A2F" w:rsidRPr="00CD1E03">
        <w:t xml:space="preserve"> VET students included </w:t>
      </w:r>
      <w:r w:rsidR="00972A2F">
        <w:t xml:space="preserve">food, hospitality, and personal services; </w:t>
      </w:r>
      <w:r w:rsidR="00972A2F" w:rsidRPr="00CD1E03">
        <w:t>architecture and</w:t>
      </w:r>
      <w:r w:rsidR="00972A2F" w:rsidRPr="00EF5A5F">
        <w:t xml:space="preserve"> building; health; education; agriculture, environment and related studies; creative arts; information technology; and natural and physical sciences </w:t>
      </w:r>
      <w:r w:rsidR="00287B08">
        <w:t>(</w:t>
      </w:r>
      <w:r w:rsidR="0090067F">
        <w:t>NCVER</w:t>
      </w:r>
      <w:r w:rsidR="00AE5734">
        <w:t xml:space="preserve"> </w:t>
      </w:r>
      <w:r w:rsidR="0090067F">
        <w:t>2014</w:t>
      </w:r>
      <w:r w:rsidR="00972A2F" w:rsidRPr="00EF5A5F">
        <w:t>).</w:t>
      </w:r>
    </w:p>
    <w:p w:rsidR="00EF175E" w:rsidRPr="00EF5A5F" w:rsidRDefault="00EF175E" w:rsidP="00EF175E">
      <w:pPr>
        <w:pStyle w:val="BodyText"/>
      </w:pPr>
      <w:r w:rsidRPr="00EF5A5F">
        <w:t xml:space="preserve">Of </w:t>
      </w:r>
      <w:r w:rsidRPr="00120335">
        <w:t xml:space="preserve">the </w:t>
      </w:r>
      <w:r w:rsidR="00FA0853">
        <w:t>1.5</w:t>
      </w:r>
      <w:r w:rsidR="00AE5734">
        <w:t xml:space="preserve"> </w:t>
      </w:r>
      <w:r w:rsidRPr="00120335">
        <w:t>million government funded VET students who participated in government funded VET programs in 201</w:t>
      </w:r>
      <w:r w:rsidR="00EA0F7D">
        <w:t>3</w:t>
      </w:r>
      <w:r w:rsidRPr="00120335">
        <w:t xml:space="preserve">, </w:t>
      </w:r>
      <w:r w:rsidR="00EA0F7D">
        <w:t xml:space="preserve">101 374 </w:t>
      </w:r>
      <w:r w:rsidRPr="00120335">
        <w:t>(</w:t>
      </w:r>
      <w:r w:rsidR="00EA0F7D">
        <w:t>6.8</w:t>
      </w:r>
      <w:r w:rsidR="00AE5734">
        <w:t xml:space="preserve"> </w:t>
      </w:r>
      <w:r w:rsidR="00EA0F7D">
        <w:t>per</w:t>
      </w:r>
      <w:r w:rsidR="00AE5734">
        <w:t xml:space="preserve"> </w:t>
      </w:r>
      <w:r w:rsidRPr="00120335">
        <w:t xml:space="preserve">cent) gained some recognition </w:t>
      </w:r>
      <w:r w:rsidRPr="00EF5A5F">
        <w:t>of prior learning (</w:t>
      </w:r>
      <w:proofErr w:type="spellStart"/>
      <w:r w:rsidRPr="00EF5A5F">
        <w:t>RPL</w:t>
      </w:r>
      <w:proofErr w:type="spellEnd"/>
      <w:r w:rsidRPr="00EF5A5F">
        <w:t>) (table</w:t>
      </w:r>
      <w:r w:rsidR="00AE5734">
        <w:t xml:space="preserve"> </w:t>
      </w:r>
      <w:proofErr w:type="spellStart"/>
      <w:r w:rsidRPr="00EF5A5F">
        <w:t>5A.4</w:t>
      </w:r>
      <w:proofErr w:type="spellEnd"/>
      <w:r w:rsidRPr="00EF5A5F">
        <w:t xml:space="preserve">). </w:t>
      </w:r>
    </w:p>
    <w:p w:rsidR="00C57336" w:rsidRPr="00EF5A5F" w:rsidRDefault="00C57336" w:rsidP="00100935">
      <w:pPr>
        <w:pStyle w:val="Heading4"/>
      </w:pPr>
      <w:r w:rsidRPr="00EF5A5F">
        <w:t>Institutions</w:t>
      </w:r>
    </w:p>
    <w:p w:rsidR="00C57336" w:rsidRPr="00EF5A5F" w:rsidRDefault="00B7011C" w:rsidP="005440C7">
      <w:pPr>
        <w:pStyle w:val="BodyText"/>
      </w:pPr>
      <w:r w:rsidRPr="00120335">
        <w:t xml:space="preserve">In </w:t>
      </w:r>
      <w:r w:rsidR="00E74B91" w:rsidRPr="00120335">
        <w:t>201</w:t>
      </w:r>
      <w:r w:rsidR="008E0B3E">
        <w:t>3</w:t>
      </w:r>
      <w:r w:rsidRPr="00120335">
        <w:t xml:space="preserve">, </w:t>
      </w:r>
      <w:r w:rsidR="00E11C2C" w:rsidRPr="00120335">
        <w:t>g</w:t>
      </w:r>
      <w:r w:rsidR="00C57336" w:rsidRPr="00120335">
        <w:t xml:space="preserve">overnment funded programs were delivered </w:t>
      </w:r>
      <w:r w:rsidR="00FF588E" w:rsidRPr="00120335">
        <w:t>by</w:t>
      </w:r>
      <w:r w:rsidR="00EA0F7D">
        <w:t xml:space="preserve"> 2094 </w:t>
      </w:r>
      <w:proofErr w:type="spellStart"/>
      <w:r w:rsidR="00FF588E" w:rsidRPr="00120335">
        <w:t>RTOs</w:t>
      </w:r>
      <w:proofErr w:type="spellEnd"/>
      <w:r w:rsidR="00FF588E" w:rsidRPr="00120335">
        <w:t xml:space="preserve"> </w:t>
      </w:r>
      <w:r w:rsidR="00C57336" w:rsidRPr="00120335">
        <w:t xml:space="preserve">at </w:t>
      </w:r>
      <w:r w:rsidR="00EA0F7D">
        <w:t>25</w:t>
      </w:r>
      <w:r w:rsidR="00AE5734">
        <w:t xml:space="preserve"> </w:t>
      </w:r>
      <w:r w:rsidR="00EA0F7D">
        <w:t>027</w:t>
      </w:r>
      <w:r w:rsidR="00AE5734">
        <w:t xml:space="preserve"> </w:t>
      </w:r>
      <w:r w:rsidR="00C57336" w:rsidRPr="00EF5A5F">
        <w:t xml:space="preserve">locations (that is, TAFE, government funded locations and the locations of all other registered training providers, including private providers that receive government </w:t>
      </w:r>
      <w:r w:rsidRPr="00EF5A5F">
        <w:t xml:space="preserve">funding for VET delivery) </w:t>
      </w:r>
      <w:r w:rsidR="00BE4089" w:rsidRPr="00EF5A5F">
        <w:t xml:space="preserve">(table </w:t>
      </w:r>
      <w:proofErr w:type="spellStart"/>
      <w:r w:rsidR="00BE4089" w:rsidRPr="00EF5A5F">
        <w:t>5</w:t>
      </w:r>
      <w:r w:rsidR="00C57336" w:rsidRPr="00EF5A5F">
        <w:t>A.</w:t>
      </w:r>
      <w:r w:rsidR="00206B22" w:rsidRPr="00EF5A5F">
        <w:t>3</w:t>
      </w:r>
      <w:proofErr w:type="spellEnd"/>
      <w:r w:rsidR="00E11C2C" w:rsidRPr="00EF5A5F">
        <w:t>).</w:t>
      </w:r>
    </w:p>
    <w:p w:rsidR="00C57336" w:rsidRPr="00EF5A5F" w:rsidRDefault="00C57336" w:rsidP="00100935">
      <w:pPr>
        <w:pStyle w:val="BodyText"/>
      </w:pPr>
      <w:r w:rsidRPr="00EF5A5F">
        <w:t>The infrastructure (</w:t>
      </w:r>
      <w:r w:rsidR="00212C6A" w:rsidRPr="00EF5A5F">
        <w:t xml:space="preserve">physical </w:t>
      </w:r>
      <w:r w:rsidRPr="00EF5A5F">
        <w:t>non</w:t>
      </w:r>
      <w:r w:rsidR="00212C6A" w:rsidRPr="00EF5A5F">
        <w:t>-</w:t>
      </w:r>
      <w:r w:rsidRPr="00EF5A5F">
        <w:t xml:space="preserve">current assets) of government owned TAFE institutions and TAFE </w:t>
      </w:r>
      <w:r w:rsidRPr="00120335">
        <w:t>divisions of</w:t>
      </w:r>
      <w:r w:rsidR="00C20EC5" w:rsidRPr="00120335">
        <w:t xml:space="preserve"> universities was valued at </w:t>
      </w:r>
      <w:r w:rsidR="00ED21BD" w:rsidRPr="00120335">
        <w:t>$</w:t>
      </w:r>
      <w:r w:rsidR="00EA0F7D">
        <w:t>11.8</w:t>
      </w:r>
      <w:r w:rsidR="00AE5734">
        <w:t xml:space="preserve"> </w:t>
      </w:r>
      <w:r w:rsidRPr="00120335">
        <w:t xml:space="preserve">billion in </w:t>
      </w:r>
      <w:r w:rsidR="00E74B91" w:rsidRPr="00120335">
        <w:t>201</w:t>
      </w:r>
      <w:r w:rsidR="008E0B3E">
        <w:t>3</w:t>
      </w:r>
      <w:r w:rsidRPr="00120335">
        <w:t xml:space="preserve">, of which </w:t>
      </w:r>
      <w:r w:rsidR="00EA0F7D">
        <w:t>92.6 </w:t>
      </w:r>
      <w:r w:rsidRPr="00120335">
        <w:t>per</w:t>
      </w:r>
      <w:r w:rsidR="00FE1291" w:rsidRPr="00120335">
        <w:t> </w:t>
      </w:r>
      <w:r w:rsidRPr="00120335">
        <w:t xml:space="preserve">cent comprised </w:t>
      </w:r>
      <w:r w:rsidRPr="00EF5A5F">
        <w:t>the value of land and buil</w:t>
      </w:r>
      <w:r w:rsidR="00FE1291" w:rsidRPr="00EF5A5F">
        <w:t>dings (table</w:t>
      </w:r>
      <w:r w:rsidR="00AE5734">
        <w:t xml:space="preserve"> </w:t>
      </w:r>
      <w:proofErr w:type="spellStart"/>
      <w:r w:rsidR="00BE4089" w:rsidRPr="00EF5A5F">
        <w:t>5</w:t>
      </w:r>
      <w:r w:rsidRPr="00EF5A5F">
        <w:t>A.</w:t>
      </w:r>
      <w:r w:rsidR="00621EB5" w:rsidRPr="00EF5A5F">
        <w:t>21</w:t>
      </w:r>
      <w:proofErr w:type="spellEnd"/>
      <w:r w:rsidRPr="00EF5A5F">
        <w:t xml:space="preserve">). The value of net assets of government VET providers </w:t>
      </w:r>
      <w:r w:rsidRPr="00120335">
        <w:t xml:space="preserve">was </w:t>
      </w:r>
      <w:r w:rsidR="00EA0F7D">
        <w:t xml:space="preserve">$807.45 </w:t>
      </w:r>
      <w:r w:rsidRPr="00120335">
        <w:t>per</w:t>
      </w:r>
      <w:r w:rsidR="00B30DC0" w:rsidRPr="00120335">
        <w:t xml:space="preserve"> </w:t>
      </w:r>
      <w:r w:rsidRPr="00EF5A5F">
        <w:t>person aged</w:t>
      </w:r>
      <w:r w:rsidR="00B30DC0" w:rsidRPr="00EF5A5F">
        <w:t xml:space="preserve"> </w:t>
      </w:r>
      <w:r w:rsidRPr="00EF5A5F">
        <w:t xml:space="preserve">15–64 years across Australia in </w:t>
      </w:r>
      <w:r w:rsidR="00E74B91">
        <w:t>201</w:t>
      </w:r>
      <w:r w:rsidR="008E0B3E">
        <w:t>3</w:t>
      </w:r>
      <w:r w:rsidRPr="00EF5A5F">
        <w:t xml:space="preserve">. Asset values </w:t>
      </w:r>
      <w:r w:rsidR="000B6694" w:rsidRPr="00EF5A5F">
        <w:t xml:space="preserve">per person </w:t>
      </w:r>
      <w:r w:rsidRPr="00EF5A5F">
        <w:t>vari</w:t>
      </w:r>
      <w:r w:rsidR="00BE4089" w:rsidRPr="00EF5A5F">
        <w:t xml:space="preserve">ed across jurisdictions (table </w:t>
      </w:r>
      <w:proofErr w:type="spellStart"/>
      <w:r w:rsidR="00BE4089" w:rsidRPr="00EF5A5F">
        <w:t>5</w:t>
      </w:r>
      <w:r w:rsidRPr="00EF5A5F">
        <w:t>A.</w:t>
      </w:r>
      <w:r w:rsidR="00BE4089" w:rsidRPr="00EF5A5F">
        <w:t>6</w:t>
      </w:r>
      <w:proofErr w:type="spellEnd"/>
      <w:r w:rsidRPr="00EF5A5F">
        <w:t>).</w:t>
      </w:r>
    </w:p>
    <w:p w:rsidR="00112967" w:rsidRPr="00EF5A5F" w:rsidRDefault="00112967" w:rsidP="00281C53">
      <w:pPr>
        <w:pStyle w:val="Heading3"/>
      </w:pPr>
      <w:r w:rsidRPr="00EF5A5F">
        <w:t xml:space="preserve">Roles and responsibilities </w:t>
      </w:r>
    </w:p>
    <w:p w:rsidR="00964FD9" w:rsidRPr="00964FD9" w:rsidRDefault="00964FD9" w:rsidP="00964FD9">
      <w:pPr>
        <w:pStyle w:val="BodyText"/>
      </w:pPr>
      <w:r w:rsidRPr="00964FD9">
        <w:t>VET is an area of shared responsibility between governments and industry. Governments provide funding, develop national and jurisdictional policies for the training system and share responsibility for the regulation, governance and quality assurance of the VET sector.</w:t>
      </w:r>
    </w:p>
    <w:p w:rsidR="00964FD9" w:rsidRPr="00964FD9" w:rsidRDefault="00964FD9" w:rsidP="00964FD9">
      <w:pPr>
        <w:pStyle w:val="BodyText"/>
      </w:pPr>
      <w:r w:rsidRPr="00964FD9">
        <w:lastRenderedPageBreak/>
        <w:t xml:space="preserve">State and Territory governments manage the delivery of VET within their jurisdictions and have traditionally provided approximately two thirds of the funding in the VET system. They facilitate the development and training of the public VET workforce and ensure the effective operation of the training market. </w:t>
      </w:r>
    </w:p>
    <w:p w:rsidR="00964FD9" w:rsidRPr="00964FD9" w:rsidRDefault="00964FD9" w:rsidP="00964FD9">
      <w:pPr>
        <w:pStyle w:val="BodyText"/>
      </w:pPr>
      <w:r w:rsidRPr="00964FD9">
        <w:t>The Australian Government provides significant financial support to states and territories to support the national training systems</w:t>
      </w:r>
      <w:r w:rsidR="00D34E3B">
        <w:t>,</w:t>
      </w:r>
      <w:r w:rsidRPr="00964FD9">
        <w:t xml:space="preserve"> through funding mechanisms under the Intergovernmental Agreement</w:t>
      </w:r>
      <w:r w:rsidR="00D34E3B">
        <w:t xml:space="preserve"> on Federal Financial Relations</w:t>
      </w:r>
      <w:r w:rsidRPr="00964FD9">
        <w:t>. The Australian Government also provides specific incentives, interventions and assistance for national priority areas.</w:t>
      </w:r>
    </w:p>
    <w:p w:rsidR="00964FD9" w:rsidRPr="00964FD9" w:rsidRDefault="00964FD9" w:rsidP="00964FD9">
      <w:pPr>
        <w:pStyle w:val="BodyText"/>
      </w:pPr>
      <w:r w:rsidRPr="00964FD9">
        <w:t xml:space="preserve">The NASWD, which came into effect on 1 January 2009, set out the commitment between the Australian Government and State and Territory governments, to work towards increasing the skill levels of all Australians, including </w:t>
      </w:r>
      <w:r w:rsidR="0063132C">
        <w:t>Aboriginal and Torres Strait Islander</w:t>
      </w:r>
      <w:r w:rsidRPr="00964FD9">
        <w:t xml:space="preserve"> Australians. A revised NASWD and a new National Partnership Agreement on Skills Reform were negotiated throughout 2011 and agreed by all states and territories at the Council of Australian Governments (COAG) meeting on 13 April 2012. </w:t>
      </w:r>
    </w:p>
    <w:p w:rsidR="00112967" w:rsidRPr="009756FE" w:rsidRDefault="00112967" w:rsidP="009756FE">
      <w:pPr>
        <w:keepNext/>
        <w:spacing w:before="480" w:line="320" w:lineRule="exact"/>
        <w:outlineLvl w:val="4"/>
        <w:rPr>
          <w:i/>
          <w:szCs w:val="20"/>
        </w:rPr>
      </w:pPr>
      <w:r w:rsidRPr="009756FE">
        <w:rPr>
          <w:i/>
          <w:szCs w:val="20"/>
        </w:rPr>
        <w:t>Governance of the national training system</w:t>
      </w:r>
    </w:p>
    <w:p w:rsidR="00964FD9" w:rsidRPr="00964FD9" w:rsidRDefault="00964FD9" w:rsidP="00964FD9">
      <w:pPr>
        <w:spacing w:before="240" w:line="320" w:lineRule="atLeast"/>
        <w:jc w:val="both"/>
        <w:rPr>
          <w:szCs w:val="20"/>
        </w:rPr>
      </w:pPr>
      <w:r w:rsidRPr="00964FD9">
        <w:rPr>
          <w:szCs w:val="20"/>
        </w:rPr>
        <w:t>For most of 2013, the Standing Council on Tertiary Education, Skills and Employment (</w:t>
      </w:r>
      <w:proofErr w:type="spellStart"/>
      <w:r w:rsidRPr="00964FD9">
        <w:rPr>
          <w:szCs w:val="20"/>
        </w:rPr>
        <w:t>SCOTESE</w:t>
      </w:r>
      <w:proofErr w:type="spellEnd"/>
      <w:r w:rsidRPr="00964FD9">
        <w:rPr>
          <w:szCs w:val="20"/>
        </w:rPr>
        <w:t xml:space="preserve">) was a key decision-making body for the national training system. </w:t>
      </w:r>
      <w:proofErr w:type="spellStart"/>
      <w:r w:rsidRPr="00964FD9">
        <w:rPr>
          <w:szCs w:val="20"/>
        </w:rPr>
        <w:t>SCOTESE</w:t>
      </w:r>
      <w:proofErr w:type="spellEnd"/>
      <w:r w:rsidRPr="00964FD9">
        <w:rPr>
          <w:szCs w:val="20"/>
        </w:rPr>
        <w:t xml:space="preserve"> had high level policy responsibility for higher education, vocational education and training, including skills and workforce development, international education, adult community education and employment. </w:t>
      </w:r>
      <w:proofErr w:type="spellStart"/>
      <w:r w:rsidRPr="00964FD9">
        <w:rPr>
          <w:szCs w:val="20"/>
        </w:rPr>
        <w:t>SCOTESE</w:t>
      </w:r>
      <w:proofErr w:type="spellEnd"/>
      <w:r w:rsidRPr="00964FD9">
        <w:rPr>
          <w:szCs w:val="20"/>
        </w:rPr>
        <w:t xml:space="preserve"> set strategic policy, priorities for training and makes decisions in relation to national training system funding, planning and performance. Membership of </w:t>
      </w:r>
      <w:proofErr w:type="spellStart"/>
      <w:r w:rsidRPr="00964FD9">
        <w:rPr>
          <w:szCs w:val="20"/>
        </w:rPr>
        <w:t>SCOTESE</w:t>
      </w:r>
      <w:proofErr w:type="spellEnd"/>
      <w:r w:rsidRPr="00964FD9">
        <w:rPr>
          <w:szCs w:val="20"/>
        </w:rPr>
        <w:t xml:space="preserve"> comprised Australian Government, State and Territory government and New Zealand Government ministers with responsibility for tertiary education, skills and employment. </w:t>
      </w:r>
      <w:proofErr w:type="spellStart"/>
      <w:r w:rsidRPr="00964FD9">
        <w:rPr>
          <w:szCs w:val="20"/>
        </w:rPr>
        <w:t>SCOTESE</w:t>
      </w:r>
      <w:proofErr w:type="spellEnd"/>
      <w:r w:rsidRPr="00964FD9">
        <w:rPr>
          <w:szCs w:val="20"/>
        </w:rPr>
        <w:t xml:space="preserve"> was chaired by the member who represented the Australian Government.</w:t>
      </w:r>
    </w:p>
    <w:p w:rsidR="00964FD9" w:rsidRPr="00964FD9" w:rsidRDefault="00532BAD" w:rsidP="00964FD9">
      <w:pPr>
        <w:spacing w:before="240" w:line="320" w:lineRule="atLeast"/>
        <w:jc w:val="both"/>
        <w:rPr>
          <w:szCs w:val="20"/>
        </w:rPr>
      </w:pPr>
      <w:r>
        <w:rPr>
          <w:szCs w:val="20"/>
        </w:rPr>
        <w:t xml:space="preserve">On </w:t>
      </w:r>
      <w:r w:rsidR="00964FD9" w:rsidRPr="00964FD9">
        <w:rPr>
          <w:szCs w:val="20"/>
        </w:rPr>
        <w:t>13 December 2013, the Council of Australian Governments’ (COAG) announced a new COAG Industry and Skills Council (</w:t>
      </w:r>
      <w:proofErr w:type="spellStart"/>
      <w:r w:rsidR="00964FD9" w:rsidRPr="00964FD9">
        <w:rPr>
          <w:szCs w:val="20"/>
        </w:rPr>
        <w:t>CISC</w:t>
      </w:r>
      <w:proofErr w:type="spellEnd"/>
      <w:r w:rsidR="00964FD9" w:rsidRPr="00964FD9">
        <w:rPr>
          <w:szCs w:val="20"/>
        </w:rPr>
        <w:t xml:space="preserve">), to replace </w:t>
      </w:r>
      <w:proofErr w:type="spellStart"/>
      <w:r w:rsidR="00964FD9" w:rsidRPr="00964FD9">
        <w:rPr>
          <w:szCs w:val="20"/>
        </w:rPr>
        <w:t>SCOTESE</w:t>
      </w:r>
      <w:proofErr w:type="spellEnd"/>
      <w:r w:rsidR="00964FD9" w:rsidRPr="00964FD9">
        <w:rPr>
          <w:szCs w:val="20"/>
        </w:rPr>
        <w:t xml:space="preserve">. The </w:t>
      </w:r>
      <w:proofErr w:type="spellStart"/>
      <w:r w:rsidR="00964FD9" w:rsidRPr="00964FD9">
        <w:rPr>
          <w:szCs w:val="20"/>
        </w:rPr>
        <w:t>CISC</w:t>
      </w:r>
      <w:proofErr w:type="spellEnd"/>
      <w:r w:rsidR="00964FD9" w:rsidRPr="00964FD9">
        <w:rPr>
          <w:szCs w:val="20"/>
        </w:rPr>
        <w:t xml:space="preserve"> is chaired by the Hon Ian Macfarlane MP, Australian Government Minister for Industry, who has portfolio responsibility for skills. State and </w:t>
      </w:r>
      <w:r w:rsidR="00D34E3B">
        <w:rPr>
          <w:szCs w:val="20"/>
        </w:rPr>
        <w:t>T</w:t>
      </w:r>
      <w:r w:rsidR="00964FD9" w:rsidRPr="00964FD9">
        <w:rPr>
          <w:szCs w:val="20"/>
        </w:rPr>
        <w:t xml:space="preserve">erritory skills and training ministers and industry ministers are members of the </w:t>
      </w:r>
      <w:proofErr w:type="spellStart"/>
      <w:r w:rsidR="00964FD9" w:rsidRPr="00964FD9">
        <w:rPr>
          <w:szCs w:val="20"/>
        </w:rPr>
        <w:t>CISC</w:t>
      </w:r>
      <w:proofErr w:type="spellEnd"/>
      <w:r w:rsidR="00964FD9" w:rsidRPr="00964FD9">
        <w:rPr>
          <w:szCs w:val="20"/>
        </w:rPr>
        <w:t xml:space="preserve">, as is the New Zealand Minister for skills. </w:t>
      </w:r>
    </w:p>
    <w:p w:rsidR="00964FD9" w:rsidRPr="00964FD9" w:rsidRDefault="00964FD9" w:rsidP="00964FD9">
      <w:pPr>
        <w:spacing w:before="240" w:line="320" w:lineRule="atLeast"/>
        <w:jc w:val="both"/>
        <w:rPr>
          <w:szCs w:val="20"/>
        </w:rPr>
      </w:pPr>
      <w:r w:rsidRPr="00964FD9">
        <w:rPr>
          <w:szCs w:val="20"/>
        </w:rPr>
        <w:t xml:space="preserve">In 2013, </w:t>
      </w:r>
      <w:proofErr w:type="spellStart"/>
      <w:r w:rsidRPr="00964FD9">
        <w:rPr>
          <w:szCs w:val="20"/>
        </w:rPr>
        <w:t>SCOTESE</w:t>
      </w:r>
      <w:proofErr w:type="spellEnd"/>
      <w:r w:rsidRPr="00964FD9">
        <w:rPr>
          <w:szCs w:val="20"/>
        </w:rPr>
        <w:t xml:space="preserve"> was supported by a National Senior Officials Committee (</w:t>
      </w:r>
      <w:proofErr w:type="spellStart"/>
      <w:r w:rsidRPr="00964FD9">
        <w:rPr>
          <w:szCs w:val="20"/>
        </w:rPr>
        <w:t>NSOC</w:t>
      </w:r>
      <w:proofErr w:type="spellEnd"/>
      <w:r w:rsidRPr="00964FD9">
        <w:rPr>
          <w:szCs w:val="20"/>
        </w:rPr>
        <w:t xml:space="preserve">) and two Principal Committees. </w:t>
      </w:r>
      <w:proofErr w:type="spellStart"/>
      <w:r w:rsidRPr="00964FD9">
        <w:rPr>
          <w:szCs w:val="20"/>
        </w:rPr>
        <w:t>NSOC</w:t>
      </w:r>
      <w:proofErr w:type="spellEnd"/>
      <w:r w:rsidRPr="00964FD9">
        <w:rPr>
          <w:szCs w:val="20"/>
        </w:rPr>
        <w:t xml:space="preserve"> implemented </w:t>
      </w:r>
      <w:proofErr w:type="spellStart"/>
      <w:r w:rsidRPr="00964FD9">
        <w:rPr>
          <w:szCs w:val="20"/>
        </w:rPr>
        <w:t>SCOTESE</w:t>
      </w:r>
      <w:proofErr w:type="spellEnd"/>
      <w:r w:rsidRPr="00964FD9">
        <w:rPr>
          <w:szCs w:val="20"/>
        </w:rPr>
        <w:t xml:space="preserve"> decisions, drove national collaboration on training matters and monitored the effectiveness of the national training system. The two Committees were:</w:t>
      </w:r>
    </w:p>
    <w:p w:rsidR="00964FD9" w:rsidRPr="00964FD9" w:rsidRDefault="00964FD9" w:rsidP="00964FD9">
      <w:pPr>
        <w:pStyle w:val="ListBullet"/>
      </w:pPr>
      <w:r w:rsidRPr="00964FD9">
        <w:t xml:space="preserve">Workforce Development, Supply and Demand — provided advice on matters relating to short and long term workforce development, supply and demand issues to address </w:t>
      </w:r>
      <w:r w:rsidRPr="00964FD9">
        <w:lastRenderedPageBreak/>
        <w:t>emerging skills needs and impediments to workforce reforms with a view to improving productivity, participation and skills utilisation.</w:t>
      </w:r>
    </w:p>
    <w:p w:rsidR="00964FD9" w:rsidRPr="00964FD9" w:rsidRDefault="00964FD9" w:rsidP="00964FD9">
      <w:pPr>
        <w:pStyle w:val="ListBullet"/>
      </w:pPr>
      <w:r w:rsidRPr="00964FD9">
        <w:t>Data and Performance Measurement — provided advice on matters relating to performance against tertiary education national targets, data collection and measurement, approaches to the public provision of high quality information and opportunities to resolve data issues such as common definitions and comparability.</w:t>
      </w:r>
    </w:p>
    <w:p w:rsidR="00964FD9" w:rsidRPr="00964FD9" w:rsidRDefault="00964FD9" w:rsidP="00964FD9">
      <w:pPr>
        <w:pStyle w:val="BodyText"/>
      </w:pPr>
      <w:r w:rsidRPr="00964FD9">
        <w:t xml:space="preserve">The Joint Committee on Higher Education reported directly to </w:t>
      </w:r>
      <w:proofErr w:type="spellStart"/>
      <w:r w:rsidRPr="00964FD9">
        <w:t>NSOC</w:t>
      </w:r>
      <w:proofErr w:type="spellEnd"/>
      <w:r w:rsidRPr="00964FD9">
        <w:t>.</w:t>
      </w:r>
    </w:p>
    <w:p w:rsidR="00964FD9" w:rsidRDefault="00964FD9" w:rsidP="00964FD9">
      <w:pPr>
        <w:pStyle w:val="BodyText"/>
      </w:pPr>
      <w:r w:rsidRPr="00964FD9">
        <w:t xml:space="preserve">In 2013 a number of other bodies reported or provided advice to </w:t>
      </w:r>
      <w:proofErr w:type="spellStart"/>
      <w:r w:rsidRPr="00964FD9">
        <w:t>SCOTESE</w:t>
      </w:r>
      <w:proofErr w:type="spellEnd"/>
      <w:r w:rsidRPr="00964FD9">
        <w:t>, either directly or indirectly. These included:</w:t>
      </w:r>
    </w:p>
    <w:p w:rsidR="00383496" w:rsidRPr="00383496" w:rsidRDefault="00383496" w:rsidP="00383496">
      <w:pPr>
        <w:pStyle w:val="ListBullet"/>
      </w:pPr>
      <w:r w:rsidRPr="00383496">
        <w:t>The National Skills Standards Council (</w:t>
      </w:r>
      <w:proofErr w:type="spellStart"/>
      <w:r w:rsidRPr="00383496">
        <w:t>NSSC</w:t>
      </w:r>
      <w:proofErr w:type="spellEnd"/>
      <w:r w:rsidRPr="00383496">
        <w:t xml:space="preserve">), an expert body charged with responsibility for providing advice to </w:t>
      </w:r>
      <w:proofErr w:type="spellStart"/>
      <w:r w:rsidRPr="00383496">
        <w:t>SCOTESE</w:t>
      </w:r>
      <w:proofErr w:type="spellEnd"/>
      <w:r w:rsidRPr="00383496">
        <w:t xml:space="preserve"> on, and informing the sector of, the national standards for regulation of vocational education and training. The </w:t>
      </w:r>
      <w:proofErr w:type="spellStart"/>
      <w:r w:rsidRPr="00383496">
        <w:t>NSSC</w:t>
      </w:r>
      <w:proofErr w:type="spellEnd"/>
      <w:r w:rsidRPr="00383496">
        <w:t xml:space="preserve"> also has specific decision making powers in relation to the endorsement of Training Packages.</w:t>
      </w:r>
    </w:p>
    <w:p w:rsidR="00383496" w:rsidRPr="00383496" w:rsidRDefault="00383496" w:rsidP="00383496">
      <w:pPr>
        <w:pStyle w:val="ListBullet"/>
      </w:pPr>
      <w:r w:rsidRPr="00383496">
        <w:t>The National VET Equity Advisory Council (</w:t>
      </w:r>
      <w:proofErr w:type="spellStart"/>
      <w:r w:rsidRPr="00383496">
        <w:t>NVEAC</w:t>
      </w:r>
      <w:proofErr w:type="spellEnd"/>
      <w:r w:rsidRPr="00383496">
        <w:t xml:space="preserve">) provided high-level strategic advice to </w:t>
      </w:r>
      <w:proofErr w:type="spellStart"/>
      <w:r w:rsidRPr="00383496">
        <w:t>SCOTESE</w:t>
      </w:r>
      <w:proofErr w:type="spellEnd"/>
      <w:r w:rsidRPr="00383496">
        <w:t xml:space="preserve"> on improving outcomes for equity groups in VET. The advice provided by the Council was informed by the policy directions outlined in the </w:t>
      </w:r>
      <w:r w:rsidRPr="00383496">
        <w:rPr>
          <w:i/>
        </w:rPr>
        <w:t>Equity Blueprint 2011–16 Creating Futures: Achieving Potential through VET</w:t>
      </w:r>
      <w:r w:rsidRPr="00383496">
        <w:t>.</w:t>
      </w:r>
    </w:p>
    <w:p w:rsidR="00383496" w:rsidRPr="00383496" w:rsidRDefault="00383496" w:rsidP="00383496">
      <w:pPr>
        <w:pStyle w:val="ListBullet"/>
      </w:pPr>
      <w:r w:rsidRPr="00383496">
        <w:t>The Australian Qualifications Framework Council (</w:t>
      </w:r>
      <w:proofErr w:type="spellStart"/>
      <w:r w:rsidRPr="00383496">
        <w:t>AQFC</w:t>
      </w:r>
      <w:proofErr w:type="spellEnd"/>
      <w:r w:rsidRPr="00383496">
        <w:t xml:space="preserve">). The </w:t>
      </w:r>
      <w:proofErr w:type="spellStart"/>
      <w:r w:rsidRPr="00383496">
        <w:t>AQF</w:t>
      </w:r>
      <w:proofErr w:type="spellEnd"/>
      <w:r w:rsidRPr="00383496">
        <w:t xml:space="preserve"> is the national framework for regulated qualifications in Australian education and training. The </w:t>
      </w:r>
      <w:proofErr w:type="spellStart"/>
      <w:r w:rsidRPr="00383496">
        <w:t>AQFC</w:t>
      </w:r>
      <w:proofErr w:type="spellEnd"/>
      <w:r w:rsidRPr="00383496">
        <w:t xml:space="preserve"> is a council of the national ministers responsible for tertiary education, training and employment.  The </w:t>
      </w:r>
      <w:proofErr w:type="spellStart"/>
      <w:r w:rsidRPr="00383496">
        <w:t>AQFC</w:t>
      </w:r>
      <w:proofErr w:type="spellEnd"/>
      <w:r w:rsidRPr="00383496">
        <w:t xml:space="preserve"> is also obliged to report to the national ministers responsible for school education. The </w:t>
      </w:r>
      <w:proofErr w:type="spellStart"/>
      <w:r w:rsidRPr="00383496">
        <w:t>AQFC</w:t>
      </w:r>
      <w:proofErr w:type="spellEnd"/>
      <w:r w:rsidRPr="00383496">
        <w:t xml:space="preserve"> has authority delegated to it by ministers to monitor and maintain the </w:t>
      </w:r>
      <w:proofErr w:type="spellStart"/>
      <w:r w:rsidRPr="00383496">
        <w:t>AQF</w:t>
      </w:r>
      <w:proofErr w:type="spellEnd"/>
      <w:r w:rsidRPr="00383496">
        <w:t xml:space="preserve">, support its users and promote </w:t>
      </w:r>
      <w:proofErr w:type="spellStart"/>
      <w:r w:rsidRPr="00383496">
        <w:t>AQF</w:t>
      </w:r>
      <w:proofErr w:type="spellEnd"/>
      <w:r w:rsidRPr="00383496">
        <w:t xml:space="preserve"> qualifications to the community. It is also responsible for providing strategic and authoritative advice to national ministers on the </w:t>
      </w:r>
      <w:proofErr w:type="spellStart"/>
      <w:r w:rsidRPr="00383496">
        <w:t>AQF</w:t>
      </w:r>
      <w:proofErr w:type="spellEnd"/>
      <w:r w:rsidRPr="00383496">
        <w:t xml:space="preserve"> to ensure it is nationally and internationally robust and supports qualif</w:t>
      </w:r>
      <w:r w:rsidR="00204C83">
        <w:t>ication linkages and pathways.</w:t>
      </w:r>
    </w:p>
    <w:p w:rsidR="00383496" w:rsidRPr="00383496" w:rsidRDefault="00383496" w:rsidP="00383496">
      <w:pPr>
        <w:pStyle w:val="ListBullet"/>
      </w:pPr>
      <w:r w:rsidRPr="00383496">
        <w:t xml:space="preserve">The National Centre for Vocational Education Research (NCVER) is Australia’s clearing house for VET data and research. The organisation is a not-for-profit company owned by State, Territory and federal ministers responsible for training. NCVER is responsible for the collection of VET statistics and for providing statistical and other information to a wide range of stakeholders. It also facilitates and disseminates research and undertakes employer, student and graduate surveys relating to VET outcomes and performance. </w:t>
      </w:r>
    </w:p>
    <w:p w:rsidR="00383496" w:rsidRPr="00383496" w:rsidRDefault="00383496" w:rsidP="00383496">
      <w:pPr>
        <w:pStyle w:val="ListBullet"/>
      </w:pPr>
      <w:r w:rsidRPr="00383496">
        <w:t xml:space="preserve">The Flexible Learning Advisory Group (FLAG) was an advisory committee to </w:t>
      </w:r>
      <w:proofErr w:type="spellStart"/>
      <w:r w:rsidRPr="00383496">
        <w:t>NSOC</w:t>
      </w:r>
      <w:proofErr w:type="spellEnd"/>
      <w:r w:rsidRPr="00383496">
        <w:t xml:space="preserve"> on national directions and priorities for information and communication technologies in VET, and in Adult and Community Education.</w:t>
      </w:r>
    </w:p>
    <w:p w:rsidR="00383496" w:rsidRPr="00383496" w:rsidRDefault="00383496" w:rsidP="00383496">
      <w:pPr>
        <w:pStyle w:val="ListBullet"/>
      </w:pPr>
      <w:r w:rsidRPr="00383496">
        <w:t>The National Advisory for Tertiary Education, Skills and Employment (</w:t>
      </w:r>
      <w:proofErr w:type="spellStart"/>
      <w:r w:rsidRPr="00383496">
        <w:t>NATESE</w:t>
      </w:r>
      <w:proofErr w:type="spellEnd"/>
      <w:r w:rsidRPr="00383496">
        <w:t xml:space="preserve">) provided policy and secretariat support for a number of committees and advisory </w:t>
      </w:r>
      <w:r w:rsidRPr="00383496">
        <w:lastRenderedPageBreak/>
        <w:t>groups (</w:t>
      </w:r>
      <w:proofErr w:type="spellStart"/>
      <w:r w:rsidRPr="00383496">
        <w:t>SCOTESE</w:t>
      </w:r>
      <w:proofErr w:type="spellEnd"/>
      <w:r w:rsidRPr="00383496">
        <w:t xml:space="preserve">, </w:t>
      </w:r>
      <w:proofErr w:type="spellStart"/>
      <w:r w:rsidRPr="00383496">
        <w:t>NSOC</w:t>
      </w:r>
      <w:proofErr w:type="spellEnd"/>
      <w:r w:rsidRPr="00383496">
        <w:t xml:space="preserve">, </w:t>
      </w:r>
      <w:proofErr w:type="spellStart"/>
      <w:r w:rsidRPr="00383496">
        <w:t>NSSC</w:t>
      </w:r>
      <w:proofErr w:type="spellEnd"/>
      <w:r w:rsidRPr="00383496">
        <w:t xml:space="preserve">, </w:t>
      </w:r>
      <w:proofErr w:type="spellStart"/>
      <w:r w:rsidRPr="00383496">
        <w:t>NVEAC</w:t>
      </w:r>
      <w:proofErr w:type="spellEnd"/>
      <w:r w:rsidRPr="00383496">
        <w:t xml:space="preserve"> and FLAG). Policy and secretariat services for the </w:t>
      </w:r>
      <w:proofErr w:type="spellStart"/>
      <w:r w:rsidRPr="00383496">
        <w:t>AQFC</w:t>
      </w:r>
      <w:proofErr w:type="spellEnd"/>
      <w:r w:rsidRPr="00383496">
        <w:t xml:space="preserve"> were provided on a shared platform of support with </w:t>
      </w:r>
      <w:proofErr w:type="spellStart"/>
      <w:r w:rsidRPr="00383496">
        <w:t>NATESE</w:t>
      </w:r>
      <w:proofErr w:type="spellEnd"/>
      <w:r w:rsidRPr="00383496">
        <w:t>.</w:t>
      </w:r>
    </w:p>
    <w:p w:rsidR="00383496" w:rsidRDefault="00383496" w:rsidP="00383496">
      <w:pPr>
        <w:pStyle w:val="ListBullet"/>
      </w:pPr>
      <w:r w:rsidRPr="00383496">
        <w:t>The Australian Skills Quality Authority (</w:t>
      </w:r>
      <w:proofErr w:type="spellStart"/>
      <w:r w:rsidRPr="00383496">
        <w:t>ASQA</w:t>
      </w:r>
      <w:proofErr w:type="spellEnd"/>
      <w:r w:rsidRPr="00383496">
        <w:t xml:space="preserve">) is the national regulator for Australia’s VET sector. </w:t>
      </w:r>
      <w:proofErr w:type="spellStart"/>
      <w:r w:rsidRPr="00383496">
        <w:t>ASQA</w:t>
      </w:r>
      <w:proofErr w:type="spellEnd"/>
      <w:r w:rsidRPr="00383496">
        <w:t xml:space="preserve"> regulates courses and training providers to ensure nationally approved quality standards, set by the </w:t>
      </w:r>
      <w:proofErr w:type="spellStart"/>
      <w:r w:rsidRPr="00383496">
        <w:t>NSSC</w:t>
      </w:r>
      <w:proofErr w:type="spellEnd"/>
      <w:r w:rsidRPr="00383496">
        <w:t xml:space="preserve">, are met. </w:t>
      </w:r>
      <w:proofErr w:type="spellStart"/>
      <w:r w:rsidRPr="00383496">
        <w:t>ASQA</w:t>
      </w:r>
      <w:proofErr w:type="spellEnd"/>
      <w:r w:rsidRPr="00383496">
        <w:t xml:space="preserve"> has jurisdiction over all </w:t>
      </w:r>
      <w:proofErr w:type="spellStart"/>
      <w:r w:rsidRPr="00383496">
        <w:t>RTOs</w:t>
      </w:r>
      <w:proofErr w:type="spellEnd"/>
      <w:r w:rsidRPr="00383496">
        <w:t xml:space="preserve">, except those operating solely in Victoria and/or Western Australia that do not offer services to overseas students. These providers are regulated by the Victorian Registration and Qualifications Authority if operating in Victoria and the Training Accreditation Council if operating in Western Australia. The function of registering </w:t>
      </w:r>
      <w:proofErr w:type="spellStart"/>
      <w:r w:rsidRPr="00383496">
        <w:t>RTOs</w:t>
      </w:r>
      <w:proofErr w:type="spellEnd"/>
      <w:r w:rsidRPr="00383496">
        <w:t xml:space="preserve"> within this jurisdiction transferred to </w:t>
      </w:r>
      <w:proofErr w:type="spellStart"/>
      <w:r w:rsidRPr="00383496">
        <w:t>ASQA</w:t>
      </w:r>
      <w:proofErr w:type="spellEnd"/>
      <w:r w:rsidRPr="00383496">
        <w:t xml:space="preserve"> in stages from July 2011 to June 2012.</w:t>
      </w:r>
    </w:p>
    <w:p w:rsidR="0063132C" w:rsidRPr="00383496" w:rsidRDefault="0063132C" w:rsidP="0063132C">
      <w:pPr>
        <w:pStyle w:val="BodyText"/>
      </w:pPr>
      <w:r w:rsidRPr="0063132C">
        <w:t>National reporting relationships in the VET sector are summarised in figure 5.2.</w:t>
      </w:r>
    </w:p>
    <w:p w:rsidR="00296392" w:rsidRDefault="00296392" w:rsidP="0063132C">
      <w:pPr>
        <w:pStyle w:val="BoxSpaceAbove"/>
        <w:spacing w:before="32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96392" w:rsidTr="00BC49F4">
        <w:tc>
          <w:tcPr>
            <w:tcW w:w="8771" w:type="dxa"/>
            <w:tcBorders>
              <w:top w:val="single" w:sz="6" w:space="0" w:color="78A22F"/>
              <w:left w:val="nil"/>
              <w:bottom w:val="nil"/>
              <w:right w:val="nil"/>
            </w:tcBorders>
            <w:shd w:val="clear" w:color="auto" w:fill="auto"/>
          </w:tcPr>
          <w:p w:rsidR="00383496" w:rsidRPr="00383496" w:rsidRDefault="00296392" w:rsidP="00A26D57">
            <w:pPr>
              <w:pStyle w:val="FigureTitle"/>
              <w:rPr>
                <w:vertAlign w:val="superscript"/>
              </w:rPr>
            </w:pPr>
            <w:r w:rsidRPr="00784A05">
              <w:rPr>
                <w:b w:val="0"/>
              </w:rPr>
              <w:t xml:space="preserve">Figure </w:t>
            </w:r>
            <w:r>
              <w:rPr>
                <w:b w:val="0"/>
              </w:rPr>
              <w:t>5.</w:t>
            </w:r>
            <w:r w:rsidR="00D80B1E">
              <w:rPr>
                <w:b w:val="0"/>
                <w:noProof/>
              </w:rPr>
              <w:t>2</w:t>
            </w:r>
            <w:r>
              <w:tab/>
            </w:r>
            <w:r w:rsidR="00BB5B63" w:rsidRPr="00BB5B63">
              <w:t xml:space="preserve">National reporting relationships within the VET system in </w:t>
            </w:r>
            <w:proofErr w:type="spellStart"/>
            <w:r w:rsidR="00BB5B63" w:rsidRPr="00BB5B63">
              <w:t>201</w:t>
            </w:r>
            <w:r w:rsidR="00383496">
              <w:t>3</w:t>
            </w:r>
            <w:r w:rsidR="00BB5B63" w:rsidRPr="00BB5B63">
              <w:rPr>
                <w:vertAlign w:val="superscript"/>
              </w:rPr>
              <w:t>a</w:t>
            </w:r>
            <w:proofErr w:type="spellEnd"/>
            <w:r w:rsidR="00CD31B7">
              <w:rPr>
                <w:vertAlign w:val="superscript"/>
              </w:rPr>
              <w:t xml:space="preserve"> </w:t>
            </w:r>
          </w:p>
        </w:tc>
      </w:tr>
      <w:tr w:rsidR="00296392" w:rsidRPr="00176D3F" w:rsidTr="00A26D57">
        <w:tc>
          <w:tcPr>
            <w:tcW w:w="8771" w:type="dxa"/>
            <w:tcBorders>
              <w:top w:val="nil"/>
              <w:left w:val="nil"/>
              <w:bottom w:val="nil"/>
              <w:right w:val="nil"/>
            </w:tcBorders>
            <w:shd w:val="clear" w:color="auto" w:fill="auto"/>
          </w:tcPr>
          <w:p w:rsidR="00383496" w:rsidRDefault="00290043" w:rsidP="00290FF3">
            <w:pPr>
              <w:pStyle w:val="Figure"/>
            </w:pPr>
            <w:r>
              <w:rPr>
                <w:noProof/>
              </w:rPr>
              <w:drawing>
                <wp:inline distT="0" distB="0" distL="0" distR="0" wp14:anchorId="365E7566" wp14:editId="60CAAD1C">
                  <wp:extent cx="5384800" cy="4679950"/>
                  <wp:effectExtent l="0" t="0" r="6350" b="6350"/>
                  <wp:docPr id="4" name="Picture 4" descr="Figure 5.2 National reporting relationships within the VET system in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84800" cy="4679950"/>
                          </a:xfrm>
                          <a:prstGeom prst="rect">
                            <a:avLst/>
                          </a:prstGeom>
                          <a:solidFill>
                            <a:schemeClr val="bg1"/>
                          </a:solidFill>
                          <a:ln>
                            <a:noFill/>
                          </a:ln>
                        </pic:spPr>
                      </pic:pic>
                    </a:graphicData>
                  </a:graphic>
                </wp:inline>
              </w:drawing>
            </w:r>
          </w:p>
          <w:p w:rsidR="00296392" w:rsidRPr="00176D3F" w:rsidRDefault="00BB5B63" w:rsidP="00383496">
            <w:pPr>
              <w:pStyle w:val="Note"/>
            </w:pPr>
            <w:proofErr w:type="spellStart"/>
            <w:r w:rsidRPr="00EF5A5F">
              <w:rPr>
                <w:rStyle w:val="NoteLabel"/>
              </w:rPr>
              <w:t>a</w:t>
            </w:r>
            <w:proofErr w:type="spellEnd"/>
            <w:r w:rsidRPr="00EF5A5F">
              <w:t xml:space="preserve"> </w:t>
            </w:r>
            <w:r w:rsidRPr="005440C7">
              <w:t xml:space="preserve">This is a summarised reflection of the </w:t>
            </w:r>
            <w:r w:rsidRPr="000C682B">
              <w:rPr>
                <w:shd w:val="clear" w:color="auto" w:fill="FFFFFF" w:themeFill="background1"/>
              </w:rPr>
              <w:t>governance and reporting environment at September</w:t>
            </w:r>
            <w:r w:rsidRPr="005440C7">
              <w:t xml:space="preserve"> 201</w:t>
            </w:r>
            <w:r w:rsidR="00383496">
              <w:t>3</w:t>
            </w:r>
            <w:r w:rsidRPr="005440C7">
              <w:t>, and does not reflect all stakeholders and their interactions in the VET sector.</w:t>
            </w:r>
          </w:p>
        </w:tc>
      </w:tr>
      <w:tr w:rsidR="00296392" w:rsidTr="00BC49F4">
        <w:tc>
          <w:tcPr>
            <w:tcW w:w="8771" w:type="dxa"/>
            <w:tcBorders>
              <w:top w:val="nil"/>
              <w:left w:val="nil"/>
              <w:bottom w:val="single" w:sz="6" w:space="0" w:color="78A22F"/>
              <w:right w:val="nil"/>
            </w:tcBorders>
            <w:shd w:val="clear" w:color="auto" w:fill="auto"/>
          </w:tcPr>
          <w:p w:rsidR="00296392" w:rsidRDefault="00296392" w:rsidP="00BC49F4">
            <w:pPr>
              <w:pStyle w:val="Figurespace"/>
            </w:pPr>
          </w:p>
        </w:tc>
      </w:tr>
      <w:tr w:rsidR="00296392" w:rsidRPr="000863A5" w:rsidTr="00BC49F4">
        <w:trPr>
          <w:hidden/>
        </w:trPr>
        <w:tc>
          <w:tcPr>
            <w:tcW w:w="8771" w:type="dxa"/>
            <w:tcBorders>
              <w:top w:val="single" w:sz="6" w:space="0" w:color="78A22F"/>
              <w:left w:val="nil"/>
              <w:bottom w:val="nil"/>
              <w:right w:val="nil"/>
            </w:tcBorders>
          </w:tcPr>
          <w:p w:rsidR="00383496" w:rsidRPr="00290FF3" w:rsidRDefault="00383496" w:rsidP="00290FF3">
            <w:pPr>
              <w:pStyle w:val="BoxSpaceBelow"/>
              <w:rPr>
                <w:rFonts w:ascii="Times New Roman" w:hAnsi="Times New Roman"/>
                <w:b/>
                <w:vanish/>
                <w:color w:val="FF00FF"/>
              </w:rPr>
            </w:pPr>
          </w:p>
        </w:tc>
      </w:tr>
    </w:tbl>
    <w:p w:rsidR="00290FF3" w:rsidRDefault="00290FF3" w:rsidP="00290FF3">
      <w:pPr>
        <w:pStyle w:val="Heading4"/>
      </w:pPr>
      <w:r>
        <w:lastRenderedPageBreak/>
        <w:t>V</w:t>
      </w:r>
      <w:r w:rsidRPr="00EF5A5F">
        <w:t>ET funding flows</w:t>
      </w:r>
    </w:p>
    <w:p w:rsidR="00F530AB" w:rsidRPr="00EF5A5F" w:rsidRDefault="00F530AB" w:rsidP="00383496">
      <w:pPr>
        <w:pStyle w:val="BodyText"/>
      </w:pPr>
      <w:r w:rsidRPr="00EF5A5F">
        <w:t xml:space="preserve">State and Territory governments provide funding to VET providers, students and employers through State and </w:t>
      </w:r>
      <w:r w:rsidRPr="00CD1406">
        <w:t>Territory training authorities</w:t>
      </w:r>
      <w:r w:rsidR="00AD7CF2">
        <w:t>,</w:t>
      </w:r>
      <w:r w:rsidRPr="00CD1406">
        <w:t xml:space="preserve"> to support the delivery of training, improve student services and provide incentives for employers and apprentices. State and Territory governments provided $</w:t>
      </w:r>
      <w:r w:rsidR="006E56B0">
        <w:t>4.0</w:t>
      </w:r>
      <w:r w:rsidR="00AE5734">
        <w:t xml:space="preserve"> </w:t>
      </w:r>
      <w:r w:rsidRPr="00CD1406">
        <w:t xml:space="preserve">billion in </w:t>
      </w:r>
      <w:r w:rsidR="00FA1115" w:rsidRPr="00CD1406">
        <w:t>201</w:t>
      </w:r>
      <w:r w:rsidR="00771203">
        <w:t>3</w:t>
      </w:r>
      <w:r w:rsidR="00CE6D0B" w:rsidRPr="00CD1406">
        <w:t xml:space="preserve"> </w:t>
      </w:r>
      <w:r w:rsidRPr="00CD1406">
        <w:t xml:space="preserve">— </w:t>
      </w:r>
      <w:r w:rsidR="006E56B0">
        <w:t>68.7</w:t>
      </w:r>
      <w:r w:rsidR="00AE5734">
        <w:t xml:space="preserve"> </w:t>
      </w:r>
      <w:r w:rsidRPr="00CD1406">
        <w:t>per</w:t>
      </w:r>
      <w:r w:rsidR="00AE5734">
        <w:t xml:space="preserve"> </w:t>
      </w:r>
      <w:r w:rsidRPr="00CD1406">
        <w:t>cent of government funding. The Australian Government provided the remainder of government funding ($</w:t>
      </w:r>
      <w:r w:rsidR="006E56B0">
        <w:t>1.8</w:t>
      </w:r>
      <w:r w:rsidR="00AE5734">
        <w:t xml:space="preserve"> </w:t>
      </w:r>
      <w:r w:rsidR="000F1D6C" w:rsidRPr="00CD1406">
        <w:t>b</w:t>
      </w:r>
      <w:r w:rsidRPr="00CD1406">
        <w:t>illion) (table</w:t>
      </w:r>
      <w:r w:rsidR="00AE5734">
        <w:t xml:space="preserve"> </w:t>
      </w:r>
      <w:proofErr w:type="spellStart"/>
      <w:r w:rsidRPr="00CD1406">
        <w:t>5A.</w:t>
      </w:r>
      <w:r w:rsidR="00B80A36" w:rsidRPr="00CD1406">
        <w:t>8</w:t>
      </w:r>
      <w:proofErr w:type="spellEnd"/>
      <w:r w:rsidRPr="00CD1406">
        <w:t>).</w:t>
      </w:r>
      <w:r w:rsidR="00463D0A" w:rsidRPr="00CD1406">
        <w:t xml:space="preserve"> </w:t>
      </w:r>
      <w:r w:rsidR="004E5765" w:rsidRPr="00CD1406">
        <w:t>I</w:t>
      </w:r>
      <w:r w:rsidR="00463D0A" w:rsidRPr="00CD1406">
        <w:t xml:space="preserve">nformation </w:t>
      </w:r>
      <w:r w:rsidR="00463D0A" w:rsidRPr="00EF5A5F">
        <w:t xml:space="preserve">on the comparability of </w:t>
      </w:r>
      <w:r w:rsidR="004E5765" w:rsidRPr="00EF5A5F">
        <w:t xml:space="preserve">funding data </w:t>
      </w:r>
      <w:r w:rsidR="002872FE" w:rsidRPr="00EF5A5F">
        <w:t>is provided in b</w:t>
      </w:r>
      <w:r w:rsidR="00463D0A" w:rsidRPr="00EF5A5F">
        <w:t>ox 5.6.</w:t>
      </w:r>
    </w:p>
    <w:p w:rsidR="000D228D" w:rsidRDefault="00AD7CF2" w:rsidP="004E4135">
      <w:pPr>
        <w:pStyle w:val="BodyText"/>
      </w:pPr>
      <w:r w:rsidRPr="00EF5A5F">
        <w:t>The Australian, State and Territory governments provide funding for apprenticeships in the form of employer incentives and subsidies. The Australian Government also provides funding for Australian Apprenticeship Centres and employer incentives for Australian Apprenticeships</w:t>
      </w:r>
      <w:r>
        <w:t xml:space="preserve">. </w:t>
      </w:r>
      <w:proofErr w:type="spellStart"/>
      <w:r w:rsidR="00F530AB" w:rsidRPr="00EF5A5F">
        <w:t>RTOs</w:t>
      </w:r>
      <w:proofErr w:type="spellEnd"/>
      <w:r w:rsidR="00F530AB" w:rsidRPr="00EF5A5F">
        <w:t xml:space="preserve"> also receive revenue from individuals and organisations for fee</w:t>
      </w:r>
      <w:r w:rsidR="000D228D">
        <w:noBreakHyphen/>
      </w:r>
      <w:r w:rsidR="00F530AB" w:rsidRPr="00EF5A5F">
        <w:t>for-service programs, ancillary trading revenue, other operating revenue and revenue from Australian, State and Territory go</w:t>
      </w:r>
      <w:r>
        <w:t>vernment specific purpose funds</w:t>
      </w:r>
      <w:r w:rsidR="000D228D">
        <w:t>.</w:t>
      </w:r>
    </w:p>
    <w:p w:rsidR="004B13EC" w:rsidRDefault="000D228D" w:rsidP="004B13EC">
      <w:pPr>
        <w:pStyle w:val="BodyText"/>
      </w:pPr>
      <w:r>
        <w:t xml:space="preserve">The major </w:t>
      </w:r>
      <w:r w:rsidR="0007335C">
        <w:t>funding</w:t>
      </w:r>
      <w:r>
        <w:t xml:space="preserve"> flows within the VET system are identified </w:t>
      </w:r>
      <w:r w:rsidR="0007335C">
        <w:t xml:space="preserve">in </w:t>
      </w:r>
      <w:r w:rsidR="001B2B48" w:rsidRPr="00EF5A5F">
        <w:t xml:space="preserve">figure </w:t>
      </w:r>
      <w:r w:rsidR="00110AF6">
        <w:t>5.3</w:t>
      </w:r>
      <w:r w:rsidR="00F530AB" w:rsidRPr="00EF5A5F">
        <w:t>.</w:t>
      </w:r>
      <w:r w:rsidR="005125E4">
        <w:t xml:space="preserve"> </w:t>
      </w:r>
    </w:p>
    <w:p w:rsidR="00BC49F4" w:rsidRDefault="00BC49F4" w:rsidP="00BC49F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C49F4" w:rsidTr="00BC49F4">
        <w:tc>
          <w:tcPr>
            <w:tcW w:w="8771" w:type="dxa"/>
            <w:tcBorders>
              <w:top w:val="single" w:sz="6" w:space="0" w:color="78A22F"/>
              <w:left w:val="nil"/>
              <w:bottom w:val="nil"/>
              <w:right w:val="nil"/>
            </w:tcBorders>
            <w:shd w:val="clear" w:color="auto" w:fill="auto"/>
          </w:tcPr>
          <w:p w:rsidR="00BC49F4" w:rsidRPr="00176D3F" w:rsidRDefault="00BC49F4" w:rsidP="00BC49F4">
            <w:pPr>
              <w:pStyle w:val="FigureTitle"/>
            </w:pPr>
            <w:r w:rsidRPr="00784A05">
              <w:rPr>
                <w:b w:val="0"/>
              </w:rPr>
              <w:t xml:space="preserve">Figure </w:t>
            </w:r>
            <w:r>
              <w:rPr>
                <w:b w:val="0"/>
              </w:rPr>
              <w:t>5.</w:t>
            </w:r>
            <w:r w:rsidR="00D80B1E">
              <w:rPr>
                <w:b w:val="0"/>
                <w:noProof/>
              </w:rPr>
              <w:t>3</w:t>
            </w:r>
            <w:r>
              <w:tab/>
            </w:r>
            <w:r w:rsidRPr="00EF5A5F">
              <w:t>Major funding flows within the VET system</w:t>
            </w:r>
            <w:r w:rsidR="00D34E3B">
              <w:t>, 2013</w:t>
            </w:r>
          </w:p>
        </w:tc>
      </w:tr>
      <w:tr w:rsidR="00BC49F4" w:rsidTr="00A26D57">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487"/>
            </w:tblGrid>
            <w:tr w:rsidR="00BC49F4" w:rsidTr="00A26D57">
              <w:tc>
                <w:tcPr>
                  <w:tcW w:w="5000" w:type="pct"/>
                  <w:tcBorders>
                    <w:top w:val="nil"/>
                    <w:bottom w:val="nil"/>
                  </w:tcBorders>
                  <w:shd w:val="clear" w:color="auto" w:fill="auto"/>
                </w:tcPr>
                <w:p w:rsidR="00290FF3" w:rsidRPr="005019B8" w:rsidRDefault="009F6491" w:rsidP="005019B8">
                  <w:pPr>
                    <w:pStyle w:val="Figure"/>
                    <w:rPr>
                      <w:rStyle w:val="DraftingNote"/>
                      <w:b w:val="0"/>
                      <w:color w:val="auto"/>
                      <w:u w:val="none"/>
                    </w:rPr>
                  </w:pPr>
                  <w:r>
                    <w:rPr>
                      <w:noProof/>
                    </w:rPr>
                    <w:drawing>
                      <wp:inline distT="0" distB="0" distL="0" distR="0">
                        <wp:extent cx="5391150" cy="4695825"/>
                        <wp:effectExtent l="0" t="0" r="0" b="9525"/>
                        <wp:docPr id="1" name="Picture 1" descr="Figure 5.3 Major funding flows within the VET system,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1150" cy="4695825"/>
                                </a:xfrm>
                                <a:prstGeom prst="rect">
                                  <a:avLst/>
                                </a:prstGeom>
                                <a:solidFill>
                                  <a:srgbClr val="FFFFFF"/>
                                </a:solidFill>
                                <a:ln>
                                  <a:noFill/>
                                </a:ln>
                              </pic:spPr>
                            </pic:pic>
                          </a:graphicData>
                        </a:graphic>
                      </wp:inline>
                    </w:drawing>
                  </w:r>
                </w:p>
              </w:tc>
            </w:tr>
          </w:tbl>
          <w:p w:rsidR="00BC49F4" w:rsidRDefault="00BC49F4" w:rsidP="00BC49F4">
            <w:pPr>
              <w:pStyle w:val="Figure"/>
            </w:pPr>
          </w:p>
        </w:tc>
      </w:tr>
      <w:tr w:rsidR="00BC49F4" w:rsidTr="00BC49F4">
        <w:tc>
          <w:tcPr>
            <w:tcW w:w="8771" w:type="dxa"/>
            <w:tcBorders>
              <w:top w:val="nil"/>
              <w:left w:val="nil"/>
              <w:bottom w:val="single" w:sz="6" w:space="0" w:color="78A22F"/>
              <w:right w:val="nil"/>
            </w:tcBorders>
            <w:shd w:val="clear" w:color="auto" w:fill="auto"/>
          </w:tcPr>
          <w:p w:rsidR="00BC49F4" w:rsidRDefault="00BC49F4" w:rsidP="00BC49F4">
            <w:pPr>
              <w:pStyle w:val="Figurespace"/>
            </w:pPr>
          </w:p>
        </w:tc>
      </w:tr>
      <w:tr w:rsidR="00BC49F4" w:rsidRPr="000863A5" w:rsidTr="00BC49F4">
        <w:tc>
          <w:tcPr>
            <w:tcW w:w="8771" w:type="dxa"/>
            <w:tcBorders>
              <w:top w:val="single" w:sz="6" w:space="0" w:color="78A22F"/>
              <w:left w:val="nil"/>
              <w:bottom w:val="nil"/>
              <w:right w:val="nil"/>
            </w:tcBorders>
          </w:tcPr>
          <w:p w:rsidR="00BC49F4" w:rsidRPr="00626D32" w:rsidRDefault="00BC49F4" w:rsidP="00BC49F4">
            <w:pPr>
              <w:pStyle w:val="BoxSpaceBelow"/>
            </w:pPr>
          </w:p>
        </w:tc>
      </w:tr>
    </w:tbl>
    <w:p w:rsidR="005019B8" w:rsidRDefault="005019B8" w:rsidP="005019B8">
      <w:pPr>
        <w:pStyle w:val="BodyText"/>
      </w:pPr>
      <w:r w:rsidRPr="005125E4">
        <w:t>While not all training across the VET system (including apprenticeships and traineeships) is government funded, significant government administrative resources support the regulation and management of the system overall.</w:t>
      </w:r>
    </w:p>
    <w:p w:rsidR="00601BD5" w:rsidRPr="00EF5A5F" w:rsidRDefault="00601BD5" w:rsidP="00601BD5">
      <w:pPr>
        <w:pStyle w:val="Heading4"/>
      </w:pPr>
      <w:r w:rsidRPr="00EF5A5F">
        <w:t>Allocation of VET funding</w:t>
      </w:r>
    </w:p>
    <w:p w:rsidR="00601BD5" w:rsidRPr="00EF5A5F" w:rsidRDefault="00601BD5" w:rsidP="00BE4AEE">
      <w:pPr>
        <w:pStyle w:val="BodyText"/>
      </w:pPr>
      <w:r w:rsidRPr="00EF5A5F">
        <w:t xml:space="preserve">The </w:t>
      </w:r>
      <w:r w:rsidR="000D55ED" w:rsidRPr="00EF5A5F">
        <w:t>majority</w:t>
      </w:r>
      <w:r w:rsidRPr="00EF5A5F">
        <w:t xml:space="preserve"> of government VET funds are allocated to government VET providers based on the planned </w:t>
      </w:r>
      <w:r w:rsidR="00BE73C7">
        <w:t xml:space="preserve">level of training delivery agreed with </w:t>
      </w:r>
      <w:r w:rsidRPr="00EF5A5F">
        <w:t xml:space="preserve">State and Territory training authorities. The disbursement of a component of VET funding on a competitive basis was introduced in the early </w:t>
      </w:r>
      <w:proofErr w:type="spellStart"/>
      <w:r w:rsidRPr="00EF5A5F">
        <w:t>1990s</w:t>
      </w:r>
      <w:proofErr w:type="spellEnd"/>
      <w:r w:rsidRPr="00EF5A5F">
        <w:t xml:space="preserve"> to allocate additional Australian Government funds. Processes used to allocate funds on a competitive basis include: </w:t>
      </w:r>
    </w:p>
    <w:p w:rsidR="00601BD5" w:rsidRPr="0007335C" w:rsidRDefault="00601BD5" w:rsidP="00601BD5">
      <w:pPr>
        <w:pStyle w:val="ListBullet"/>
      </w:pPr>
      <w:r w:rsidRPr="0007335C">
        <w:rPr>
          <w:i/>
        </w:rPr>
        <w:t>user choice</w:t>
      </w:r>
      <w:r w:rsidRPr="0007335C">
        <w:t>, whereby the employer and apprentice/trainee choose a registered training provider and negotiate key aspects of their training, and then government funds flow to that provider</w:t>
      </w:r>
    </w:p>
    <w:p w:rsidR="00F019C4" w:rsidRPr="0007335C" w:rsidRDefault="00F019C4" w:rsidP="00F019C4">
      <w:pPr>
        <w:pStyle w:val="ListBullet"/>
      </w:pPr>
      <w:r w:rsidRPr="0007335C">
        <w:rPr>
          <w:i/>
        </w:rPr>
        <w:lastRenderedPageBreak/>
        <w:t>competitive tendering</w:t>
      </w:r>
      <w:r w:rsidRPr="0007335C">
        <w:t xml:space="preserve">, whereby government and private </w:t>
      </w:r>
      <w:proofErr w:type="spellStart"/>
      <w:r w:rsidRPr="0007335C">
        <w:t>RTOs</w:t>
      </w:r>
      <w:proofErr w:type="spellEnd"/>
      <w:r w:rsidRPr="0007335C">
        <w:t xml:space="preserve"> compete for funding contracts from State and Territory training authorities in response to government offers (tenders)</w:t>
      </w:r>
    </w:p>
    <w:p w:rsidR="00D42F31" w:rsidRPr="0007335C" w:rsidRDefault="00601BD5" w:rsidP="00601BD5">
      <w:pPr>
        <w:pStyle w:val="ListBullet"/>
      </w:pPr>
      <w:r w:rsidRPr="0007335C">
        <w:rPr>
          <w:i/>
        </w:rPr>
        <w:t>preferred supplier arrangements</w:t>
      </w:r>
      <w:r w:rsidRPr="0007335C">
        <w:t>, an extension of competitive tendering, whereby a contract is awarded to providers (chosen by the tender process) to provide training on a longer term basis</w:t>
      </w:r>
    </w:p>
    <w:p w:rsidR="00601BD5" w:rsidRPr="0007335C" w:rsidRDefault="00D42F31" w:rsidP="00D42F31">
      <w:pPr>
        <w:pStyle w:val="ListBullet"/>
      </w:pPr>
      <w:r w:rsidRPr="0007335C">
        <w:rPr>
          <w:i/>
        </w:rPr>
        <w:t>other arrangements</w:t>
      </w:r>
      <w:r w:rsidRPr="0007335C">
        <w:t>, in particular ‘entitlement funding’ systems</w:t>
      </w:r>
      <w:r w:rsidR="00D34E3B">
        <w:t>,</w:t>
      </w:r>
      <w:r w:rsidRPr="0007335C">
        <w:t xml:space="preserve"> have been introduced in some states and territories and guarantee government-subsidised training places for qualifications at the providers of students' choice.</w:t>
      </w:r>
      <w:r w:rsidR="00601BD5" w:rsidRPr="0007335C">
        <w:t xml:space="preserve"> </w:t>
      </w:r>
    </w:p>
    <w:p w:rsidR="00601BD5" w:rsidRPr="00EF5A5F" w:rsidRDefault="003E2C31" w:rsidP="00D609AB">
      <w:pPr>
        <w:pStyle w:val="BodyText"/>
      </w:pPr>
      <w:r w:rsidRPr="005125E4">
        <w:t xml:space="preserve">In </w:t>
      </w:r>
      <w:r w:rsidR="00145422" w:rsidRPr="005125E4">
        <w:t>201</w:t>
      </w:r>
      <w:r w:rsidR="00771203">
        <w:t>3</w:t>
      </w:r>
      <w:r w:rsidRPr="005125E4">
        <w:t xml:space="preserve">, </w:t>
      </w:r>
      <w:r w:rsidR="005B7A51" w:rsidRPr="005125E4">
        <w:t>$</w:t>
      </w:r>
      <w:r w:rsidR="006E56B0">
        <w:t>2.5</w:t>
      </w:r>
      <w:r w:rsidR="00AE5734">
        <w:t xml:space="preserve"> </w:t>
      </w:r>
      <w:r w:rsidR="00345020" w:rsidRPr="005125E4">
        <w:t>b</w:t>
      </w:r>
      <w:r w:rsidR="00601BD5" w:rsidRPr="005125E4">
        <w:t xml:space="preserve">illion </w:t>
      </w:r>
      <w:r w:rsidR="00345FCD" w:rsidRPr="005125E4">
        <w:t>(</w:t>
      </w:r>
      <w:r w:rsidR="006E56B0">
        <w:t>42.9</w:t>
      </w:r>
      <w:r w:rsidR="00AE5734">
        <w:t xml:space="preserve"> </w:t>
      </w:r>
      <w:r w:rsidR="00345FCD" w:rsidRPr="005125E4">
        <w:t>per</w:t>
      </w:r>
      <w:r w:rsidR="00AE5734">
        <w:t xml:space="preserve"> </w:t>
      </w:r>
      <w:r w:rsidR="00345FCD" w:rsidRPr="005125E4">
        <w:t xml:space="preserve">cent) </w:t>
      </w:r>
      <w:r w:rsidR="00601BD5" w:rsidRPr="005125E4">
        <w:t xml:space="preserve">of government VET funding was allocated on a competitive basis (including user choice arrangements) — </w:t>
      </w:r>
      <w:r w:rsidR="00204C83">
        <w:t xml:space="preserve">a </w:t>
      </w:r>
      <w:r w:rsidR="006E56B0">
        <w:t>3.</w:t>
      </w:r>
      <w:r w:rsidR="00204C83">
        <w:t>0</w:t>
      </w:r>
      <w:r w:rsidR="00AE5734">
        <w:t xml:space="preserve"> </w:t>
      </w:r>
      <w:r w:rsidR="00601BD5" w:rsidRPr="005125E4">
        <w:t>per</w:t>
      </w:r>
      <w:r w:rsidR="00AE5734">
        <w:t xml:space="preserve"> </w:t>
      </w:r>
      <w:r w:rsidR="00601BD5" w:rsidRPr="005125E4">
        <w:t xml:space="preserve">cent </w:t>
      </w:r>
      <w:r w:rsidR="00204C83">
        <w:t xml:space="preserve">decrease </w:t>
      </w:r>
      <w:r w:rsidR="00601BD5" w:rsidRPr="005125E4">
        <w:t xml:space="preserve">in real terms </w:t>
      </w:r>
      <w:r w:rsidR="00204C83">
        <w:t>from</w:t>
      </w:r>
      <w:r w:rsidR="00601BD5" w:rsidRPr="005125E4">
        <w:t xml:space="preserve"> </w:t>
      </w:r>
      <w:r w:rsidR="00145422" w:rsidRPr="005125E4">
        <w:t>201</w:t>
      </w:r>
      <w:r w:rsidR="00771203">
        <w:t>2</w:t>
      </w:r>
      <w:r w:rsidR="00145422" w:rsidRPr="005125E4">
        <w:t xml:space="preserve"> </w:t>
      </w:r>
      <w:r w:rsidR="00601BD5" w:rsidRPr="005125E4">
        <w:t>(table</w:t>
      </w:r>
      <w:r w:rsidR="00AE5734">
        <w:t xml:space="preserve"> </w:t>
      </w:r>
      <w:proofErr w:type="spellStart"/>
      <w:r w:rsidR="00601BD5" w:rsidRPr="005125E4">
        <w:t>5A.8</w:t>
      </w:r>
      <w:proofErr w:type="spellEnd"/>
      <w:r w:rsidR="00601BD5" w:rsidRPr="005125E4">
        <w:t xml:space="preserve">). </w:t>
      </w:r>
      <w:r w:rsidR="00AF0A2D">
        <w:t xml:space="preserve">Table </w:t>
      </w:r>
      <w:proofErr w:type="spellStart"/>
      <w:r w:rsidR="00AF0A2D">
        <w:t>5A.8</w:t>
      </w:r>
      <w:proofErr w:type="spellEnd"/>
      <w:r w:rsidR="00AF0A2D">
        <w:t xml:space="preserve"> contains information on changes to allocations by states and territories from 2009 to 2013. </w:t>
      </w:r>
      <w:r w:rsidR="005B7A51" w:rsidRPr="005125E4">
        <w:t>$</w:t>
      </w:r>
      <w:r w:rsidR="006E56B0">
        <w:t>1.4</w:t>
      </w:r>
      <w:r w:rsidR="00AE5734">
        <w:t xml:space="preserve"> </w:t>
      </w:r>
      <w:r w:rsidR="00145422" w:rsidRPr="005125E4">
        <w:t>billion</w:t>
      </w:r>
      <w:r w:rsidR="00601BD5" w:rsidRPr="005125E4">
        <w:t xml:space="preserve"> </w:t>
      </w:r>
      <w:r w:rsidR="00A80FE2" w:rsidRPr="005125E4">
        <w:t>was allocated to</w:t>
      </w:r>
      <w:r w:rsidR="00601BD5" w:rsidRPr="005125E4">
        <w:t xml:space="preserve"> non</w:t>
      </w:r>
      <w:r w:rsidR="00601BD5" w:rsidRPr="005125E4">
        <w:noBreakHyphen/>
        <w:t xml:space="preserve">government providers — a </w:t>
      </w:r>
      <w:r w:rsidR="006E56B0">
        <w:t>2.7</w:t>
      </w:r>
      <w:r w:rsidR="00AE5734">
        <w:t xml:space="preserve"> </w:t>
      </w:r>
      <w:r w:rsidR="00601BD5" w:rsidRPr="005125E4">
        <w:t>per</w:t>
      </w:r>
      <w:r w:rsidR="00AE5734">
        <w:t xml:space="preserve"> </w:t>
      </w:r>
      <w:r w:rsidR="00601BD5" w:rsidRPr="005125E4">
        <w:t xml:space="preserve">cent </w:t>
      </w:r>
      <w:r w:rsidR="006E56B0">
        <w:t>de</w:t>
      </w:r>
      <w:r w:rsidR="00601BD5" w:rsidRPr="005125E4">
        <w:t xml:space="preserve">crease in real terms </w:t>
      </w:r>
      <w:r w:rsidR="00ED34C4" w:rsidRPr="005125E4">
        <w:t>from</w:t>
      </w:r>
      <w:r w:rsidR="00601BD5" w:rsidRPr="005125E4">
        <w:t xml:space="preserve"> </w:t>
      </w:r>
      <w:r w:rsidR="00145422" w:rsidRPr="005125E4">
        <w:t>201</w:t>
      </w:r>
      <w:r w:rsidR="00771203">
        <w:t>2</w:t>
      </w:r>
      <w:r w:rsidR="00145422" w:rsidRPr="005125E4">
        <w:t xml:space="preserve"> </w:t>
      </w:r>
      <w:r w:rsidR="00601BD5" w:rsidRPr="005125E4">
        <w:t>(table </w:t>
      </w:r>
      <w:proofErr w:type="spellStart"/>
      <w:r w:rsidR="00601BD5" w:rsidRPr="005125E4">
        <w:t>5A.7</w:t>
      </w:r>
      <w:proofErr w:type="spellEnd"/>
      <w:r w:rsidR="00601BD5" w:rsidRPr="005125E4">
        <w:t xml:space="preserve">). The degree of competition in the tendering process varies across and </w:t>
      </w:r>
      <w:r w:rsidR="00601BD5" w:rsidRPr="00EF5A5F">
        <w:t xml:space="preserve">within jurisdictions, depending on the program. Some tenders can be contested by any </w:t>
      </w:r>
      <w:proofErr w:type="spellStart"/>
      <w:r w:rsidR="00601BD5" w:rsidRPr="00EF5A5F">
        <w:t>RTO</w:t>
      </w:r>
      <w:proofErr w:type="spellEnd"/>
      <w:r w:rsidR="00601BD5" w:rsidRPr="00EF5A5F">
        <w:t xml:space="preserve"> (open competitive tendering), while some </w:t>
      </w:r>
      <w:r w:rsidR="00453E5F" w:rsidRPr="00EF5A5F">
        <w:t xml:space="preserve">other </w:t>
      </w:r>
      <w:r w:rsidR="00601BD5" w:rsidRPr="00EF5A5F">
        <w:t xml:space="preserve">tenders are restricted to </w:t>
      </w:r>
      <w:proofErr w:type="spellStart"/>
      <w:r w:rsidR="00601BD5" w:rsidRPr="00EF5A5F">
        <w:t>RTOs</w:t>
      </w:r>
      <w:proofErr w:type="spellEnd"/>
      <w:r w:rsidR="00601BD5" w:rsidRPr="00EF5A5F">
        <w:t xml:space="preserve"> able to deliver a specific type of training, for example</w:t>
      </w:r>
      <w:r w:rsidR="00453E5F" w:rsidRPr="00EF5A5F">
        <w:t>,</w:t>
      </w:r>
      <w:r w:rsidR="00601BD5" w:rsidRPr="00EF5A5F">
        <w:t xml:space="preserve"> in a selected industry or to a </w:t>
      </w:r>
      <w:r w:rsidR="000D55ED" w:rsidRPr="00EF5A5F">
        <w:t>particular</w:t>
      </w:r>
      <w:r w:rsidR="00601BD5" w:rsidRPr="00EF5A5F">
        <w:t xml:space="preserve"> client group (limited competitive tendering).</w:t>
      </w:r>
      <w:r w:rsidR="00180B31" w:rsidRPr="00EF5A5F">
        <w:t xml:space="preserve"> </w:t>
      </w:r>
      <w:r w:rsidR="00601BD5" w:rsidRPr="00EF5A5F">
        <w:t>Similarly, the scope for competition, in terms of the size of the market of potential providers, varies across jurisdictions.</w:t>
      </w:r>
    </w:p>
    <w:p w:rsidR="00C57336" w:rsidRPr="00EF5A5F" w:rsidRDefault="00FA7BB6" w:rsidP="00281C53">
      <w:pPr>
        <w:pStyle w:val="Heading2"/>
      </w:pPr>
      <w:bookmarkStart w:id="4" w:name="_Toc341279240"/>
      <w:bookmarkStart w:id="5" w:name="_Toc401829959"/>
      <w:r w:rsidRPr="00EF5A5F">
        <w:t>5</w:t>
      </w:r>
      <w:r w:rsidR="00C57336" w:rsidRPr="00EF5A5F">
        <w:t>.2</w:t>
      </w:r>
      <w:r w:rsidR="00C57336" w:rsidRPr="00EF5A5F">
        <w:tab/>
        <w:t>Framework of performance indicators</w:t>
      </w:r>
      <w:bookmarkEnd w:id="4"/>
      <w:bookmarkEnd w:id="5"/>
    </w:p>
    <w:p w:rsidR="005C54DA" w:rsidRDefault="005C54DA" w:rsidP="00974313">
      <w:pPr>
        <w:pStyle w:val="BodyText"/>
        <w:rPr>
          <w:szCs w:val="26"/>
        </w:rPr>
      </w:pPr>
      <w:r>
        <w:t>COAG has agreed six National Agreements to enhance accountability to the public for the outcomes achieved or outputs delivered by a range of government services (see chapter 1 for more detail on reforms to federal financial relations).</w:t>
      </w:r>
    </w:p>
    <w:p w:rsidR="00685093" w:rsidRDefault="00673F22" w:rsidP="008E4B7D">
      <w:pPr>
        <w:pStyle w:val="BodyText"/>
        <w:shd w:val="clear" w:color="auto" w:fill="FFFFFF" w:themeFill="background1"/>
        <w:rPr>
          <w:szCs w:val="26"/>
        </w:rPr>
      </w:pPr>
      <w:r w:rsidRPr="008E4B7D">
        <w:rPr>
          <w:szCs w:val="26"/>
        </w:rPr>
        <w:t xml:space="preserve">The NASWD covers the areas of VET, and education and training indicators in the </w:t>
      </w:r>
      <w:r w:rsidRPr="008E4B7D">
        <w:rPr>
          <w:i/>
          <w:szCs w:val="26"/>
        </w:rPr>
        <w:t>National Indigenous Reform Agreement</w:t>
      </w:r>
      <w:r w:rsidR="00866064" w:rsidRPr="008E4B7D">
        <w:rPr>
          <w:szCs w:val="26"/>
        </w:rPr>
        <w:t xml:space="preserve"> (</w:t>
      </w:r>
      <w:proofErr w:type="spellStart"/>
      <w:r w:rsidR="00866064" w:rsidRPr="008E4B7D">
        <w:rPr>
          <w:szCs w:val="26"/>
        </w:rPr>
        <w:t>NIRA</w:t>
      </w:r>
      <w:proofErr w:type="spellEnd"/>
      <w:r w:rsidR="00866064" w:rsidRPr="008E4B7D">
        <w:rPr>
          <w:szCs w:val="26"/>
        </w:rPr>
        <w:t>)</w:t>
      </w:r>
      <w:r w:rsidRPr="008E4B7D">
        <w:rPr>
          <w:szCs w:val="26"/>
        </w:rPr>
        <w:t xml:space="preserve"> establish specific outcomes for reducing the level of disadvantage experienced by </w:t>
      </w:r>
      <w:r w:rsidR="00804C04" w:rsidRPr="008E4B7D">
        <w:rPr>
          <w:szCs w:val="26"/>
        </w:rPr>
        <w:t xml:space="preserve">Aboriginal and Torres Strait Islander </w:t>
      </w:r>
      <w:r w:rsidR="008E4B7D" w:rsidRPr="008E4B7D">
        <w:rPr>
          <w:szCs w:val="26"/>
        </w:rPr>
        <w:t>Australians</w:t>
      </w:r>
      <w:r w:rsidRPr="008E4B7D">
        <w:rPr>
          <w:szCs w:val="26"/>
        </w:rPr>
        <w:t xml:space="preserve">. </w:t>
      </w:r>
      <w:r w:rsidR="008E4B7D" w:rsidRPr="008E4B7D">
        <w:rPr>
          <w:szCs w:val="26"/>
        </w:rPr>
        <w:t xml:space="preserve">The Steering Committee collates </w:t>
      </w:r>
      <w:proofErr w:type="spellStart"/>
      <w:r w:rsidR="008E4B7D" w:rsidRPr="008E4B7D">
        <w:rPr>
          <w:szCs w:val="26"/>
        </w:rPr>
        <w:t>NIRA</w:t>
      </w:r>
      <w:proofErr w:type="spellEnd"/>
      <w:r w:rsidR="008E4B7D" w:rsidRPr="008E4B7D">
        <w:rPr>
          <w:szCs w:val="26"/>
        </w:rPr>
        <w:t xml:space="preserve"> performance information for analysis by the Department of Prime Minister and Cabinet. Performance indicators reported in this chapter are aligned with VET performance indicators in the most recent version of the NASWD, where relevant. </w:t>
      </w:r>
    </w:p>
    <w:p w:rsidR="00C57336" w:rsidRDefault="00F42E9B" w:rsidP="00974313">
      <w:pPr>
        <w:pStyle w:val="BodyText"/>
      </w:pPr>
      <w:r>
        <w:t>The objectives and outcomes outlined in the NASWD for the VET sector</w:t>
      </w:r>
      <w:r w:rsidR="00C653A7" w:rsidRPr="00EF5A5F">
        <w:t xml:space="preserve"> (box </w:t>
      </w:r>
      <w:r w:rsidR="00110AF6">
        <w:t>5.3</w:t>
      </w:r>
      <w:r w:rsidR="00C653A7" w:rsidRPr="00EF5A5F">
        <w:t>) inform the performance indicator framework for this chapter.</w:t>
      </w:r>
    </w:p>
    <w:p w:rsidR="00BC49F4" w:rsidRDefault="00BC49F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C49F4" w:rsidTr="00BC49F4">
        <w:tc>
          <w:tcPr>
            <w:tcW w:w="8771" w:type="dxa"/>
            <w:tcBorders>
              <w:top w:val="single" w:sz="6" w:space="0" w:color="78A22F"/>
              <w:left w:val="nil"/>
              <w:bottom w:val="nil"/>
              <w:right w:val="nil"/>
            </w:tcBorders>
            <w:shd w:val="clear" w:color="auto" w:fill="F2F2F2" w:themeFill="background1" w:themeFillShade="F2"/>
          </w:tcPr>
          <w:p w:rsidR="00BC49F4" w:rsidRDefault="00BC49F4" w:rsidP="00BC49F4">
            <w:pPr>
              <w:pStyle w:val="BoxTitle"/>
            </w:pPr>
            <w:r>
              <w:rPr>
                <w:b w:val="0"/>
              </w:rPr>
              <w:t>Box 5.</w:t>
            </w:r>
            <w:r w:rsidR="00D80B1E">
              <w:rPr>
                <w:b w:val="0"/>
                <w:noProof/>
              </w:rPr>
              <w:t>3</w:t>
            </w:r>
            <w:r>
              <w:tab/>
            </w:r>
            <w:r w:rsidRPr="00EF5A5F">
              <w:t>Objectives for VET</w:t>
            </w:r>
          </w:p>
        </w:tc>
      </w:tr>
      <w:tr w:rsidR="00BC49F4" w:rsidTr="00BC49F4">
        <w:trPr>
          <w:cantSplit/>
        </w:trPr>
        <w:tc>
          <w:tcPr>
            <w:tcW w:w="8771" w:type="dxa"/>
            <w:tcBorders>
              <w:top w:val="nil"/>
              <w:left w:val="nil"/>
              <w:bottom w:val="nil"/>
              <w:right w:val="nil"/>
            </w:tcBorders>
            <w:shd w:val="clear" w:color="auto" w:fill="F2F2F2" w:themeFill="background1" w:themeFillShade="F2"/>
          </w:tcPr>
          <w:p w:rsidR="00BC49F4" w:rsidRDefault="00BC49F4" w:rsidP="00BC49F4">
            <w:pPr>
              <w:pStyle w:val="BoxListBullet"/>
              <w:numPr>
                <w:ilvl w:val="0"/>
                <w:numId w:val="0"/>
              </w:numPr>
            </w:pPr>
            <w:r w:rsidRPr="00F42E9B">
              <w:t>The objective f</w:t>
            </w:r>
            <w:r>
              <w:t xml:space="preserve">or the </w:t>
            </w:r>
            <w:r w:rsidRPr="00F42E9B">
              <w:t>VET system</w:t>
            </w:r>
            <w:r>
              <w:t>,</w:t>
            </w:r>
            <w:r w:rsidRPr="00F42E9B">
              <w:t xml:space="preserve"> </w:t>
            </w:r>
            <w:r>
              <w:t>as outlined in the NASWD, is:</w:t>
            </w:r>
          </w:p>
          <w:p w:rsidR="00BC49F4" w:rsidRDefault="00BC49F4" w:rsidP="00BC49F4">
            <w:pPr>
              <w:pStyle w:val="BoxListBullet"/>
              <w:spacing w:before="80"/>
            </w:pPr>
            <w:r>
              <w:t xml:space="preserve">a system </w:t>
            </w:r>
            <w:r w:rsidRPr="00F42E9B">
              <w:t>that delivers a productive and highly skilled workforce and which enables all working age Australians to develop the skills and qualifications needed to participate effectively in the labour market and contribute to Australia's economic future</w:t>
            </w:r>
            <w:r>
              <w:t>,</w:t>
            </w:r>
            <w:r w:rsidRPr="00F42E9B">
              <w:t xml:space="preserve"> and supports the achievement of increased rates of workforce participation.</w:t>
            </w:r>
          </w:p>
          <w:p w:rsidR="00BC49F4" w:rsidRDefault="00BC49F4" w:rsidP="00BC49F4">
            <w:pPr>
              <w:pStyle w:val="BoxListBullet"/>
              <w:numPr>
                <w:ilvl w:val="0"/>
                <w:numId w:val="0"/>
              </w:numPr>
              <w:spacing w:before="120"/>
            </w:pPr>
            <w:r>
              <w:t>Success in meeting the objective for the VET system is underpinned in the NASWD by the following target outcomes:</w:t>
            </w:r>
          </w:p>
          <w:p w:rsidR="00BC49F4" w:rsidRDefault="00BC49F4" w:rsidP="00BC49F4">
            <w:pPr>
              <w:pStyle w:val="BoxListBullet"/>
              <w:spacing w:before="80"/>
            </w:pPr>
            <w:r w:rsidRPr="00C05D42">
              <w:t>the skill levels of the working age population are increased to meet th</w:t>
            </w:r>
            <w:r>
              <w:t>e changing needs of the economy</w:t>
            </w:r>
          </w:p>
          <w:p w:rsidR="00BC49F4" w:rsidRDefault="00BC49F4" w:rsidP="00BC49F4">
            <w:pPr>
              <w:pStyle w:val="BoxListBullet"/>
              <w:spacing w:before="80"/>
            </w:pPr>
            <w:r w:rsidRPr="00C05D42">
              <w:t>all working age Australians have the opportunity to develop skills</w:t>
            </w:r>
          </w:p>
          <w:p w:rsidR="00BC49F4" w:rsidRPr="00C05D42" w:rsidRDefault="00BC49F4" w:rsidP="00BC49F4">
            <w:pPr>
              <w:pStyle w:val="BoxListBullet"/>
              <w:spacing w:before="80"/>
            </w:pPr>
            <w:r w:rsidRPr="00C05D42">
              <w:t>training delivers the skills and capabilities needed for improved economic participation for working age Australians.</w:t>
            </w:r>
          </w:p>
          <w:p w:rsidR="00BC49F4" w:rsidRDefault="00BC49F4" w:rsidP="00BC49F4">
            <w:pPr>
              <w:pStyle w:val="BoxListBullet"/>
              <w:numPr>
                <w:ilvl w:val="0"/>
                <w:numId w:val="0"/>
              </w:numPr>
              <w:spacing w:before="120"/>
            </w:pPr>
            <w:r>
              <w:t xml:space="preserve">The NASWD also acknowledges the need for the VET system to address the particular needs of </w:t>
            </w:r>
            <w:r w:rsidRPr="00CC3A33">
              <w:t>individual</w:t>
            </w:r>
            <w:r>
              <w:t>s</w:t>
            </w:r>
            <w:r w:rsidRPr="00CC3A33">
              <w:t xml:space="preserve"> experiencing disadvantage or disengagement </w:t>
            </w:r>
            <w:r>
              <w:t xml:space="preserve">with </w:t>
            </w:r>
            <w:r w:rsidRPr="00CC3A33">
              <w:t>gaining skills that lead to employment or other meaningful engagement in society</w:t>
            </w:r>
            <w:r>
              <w:t>.</w:t>
            </w:r>
          </w:p>
          <w:p w:rsidR="00BC49F4" w:rsidRDefault="00BC49F4" w:rsidP="00BC49F4">
            <w:pPr>
              <w:pStyle w:val="Box"/>
            </w:pPr>
            <w:r>
              <w:t>These objectives are to be met through the provision of services in an efficient manner.</w:t>
            </w:r>
          </w:p>
        </w:tc>
      </w:tr>
      <w:tr w:rsidR="00BC49F4" w:rsidTr="00BC49F4">
        <w:trPr>
          <w:cantSplit/>
        </w:trPr>
        <w:tc>
          <w:tcPr>
            <w:tcW w:w="8771" w:type="dxa"/>
            <w:tcBorders>
              <w:top w:val="nil"/>
              <w:left w:val="nil"/>
              <w:bottom w:val="nil"/>
              <w:right w:val="nil"/>
            </w:tcBorders>
            <w:shd w:val="clear" w:color="auto" w:fill="F2F2F2" w:themeFill="background1" w:themeFillShade="F2"/>
          </w:tcPr>
          <w:p w:rsidR="00BC49F4" w:rsidRDefault="00BC49F4" w:rsidP="00BC49F4">
            <w:pPr>
              <w:pStyle w:val="BoxSource"/>
            </w:pPr>
            <w:r w:rsidRPr="00EF5A5F">
              <w:rPr>
                <w:i/>
              </w:rPr>
              <w:t>Source</w:t>
            </w:r>
            <w:r w:rsidRPr="00EF5A5F">
              <w:t>: COAG (</w:t>
            </w:r>
            <w:r>
              <w:t>2012</w:t>
            </w:r>
            <w:r w:rsidRPr="00EF5A5F">
              <w:t>).</w:t>
            </w:r>
          </w:p>
        </w:tc>
      </w:tr>
      <w:tr w:rsidR="00BC49F4" w:rsidTr="00BC49F4">
        <w:trPr>
          <w:cantSplit/>
        </w:trPr>
        <w:tc>
          <w:tcPr>
            <w:tcW w:w="8771" w:type="dxa"/>
            <w:tcBorders>
              <w:top w:val="nil"/>
              <w:left w:val="nil"/>
              <w:bottom w:val="single" w:sz="6" w:space="0" w:color="78A22F"/>
              <w:right w:val="nil"/>
            </w:tcBorders>
            <w:shd w:val="clear" w:color="auto" w:fill="F2F2F2" w:themeFill="background1" w:themeFillShade="F2"/>
          </w:tcPr>
          <w:p w:rsidR="00BC49F4" w:rsidRDefault="00BC49F4">
            <w:pPr>
              <w:pStyle w:val="Box"/>
              <w:spacing w:before="0" w:line="120" w:lineRule="exact"/>
            </w:pPr>
          </w:p>
        </w:tc>
      </w:tr>
      <w:tr w:rsidR="00BC49F4" w:rsidRPr="000863A5" w:rsidTr="00BC49F4">
        <w:tc>
          <w:tcPr>
            <w:tcW w:w="8771" w:type="dxa"/>
            <w:tcBorders>
              <w:top w:val="single" w:sz="6" w:space="0" w:color="78A22F"/>
              <w:left w:val="nil"/>
              <w:bottom w:val="nil"/>
              <w:right w:val="nil"/>
            </w:tcBorders>
          </w:tcPr>
          <w:p w:rsidR="00BC49F4" w:rsidRPr="00626D32" w:rsidRDefault="00BC49F4" w:rsidP="00BC49F4">
            <w:pPr>
              <w:pStyle w:val="BoxSpaceBelow"/>
            </w:pPr>
          </w:p>
        </w:tc>
      </w:tr>
    </w:tbl>
    <w:p w:rsidR="003F6103" w:rsidRPr="008E4B7D" w:rsidRDefault="009C69F6" w:rsidP="008E4B7D">
      <w:pPr>
        <w:pStyle w:val="BodyText"/>
        <w:shd w:val="clear" w:color="auto" w:fill="FFFFFF" w:themeFill="background1"/>
      </w:pPr>
      <w:r w:rsidRPr="008E4B7D">
        <w:t xml:space="preserve">The performance indicator framework provides information on equity, efficiency and effectiveness, and distinguishes the outputs and outcomes of </w:t>
      </w:r>
      <w:r w:rsidR="003F6103" w:rsidRPr="008E4B7D">
        <w:t xml:space="preserve">VET services (figure </w:t>
      </w:r>
      <w:r w:rsidR="00110AF6" w:rsidRPr="008E4B7D">
        <w:t>5.4</w:t>
      </w:r>
      <w:r w:rsidR="003F6103" w:rsidRPr="008E4B7D">
        <w:t xml:space="preserve">). </w:t>
      </w:r>
      <w:r w:rsidRPr="008E4B7D">
        <w:t>The performance indicator framework shows which data are comparable in the 201</w:t>
      </w:r>
      <w:r w:rsidR="008E4B7D" w:rsidRPr="008E4B7D">
        <w:t>5</w:t>
      </w:r>
      <w:r w:rsidR="00532BAD">
        <w:t> </w:t>
      </w:r>
      <w:r w:rsidRPr="008E4B7D">
        <w:t xml:space="preserve">Report. For data that are not considered directly comparable, the text includes relevant caveats and supporting commentary. Chapter 1 discusses data comparability </w:t>
      </w:r>
      <w:r w:rsidR="0000489F">
        <w:t xml:space="preserve">and data completeness </w:t>
      </w:r>
      <w:r w:rsidRPr="008E4B7D">
        <w:t>from a Report-wide perspective (see section 1.6).</w:t>
      </w:r>
    </w:p>
    <w:p w:rsidR="008E4B7D" w:rsidRPr="008E4B7D" w:rsidRDefault="008E4B7D" w:rsidP="008E4B7D">
      <w:pPr>
        <w:pStyle w:val="BodyText"/>
        <w:shd w:val="clear" w:color="auto" w:fill="FFFFFF" w:themeFill="background1"/>
      </w:pPr>
      <w:r w:rsidRPr="008E4B7D">
        <w:t>The Report’s statistical context chapter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Indigenous- and ethnic-status) (chapter 2).</w:t>
      </w:r>
    </w:p>
    <w:p w:rsidR="00BC49F4" w:rsidRDefault="00BC49F4" w:rsidP="00BC49F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C49F4" w:rsidTr="00BC49F4">
        <w:tc>
          <w:tcPr>
            <w:tcW w:w="8771" w:type="dxa"/>
            <w:tcBorders>
              <w:top w:val="single" w:sz="6" w:space="0" w:color="78A22F"/>
              <w:left w:val="nil"/>
              <w:bottom w:val="nil"/>
              <w:right w:val="nil"/>
            </w:tcBorders>
            <w:shd w:val="clear" w:color="auto" w:fill="auto"/>
          </w:tcPr>
          <w:p w:rsidR="00BC49F4" w:rsidRPr="00176D3F" w:rsidRDefault="00BC49F4" w:rsidP="00B43EB8">
            <w:pPr>
              <w:pStyle w:val="FigureTitle"/>
            </w:pPr>
            <w:r w:rsidRPr="00784A05">
              <w:rPr>
                <w:b w:val="0"/>
              </w:rPr>
              <w:t xml:space="preserve">Figure </w:t>
            </w:r>
            <w:r>
              <w:rPr>
                <w:b w:val="0"/>
              </w:rPr>
              <w:t>5.</w:t>
            </w:r>
            <w:r w:rsidR="00D80B1E">
              <w:rPr>
                <w:b w:val="0"/>
                <w:noProof/>
              </w:rPr>
              <w:t>4</w:t>
            </w:r>
            <w:r>
              <w:tab/>
            </w:r>
            <w:r w:rsidRPr="00E51808">
              <w:t xml:space="preserve">VET performance indicator framework </w:t>
            </w:r>
          </w:p>
        </w:tc>
      </w:tr>
      <w:tr w:rsidR="00BC49F4" w:rsidTr="00BC49F4">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487"/>
            </w:tblGrid>
            <w:tr w:rsidR="00BC49F4" w:rsidTr="00BC49F4">
              <w:tc>
                <w:tcPr>
                  <w:tcW w:w="5000" w:type="pct"/>
                  <w:tcBorders>
                    <w:top w:val="nil"/>
                    <w:bottom w:val="nil"/>
                  </w:tcBorders>
                </w:tcPr>
                <w:p w:rsidR="00BC49F4" w:rsidRDefault="009F6491" w:rsidP="00BC49F4">
                  <w:pPr>
                    <w:pStyle w:val="Figure"/>
                    <w:spacing w:before="60" w:after="60"/>
                  </w:pPr>
                  <w:r>
                    <w:rPr>
                      <w:noProof/>
                    </w:rPr>
                    <w:drawing>
                      <wp:inline distT="0" distB="0" distL="0" distR="0">
                        <wp:extent cx="5381625" cy="4105275"/>
                        <wp:effectExtent l="0" t="0" r="9525" b="9525"/>
                        <wp:docPr id="2" name="Picture 2" descr="Figure 5.4 VET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81625" cy="4105275"/>
                                </a:xfrm>
                                <a:prstGeom prst="rect">
                                  <a:avLst/>
                                </a:prstGeom>
                                <a:noFill/>
                                <a:ln>
                                  <a:noFill/>
                                </a:ln>
                              </pic:spPr>
                            </pic:pic>
                          </a:graphicData>
                        </a:graphic>
                      </wp:inline>
                    </w:drawing>
                  </w:r>
                </w:p>
              </w:tc>
            </w:tr>
          </w:tbl>
          <w:p w:rsidR="00BC49F4" w:rsidRDefault="00BC49F4" w:rsidP="00BC49F4">
            <w:pPr>
              <w:pStyle w:val="Figure"/>
            </w:pPr>
          </w:p>
        </w:tc>
      </w:tr>
      <w:tr w:rsidR="00BC49F4" w:rsidTr="00BC49F4">
        <w:tc>
          <w:tcPr>
            <w:tcW w:w="8771" w:type="dxa"/>
            <w:tcBorders>
              <w:top w:val="nil"/>
              <w:left w:val="nil"/>
              <w:bottom w:val="single" w:sz="6" w:space="0" w:color="78A22F"/>
              <w:right w:val="nil"/>
            </w:tcBorders>
            <w:shd w:val="clear" w:color="auto" w:fill="auto"/>
          </w:tcPr>
          <w:p w:rsidR="00BC49F4" w:rsidRDefault="00BC49F4" w:rsidP="00BC49F4">
            <w:pPr>
              <w:pStyle w:val="Figurespace"/>
            </w:pPr>
          </w:p>
        </w:tc>
      </w:tr>
      <w:tr w:rsidR="00BC49F4" w:rsidRPr="000863A5" w:rsidTr="00BC49F4">
        <w:tc>
          <w:tcPr>
            <w:tcW w:w="8771" w:type="dxa"/>
            <w:tcBorders>
              <w:top w:val="single" w:sz="6" w:space="0" w:color="78A22F"/>
              <w:left w:val="nil"/>
              <w:bottom w:val="nil"/>
              <w:right w:val="nil"/>
            </w:tcBorders>
          </w:tcPr>
          <w:p w:rsidR="00BC49F4" w:rsidRPr="00626D32" w:rsidRDefault="00BC49F4" w:rsidP="00BC49F4">
            <w:pPr>
              <w:pStyle w:val="BoxSpaceBelow"/>
            </w:pPr>
          </w:p>
        </w:tc>
      </w:tr>
    </w:tbl>
    <w:p w:rsidR="008E4B7D" w:rsidRPr="008E4B7D" w:rsidRDefault="008E4B7D" w:rsidP="008E4B7D">
      <w:pPr>
        <w:pStyle w:val="BodyText"/>
      </w:pPr>
      <w:r w:rsidRPr="008E4B7D">
        <w:t>Data quality information (DQI) is being progressively introduced for all indicators in the Report. The purpose of DQI is to provide structured and consistent information about quality aspects of data used to report on performance indicators, in addition to material in the chapter or sector overview and attachment tables. DQI in this Report cover the seven dimensions in the ABS’ data quality framework (institutional environment, relevance, timeliness, accuracy, coherence, accessibility and interpretability) in addition to dimensions that define and describe performance indicators in a consistent manner, and key data gaps and issues identified by the Steering Committee. All DQI for the 2015 Report can be fo</w:t>
      </w:r>
      <w:r w:rsidR="006E0D24">
        <w:t>und at www.pc.gov.au</w:t>
      </w:r>
      <w:r w:rsidRPr="008E4B7D">
        <w:t>/</w:t>
      </w:r>
      <w:proofErr w:type="spellStart"/>
      <w:r w:rsidRPr="008E4B7D">
        <w:t>rogs</w:t>
      </w:r>
      <w:proofErr w:type="spellEnd"/>
      <w:r w:rsidRPr="008E4B7D">
        <w:t>/2015.</w:t>
      </w:r>
    </w:p>
    <w:p w:rsidR="0050784B" w:rsidRDefault="0050784B">
      <w:pPr>
        <w:rPr>
          <w:szCs w:val="20"/>
        </w:rPr>
      </w:pPr>
      <w:r>
        <w:br w:type="page"/>
      </w:r>
    </w:p>
    <w:p w:rsidR="00C57336" w:rsidRPr="00EF5A5F" w:rsidRDefault="00FA7BB6" w:rsidP="00E97FCA">
      <w:pPr>
        <w:pStyle w:val="Heading2"/>
      </w:pPr>
      <w:bookmarkStart w:id="6" w:name="_Toc341279241"/>
      <w:bookmarkStart w:id="7" w:name="_Toc401829960"/>
      <w:r w:rsidRPr="00EF5A5F">
        <w:lastRenderedPageBreak/>
        <w:t>5</w:t>
      </w:r>
      <w:r w:rsidR="00C57336" w:rsidRPr="00EF5A5F">
        <w:t>.3</w:t>
      </w:r>
      <w:r w:rsidR="00C57336" w:rsidRPr="00EF5A5F">
        <w:tab/>
        <w:t>Key performance indicator results</w:t>
      </w:r>
      <w:bookmarkEnd w:id="6"/>
      <w:bookmarkEnd w:id="7"/>
    </w:p>
    <w:p w:rsidR="00C57336" w:rsidRPr="00EF5A5F" w:rsidRDefault="00C57336" w:rsidP="00040DCF">
      <w:pPr>
        <w:pStyle w:val="BodyText"/>
      </w:pPr>
      <w:r w:rsidRPr="00EF5A5F">
        <w:t xml:space="preserve">The equity, effectiveness and efficiency of VET services may be affected by different delivery environments, locations and types of client. </w:t>
      </w:r>
    </w:p>
    <w:p w:rsidR="00C57336" w:rsidRPr="00EF5A5F" w:rsidRDefault="00C57336" w:rsidP="00281C53">
      <w:pPr>
        <w:pStyle w:val="Heading3"/>
      </w:pPr>
      <w:r w:rsidRPr="00EF5A5F">
        <w:t>Outputs</w:t>
      </w:r>
    </w:p>
    <w:p w:rsidR="004614F6" w:rsidRPr="00EF5A5F" w:rsidRDefault="00B71526" w:rsidP="004614F6">
      <w:pPr>
        <w:pStyle w:val="BodyText"/>
      </w:pPr>
      <w:r w:rsidRPr="00EF5A5F">
        <w:t>Outputs are the services delivered (while outcomes are the impact of these services on the status of an individual or group) (see chapter 1, section 1.5).</w:t>
      </w:r>
    </w:p>
    <w:p w:rsidR="00C57336" w:rsidRPr="00EF5A5F" w:rsidRDefault="00C57336" w:rsidP="00281C53">
      <w:pPr>
        <w:pStyle w:val="Heading4"/>
      </w:pPr>
      <w:r w:rsidRPr="00EF5A5F">
        <w:t xml:space="preserve">Equity </w:t>
      </w:r>
    </w:p>
    <w:p w:rsidR="00C57336" w:rsidRPr="00EF5A5F" w:rsidRDefault="00C57336" w:rsidP="0095094B">
      <w:pPr>
        <w:pStyle w:val="BodyText"/>
      </w:pPr>
      <w:r w:rsidRPr="00EF5A5F">
        <w:t xml:space="preserve">A key national goal of the VET system is to increase opportunities and outcomes for disadvantaged </w:t>
      </w:r>
      <w:r w:rsidRPr="000C682B">
        <w:rPr>
          <w:shd w:val="clear" w:color="auto" w:fill="FFFFFF" w:themeFill="background1"/>
        </w:rPr>
        <w:t xml:space="preserve">groups. </w:t>
      </w:r>
      <w:r w:rsidR="0039762B" w:rsidRPr="000C682B">
        <w:rPr>
          <w:shd w:val="clear" w:color="auto" w:fill="FFFFFF" w:themeFill="background1"/>
        </w:rPr>
        <w:t>For this report,</w:t>
      </w:r>
      <w:r w:rsidR="0039762B">
        <w:t xml:space="preserve"> t</w:t>
      </w:r>
      <w:r w:rsidRPr="00EF5A5F">
        <w:t xml:space="preserve">he designated equity groups are </w:t>
      </w:r>
      <w:r w:rsidR="00804C04">
        <w:t>Aboriginal and Torres Strait Islander people</w:t>
      </w:r>
      <w:r w:rsidR="004669DC" w:rsidRPr="00EF5A5F">
        <w:t xml:space="preserve">, </w:t>
      </w:r>
      <w:r w:rsidRPr="00EF5A5F">
        <w:t>residents of remote and very remote areas, people with disability and people speaking a language other than English at home. This section includes indicators of access to VET by these target groups.</w:t>
      </w:r>
    </w:p>
    <w:p w:rsidR="00C57336" w:rsidRPr="00EF5A5F" w:rsidRDefault="00C57336" w:rsidP="00AA5D44">
      <w:pPr>
        <w:pStyle w:val="Heading5"/>
      </w:pPr>
      <w:r w:rsidRPr="00EF5A5F">
        <w:t>VET participation by target group</w:t>
      </w:r>
    </w:p>
    <w:p w:rsidR="00856FBE" w:rsidRDefault="00856FBE" w:rsidP="0095094B">
      <w:pPr>
        <w:pStyle w:val="BodyText"/>
      </w:pPr>
      <w:r w:rsidRPr="00EF5A5F">
        <w:t xml:space="preserve">‘VET participation by target group’ is an indicator of </w:t>
      </w:r>
      <w:r w:rsidR="00B27E13" w:rsidRPr="00EF5A5F">
        <w:t xml:space="preserve">governments’ objective to achieve </w:t>
      </w:r>
      <w:r w:rsidRPr="00EF5A5F">
        <w:t>equitable access to the VET system by target groups (box</w:t>
      </w:r>
      <w:r w:rsidR="00D2242D" w:rsidRPr="00EF5A5F">
        <w:t xml:space="preserve"> </w:t>
      </w:r>
      <w:r w:rsidR="00110AF6">
        <w:t>5.4</w:t>
      </w:r>
      <w:r w:rsidR="00F70E0D" w:rsidRPr="00EF5A5F">
        <w:t>).</w:t>
      </w:r>
    </w:p>
    <w:p w:rsidR="009407E6" w:rsidRDefault="009407E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407E6" w:rsidTr="004A350E">
        <w:tc>
          <w:tcPr>
            <w:tcW w:w="8771" w:type="dxa"/>
            <w:tcBorders>
              <w:top w:val="single" w:sz="6" w:space="0" w:color="78A22F"/>
              <w:left w:val="nil"/>
              <w:bottom w:val="nil"/>
              <w:right w:val="nil"/>
            </w:tcBorders>
            <w:shd w:val="clear" w:color="auto" w:fill="F2F2F2" w:themeFill="background1" w:themeFillShade="F2"/>
          </w:tcPr>
          <w:p w:rsidR="009407E6" w:rsidRDefault="009407E6">
            <w:pPr>
              <w:pStyle w:val="BoxTitle"/>
            </w:pPr>
            <w:r>
              <w:rPr>
                <w:b w:val="0"/>
              </w:rPr>
              <w:t>Box 5.</w:t>
            </w:r>
            <w:r w:rsidR="00D80B1E">
              <w:rPr>
                <w:b w:val="0"/>
                <w:noProof/>
              </w:rPr>
              <w:t>4</w:t>
            </w:r>
            <w:r>
              <w:tab/>
            </w:r>
            <w:r w:rsidRPr="00EF5A5F">
              <w:t>VET participation by target group</w:t>
            </w:r>
          </w:p>
        </w:tc>
      </w:tr>
      <w:tr w:rsidR="009407E6" w:rsidTr="004A350E">
        <w:trPr>
          <w:cantSplit/>
        </w:trPr>
        <w:tc>
          <w:tcPr>
            <w:tcW w:w="8771" w:type="dxa"/>
            <w:tcBorders>
              <w:top w:val="nil"/>
              <w:left w:val="nil"/>
              <w:bottom w:val="nil"/>
              <w:right w:val="nil"/>
            </w:tcBorders>
            <w:shd w:val="clear" w:color="auto" w:fill="F2F2F2" w:themeFill="background1" w:themeFillShade="F2"/>
          </w:tcPr>
          <w:p w:rsidR="009407E6" w:rsidRPr="00EF5A5F" w:rsidRDefault="009407E6" w:rsidP="009407E6">
            <w:pPr>
              <w:pStyle w:val="Box"/>
            </w:pPr>
            <w:r w:rsidRPr="00EF5A5F">
              <w:t>‘VET participation by target group’ is defined as the number of government funded participants in the VET system who self-identified that they are from a target group, as a proportion of the total number of people in the population in that group. The four target groups are:</w:t>
            </w:r>
          </w:p>
          <w:p w:rsidR="009407E6" w:rsidRPr="00EF5A5F" w:rsidRDefault="00804C04" w:rsidP="009407E6">
            <w:pPr>
              <w:pStyle w:val="BoxListBullet"/>
            </w:pPr>
            <w:r>
              <w:t>Aboriginal and Torres Strait Islander people</w:t>
            </w:r>
          </w:p>
          <w:p w:rsidR="009407E6" w:rsidRPr="00EF5A5F" w:rsidRDefault="009407E6" w:rsidP="009407E6">
            <w:pPr>
              <w:pStyle w:val="BoxListBullet"/>
            </w:pPr>
            <w:r w:rsidRPr="00EF5A5F">
              <w:t>people from remote and very remote areas</w:t>
            </w:r>
          </w:p>
          <w:p w:rsidR="009407E6" w:rsidRPr="00EF5A5F" w:rsidRDefault="009407E6" w:rsidP="009407E6">
            <w:pPr>
              <w:pStyle w:val="BoxListBullet"/>
            </w:pPr>
            <w:r w:rsidRPr="00EF5A5F">
              <w:t>people with disability</w:t>
            </w:r>
          </w:p>
          <w:p w:rsidR="009407E6" w:rsidRPr="00EF5A5F" w:rsidRDefault="009407E6" w:rsidP="009407E6">
            <w:pPr>
              <w:pStyle w:val="BoxListBullet"/>
            </w:pPr>
            <w:r w:rsidRPr="00EF5A5F">
              <w:t>people speaking a language other than English (</w:t>
            </w:r>
            <w:proofErr w:type="spellStart"/>
            <w:r w:rsidRPr="00EF5A5F">
              <w:t>LOTE</w:t>
            </w:r>
            <w:proofErr w:type="spellEnd"/>
            <w:r w:rsidRPr="00EF5A5F">
              <w:t>) at home.</w:t>
            </w:r>
          </w:p>
          <w:p w:rsidR="009407E6" w:rsidRPr="00EF5A5F" w:rsidRDefault="009407E6" w:rsidP="009407E6">
            <w:pPr>
              <w:pStyle w:val="Box"/>
            </w:pPr>
            <w:r w:rsidRPr="00EF5A5F">
              <w:t>It is desirable that VET participation by target group is at a similar level to that for all students. A lower participation rate means the target group is underrepresented in VET; a higher participation rate means the group is overrepresented in VET.</w:t>
            </w:r>
          </w:p>
          <w:p w:rsidR="009407E6" w:rsidRPr="00EF5A5F" w:rsidRDefault="009407E6" w:rsidP="009407E6">
            <w:pPr>
              <w:pStyle w:val="Box"/>
            </w:pPr>
            <w:r w:rsidRPr="00EF5A5F">
              <w:t xml:space="preserve">Care needs to be taken in interpreting the participation rates presented for people with disability, people speaking a </w:t>
            </w:r>
            <w:proofErr w:type="spellStart"/>
            <w:r w:rsidRPr="00EF5A5F">
              <w:t>LOTE</w:t>
            </w:r>
            <w:proofErr w:type="spellEnd"/>
            <w:r w:rsidRPr="00EF5A5F">
              <w:t xml:space="preserve"> at home, and </w:t>
            </w:r>
            <w:r w:rsidR="00804C04">
              <w:t>Aboriginal and Torres Strait Islander people</w:t>
            </w:r>
            <w:r w:rsidRPr="00EF5A5F">
              <w:t xml:space="preserve">, because the data depend on self-identification at the time of </w:t>
            </w:r>
            <w:r>
              <w:t>enrolment and the number of non</w:t>
            </w:r>
            <w:r>
              <w:noBreakHyphen/>
            </w:r>
            <w:r w:rsidRPr="00EF5A5F">
              <w:t xml:space="preserve">responses (that is, students who did not indicate whether or not they belong to these groups) varies across jurisdictions. </w:t>
            </w:r>
          </w:p>
          <w:p w:rsidR="009407E6" w:rsidRDefault="009407E6" w:rsidP="00A26D57">
            <w:pPr>
              <w:pStyle w:val="Box"/>
            </w:pPr>
            <w:r w:rsidRPr="00EF5A5F">
              <w:t xml:space="preserve">Data on participation </w:t>
            </w:r>
            <w:r w:rsidRPr="00611386">
              <w:t xml:space="preserve">by </w:t>
            </w:r>
            <w:r w:rsidR="00611386" w:rsidRPr="00A26D57">
              <w:t>Indigenous</w:t>
            </w:r>
            <w:r w:rsidR="00804C04" w:rsidRPr="00A26D57">
              <w:t xml:space="preserve"> </w:t>
            </w:r>
            <w:r w:rsidRPr="00A26D57">
              <w:t>status</w:t>
            </w:r>
            <w:r w:rsidRPr="00EF5A5F">
              <w:t xml:space="preserve"> are for students identified as aged 15</w:t>
            </w:r>
            <w:r w:rsidR="005C15F8">
              <w:t>–</w:t>
            </w:r>
            <w:r w:rsidRPr="00EF5A5F">
              <w:t>64</w:t>
            </w:r>
            <w:r w:rsidR="005C15F8">
              <w:t xml:space="preserve"> </w:t>
            </w:r>
            <w:r w:rsidRPr="00EF5A5F">
              <w:t>years, and data on participation for other groups are reported for students of all ages. Data on participation are for students who have participated in Australia's government funded VET system.</w:t>
            </w:r>
          </w:p>
          <w:p w:rsidR="00611386" w:rsidRDefault="00611386" w:rsidP="00A26D57">
            <w:pPr>
              <w:pStyle w:val="Box"/>
            </w:pPr>
            <w:r w:rsidRPr="00A26D57">
              <w:t xml:space="preserve">The participation rates by Indigenous status are calculated from two sources and comparability issues may occur when rates utilise data from different sources. This measure uses a numerator from the National VET provider collection and a denominator of Estimated Resident Population. </w:t>
            </w:r>
          </w:p>
          <w:p w:rsidR="009407E6" w:rsidRDefault="009407E6" w:rsidP="009407E6">
            <w:pPr>
              <w:pStyle w:val="Box"/>
            </w:pPr>
            <w:r w:rsidRPr="00F51738">
              <w:t>Data reported for this measure:</w:t>
            </w:r>
          </w:p>
          <w:p w:rsidR="009407E6" w:rsidRPr="001D1E8C" w:rsidRDefault="009407E6" w:rsidP="009407E6">
            <w:pPr>
              <w:pStyle w:val="BoxListBullet"/>
            </w:pPr>
            <w:r w:rsidRPr="001D1E8C">
              <w:t>may not be comparable (subject to caveats) within jurisdictions over time and may not be comparable across jurisdictions</w:t>
            </w:r>
          </w:p>
          <w:p w:rsidR="009407E6" w:rsidRPr="001D1E8C" w:rsidRDefault="009407E6" w:rsidP="009407E6">
            <w:pPr>
              <w:pStyle w:val="BoxListBullet"/>
            </w:pPr>
            <w:r w:rsidRPr="001D1E8C">
              <w:t>are complete for the current reporting period (subject to caveats). All required 201</w:t>
            </w:r>
            <w:r w:rsidR="00D70618">
              <w:t>3</w:t>
            </w:r>
            <w:r w:rsidRPr="001D1E8C">
              <w:t xml:space="preserve"> data are available for all jurisdictions.</w:t>
            </w:r>
          </w:p>
          <w:p w:rsidR="009407E6" w:rsidRDefault="009407E6" w:rsidP="00F3610C">
            <w:pPr>
              <w:pStyle w:val="Box"/>
            </w:pPr>
            <w:r w:rsidRPr="00EF5A5F">
              <w:t xml:space="preserve">Data quality information for this indicator is at </w:t>
            </w:r>
            <w:r w:rsidR="006E0D24">
              <w:t>www.pc.gov.au</w:t>
            </w:r>
            <w:r w:rsidRPr="00EF5A5F">
              <w:t>/</w:t>
            </w:r>
            <w:proofErr w:type="spellStart"/>
            <w:r w:rsidRPr="00EF5A5F">
              <w:t>rogs</w:t>
            </w:r>
            <w:proofErr w:type="spellEnd"/>
            <w:r w:rsidRPr="00EF5A5F">
              <w:t>/</w:t>
            </w:r>
            <w:r>
              <w:t>201</w:t>
            </w:r>
            <w:r w:rsidR="00F3610C">
              <w:t>5</w:t>
            </w:r>
            <w:r w:rsidRPr="00EF5A5F">
              <w:t>.</w:t>
            </w:r>
          </w:p>
        </w:tc>
      </w:tr>
      <w:tr w:rsidR="009407E6" w:rsidTr="004A350E">
        <w:trPr>
          <w:cantSplit/>
        </w:trPr>
        <w:tc>
          <w:tcPr>
            <w:tcW w:w="8771" w:type="dxa"/>
            <w:tcBorders>
              <w:top w:val="nil"/>
              <w:left w:val="nil"/>
              <w:bottom w:val="single" w:sz="6" w:space="0" w:color="78A22F"/>
              <w:right w:val="nil"/>
            </w:tcBorders>
            <w:shd w:val="clear" w:color="auto" w:fill="F2F2F2" w:themeFill="background1" w:themeFillShade="F2"/>
          </w:tcPr>
          <w:p w:rsidR="009407E6" w:rsidRDefault="009407E6">
            <w:pPr>
              <w:pStyle w:val="Box"/>
              <w:spacing w:before="0" w:line="120" w:lineRule="exact"/>
            </w:pPr>
          </w:p>
        </w:tc>
      </w:tr>
      <w:tr w:rsidR="009407E6" w:rsidRPr="000863A5" w:rsidTr="004A350E">
        <w:tc>
          <w:tcPr>
            <w:tcW w:w="8771" w:type="dxa"/>
            <w:tcBorders>
              <w:top w:val="single" w:sz="6" w:space="0" w:color="78A22F"/>
              <w:left w:val="nil"/>
              <w:bottom w:val="nil"/>
              <w:right w:val="nil"/>
            </w:tcBorders>
          </w:tcPr>
          <w:p w:rsidR="009407E6" w:rsidRPr="00626D32" w:rsidRDefault="009407E6" w:rsidP="004A350E">
            <w:pPr>
              <w:pStyle w:val="BoxSpaceBelow"/>
            </w:pPr>
          </w:p>
        </w:tc>
      </w:tr>
    </w:tbl>
    <w:p w:rsidR="00711910" w:rsidRPr="00EF5A5F" w:rsidRDefault="00711910" w:rsidP="00287B08">
      <w:pPr>
        <w:pStyle w:val="Heading6"/>
      </w:pPr>
      <w:r w:rsidRPr="00EF5A5F">
        <w:t xml:space="preserve">VET participation by target group — </w:t>
      </w:r>
      <w:r w:rsidR="00804C04">
        <w:t>Aboriginal and Torres Strait Islander people</w:t>
      </w:r>
    </w:p>
    <w:p w:rsidR="00711910" w:rsidRPr="00E51808" w:rsidRDefault="00711910" w:rsidP="0095094B">
      <w:pPr>
        <w:pStyle w:val="BodyText"/>
      </w:pPr>
      <w:r w:rsidRPr="00EF5A5F">
        <w:t xml:space="preserve">Nationally, the participation rate </w:t>
      </w:r>
      <w:r w:rsidR="00E03077" w:rsidRPr="00EF5A5F">
        <w:t xml:space="preserve">in government funded VET </w:t>
      </w:r>
      <w:r w:rsidRPr="00EF5A5F">
        <w:t xml:space="preserve">for </w:t>
      </w:r>
      <w:r w:rsidR="00804C04">
        <w:t xml:space="preserve">Aboriginal and Torres Strait Islander </w:t>
      </w:r>
      <w:r w:rsidRPr="00EF5A5F">
        <w:t>p</w:t>
      </w:r>
      <w:r w:rsidR="00812E68">
        <w:t>eople</w:t>
      </w:r>
      <w:r w:rsidRPr="00EF5A5F">
        <w:t xml:space="preserve"> aged 15–64</w:t>
      </w:r>
      <w:r w:rsidR="00AE5734">
        <w:t xml:space="preserve"> </w:t>
      </w:r>
      <w:r w:rsidRPr="00EF5A5F">
        <w:t xml:space="preserve">years </w:t>
      </w:r>
      <w:r w:rsidRPr="00E51808">
        <w:t xml:space="preserve">was </w:t>
      </w:r>
      <w:r w:rsidR="00D42F31">
        <w:t>17.4</w:t>
      </w:r>
      <w:r w:rsidR="00AE5734">
        <w:t xml:space="preserve"> </w:t>
      </w:r>
      <w:r w:rsidRPr="00E51808">
        <w:t>per</w:t>
      </w:r>
      <w:r w:rsidR="00AE5734">
        <w:t xml:space="preserve"> </w:t>
      </w:r>
      <w:r w:rsidRPr="00E51808">
        <w:t xml:space="preserve">cent in </w:t>
      </w:r>
      <w:r w:rsidR="00422E2C" w:rsidRPr="00E51808">
        <w:t>201</w:t>
      </w:r>
      <w:r w:rsidR="00D42F31">
        <w:t>3</w:t>
      </w:r>
      <w:r w:rsidRPr="00E51808">
        <w:t xml:space="preserve">, compared </w:t>
      </w:r>
      <w:r w:rsidRPr="000C682B">
        <w:rPr>
          <w:shd w:val="clear" w:color="auto" w:fill="FFFFFF" w:themeFill="background1"/>
        </w:rPr>
        <w:t xml:space="preserve">with </w:t>
      </w:r>
      <w:r w:rsidR="00D42F31">
        <w:rPr>
          <w:shd w:val="clear" w:color="auto" w:fill="FFFFFF" w:themeFill="background1"/>
        </w:rPr>
        <w:t>16.9</w:t>
      </w:r>
      <w:r w:rsidR="00E03077">
        <w:rPr>
          <w:shd w:val="clear" w:color="auto" w:fill="FFFFFF" w:themeFill="background1"/>
        </w:rPr>
        <w:t> </w:t>
      </w:r>
      <w:r w:rsidRPr="000C682B">
        <w:rPr>
          <w:shd w:val="clear" w:color="auto" w:fill="FFFFFF" w:themeFill="background1"/>
        </w:rPr>
        <w:t>per</w:t>
      </w:r>
      <w:r w:rsidR="00E03077">
        <w:rPr>
          <w:shd w:val="clear" w:color="auto" w:fill="FFFFFF" w:themeFill="background1"/>
        </w:rPr>
        <w:t> </w:t>
      </w:r>
      <w:r w:rsidRPr="000C682B">
        <w:rPr>
          <w:shd w:val="clear" w:color="auto" w:fill="FFFFFF" w:themeFill="background1"/>
        </w:rPr>
        <w:t xml:space="preserve">cent in </w:t>
      </w:r>
      <w:r w:rsidR="00422E2C" w:rsidRPr="000C682B">
        <w:rPr>
          <w:shd w:val="clear" w:color="auto" w:fill="FFFFFF" w:themeFill="background1"/>
        </w:rPr>
        <w:t>200</w:t>
      </w:r>
      <w:r w:rsidR="00D42F31">
        <w:rPr>
          <w:shd w:val="clear" w:color="auto" w:fill="FFFFFF" w:themeFill="background1"/>
        </w:rPr>
        <w:t>9</w:t>
      </w:r>
      <w:r w:rsidR="00422E2C" w:rsidRPr="000C682B">
        <w:rPr>
          <w:shd w:val="clear" w:color="auto" w:fill="FFFFFF" w:themeFill="background1"/>
        </w:rPr>
        <w:t xml:space="preserve"> </w:t>
      </w:r>
      <w:r w:rsidRPr="000C682B">
        <w:rPr>
          <w:shd w:val="clear" w:color="auto" w:fill="FFFFFF" w:themeFill="background1"/>
        </w:rPr>
        <w:t xml:space="preserve">and </w:t>
      </w:r>
      <w:r w:rsidR="00D42F31">
        <w:rPr>
          <w:shd w:val="clear" w:color="auto" w:fill="FFFFFF" w:themeFill="background1"/>
        </w:rPr>
        <w:t>15.1</w:t>
      </w:r>
      <w:r w:rsidR="00AE5734">
        <w:rPr>
          <w:shd w:val="clear" w:color="auto" w:fill="FFFFFF" w:themeFill="background1"/>
        </w:rPr>
        <w:t xml:space="preserve"> </w:t>
      </w:r>
      <w:r w:rsidRPr="000C682B">
        <w:rPr>
          <w:shd w:val="clear" w:color="auto" w:fill="FFFFFF" w:themeFill="background1"/>
        </w:rPr>
        <w:t>per</w:t>
      </w:r>
      <w:r w:rsidR="00AE5734">
        <w:rPr>
          <w:shd w:val="clear" w:color="auto" w:fill="FFFFFF" w:themeFill="background1"/>
        </w:rPr>
        <w:t xml:space="preserve"> </w:t>
      </w:r>
      <w:r w:rsidRPr="000C682B">
        <w:rPr>
          <w:shd w:val="clear" w:color="auto" w:fill="FFFFFF" w:themeFill="background1"/>
        </w:rPr>
        <w:t xml:space="preserve">cent in </w:t>
      </w:r>
      <w:r w:rsidR="00422E2C" w:rsidRPr="000C682B">
        <w:rPr>
          <w:shd w:val="clear" w:color="auto" w:fill="FFFFFF" w:themeFill="background1"/>
        </w:rPr>
        <w:t>200</w:t>
      </w:r>
      <w:r w:rsidR="00D42F31">
        <w:rPr>
          <w:shd w:val="clear" w:color="auto" w:fill="FFFFFF" w:themeFill="background1"/>
        </w:rPr>
        <w:t>4</w:t>
      </w:r>
      <w:r w:rsidRPr="000C682B">
        <w:rPr>
          <w:shd w:val="clear" w:color="auto" w:fill="FFFFFF" w:themeFill="background1"/>
        </w:rPr>
        <w:t>. The participation rate for the</w:t>
      </w:r>
      <w:r w:rsidR="0069034B">
        <w:t xml:space="preserve"> non</w:t>
      </w:r>
      <w:r w:rsidR="0069034B">
        <w:noBreakHyphen/>
      </w:r>
      <w:r w:rsidRPr="00E51808">
        <w:t xml:space="preserve">Indigenous population aged 15–64 years was </w:t>
      </w:r>
      <w:r w:rsidR="00D42F31">
        <w:t>8.9</w:t>
      </w:r>
      <w:r w:rsidR="00AE5734">
        <w:t xml:space="preserve"> </w:t>
      </w:r>
      <w:r w:rsidRPr="00E51808">
        <w:t>per</w:t>
      </w:r>
      <w:r w:rsidR="00AE5734">
        <w:t xml:space="preserve"> </w:t>
      </w:r>
      <w:r w:rsidRPr="00E51808">
        <w:t xml:space="preserve">cent in </w:t>
      </w:r>
      <w:r w:rsidR="006B1438" w:rsidRPr="00E51808">
        <w:t>201</w:t>
      </w:r>
      <w:r w:rsidR="00D42F31">
        <w:t>3</w:t>
      </w:r>
      <w:r w:rsidRPr="00E51808">
        <w:t xml:space="preserve">, compared with </w:t>
      </w:r>
      <w:r w:rsidR="00D42F31">
        <w:t>7.5 </w:t>
      </w:r>
      <w:r w:rsidRPr="00E51808">
        <w:t xml:space="preserve">per cent in </w:t>
      </w:r>
      <w:r w:rsidR="00AB6B47" w:rsidRPr="00E51808">
        <w:t>200</w:t>
      </w:r>
      <w:r w:rsidR="00D42F31">
        <w:t>9</w:t>
      </w:r>
      <w:r w:rsidR="00AB6B47" w:rsidRPr="00E51808">
        <w:t xml:space="preserve"> </w:t>
      </w:r>
      <w:r w:rsidRPr="00E51808">
        <w:t xml:space="preserve">and </w:t>
      </w:r>
      <w:r w:rsidR="00D42F31">
        <w:t>7.0</w:t>
      </w:r>
      <w:r w:rsidR="00AE5734">
        <w:t xml:space="preserve"> </w:t>
      </w:r>
      <w:r w:rsidRPr="00E51808">
        <w:t>per</w:t>
      </w:r>
      <w:r w:rsidR="00AE5734">
        <w:t xml:space="preserve"> </w:t>
      </w:r>
      <w:r w:rsidRPr="00E51808">
        <w:t xml:space="preserve">cent in </w:t>
      </w:r>
      <w:r w:rsidR="00AB6B47" w:rsidRPr="00E51808">
        <w:t>200</w:t>
      </w:r>
      <w:r w:rsidR="00D42F31">
        <w:t>4</w:t>
      </w:r>
      <w:r w:rsidRPr="00E51808">
        <w:t xml:space="preserve">. The participation </w:t>
      </w:r>
      <w:r w:rsidRPr="00EF5A5F">
        <w:t xml:space="preserve">rate for </w:t>
      </w:r>
      <w:r w:rsidR="006843F0" w:rsidRPr="00EF5A5F">
        <w:t>all people</w:t>
      </w:r>
      <w:r w:rsidRPr="00EF5A5F">
        <w:t xml:space="preserve"> aged 15</w:t>
      </w:r>
      <w:r w:rsidR="00251D58">
        <w:noBreakHyphen/>
      </w:r>
      <w:r w:rsidRPr="00EF5A5F">
        <w:t>64</w:t>
      </w:r>
      <w:r w:rsidR="00AE5734">
        <w:t xml:space="preserve"> </w:t>
      </w:r>
      <w:r w:rsidRPr="00E51808">
        <w:t xml:space="preserve">years was </w:t>
      </w:r>
      <w:r w:rsidR="00D42F31">
        <w:t>9.4</w:t>
      </w:r>
      <w:r w:rsidR="00AE5734">
        <w:t xml:space="preserve"> </w:t>
      </w:r>
      <w:r w:rsidRPr="00E51808">
        <w:t>per</w:t>
      </w:r>
      <w:r w:rsidR="00AE5734">
        <w:t xml:space="preserve"> </w:t>
      </w:r>
      <w:r w:rsidRPr="00E51808">
        <w:t xml:space="preserve">cent in </w:t>
      </w:r>
      <w:r w:rsidR="00AB6B47" w:rsidRPr="00E51808">
        <w:t>201</w:t>
      </w:r>
      <w:r w:rsidR="00D42F31">
        <w:t>3</w:t>
      </w:r>
      <w:r w:rsidRPr="00E51808">
        <w:t xml:space="preserve">, compared with </w:t>
      </w:r>
      <w:r w:rsidR="00D42F31">
        <w:t>8.4</w:t>
      </w:r>
      <w:r w:rsidR="00AE5734">
        <w:t xml:space="preserve"> </w:t>
      </w:r>
      <w:r w:rsidRPr="00E51808">
        <w:t>per</w:t>
      </w:r>
      <w:r w:rsidR="00AE5734">
        <w:t xml:space="preserve"> </w:t>
      </w:r>
      <w:r w:rsidRPr="00E51808">
        <w:t xml:space="preserve">cent in </w:t>
      </w:r>
      <w:r w:rsidR="00AB6B47" w:rsidRPr="00E51808">
        <w:t>200</w:t>
      </w:r>
      <w:r w:rsidR="008B0878" w:rsidRPr="00E51808">
        <w:t>8</w:t>
      </w:r>
      <w:r w:rsidR="00AB6B47" w:rsidRPr="00E51808">
        <w:t xml:space="preserve"> </w:t>
      </w:r>
      <w:r w:rsidRPr="00E51808">
        <w:t xml:space="preserve">and </w:t>
      </w:r>
      <w:r w:rsidR="00D42F31">
        <w:t>8.3</w:t>
      </w:r>
      <w:r w:rsidR="00AE5734">
        <w:t xml:space="preserve"> </w:t>
      </w:r>
      <w:r w:rsidRPr="00E51808">
        <w:t>per</w:t>
      </w:r>
      <w:r w:rsidR="00AE5734">
        <w:t xml:space="preserve"> </w:t>
      </w:r>
      <w:r w:rsidRPr="00E51808">
        <w:t xml:space="preserve">cent in </w:t>
      </w:r>
      <w:r w:rsidR="00AB6B47" w:rsidRPr="00E51808">
        <w:t>200</w:t>
      </w:r>
      <w:r w:rsidR="00204C83">
        <w:t>4</w:t>
      </w:r>
      <w:r w:rsidR="00AB6B47" w:rsidRPr="00E51808">
        <w:t xml:space="preserve"> </w:t>
      </w:r>
      <w:r w:rsidRPr="00E51808">
        <w:t xml:space="preserve">(figure </w:t>
      </w:r>
      <w:r w:rsidR="00442BBD" w:rsidRPr="00E51808">
        <w:t>5.5</w:t>
      </w:r>
      <w:r w:rsidR="00184BEB" w:rsidRPr="00E51808">
        <w:t>).</w:t>
      </w:r>
    </w:p>
    <w:p w:rsidR="00711910" w:rsidRDefault="00711910" w:rsidP="00711910">
      <w:pPr>
        <w:pStyle w:val="BodyText"/>
      </w:pPr>
      <w:r w:rsidRPr="00EF5A5F">
        <w:lastRenderedPageBreak/>
        <w:t xml:space="preserve">These student participation data are not age standardised, so the younger age profile of the </w:t>
      </w:r>
      <w:r w:rsidR="00804C04">
        <w:t xml:space="preserve">Aboriginal and Torres Strait Islander </w:t>
      </w:r>
      <w:r w:rsidRPr="00EF5A5F">
        <w:t>population relative to all Australians is likely to affect the results.</w:t>
      </w:r>
    </w:p>
    <w:p w:rsidR="009407E6" w:rsidRDefault="009407E6" w:rsidP="004A350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407E6" w:rsidTr="004A350E">
        <w:tc>
          <w:tcPr>
            <w:tcW w:w="8771" w:type="dxa"/>
            <w:tcBorders>
              <w:top w:val="single" w:sz="6" w:space="0" w:color="78A22F"/>
              <w:left w:val="nil"/>
              <w:bottom w:val="nil"/>
              <w:right w:val="nil"/>
            </w:tcBorders>
            <w:shd w:val="clear" w:color="auto" w:fill="auto"/>
          </w:tcPr>
          <w:p w:rsidR="009407E6" w:rsidRPr="00176D3F" w:rsidRDefault="009407E6" w:rsidP="00AD2A4A">
            <w:pPr>
              <w:pStyle w:val="FigureTitle"/>
            </w:pPr>
            <w:r w:rsidRPr="00784A05">
              <w:rPr>
                <w:b w:val="0"/>
              </w:rPr>
              <w:t xml:space="preserve">Figure </w:t>
            </w:r>
            <w:r>
              <w:rPr>
                <w:b w:val="0"/>
              </w:rPr>
              <w:t>5.</w:t>
            </w:r>
            <w:r w:rsidR="00D80B1E">
              <w:rPr>
                <w:b w:val="0"/>
                <w:noProof/>
              </w:rPr>
              <w:t>5</w:t>
            </w:r>
            <w:r>
              <w:tab/>
            </w:r>
            <w:r w:rsidRPr="00C02C05">
              <w:t>National VET participation rate for people aged 15–64 years, by</w:t>
            </w:r>
            <w:r w:rsidR="00804C04">
              <w:t xml:space="preserve"> </w:t>
            </w:r>
            <w:r w:rsidR="00AD2A4A">
              <w:t>Indigenous</w:t>
            </w:r>
            <w:r w:rsidR="00804C04">
              <w:t xml:space="preserve"> </w:t>
            </w:r>
            <w:r w:rsidRPr="00C02C05">
              <w:t>status</w:t>
            </w:r>
            <w:r w:rsidRPr="00C02C05">
              <w:rPr>
                <w:rStyle w:val="NoteLabel"/>
                <w:b/>
              </w:rPr>
              <w:t>a, b, c</w:t>
            </w:r>
          </w:p>
        </w:tc>
      </w:tr>
      <w:tr w:rsidR="009407E6" w:rsidTr="004A350E">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9407E6" w:rsidTr="009407E6">
              <w:tc>
                <w:tcPr>
                  <w:tcW w:w="5000" w:type="pct"/>
                  <w:tcBorders>
                    <w:top w:val="nil"/>
                    <w:bottom w:val="nil"/>
                  </w:tcBorders>
                </w:tcPr>
                <w:p w:rsidR="009407E6" w:rsidRDefault="009F6491" w:rsidP="00145970">
                  <w:pPr>
                    <w:pStyle w:val="Figure"/>
                    <w:spacing w:before="60" w:after="60"/>
                  </w:pPr>
                  <w:r>
                    <w:rPr>
                      <w:noProof/>
                    </w:rPr>
                    <w:drawing>
                      <wp:inline distT="0" distB="0" distL="0" distR="0">
                        <wp:extent cx="5391150" cy="2686050"/>
                        <wp:effectExtent l="0" t="0" r="0" b="0"/>
                        <wp:docPr id="3" name="Picture 3" descr="Figure 5.5 National VET participation rate for people aged 15-64 years, by Indigenous statu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9407E6" w:rsidRDefault="009407E6" w:rsidP="004A350E">
            <w:pPr>
              <w:pStyle w:val="Figure"/>
            </w:pPr>
          </w:p>
        </w:tc>
      </w:tr>
      <w:tr w:rsidR="009407E6" w:rsidRPr="00176D3F" w:rsidTr="004A350E">
        <w:tc>
          <w:tcPr>
            <w:tcW w:w="8771" w:type="dxa"/>
            <w:tcBorders>
              <w:top w:val="nil"/>
              <w:left w:val="nil"/>
              <w:bottom w:val="nil"/>
              <w:right w:val="nil"/>
            </w:tcBorders>
            <w:shd w:val="clear" w:color="auto" w:fill="auto"/>
          </w:tcPr>
          <w:p w:rsidR="009407E6" w:rsidRPr="00176D3F" w:rsidRDefault="009407E6" w:rsidP="00CE1395">
            <w:pPr>
              <w:pStyle w:val="Note"/>
            </w:pPr>
            <w:r w:rsidRPr="004B1B81">
              <w:rPr>
                <w:rStyle w:val="NoteLabel"/>
              </w:rPr>
              <w:t>a</w:t>
            </w:r>
            <w:r w:rsidRPr="004B1B81">
              <w:t xml:space="preserve"> Data are for government funded VET students. </w:t>
            </w:r>
            <w:r w:rsidRPr="004B1B81">
              <w:rPr>
                <w:rStyle w:val="NoteLabel"/>
              </w:rPr>
              <w:t>b</w:t>
            </w:r>
            <w:r w:rsidRPr="004B1B81">
              <w:t xml:space="preserve"> The </w:t>
            </w:r>
            <w:r w:rsidR="00804C04">
              <w:t xml:space="preserve">Aboriginal and Torres Strait Islander </w:t>
            </w:r>
            <w:r w:rsidRPr="004B1B81">
              <w:t xml:space="preserve">students participation rate is the number of </w:t>
            </w:r>
            <w:r w:rsidR="00804C04">
              <w:t xml:space="preserve">Aboriginal and Torres Strait Islander </w:t>
            </w:r>
            <w:r w:rsidRPr="004B1B81">
              <w:t xml:space="preserve">students </w:t>
            </w:r>
            <w:r w:rsidR="00E03077">
              <w:t>as a percentage of the estimate</w:t>
            </w:r>
            <w:r w:rsidRPr="004B1B81">
              <w:t xml:space="preserve"> of the </w:t>
            </w:r>
            <w:r w:rsidR="00804C04">
              <w:t xml:space="preserve">Aboriginal and Torres Strait Islander </w:t>
            </w:r>
            <w:r w:rsidRPr="004B1B81">
              <w:t>population for 30 June. The all students participation rate is the number of students as a percentage of the estimated total population as at 30 June. The non</w:t>
            </w:r>
            <w:r w:rsidRPr="004B1B81">
              <w:noBreakHyphen/>
              <w:t>Indigenous students participation rate is the number of students as a percentage of the estimated non</w:t>
            </w:r>
            <w:r w:rsidRPr="004B1B81">
              <w:noBreakHyphen/>
              <w:t xml:space="preserve">Indigenous population as at 30 June, calculated by subtracting the estimates of </w:t>
            </w:r>
            <w:r w:rsidR="00804C04">
              <w:t xml:space="preserve">Aboriginal and Torres Strait Islander </w:t>
            </w:r>
            <w:r w:rsidRPr="004B1B81">
              <w:t xml:space="preserve">population from estimates of the total resident population. </w:t>
            </w:r>
            <w:r w:rsidRPr="004B1B81">
              <w:rPr>
                <w:rStyle w:val="NoteLabel"/>
              </w:rPr>
              <w:t>c</w:t>
            </w:r>
            <w:r w:rsidR="003A6E96">
              <w:t> </w:t>
            </w:r>
            <w:r w:rsidR="00804C04">
              <w:t xml:space="preserve">Aboriginal and Torres Strait Islander </w:t>
            </w:r>
            <w:r w:rsidRPr="004B1B81">
              <w:t>students are defined as those who self-identify on enrolment forms that they are of Aboriginal and/or To</w:t>
            </w:r>
            <w:r w:rsidR="00E03077">
              <w:t>rres Strait Islander background</w:t>
            </w:r>
            <w:r w:rsidRPr="004B1B81">
              <w:t xml:space="preserve">. Care </w:t>
            </w:r>
            <w:r w:rsidR="00E03077">
              <w:t>should</w:t>
            </w:r>
            <w:r w:rsidRPr="004B1B81">
              <w:t xml:space="preserve"> be taken in comparing participation data due to the high non-response rates in some jurisdictions</w:t>
            </w:r>
            <w:r w:rsidR="00E03077">
              <w:t xml:space="preserve"> (see table </w:t>
            </w:r>
            <w:proofErr w:type="spellStart"/>
            <w:r w:rsidR="00E03077">
              <w:t>5A.10</w:t>
            </w:r>
            <w:proofErr w:type="spellEnd"/>
            <w:r w:rsidR="00E03077">
              <w:t>)</w:t>
            </w:r>
            <w:r w:rsidRPr="004B1B81">
              <w:t>.</w:t>
            </w:r>
          </w:p>
        </w:tc>
      </w:tr>
      <w:tr w:rsidR="009407E6" w:rsidRPr="00176D3F" w:rsidTr="004A350E">
        <w:tc>
          <w:tcPr>
            <w:tcW w:w="8771" w:type="dxa"/>
            <w:tcBorders>
              <w:top w:val="nil"/>
              <w:left w:val="nil"/>
              <w:bottom w:val="nil"/>
              <w:right w:val="nil"/>
            </w:tcBorders>
            <w:shd w:val="clear" w:color="auto" w:fill="auto"/>
          </w:tcPr>
          <w:p w:rsidR="009407E6" w:rsidRPr="00176D3F" w:rsidRDefault="009407E6" w:rsidP="00287B08">
            <w:pPr>
              <w:pStyle w:val="Source"/>
            </w:pPr>
            <w:r w:rsidRPr="00080748">
              <w:rPr>
                <w:i/>
              </w:rPr>
              <w:t>Source</w:t>
            </w:r>
            <w:r w:rsidRPr="00080748">
              <w:t>: NCVER (unpublished) National VET provider collection; ABS (201</w:t>
            </w:r>
            <w:r w:rsidR="00080748" w:rsidRPr="00080748">
              <w:t>3</w:t>
            </w:r>
            <w:r w:rsidRPr="00080748">
              <w:t xml:space="preserve"> and previous years), </w:t>
            </w:r>
            <w:r w:rsidRPr="00080748">
              <w:rPr>
                <w:i/>
              </w:rPr>
              <w:t>Australian Demographic Statistics, June 201</w:t>
            </w:r>
            <w:r w:rsidR="00080748" w:rsidRPr="00080748">
              <w:rPr>
                <w:i/>
              </w:rPr>
              <w:t>3</w:t>
            </w:r>
            <w:r w:rsidRPr="00080748">
              <w:t>, Cat. no. 3101.0, Canberra</w:t>
            </w:r>
            <w:r w:rsidR="00287B08">
              <w:t>;</w:t>
            </w:r>
            <w:r w:rsidRPr="00080748">
              <w:t xml:space="preserve"> </w:t>
            </w:r>
            <w:r w:rsidR="00080748" w:rsidRPr="00080748">
              <w:t xml:space="preserve">ABS (2013) </w:t>
            </w:r>
            <w:r w:rsidR="00080748" w:rsidRPr="00080748">
              <w:rPr>
                <w:i/>
              </w:rPr>
              <w:t>Estimates and Projections, Aboriginal and Torres Strait Islander Australians</w:t>
            </w:r>
            <w:r w:rsidR="00080748" w:rsidRPr="00080748">
              <w:t xml:space="preserve">, 2001 to 2026, Cat. no. 3238.0; </w:t>
            </w:r>
            <w:r w:rsidRPr="00080748">
              <w:t xml:space="preserve">table </w:t>
            </w:r>
            <w:proofErr w:type="spellStart"/>
            <w:r w:rsidRPr="00080748">
              <w:t>5A.10</w:t>
            </w:r>
            <w:proofErr w:type="spellEnd"/>
            <w:r w:rsidRPr="00080748">
              <w:t>.</w:t>
            </w:r>
          </w:p>
        </w:tc>
      </w:tr>
      <w:tr w:rsidR="009407E6" w:rsidTr="004A350E">
        <w:tc>
          <w:tcPr>
            <w:tcW w:w="8771" w:type="dxa"/>
            <w:tcBorders>
              <w:top w:val="nil"/>
              <w:left w:val="nil"/>
              <w:bottom w:val="single" w:sz="6" w:space="0" w:color="78A22F"/>
              <w:right w:val="nil"/>
            </w:tcBorders>
            <w:shd w:val="clear" w:color="auto" w:fill="auto"/>
          </w:tcPr>
          <w:p w:rsidR="009407E6" w:rsidRDefault="009407E6" w:rsidP="004A350E">
            <w:pPr>
              <w:pStyle w:val="Figurespace"/>
            </w:pPr>
          </w:p>
        </w:tc>
      </w:tr>
      <w:tr w:rsidR="009407E6" w:rsidRPr="000863A5" w:rsidTr="004A350E">
        <w:tc>
          <w:tcPr>
            <w:tcW w:w="8771" w:type="dxa"/>
            <w:tcBorders>
              <w:top w:val="single" w:sz="6" w:space="0" w:color="78A22F"/>
              <w:left w:val="nil"/>
              <w:bottom w:val="nil"/>
              <w:right w:val="nil"/>
            </w:tcBorders>
          </w:tcPr>
          <w:p w:rsidR="009407E6" w:rsidRPr="00626D32" w:rsidRDefault="009407E6" w:rsidP="004A350E">
            <w:pPr>
              <w:pStyle w:val="BoxSpaceBelow"/>
            </w:pPr>
          </w:p>
        </w:tc>
      </w:tr>
    </w:tbl>
    <w:p w:rsidR="00711910" w:rsidRDefault="00E921C7" w:rsidP="00711910">
      <w:pPr>
        <w:pStyle w:val="BodyText"/>
      </w:pPr>
      <w:r w:rsidRPr="00EF5A5F">
        <w:t xml:space="preserve">Nationally in </w:t>
      </w:r>
      <w:r w:rsidR="00AB6B47" w:rsidRPr="00E51808">
        <w:t>201</w:t>
      </w:r>
      <w:r w:rsidR="00BF128E">
        <w:t>3</w:t>
      </w:r>
      <w:r w:rsidR="00711910" w:rsidRPr="00E51808">
        <w:t xml:space="preserve">, </w:t>
      </w:r>
      <w:r w:rsidR="00D42F31">
        <w:t xml:space="preserve">5.1 </w:t>
      </w:r>
      <w:r w:rsidR="00711910" w:rsidRPr="00E51808">
        <w:t>per</w:t>
      </w:r>
      <w:r w:rsidR="008B0878" w:rsidRPr="00E51808">
        <w:t xml:space="preserve"> </w:t>
      </w:r>
      <w:r w:rsidR="00711910" w:rsidRPr="00E51808">
        <w:t xml:space="preserve">cent of government funded VET students (of all ages) identified as </w:t>
      </w:r>
      <w:r w:rsidR="00E03077">
        <w:t xml:space="preserve">being of </w:t>
      </w:r>
      <w:r w:rsidR="00804C04">
        <w:t xml:space="preserve">Aboriginal and Torres Strait Islander </w:t>
      </w:r>
      <w:r w:rsidR="00E03077">
        <w:t xml:space="preserve">background </w:t>
      </w:r>
      <w:r w:rsidR="00711910" w:rsidRPr="00E51808">
        <w:t>(figure </w:t>
      </w:r>
      <w:r w:rsidR="00442BBD" w:rsidRPr="00E51808">
        <w:t>5.6</w:t>
      </w:r>
      <w:r w:rsidR="00711910" w:rsidRPr="00E51808">
        <w:t>)</w:t>
      </w:r>
      <w:r w:rsidR="007D5D1D">
        <w:t xml:space="preserve">, </w:t>
      </w:r>
      <w:r w:rsidR="007D5D1D" w:rsidRPr="00E51808">
        <w:t xml:space="preserve">higher than the proportion of </w:t>
      </w:r>
      <w:r w:rsidR="00804C04">
        <w:t>Aboriginal and Torres Strait Islander people</w:t>
      </w:r>
      <w:r w:rsidR="007D5D1D" w:rsidRPr="00E51808">
        <w:t xml:space="preserve"> in the total population (</w:t>
      </w:r>
      <w:r w:rsidR="006D6F55">
        <w:t>3.0 </w:t>
      </w:r>
      <w:r w:rsidR="007D5D1D" w:rsidRPr="00E51808">
        <w:t>per</w:t>
      </w:r>
      <w:r w:rsidR="007D5D1D">
        <w:t> </w:t>
      </w:r>
      <w:r w:rsidR="007D5D1D" w:rsidRPr="00E51808">
        <w:t>cent) (table</w:t>
      </w:r>
      <w:r w:rsidR="00AE5734">
        <w:t xml:space="preserve"> </w:t>
      </w:r>
      <w:proofErr w:type="spellStart"/>
      <w:r w:rsidR="007D5D1D" w:rsidRPr="00E51808">
        <w:t>5A.16</w:t>
      </w:r>
      <w:proofErr w:type="spellEnd"/>
      <w:r w:rsidR="007D5D1D">
        <w:t xml:space="preserve">). Nationally, </w:t>
      </w:r>
      <w:r w:rsidR="006D6F55">
        <w:t xml:space="preserve">91.2 </w:t>
      </w:r>
      <w:r w:rsidR="007D5D1D">
        <w:t xml:space="preserve">per cent </w:t>
      </w:r>
      <w:r w:rsidR="007D5D1D" w:rsidRPr="00E51808">
        <w:t xml:space="preserve">of government funded VET students (of all ages) </w:t>
      </w:r>
      <w:r w:rsidR="007D5D1D">
        <w:t>identified themselves as non-Indigenous</w:t>
      </w:r>
      <w:r w:rsidR="00E03077">
        <w:t xml:space="preserve"> (Indigenous status was unknown for 3.7 per cent of government funded VET students).</w:t>
      </w:r>
    </w:p>
    <w:p w:rsidR="009407E6" w:rsidRDefault="009407E6" w:rsidP="004A350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407E6" w:rsidTr="004A350E">
        <w:tc>
          <w:tcPr>
            <w:tcW w:w="8771" w:type="dxa"/>
            <w:tcBorders>
              <w:top w:val="single" w:sz="6" w:space="0" w:color="78A22F"/>
              <w:left w:val="nil"/>
              <w:bottom w:val="nil"/>
              <w:right w:val="nil"/>
            </w:tcBorders>
            <w:shd w:val="clear" w:color="auto" w:fill="auto"/>
          </w:tcPr>
          <w:p w:rsidR="009407E6" w:rsidRPr="00176D3F" w:rsidRDefault="009407E6" w:rsidP="00AD2A4A">
            <w:pPr>
              <w:pStyle w:val="FigureTitle"/>
            </w:pPr>
            <w:r w:rsidRPr="00784A05">
              <w:rPr>
                <w:b w:val="0"/>
              </w:rPr>
              <w:t xml:space="preserve">Figure </w:t>
            </w:r>
            <w:r>
              <w:rPr>
                <w:b w:val="0"/>
              </w:rPr>
              <w:t>5.</w:t>
            </w:r>
            <w:r w:rsidR="00D80B1E">
              <w:rPr>
                <w:b w:val="0"/>
                <w:noProof/>
              </w:rPr>
              <w:t>6</w:t>
            </w:r>
            <w:r>
              <w:tab/>
            </w:r>
            <w:r w:rsidRPr="00C02C05">
              <w:t xml:space="preserve">VET students, all ages, by </w:t>
            </w:r>
            <w:r w:rsidR="00AD2A4A">
              <w:t>Indigenous</w:t>
            </w:r>
            <w:r w:rsidR="00804C04">
              <w:t xml:space="preserve"> </w:t>
            </w:r>
            <w:r w:rsidRPr="00C02C05">
              <w:t>status, 201</w:t>
            </w:r>
            <w:r w:rsidR="00BF128E">
              <w:t>3</w:t>
            </w:r>
            <w:r w:rsidRPr="00C02C05">
              <w:rPr>
                <w:rStyle w:val="NoteLabel"/>
                <w:b/>
              </w:rPr>
              <w:t>a, b</w:t>
            </w:r>
          </w:p>
        </w:tc>
      </w:tr>
      <w:tr w:rsidR="009407E6" w:rsidTr="004A350E">
        <w:tc>
          <w:tcPr>
            <w:tcW w:w="8771" w:type="dxa"/>
            <w:tcBorders>
              <w:top w:val="nil"/>
              <w:left w:val="nil"/>
              <w:bottom w:val="nil"/>
              <w:right w:val="nil"/>
            </w:tcBorders>
            <w:shd w:val="clear" w:color="auto" w:fill="auto"/>
            <w:tcMar>
              <w:top w:w="28" w:type="dxa"/>
              <w:bottom w:w="28" w:type="dxa"/>
            </w:tcMar>
          </w:tcPr>
          <w:tbl>
            <w:tblPr>
              <w:tblW w:w="8561"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61"/>
            </w:tblGrid>
            <w:tr w:rsidR="009407E6" w:rsidTr="00DD49BC">
              <w:tc>
                <w:tcPr>
                  <w:tcW w:w="5000" w:type="pct"/>
                  <w:tcBorders>
                    <w:top w:val="nil"/>
                    <w:bottom w:val="nil"/>
                  </w:tcBorders>
                </w:tcPr>
                <w:p w:rsidR="009407E6" w:rsidRDefault="009F6491" w:rsidP="000347C1">
                  <w:pPr>
                    <w:pStyle w:val="Figure"/>
                    <w:spacing w:before="60" w:after="60"/>
                  </w:pPr>
                  <w:r>
                    <w:rPr>
                      <w:noProof/>
                    </w:rPr>
                    <w:drawing>
                      <wp:inline distT="0" distB="0" distL="0" distR="0">
                        <wp:extent cx="5400675" cy="2686050"/>
                        <wp:effectExtent l="0" t="0" r="9525" b="0"/>
                        <wp:docPr id="5" name="Picture 5" descr="Figure 5.6 VET students, all ages, by Indigenous status,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0675" cy="2686050"/>
                                </a:xfrm>
                                <a:prstGeom prst="rect">
                                  <a:avLst/>
                                </a:prstGeom>
                                <a:noFill/>
                                <a:ln>
                                  <a:noFill/>
                                </a:ln>
                              </pic:spPr>
                            </pic:pic>
                          </a:graphicData>
                        </a:graphic>
                      </wp:inline>
                    </w:drawing>
                  </w:r>
                </w:p>
              </w:tc>
            </w:tr>
          </w:tbl>
          <w:p w:rsidR="009407E6" w:rsidRDefault="009407E6" w:rsidP="004A350E">
            <w:pPr>
              <w:pStyle w:val="Figure"/>
            </w:pPr>
          </w:p>
        </w:tc>
      </w:tr>
      <w:tr w:rsidR="009407E6" w:rsidRPr="00176D3F" w:rsidTr="004A350E">
        <w:tc>
          <w:tcPr>
            <w:tcW w:w="8771" w:type="dxa"/>
            <w:tcBorders>
              <w:top w:val="nil"/>
              <w:left w:val="nil"/>
              <w:bottom w:val="nil"/>
              <w:right w:val="nil"/>
            </w:tcBorders>
            <w:shd w:val="clear" w:color="auto" w:fill="auto"/>
          </w:tcPr>
          <w:p w:rsidR="009407E6" w:rsidRPr="00176D3F" w:rsidRDefault="009407E6" w:rsidP="003A6E96">
            <w:pPr>
              <w:pStyle w:val="Note"/>
            </w:pPr>
            <w:r w:rsidRPr="004B1B81">
              <w:rPr>
                <w:rStyle w:val="NoteLabel"/>
              </w:rPr>
              <w:t>a</w:t>
            </w:r>
            <w:r w:rsidRPr="004B1B81">
              <w:t xml:space="preserve"> Data are for government funded VET students.</w:t>
            </w:r>
            <w:r w:rsidRPr="004B1B81">
              <w:rPr>
                <w:rStyle w:val="NoteLabel"/>
              </w:rPr>
              <w:t xml:space="preserve"> b</w:t>
            </w:r>
            <w:r w:rsidRPr="004B1B81">
              <w:t xml:space="preserve"> </w:t>
            </w:r>
            <w:r w:rsidR="00804C04">
              <w:t xml:space="preserve">Aboriginal and Torres Strait Islander </w:t>
            </w:r>
            <w:r w:rsidRPr="004B1B81">
              <w:t>students are defined as those who self-identify on enrolment forms that they are of Aboriginal and/or Torres Strait Islander background. Not all students respond to the relevant question on the enrolment form (see table</w:t>
            </w:r>
            <w:r w:rsidR="003A6E96">
              <w:t> </w:t>
            </w:r>
            <w:proofErr w:type="spellStart"/>
            <w:r w:rsidRPr="004B1B81">
              <w:t>5A.16</w:t>
            </w:r>
            <w:proofErr w:type="spellEnd"/>
            <w:r w:rsidRPr="004B1B81">
              <w:t>).</w:t>
            </w:r>
          </w:p>
        </w:tc>
      </w:tr>
      <w:tr w:rsidR="009407E6" w:rsidRPr="00176D3F" w:rsidTr="004A350E">
        <w:tc>
          <w:tcPr>
            <w:tcW w:w="8771" w:type="dxa"/>
            <w:tcBorders>
              <w:top w:val="nil"/>
              <w:left w:val="nil"/>
              <w:bottom w:val="nil"/>
              <w:right w:val="nil"/>
            </w:tcBorders>
            <w:shd w:val="clear" w:color="auto" w:fill="auto"/>
          </w:tcPr>
          <w:p w:rsidR="009407E6" w:rsidRPr="00176D3F" w:rsidRDefault="009407E6" w:rsidP="009407E6">
            <w:pPr>
              <w:pStyle w:val="Source"/>
            </w:pPr>
            <w:r w:rsidRPr="004B1B81">
              <w:rPr>
                <w:i/>
              </w:rPr>
              <w:t>Source</w:t>
            </w:r>
            <w:r w:rsidRPr="004B1B81">
              <w:t xml:space="preserve">: NCVER (unpublished) National VET provider collection; table </w:t>
            </w:r>
            <w:proofErr w:type="spellStart"/>
            <w:r w:rsidRPr="004B1B81">
              <w:t>5A.16</w:t>
            </w:r>
            <w:proofErr w:type="spellEnd"/>
            <w:r w:rsidRPr="004B1B81">
              <w:t>.</w:t>
            </w:r>
            <w:r w:rsidRPr="00176D3F">
              <w:t xml:space="preserve"> </w:t>
            </w:r>
          </w:p>
        </w:tc>
      </w:tr>
      <w:tr w:rsidR="009407E6" w:rsidTr="004A350E">
        <w:tc>
          <w:tcPr>
            <w:tcW w:w="8771" w:type="dxa"/>
            <w:tcBorders>
              <w:top w:val="nil"/>
              <w:left w:val="nil"/>
              <w:bottom w:val="single" w:sz="6" w:space="0" w:color="78A22F"/>
              <w:right w:val="nil"/>
            </w:tcBorders>
            <w:shd w:val="clear" w:color="auto" w:fill="auto"/>
          </w:tcPr>
          <w:p w:rsidR="009407E6" w:rsidRDefault="009407E6" w:rsidP="004A350E">
            <w:pPr>
              <w:pStyle w:val="Figurespace"/>
            </w:pPr>
          </w:p>
        </w:tc>
      </w:tr>
      <w:tr w:rsidR="009407E6" w:rsidRPr="000863A5" w:rsidTr="004A350E">
        <w:tc>
          <w:tcPr>
            <w:tcW w:w="8771" w:type="dxa"/>
            <w:tcBorders>
              <w:top w:val="single" w:sz="6" w:space="0" w:color="78A22F"/>
              <w:left w:val="nil"/>
              <w:bottom w:val="nil"/>
              <w:right w:val="nil"/>
            </w:tcBorders>
          </w:tcPr>
          <w:p w:rsidR="009407E6" w:rsidRPr="00626D32" w:rsidRDefault="009407E6" w:rsidP="004A350E">
            <w:pPr>
              <w:pStyle w:val="BoxSpaceBelow"/>
            </w:pPr>
          </w:p>
        </w:tc>
      </w:tr>
    </w:tbl>
    <w:p w:rsidR="00C57336" w:rsidRPr="00EF5A5F" w:rsidRDefault="00C57336" w:rsidP="00287B08">
      <w:pPr>
        <w:pStyle w:val="Heading6"/>
      </w:pPr>
      <w:r w:rsidRPr="00EF5A5F">
        <w:t xml:space="preserve">VET participation by target group — </w:t>
      </w:r>
      <w:r w:rsidR="00F11929" w:rsidRPr="00EF5A5F">
        <w:t>p</w:t>
      </w:r>
      <w:r w:rsidR="00AA768B" w:rsidRPr="00EF5A5F">
        <w:t xml:space="preserve">eople </w:t>
      </w:r>
      <w:r w:rsidRPr="00EF5A5F">
        <w:t>from remote and very remote areas</w:t>
      </w:r>
    </w:p>
    <w:p w:rsidR="00C57336" w:rsidRDefault="004614F6" w:rsidP="0095094B">
      <w:pPr>
        <w:pStyle w:val="BodyText"/>
      </w:pPr>
      <w:r w:rsidRPr="000D462B">
        <w:t xml:space="preserve">VET student data by region are based on students’ home postcode using the Accessibility and Remoteness Index for Australia (ARIA) classification system. </w:t>
      </w:r>
      <w:r w:rsidR="007D5D1D">
        <w:t>Nationally</w:t>
      </w:r>
      <w:r w:rsidR="00113607" w:rsidRPr="000D462B">
        <w:t xml:space="preserve">, the </w:t>
      </w:r>
      <w:r w:rsidR="009354F6" w:rsidRPr="000D462B">
        <w:t xml:space="preserve">government funded </w:t>
      </w:r>
      <w:r w:rsidR="00113607" w:rsidRPr="000D462B">
        <w:t xml:space="preserve">VET participation rate </w:t>
      </w:r>
      <w:r w:rsidR="00AF674C">
        <w:t xml:space="preserve">in 2013 </w:t>
      </w:r>
      <w:r w:rsidR="007D5D1D">
        <w:t xml:space="preserve">generally </w:t>
      </w:r>
      <w:r w:rsidR="00113607" w:rsidRPr="000D462B">
        <w:t>increased with remoteness. P</w:t>
      </w:r>
      <w:r w:rsidR="00C57336" w:rsidRPr="000D462B">
        <w:t>articipation was higher for people from re</w:t>
      </w:r>
      <w:r w:rsidR="00731EDB" w:rsidRPr="000D462B">
        <w:t xml:space="preserve">mote and very remote areas </w:t>
      </w:r>
      <w:r w:rsidR="00731EDB" w:rsidRPr="00986836">
        <w:rPr>
          <w:shd w:val="clear" w:color="auto" w:fill="FFFFFF" w:themeFill="background1"/>
        </w:rPr>
        <w:t>(</w:t>
      </w:r>
      <w:r w:rsidR="006D6F55">
        <w:rPr>
          <w:shd w:val="clear" w:color="auto" w:fill="FFFFFF" w:themeFill="background1"/>
        </w:rPr>
        <w:t>9.1</w:t>
      </w:r>
      <w:r w:rsidR="00AE5734">
        <w:rPr>
          <w:shd w:val="clear" w:color="auto" w:fill="FFFFFF" w:themeFill="background1"/>
        </w:rPr>
        <w:t xml:space="preserve"> </w:t>
      </w:r>
      <w:r w:rsidR="006D6F55">
        <w:rPr>
          <w:shd w:val="clear" w:color="auto" w:fill="FFFFFF" w:themeFill="background1"/>
        </w:rPr>
        <w:t>per</w:t>
      </w:r>
      <w:r w:rsidR="00AE5734">
        <w:rPr>
          <w:shd w:val="clear" w:color="auto" w:fill="FFFFFF" w:themeFill="background1"/>
        </w:rPr>
        <w:t xml:space="preserve"> </w:t>
      </w:r>
      <w:r w:rsidR="00C57336" w:rsidRPr="00986836">
        <w:rPr>
          <w:shd w:val="clear" w:color="auto" w:fill="FFFFFF" w:themeFill="background1"/>
        </w:rPr>
        <w:t>cent) than for people fr</w:t>
      </w:r>
      <w:r w:rsidR="00731EDB" w:rsidRPr="00986836">
        <w:rPr>
          <w:shd w:val="clear" w:color="auto" w:fill="FFFFFF" w:themeFill="background1"/>
        </w:rPr>
        <w:t>om other geographic regions (</w:t>
      </w:r>
      <w:r w:rsidR="006D6F55">
        <w:rPr>
          <w:shd w:val="clear" w:color="auto" w:fill="FFFFFF" w:themeFill="background1"/>
        </w:rPr>
        <w:t>7.8 per </w:t>
      </w:r>
      <w:r w:rsidR="005D06B8" w:rsidRPr="00986836">
        <w:rPr>
          <w:shd w:val="clear" w:color="auto" w:fill="FFFFFF" w:themeFill="background1"/>
        </w:rPr>
        <w:t xml:space="preserve">cent </w:t>
      </w:r>
      <w:r w:rsidR="00731EDB" w:rsidRPr="00986836">
        <w:rPr>
          <w:shd w:val="clear" w:color="auto" w:fill="FFFFFF" w:themeFill="background1"/>
        </w:rPr>
        <w:t>for outer</w:t>
      </w:r>
      <w:r w:rsidR="00731EDB" w:rsidRPr="000D462B">
        <w:t xml:space="preserve"> regional areas, </w:t>
      </w:r>
      <w:r w:rsidR="006D6F55">
        <w:t>7.9</w:t>
      </w:r>
      <w:r w:rsidR="00AE5734">
        <w:t xml:space="preserve"> </w:t>
      </w:r>
      <w:r w:rsidR="005D06B8" w:rsidRPr="000D462B">
        <w:t>per</w:t>
      </w:r>
      <w:r w:rsidR="00AE5734">
        <w:t xml:space="preserve"> </w:t>
      </w:r>
      <w:r w:rsidR="005D06B8" w:rsidRPr="000D462B">
        <w:t xml:space="preserve">cent </w:t>
      </w:r>
      <w:r w:rsidR="00C57336" w:rsidRPr="000D462B">
        <w:t xml:space="preserve">for inner regional areas and </w:t>
      </w:r>
      <w:r w:rsidR="006D6F55">
        <w:t>5.7</w:t>
      </w:r>
      <w:r w:rsidR="00AE5734">
        <w:t xml:space="preserve"> </w:t>
      </w:r>
      <w:r w:rsidR="005D06B8" w:rsidRPr="000D462B">
        <w:t>per</w:t>
      </w:r>
      <w:r w:rsidR="00AE5734">
        <w:t xml:space="preserve"> </w:t>
      </w:r>
      <w:r w:rsidR="005D06B8" w:rsidRPr="000D462B">
        <w:t xml:space="preserve">cent </w:t>
      </w:r>
      <w:r w:rsidR="00C57336" w:rsidRPr="000D462B">
        <w:t>f</w:t>
      </w:r>
      <w:r w:rsidR="00731EDB" w:rsidRPr="000D462B">
        <w:t xml:space="preserve">or major cities) </w:t>
      </w:r>
      <w:r w:rsidR="00E03077">
        <w:t>and</w:t>
      </w:r>
      <w:r w:rsidR="00731EDB" w:rsidRPr="000D462B">
        <w:t xml:space="preserve"> </w:t>
      </w:r>
      <w:r w:rsidR="006D6F55">
        <w:t>6.4</w:t>
      </w:r>
      <w:r w:rsidR="00AE5734">
        <w:t xml:space="preserve"> </w:t>
      </w:r>
      <w:r w:rsidR="006D6F55">
        <w:t>per</w:t>
      </w:r>
      <w:r w:rsidR="00AE5734">
        <w:t xml:space="preserve"> </w:t>
      </w:r>
      <w:r w:rsidR="00C57336" w:rsidRPr="000D462B">
        <w:t>cent for all students (</w:t>
      </w:r>
      <w:r w:rsidR="00C57336" w:rsidRPr="000C682B">
        <w:rPr>
          <w:shd w:val="clear" w:color="auto" w:fill="FFFFFF" w:themeFill="background1"/>
        </w:rPr>
        <w:t>figure</w:t>
      </w:r>
      <w:r w:rsidR="00AE5734">
        <w:rPr>
          <w:shd w:val="clear" w:color="auto" w:fill="FFFFFF" w:themeFill="background1"/>
        </w:rPr>
        <w:t xml:space="preserve"> </w:t>
      </w:r>
      <w:r w:rsidR="00442BBD" w:rsidRPr="000C682B">
        <w:rPr>
          <w:shd w:val="clear" w:color="auto" w:fill="FFFFFF" w:themeFill="background1"/>
        </w:rPr>
        <w:t>5.7</w:t>
      </w:r>
      <w:r w:rsidR="00C57336" w:rsidRPr="000C682B">
        <w:rPr>
          <w:shd w:val="clear" w:color="auto" w:fill="FFFFFF" w:themeFill="background1"/>
        </w:rPr>
        <w:t xml:space="preserve">). </w:t>
      </w:r>
      <w:r w:rsidR="0039762B" w:rsidRPr="000C682B">
        <w:rPr>
          <w:shd w:val="clear" w:color="auto" w:fill="FFFFFF" w:themeFill="background1"/>
        </w:rPr>
        <w:t>Factors such as e</w:t>
      </w:r>
      <w:r w:rsidR="00C57336" w:rsidRPr="000C682B">
        <w:rPr>
          <w:shd w:val="clear" w:color="auto" w:fill="FFFFFF" w:themeFill="background1"/>
        </w:rPr>
        <w:t>mployment</w:t>
      </w:r>
      <w:r w:rsidR="00C57336" w:rsidRPr="000D462B">
        <w:t xml:space="preserve"> opportunities and the availability of alternative education </w:t>
      </w:r>
      <w:r w:rsidR="00C57336" w:rsidRPr="00EF5A5F">
        <w:t xml:space="preserve">services in regional and remote areas </w:t>
      </w:r>
      <w:r w:rsidR="00086D1F" w:rsidRPr="00EF5A5F">
        <w:t>can</w:t>
      </w:r>
      <w:r w:rsidR="00C57336" w:rsidRPr="00EF5A5F">
        <w:t xml:space="preserve"> affect the level of VET participation in these areas.</w:t>
      </w:r>
    </w:p>
    <w:p w:rsidR="009407E6" w:rsidRDefault="009407E6" w:rsidP="004A350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407E6" w:rsidTr="004A350E">
        <w:tc>
          <w:tcPr>
            <w:tcW w:w="8771" w:type="dxa"/>
            <w:tcBorders>
              <w:top w:val="single" w:sz="6" w:space="0" w:color="78A22F"/>
              <w:left w:val="nil"/>
              <w:bottom w:val="nil"/>
              <w:right w:val="nil"/>
            </w:tcBorders>
            <w:shd w:val="clear" w:color="auto" w:fill="auto"/>
          </w:tcPr>
          <w:p w:rsidR="009407E6" w:rsidRPr="00176D3F" w:rsidRDefault="009407E6" w:rsidP="00AF674C">
            <w:pPr>
              <w:pStyle w:val="FigureTitle"/>
            </w:pPr>
            <w:r w:rsidRPr="00784A05">
              <w:rPr>
                <w:b w:val="0"/>
              </w:rPr>
              <w:t xml:space="preserve">Figure </w:t>
            </w:r>
            <w:r>
              <w:rPr>
                <w:b w:val="0"/>
              </w:rPr>
              <w:t>5.</w:t>
            </w:r>
            <w:r w:rsidR="00D80B1E">
              <w:rPr>
                <w:b w:val="0"/>
                <w:noProof/>
              </w:rPr>
              <w:t>7</w:t>
            </w:r>
            <w:r>
              <w:tab/>
            </w:r>
            <w:r w:rsidRPr="00C02C05">
              <w:t xml:space="preserve">VET participation rate for people of all ages, by region, </w:t>
            </w:r>
            <w:r>
              <w:br/>
            </w:r>
            <w:r w:rsidRPr="00C02C05">
              <w:t>201</w:t>
            </w:r>
            <w:r w:rsidR="00AF674C">
              <w:t>3</w:t>
            </w:r>
            <w:r w:rsidRPr="00C02C05">
              <w:rPr>
                <w:rStyle w:val="NoteLabel"/>
                <w:b/>
              </w:rPr>
              <w:t>a, b, c</w:t>
            </w:r>
          </w:p>
        </w:tc>
      </w:tr>
      <w:tr w:rsidR="009407E6" w:rsidTr="004A350E">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9407E6" w:rsidTr="009407E6">
              <w:tc>
                <w:tcPr>
                  <w:tcW w:w="5000" w:type="pct"/>
                  <w:tcBorders>
                    <w:top w:val="nil"/>
                    <w:bottom w:val="nil"/>
                  </w:tcBorders>
                </w:tcPr>
                <w:p w:rsidR="009407E6" w:rsidRDefault="009F6491" w:rsidP="00DD49BC">
                  <w:pPr>
                    <w:pStyle w:val="Figure"/>
                    <w:spacing w:before="60" w:after="60"/>
                  </w:pPr>
                  <w:r>
                    <w:rPr>
                      <w:noProof/>
                    </w:rPr>
                    <w:drawing>
                      <wp:inline distT="0" distB="0" distL="0" distR="0">
                        <wp:extent cx="5391150" cy="2695575"/>
                        <wp:effectExtent l="0" t="0" r="0" b="9525"/>
                        <wp:docPr id="6" name="Picture 6" descr="Figure 5.7 VET participation rate for people of all ages, by region,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9407E6" w:rsidRDefault="009407E6" w:rsidP="004A350E">
            <w:pPr>
              <w:pStyle w:val="Figure"/>
            </w:pPr>
          </w:p>
        </w:tc>
      </w:tr>
      <w:tr w:rsidR="009407E6" w:rsidRPr="00176D3F" w:rsidTr="004A350E">
        <w:tc>
          <w:tcPr>
            <w:tcW w:w="8771" w:type="dxa"/>
            <w:tcBorders>
              <w:top w:val="nil"/>
              <w:left w:val="nil"/>
              <w:bottom w:val="nil"/>
              <w:right w:val="nil"/>
            </w:tcBorders>
            <w:shd w:val="clear" w:color="auto" w:fill="auto"/>
          </w:tcPr>
          <w:p w:rsidR="009407E6" w:rsidRPr="00176D3F" w:rsidRDefault="009407E6" w:rsidP="004A350E">
            <w:pPr>
              <w:pStyle w:val="Note"/>
            </w:pPr>
            <w:r w:rsidRPr="004B1B81">
              <w:rPr>
                <w:rStyle w:val="NoteLabel"/>
              </w:rPr>
              <w:t>a</w:t>
            </w:r>
            <w:r w:rsidRPr="004B1B81">
              <w:t xml:space="preserve"> Data are for government funded VET students. </w:t>
            </w:r>
            <w:r w:rsidRPr="004B1B81">
              <w:rPr>
                <w:rStyle w:val="NoteLabel"/>
              </w:rPr>
              <w:t>b</w:t>
            </w:r>
            <w:r w:rsidRPr="004B1B81">
              <w:t xml:space="preserve"> The participation rate for students from the various regions is the number of students participating in VET (based on students’ home postcode) as a proportion of the total population that resides in that region. </w:t>
            </w:r>
            <w:r w:rsidRPr="004B1B81">
              <w:rPr>
                <w:rStyle w:val="NoteLabel"/>
              </w:rPr>
              <w:t>c</w:t>
            </w:r>
            <w:r w:rsidRPr="004B1B81">
              <w:t xml:space="preserve"> There are no very remote areas in Victoria, no major cities in Tasmania, no outer regional areas, remote areas or very remote areas in the ACT, and no major cities or inner regional areas in the NT.</w:t>
            </w:r>
          </w:p>
        </w:tc>
      </w:tr>
      <w:tr w:rsidR="009407E6" w:rsidRPr="00176D3F" w:rsidTr="004A350E">
        <w:tc>
          <w:tcPr>
            <w:tcW w:w="8771" w:type="dxa"/>
            <w:tcBorders>
              <w:top w:val="nil"/>
              <w:left w:val="nil"/>
              <w:bottom w:val="nil"/>
              <w:right w:val="nil"/>
            </w:tcBorders>
            <w:shd w:val="clear" w:color="auto" w:fill="auto"/>
          </w:tcPr>
          <w:p w:rsidR="009407E6" w:rsidRPr="00176D3F" w:rsidRDefault="009407E6" w:rsidP="00080748">
            <w:pPr>
              <w:pStyle w:val="Source"/>
            </w:pPr>
            <w:r w:rsidRPr="00080748">
              <w:rPr>
                <w:i/>
              </w:rPr>
              <w:t>Source</w:t>
            </w:r>
            <w:r w:rsidRPr="00080748">
              <w:t xml:space="preserve">: NCVER (unpublished) National VET provider collection; ABS (2013), </w:t>
            </w:r>
            <w:r w:rsidRPr="00080748">
              <w:rPr>
                <w:i/>
              </w:rPr>
              <w:t>Regional Population Growth, Australia, 201</w:t>
            </w:r>
            <w:r w:rsidR="00080748" w:rsidRPr="00080748">
              <w:rPr>
                <w:i/>
              </w:rPr>
              <w:t>2</w:t>
            </w:r>
            <w:r w:rsidRPr="00080748">
              <w:rPr>
                <w:i/>
              </w:rPr>
              <w:t>-1</w:t>
            </w:r>
            <w:r w:rsidR="00080748" w:rsidRPr="00080748">
              <w:rPr>
                <w:i/>
              </w:rPr>
              <w:t>3</w:t>
            </w:r>
            <w:r w:rsidRPr="00080748">
              <w:t xml:space="preserve">, Cat. no. 3218.0; table </w:t>
            </w:r>
            <w:proofErr w:type="spellStart"/>
            <w:r w:rsidRPr="00080748">
              <w:t>5A.12</w:t>
            </w:r>
            <w:proofErr w:type="spellEnd"/>
            <w:r w:rsidRPr="00080748">
              <w:t>.</w:t>
            </w:r>
          </w:p>
        </w:tc>
      </w:tr>
      <w:tr w:rsidR="009407E6" w:rsidTr="004A350E">
        <w:tc>
          <w:tcPr>
            <w:tcW w:w="8771" w:type="dxa"/>
            <w:tcBorders>
              <w:top w:val="nil"/>
              <w:left w:val="nil"/>
              <w:bottom w:val="single" w:sz="6" w:space="0" w:color="78A22F"/>
              <w:right w:val="nil"/>
            </w:tcBorders>
            <w:shd w:val="clear" w:color="auto" w:fill="auto"/>
          </w:tcPr>
          <w:p w:rsidR="009407E6" w:rsidRDefault="009407E6" w:rsidP="004A350E">
            <w:pPr>
              <w:pStyle w:val="Figurespace"/>
            </w:pPr>
          </w:p>
        </w:tc>
      </w:tr>
      <w:tr w:rsidR="009407E6" w:rsidRPr="000863A5" w:rsidTr="004A350E">
        <w:tc>
          <w:tcPr>
            <w:tcW w:w="8771" w:type="dxa"/>
            <w:tcBorders>
              <w:top w:val="single" w:sz="6" w:space="0" w:color="78A22F"/>
              <w:left w:val="nil"/>
              <w:bottom w:val="nil"/>
              <w:right w:val="nil"/>
            </w:tcBorders>
          </w:tcPr>
          <w:p w:rsidR="009407E6" w:rsidRPr="00626D32" w:rsidRDefault="009407E6" w:rsidP="004A350E">
            <w:pPr>
              <w:pStyle w:val="BoxSpaceBelow"/>
            </w:pPr>
          </w:p>
        </w:tc>
      </w:tr>
    </w:tbl>
    <w:p w:rsidR="00C57336" w:rsidRPr="00EF5A5F" w:rsidRDefault="00C57336" w:rsidP="00287B08">
      <w:pPr>
        <w:pStyle w:val="Heading6"/>
      </w:pPr>
      <w:r w:rsidRPr="00EF5A5F">
        <w:t xml:space="preserve">VET participation by target group — </w:t>
      </w:r>
      <w:r w:rsidR="00A418AA">
        <w:t>p</w:t>
      </w:r>
      <w:r w:rsidR="00AA768B" w:rsidRPr="00EF5A5F">
        <w:t xml:space="preserve">eople </w:t>
      </w:r>
      <w:r w:rsidRPr="00EF5A5F">
        <w:t>with disability</w:t>
      </w:r>
    </w:p>
    <w:p w:rsidR="00C57336" w:rsidRDefault="00C57336" w:rsidP="0095094B">
      <w:pPr>
        <w:pStyle w:val="BodyText"/>
      </w:pPr>
      <w:r w:rsidRPr="000D462B">
        <w:t xml:space="preserve">Nationally, </w:t>
      </w:r>
      <w:r w:rsidR="001A70A8">
        <w:t>7.6</w:t>
      </w:r>
      <w:r w:rsidR="00AE5734">
        <w:t xml:space="preserve"> </w:t>
      </w:r>
      <w:r w:rsidRPr="000D462B">
        <w:t>per</w:t>
      </w:r>
      <w:r w:rsidR="00AE5734">
        <w:t xml:space="preserve"> </w:t>
      </w:r>
      <w:r w:rsidRPr="00EF5A5F">
        <w:t xml:space="preserve">cent of government funded VET </w:t>
      </w:r>
      <w:r w:rsidRPr="000C682B">
        <w:rPr>
          <w:shd w:val="clear" w:color="auto" w:fill="FFFFFF" w:themeFill="background1"/>
        </w:rPr>
        <w:t xml:space="preserve">students in </w:t>
      </w:r>
      <w:r w:rsidR="008B475A" w:rsidRPr="000C682B">
        <w:rPr>
          <w:shd w:val="clear" w:color="auto" w:fill="FFFFFF" w:themeFill="background1"/>
        </w:rPr>
        <w:t>201</w:t>
      </w:r>
      <w:r w:rsidR="00AF674C">
        <w:rPr>
          <w:shd w:val="clear" w:color="auto" w:fill="FFFFFF" w:themeFill="background1"/>
        </w:rPr>
        <w:t>3</w:t>
      </w:r>
      <w:r w:rsidR="008B475A" w:rsidRPr="000C682B">
        <w:rPr>
          <w:shd w:val="clear" w:color="auto" w:fill="FFFFFF" w:themeFill="background1"/>
        </w:rPr>
        <w:t xml:space="preserve"> </w:t>
      </w:r>
      <w:r w:rsidRPr="000C682B">
        <w:rPr>
          <w:shd w:val="clear" w:color="auto" w:fill="FFFFFF" w:themeFill="background1"/>
        </w:rPr>
        <w:t xml:space="preserve">reported having disability, </w:t>
      </w:r>
      <w:r w:rsidR="00C50020" w:rsidRPr="000C682B">
        <w:rPr>
          <w:shd w:val="clear" w:color="auto" w:fill="FFFFFF" w:themeFill="background1"/>
        </w:rPr>
        <w:t xml:space="preserve">an </w:t>
      </w:r>
      <w:r w:rsidRPr="000C682B">
        <w:rPr>
          <w:shd w:val="clear" w:color="auto" w:fill="FFFFFF" w:themeFill="background1"/>
        </w:rPr>
        <w:t xml:space="preserve">impairment or </w:t>
      </w:r>
      <w:r w:rsidR="00C50020" w:rsidRPr="000C682B">
        <w:rPr>
          <w:shd w:val="clear" w:color="auto" w:fill="FFFFFF" w:themeFill="background1"/>
        </w:rPr>
        <w:t xml:space="preserve">a </w:t>
      </w:r>
      <w:r w:rsidRPr="000C682B">
        <w:rPr>
          <w:shd w:val="clear" w:color="auto" w:fill="FFFFFF" w:themeFill="background1"/>
        </w:rPr>
        <w:t>long</w:t>
      </w:r>
      <w:r w:rsidR="00974385" w:rsidRPr="000C682B">
        <w:rPr>
          <w:shd w:val="clear" w:color="auto" w:fill="FFFFFF" w:themeFill="background1"/>
        </w:rPr>
        <w:t>-</w:t>
      </w:r>
      <w:r w:rsidRPr="000C682B">
        <w:rPr>
          <w:shd w:val="clear" w:color="auto" w:fill="FFFFFF" w:themeFill="background1"/>
        </w:rPr>
        <w:t xml:space="preserve">term condition (figure </w:t>
      </w:r>
      <w:r w:rsidR="00442BBD" w:rsidRPr="000C682B">
        <w:rPr>
          <w:shd w:val="clear" w:color="auto" w:fill="FFFFFF" w:themeFill="background1"/>
        </w:rPr>
        <w:t>5.8</w:t>
      </w:r>
      <w:r w:rsidR="003D4406" w:rsidRPr="000C682B">
        <w:rPr>
          <w:shd w:val="clear" w:color="auto" w:fill="FFFFFF" w:themeFill="background1"/>
        </w:rPr>
        <w:t xml:space="preserve">). Based on </w:t>
      </w:r>
      <w:r w:rsidR="007B05BF" w:rsidRPr="000C682B">
        <w:rPr>
          <w:shd w:val="clear" w:color="auto" w:fill="FFFFFF" w:themeFill="background1"/>
        </w:rPr>
        <w:t xml:space="preserve">the </w:t>
      </w:r>
      <w:r w:rsidR="003D4406" w:rsidRPr="000C682B">
        <w:rPr>
          <w:shd w:val="clear" w:color="auto" w:fill="FFFFFF" w:themeFill="background1"/>
        </w:rPr>
        <w:t>20</w:t>
      </w:r>
      <w:r w:rsidR="007C77A9" w:rsidRPr="000C682B">
        <w:rPr>
          <w:shd w:val="clear" w:color="auto" w:fill="FFFFFF" w:themeFill="background1"/>
        </w:rPr>
        <w:t>12</w:t>
      </w:r>
      <w:r w:rsidR="00AE5734">
        <w:rPr>
          <w:shd w:val="clear" w:color="auto" w:fill="FFFFFF" w:themeFill="background1"/>
        </w:rPr>
        <w:t xml:space="preserve"> </w:t>
      </w:r>
      <w:r w:rsidRPr="000C682B">
        <w:rPr>
          <w:shd w:val="clear" w:color="auto" w:fill="FFFFFF" w:themeFill="background1"/>
        </w:rPr>
        <w:t xml:space="preserve">ABS </w:t>
      </w:r>
      <w:r w:rsidR="00276FDB" w:rsidRPr="000C682B">
        <w:rPr>
          <w:i/>
          <w:shd w:val="clear" w:color="auto" w:fill="FFFFFF" w:themeFill="background1"/>
        </w:rPr>
        <w:t>Survey of</w:t>
      </w:r>
      <w:r w:rsidR="00276FDB" w:rsidRPr="000C682B">
        <w:rPr>
          <w:shd w:val="clear" w:color="auto" w:fill="FFFFFF" w:themeFill="background1"/>
        </w:rPr>
        <w:t xml:space="preserve"> </w:t>
      </w:r>
      <w:r w:rsidR="007B05BF" w:rsidRPr="000C682B">
        <w:rPr>
          <w:i/>
          <w:shd w:val="clear" w:color="auto" w:fill="FFFFFF" w:themeFill="background1"/>
        </w:rPr>
        <w:t>Disability, Ageing and Carers</w:t>
      </w:r>
      <w:r w:rsidR="007B05BF" w:rsidRPr="000C682B">
        <w:rPr>
          <w:shd w:val="clear" w:color="auto" w:fill="FFFFFF" w:themeFill="background1"/>
        </w:rPr>
        <w:t xml:space="preserve"> (</w:t>
      </w:r>
      <w:proofErr w:type="spellStart"/>
      <w:r w:rsidR="007B05BF" w:rsidRPr="000C682B">
        <w:rPr>
          <w:shd w:val="clear" w:color="auto" w:fill="FFFFFF" w:themeFill="background1"/>
        </w:rPr>
        <w:t>SDAC</w:t>
      </w:r>
      <w:proofErr w:type="spellEnd"/>
      <w:r w:rsidR="007B05BF" w:rsidRPr="000C682B">
        <w:rPr>
          <w:shd w:val="clear" w:color="auto" w:fill="FFFFFF" w:themeFill="background1"/>
        </w:rPr>
        <w:t xml:space="preserve">) </w:t>
      </w:r>
      <w:r w:rsidRPr="000C682B">
        <w:rPr>
          <w:shd w:val="clear" w:color="auto" w:fill="FFFFFF" w:themeFill="background1"/>
        </w:rPr>
        <w:t>data, an estimated 1</w:t>
      </w:r>
      <w:r w:rsidR="005D51FA" w:rsidRPr="000C682B">
        <w:rPr>
          <w:shd w:val="clear" w:color="auto" w:fill="FFFFFF" w:themeFill="background1"/>
        </w:rPr>
        <w:t>4</w:t>
      </w:r>
      <w:r w:rsidRPr="000C682B">
        <w:rPr>
          <w:shd w:val="clear" w:color="auto" w:fill="FFFFFF" w:themeFill="background1"/>
        </w:rPr>
        <w:t>.</w:t>
      </w:r>
      <w:r w:rsidR="007C77A9" w:rsidRPr="000C682B">
        <w:rPr>
          <w:shd w:val="clear" w:color="auto" w:fill="FFFFFF" w:themeFill="background1"/>
        </w:rPr>
        <w:t>4</w:t>
      </w:r>
      <w:r w:rsidR="00AE5734">
        <w:rPr>
          <w:shd w:val="clear" w:color="auto" w:fill="FFFFFF" w:themeFill="background1"/>
        </w:rPr>
        <w:t xml:space="preserve"> </w:t>
      </w:r>
      <w:r w:rsidRPr="000C682B">
        <w:rPr>
          <w:shd w:val="clear" w:color="auto" w:fill="FFFFFF" w:themeFill="background1"/>
        </w:rPr>
        <w:t>per</w:t>
      </w:r>
      <w:r w:rsidR="00AE5734">
        <w:rPr>
          <w:shd w:val="clear" w:color="auto" w:fill="FFFFFF" w:themeFill="background1"/>
        </w:rPr>
        <w:t xml:space="preserve"> </w:t>
      </w:r>
      <w:r w:rsidRPr="000C682B">
        <w:rPr>
          <w:shd w:val="clear" w:color="auto" w:fill="FFFFFF" w:themeFill="background1"/>
        </w:rPr>
        <w:t xml:space="preserve">cent of all </w:t>
      </w:r>
      <w:r w:rsidR="0063132C">
        <w:rPr>
          <w:shd w:val="clear" w:color="auto" w:fill="FFFFFF" w:themeFill="background1"/>
        </w:rPr>
        <w:br/>
      </w:r>
      <w:r w:rsidRPr="000C682B">
        <w:rPr>
          <w:shd w:val="clear" w:color="auto" w:fill="FFFFFF" w:themeFill="background1"/>
        </w:rPr>
        <w:t>15</w:t>
      </w:r>
      <w:r w:rsidR="0063132C">
        <w:rPr>
          <w:shd w:val="clear" w:color="auto" w:fill="FFFFFF" w:themeFill="background1"/>
        </w:rPr>
        <w:t>–</w:t>
      </w:r>
      <w:r w:rsidRPr="000C682B">
        <w:rPr>
          <w:shd w:val="clear" w:color="auto" w:fill="FFFFFF" w:themeFill="background1"/>
        </w:rPr>
        <w:t>64 y</w:t>
      </w:r>
      <w:r w:rsidR="0026030A" w:rsidRPr="000C682B">
        <w:rPr>
          <w:shd w:val="clear" w:color="auto" w:fill="FFFFFF" w:themeFill="background1"/>
        </w:rPr>
        <w:t>ear olds in the population</w:t>
      </w:r>
      <w:r w:rsidR="007C77A9" w:rsidRPr="000C682B">
        <w:rPr>
          <w:shd w:val="clear" w:color="auto" w:fill="FFFFFF" w:themeFill="background1"/>
        </w:rPr>
        <w:t xml:space="preserve"> living in households</w:t>
      </w:r>
      <w:r w:rsidR="0026030A" w:rsidRPr="000C682B">
        <w:rPr>
          <w:shd w:val="clear" w:color="auto" w:fill="FFFFFF" w:themeFill="background1"/>
        </w:rPr>
        <w:t xml:space="preserve"> and </w:t>
      </w:r>
      <w:r w:rsidR="005D51FA" w:rsidRPr="000C682B">
        <w:rPr>
          <w:shd w:val="clear" w:color="auto" w:fill="FFFFFF" w:themeFill="background1"/>
        </w:rPr>
        <w:t>18.5</w:t>
      </w:r>
      <w:r w:rsidR="00AE5734">
        <w:rPr>
          <w:shd w:val="clear" w:color="auto" w:fill="FFFFFF" w:themeFill="background1"/>
        </w:rPr>
        <w:t xml:space="preserve"> </w:t>
      </w:r>
      <w:r w:rsidRPr="000C682B">
        <w:rPr>
          <w:shd w:val="clear" w:color="auto" w:fill="FFFFFF" w:themeFill="background1"/>
        </w:rPr>
        <w:t>per</w:t>
      </w:r>
      <w:r w:rsidR="00AE5734">
        <w:rPr>
          <w:shd w:val="clear" w:color="auto" w:fill="FFFFFF" w:themeFill="background1"/>
        </w:rPr>
        <w:t xml:space="preserve"> </w:t>
      </w:r>
      <w:r w:rsidRPr="000C682B">
        <w:rPr>
          <w:shd w:val="clear" w:color="auto" w:fill="FFFFFF" w:themeFill="background1"/>
        </w:rPr>
        <w:t xml:space="preserve">cent of the total population reported having </w:t>
      </w:r>
      <w:r w:rsidR="00D05C85" w:rsidRPr="000C682B">
        <w:rPr>
          <w:shd w:val="clear" w:color="auto" w:fill="FFFFFF" w:themeFill="background1"/>
        </w:rPr>
        <w:t>disability (derived from ABS </w:t>
      </w:r>
      <w:r w:rsidR="0092034B" w:rsidRPr="000C682B">
        <w:rPr>
          <w:shd w:val="clear" w:color="auto" w:fill="FFFFFF" w:themeFill="background1"/>
        </w:rPr>
        <w:t>20</w:t>
      </w:r>
      <w:r w:rsidR="005D51FA" w:rsidRPr="000C682B">
        <w:rPr>
          <w:shd w:val="clear" w:color="auto" w:fill="FFFFFF" w:themeFill="background1"/>
        </w:rPr>
        <w:t>1</w:t>
      </w:r>
      <w:r w:rsidR="007C77A9" w:rsidRPr="000C682B">
        <w:rPr>
          <w:shd w:val="clear" w:color="auto" w:fill="FFFFFF" w:themeFill="background1"/>
        </w:rPr>
        <w:t>3</w:t>
      </w:r>
      <w:r w:rsidRPr="000C682B">
        <w:rPr>
          <w:shd w:val="clear" w:color="auto" w:fill="FFFFFF" w:themeFill="background1"/>
        </w:rPr>
        <w:t>). The proportion of VET students reporting disability is not directly comparable with the proportion of the population reporting disability</w:t>
      </w:r>
      <w:r w:rsidRPr="00EF5A5F">
        <w:t>, as the classifications of d</w:t>
      </w:r>
      <w:r w:rsidR="00FF5A84" w:rsidRPr="00EF5A5F">
        <w:t xml:space="preserve">isabilities </w:t>
      </w:r>
      <w:r w:rsidR="00AA0765" w:rsidRPr="00EF5A5F">
        <w:t>differ</w:t>
      </w:r>
      <w:r w:rsidR="00276FDB" w:rsidRPr="00EF5A5F">
        <w:t xml:space="preserve"> across </w:t>
      </w:r>
      <w:r w:rsidR="00276FDB" w:rsidRPr="000C682B">
        <w:rPr>
          <w:shd w:val="clear" w:color="auto" w:fill="FFFFFF" w:themeFill="background1"/>
        </w:rPr>
        <w:t>the two collections</w:t>
      </w:r>
      <w:r w:rsidR="00FF5A84" w:rsidRPr="000C682B">
        <w:rPr>
          <w:shd w:val="clear" w:color="auto" w:fill="FFFFFF" w:themeFill="background1"/>
        </w:rPr>
        <w:t>.</w:t>
      </w:r>
      <w:r w:rsidR="00AA0765" w:rsidRPr="000C682B">
        <w:rPr>
          <w:shd w:val="clear" w:color="auto" w:fill="FFFFFF" w:themeFill="background1"/>
        </w:rPr>
        <w:t xml:space="preserve"> Within the VET system, the focus is on identifying students </w:t>
      </w:r>
      <w:r w:rsidR="007E7322" w:rsidRPr="000C682B">
        <w:rPr>
          <w:shd w:val="clear" w:color="auto" w:fill="FFFFFF" w:themeFill="background1"/>
        </w:rPr>
        <w:t>who</w:t>
      </w:r>
      <w:r w:rsidR="007E7322">
        <w:t xml:space="preserve"> </w:t>
      </w:r>
      <w:r w:rsidR="00AA0765" w:rsidRPr="00EF5A5F">
        <w:t>require additional teaching and learning support.</w:t>
      </w:r>
    </w:p>
    <w:p w:rsidR="00307A8A" w:rsidRDefault="00307A8A" w:rsidP="004A350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07A8A" w:rsidTr="004A350E">
        <w:tc>
          <w:tcPr>
            <w:tcW w:w="8771" w:type="dxa"/>
            <w:tcBorders>
              <w:top w:val="single" w:sz="6" w:space="0" w:color="78A22F"/>
              <w:left w:val="nil"/>
              <w:bottom w:val="nil"/>
              <w:right w:val="nil"/>
            </w:tcBorders>
            <w:shd w:val="clear" w:color="auto" w:fill="auto"/>
          </w:tcPr>
          <w:p w:rsidR="00307A8A" w:rsidRPr="00176D3F" w:rsidRDefault="00307A8A" w:rsidP="00AF674C">
            <w:pPr>
              <w:pStyle w:val="FigureTitle"/>
            </w:pPr>
            <w:r w:rsidRPr="00784A05">
              <w:rPr>
                <w:b w:val="0"/>
              </w:rPr>
              <w:t xml:space="preserve">Figure </w:t>
            </w:r>
            <w:r>
              <w:rPr>
                <w:b w:val="0"/>
              </w:rPr>
              <w:t>5.</w:t>
            </w:r>
            <w:r w:rsidR="00D80B1E">
              <w:rPr>
                <w:b w:val="0"/>
                <w:noProof/>
              </w:rPr>
              <w:t>8</w:t>
            </w:r>
            <w:r>
              <w:tab/>
            </w:r>
            <w:r w:rsidRPr="00C02C05">
              <w:t>VET students of all ages, by disability status, 201</w:t>
            </w:r>
            <w:r w:rsidR="00AF674C">
              <w:t>3</w:t>
            </w:r>
            <w:r w:rsidRPr="00C02C05">
              <w:rPr>
                <w:rStyle w:val="NoteLabel"/>
                <w:b/>
              </w:rPr>
              <w:t>a, b</w:t>
            </w:r>
            <w:r>
              <w:rPr>
                <w:rStyle w:val="NoteLabel"/>
                <w:b/>
              </w:rPr>
              <w:t>, c</w:t>
            </w:r>
          </w:p>
        </w:tc>
      </w:tr>
      <w:tr w:rsidR="00307A8A" w:rsidTr="00A26D57">
        <w:tc>
          <w:tcPr>
            <w:tcW w:w="8771" w:type="dxa"/>
            <w:tcBorders>
              <w:top w:val="nil"/>
              <w:left w:val="nil"/>
              <w:bottom w:val="nil"/>
              <w:right w:val="nil"/>
            </w:tcBorders>
            <w:shd w:val="clear" w:color="auto" w:fill="auto"/>
            <w:tcMar>
              <w:top w:w="28" w:type="dxa"/>
              <w:bottom w:w="28" w:type="dxa"/>
            </w:tcMar>
          </w:tcPr>
          <w:p w:rsidR="00307A8A" w:rsidRDefault="009F6491" w:rsidP="004A350E">
            <w:pPr>
              <w:pStyle w:val="Figure"/>
            </w:pPr>
            <w:r>
              <w:rPr>
                <w:noProof/>
              </w:rPr>
              <w:drawing>
                <wp:inline distT="0" distB="0" distL="0" distR="0">
                  <wp:extent cx="5248275" cy="2667000"/>
                  <wp:effectExtent l="0" t="0" r="9525" b="0"/>
                  <wp:docPr id="7" name="Picture 7" descr="Figure 5.8 VET students of all ages, by disability status,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48275" cy="2667000"/>
                          </a:xfrm>
                          <a:prstGeom prst="rect">
                            <a:avLst/>
                          </a:prstGeom>
                          <a:noFill/>
                          <a:ln>
                            <a:noFill/>
                          </a:ln>
                        </pic:spPr>
                      </pic:pic>
                    </a:graphicData>
                  </a:graphic>
                </wp:inline>
              </w:drawing>
            </w:r>
          </w:p>
        </w:tc>
      </w:tr>
      <w:tr w:rsidR="00307A8A" w:rsidRPr="00176D3F" w:rsidTr="00A26D57">
        <w:tc>
          <w:tcPr>
            <w:tcW w:w="8771" w:type="dxa"/>
            <w:tcBorders>
              <w:top w:val="nil"/>
              <w:left w:val="nil"/>
              <w:bottom w:val="nil"/>
              <w:right w:val="nil"/>
            </w:tcBorders>
            <w:shd w:val="clear" w:color="auto" w:fill="auto"/>
          </w:tcPr>
          <w:p w:rsidR="00307A8A" w:rsidRPr="00176D3F" w:rsidRDefault="00307A8A" w:rsidP="0063132C">
            <w:pPr>
              <w:pStyle w:val="Note"/>
            </w:pPr>
            <w:r w:rsidRPr="004B1B81">
              <w:rPr>
                <w:rStyle w:val="NoteLabel"/>
              </w:rPr>
              <w:t>a</w:t>
            </w:r>
            <w:r w:rsidRPr="004B1B81">
              <w:t xml:space="preserve"> Data are for government funded VET students. </w:t>
            </w:r>
            <w:r w:rsidRPr="004B1B81">
              <w:rPr>
                <w:rStyle w:val="NoteLabel"/>
              </w:rPr>
              <w:t>b</w:t>
            </w:r>
            <w:r w:rsidRPr="004B1B81">
              <w:t xml:space="preserve"> People with disability are defined as those who self</w:t>
            </w:r>
            <w:r w:rsidR="00E03077">
              <w:noBreakHyphen/>
            </w:r>
            <w:r w:rsidRPr="004B1B81">
              <w:t>identify on enrolment forms that they have disability, an impairment or a long-term condition. Not all students respond to the relevant question on the enrolment form.</w:t>
            </w:r>
            <w:r>
              <w:t xml:space="preserve"> </w:t>
            </w:r>
            <w:r w:rsidRPr="00F641E6">
              <w:rPr>
                <w:rStyle w:val="NoteLabel"/>
              </w:rPr>
              <w:t>c</w:t>
            </w:r>
            <w:r>
              <w:t> Disability status not stated is nil or rounded to zero for SA.</w:t>
            </w:r>
          </w:p>
        </w:tc>
      </w:tr>
      <w:tr w:rsidR="00307A8A" w:rsidRPr="00176D3F" w:rsidTr="004A350E">
        <w:tc>
          <w:tcPr>
            <w:tcW w:w="8771" w:type="dxa"/>
            <w:tcBorders>
              <w:top w:val="nil"/>
              <w:left w:val="nil"/>
              <w:bottom w:val="nil"/>
              <w:right w:val="nil"/>
            </w:tcBorders>
            <w:shd w:val="clear" w:color="auto" w:fill="auto"/>
          </w:tcPr>
          <w:p w:rsidR="00307A8A" w:rsidRPr="00176D3F" w:rsidRDefault="00307A8A" w:rsidP="004A350E">
            <w:pPr>
              <w:pStyle w:val="Source"/>
            </w:pPr>
            <w:r w:rsidRPr="004B1B81">
              <w:rPr>
                <w:i/>
              </w:rPr>
              <w:t>Source</w:t>
            </w:r>
            <w:r w:rsidRPr="004B1B81">
              <w:t xml:space="preserve">: NCVER (unpublished) National VET provider collection; table </w:t>
            </w:r>
            <w:proofErr w:type="spellStart"/>
            <w:r w:rsidRPr="004B1B81">
              <w:t>5A.13</w:t>
            </w:r>
            <w:proofErr w:type="spellEnd"/>
            <w:r w:rsidRPr="004B1B81">
              <w:t>.</w:t>
            </w:r>
          </w:p>
        </w:tc>
      </w:tr>
      <w:tr w:rsidR="00307A8A" w:rsidTr="004A350E">
        <w:tc>
          <w:tcPr>
            <w:tcW w:w="8771" w:type="dxa"/>
            <w:tcBorders>
              <w:top w:val="nil"/>
              <w:left w:val="nil"/>
              <w:bottom w:val="single" w:sz="6" w:space="0" w:color="78A22F"/>
              <w:right w:val="nil"/>
            </w:tcBorders>
            <w:shd w:val="clear" w:color="auto" w:fill="auto"/>
          </w:tcPr>
          <w:p w:rsidR="00307A8A" w:rsidRDefault="00307A8A" w:rsidP="004A350E">
            <w:pPr>
              <w:pStyle w:val="Figurespace"/>
            </w:pPr>
          </w:p>
        </w:tc>
      </w:tr>
      <w:tr w:rsidR="00307A8A" w:rsidRPr="000863A5" w:rsidTr="004A350E">
        <w:tc>
          <w:tcPr>
            <w:tcW w:w="8771" w:type="dxa"/>
            <w:tcBorders>
              <w:top w:val="single" w:sz="6" w:space="0" w:color="78A22F"/>
              <w:left w:val="nil"/>
              <w:bottom w:val="nil"/>
              <w:right w:val="nil"/>
            </w:tcBorders>
          </w:tcPr>
          <w:p w:rsidR="00307A8A" w:rsidRPr="00626D32" w:rsidRDefault="00307A8A" w:rsidP="004A350E">
            <w:pPr>
              <w:pStyle w:val="BoxSpaceBelow"/>
            </w:pPr>
          </w:p>
        </w:tc>
      </w:tr>
    </w:tbl>
    <w:p w:rsidR="00C57336" w:rsidRPr="00EF5A5F" w:rsidRDefault="00C57336" w:rsidP="00287B08">
      <w:pPr>
        <w:pStyle w:val="Heading6"/>
      </w:pPr>
      <w:r w:rsidRPr="00EF5A5F">
        <w:t xml:space="preserve">VET participation by target group — </w:t>
      </w:r>
      <w:r w:rsidR="00276FDB" w:rsidRPr="00EF5A5F">
        <w:t>p</w:t>
      </w:r>
      <w:r w:rsidR="006A3635" w:rsidRPr="00EF5A5F">
        <w:t xml:space="preserve">eople </w:t>
      </w:r>
      <w:r w:rsidRPr="00EF5A5F">
        <w:t xml:space="preserve">speaking a language other than English at home </w:t>
      </w:r>
    </w:p>
    <w:p w:rsidR="00B006D2" w:rsidRPr="00165F0A" w:rsidRDefault="00C57336" w:rsidP="0095094B">
      <w:pPr>
        <w:pStyle w:val="BodyText"/>
      </w:pPr>
      <w:r w:rsidRPr="00EF5A5F">
        <w:t xml:space="preserve">In </w:t>
      </w:r>
      <w:r w:rsidR="008B475A" w:rsidRPr="00086708">
        <w:t>201</w:t>
      </w:r>
      <w:r w:rsidR="00AF674C">
        <w:t>3</w:t>
      </w:r>
      <w:r w:rsidRPr="00086708">
        <w:t xml:space="preserve">, </w:t>
      </w:r>
      <w:r w:rsidR="00726060">
        <w:t>17.4</w:t>
      </w:r>
      <w:r w:rsidR="00AE5734">
        <w:t xml:space="preserve"> </w:t>
      </w:r>
      <w:r w:rsidRPr="00086708">
        <w:t>per</w:t>
      </w:r>
      <w:r w:rsidR="00AE5734">
        <w:t xml:space="preserve"> </w:t>
      </w:r>
      <w:r w:rsidRPr="00EF5A5F">
        <w:t xml:space="preserve">cent of government funded VET students reported speaking a </w:t>
      </w:r>
      <w:proofErr w:type="spellStart"/>
      <w:r w:rsidR="00276FDB" w:rsidRPr="00EF5A5F">
        <w:t>LOTE</w:t>
      </w:r>
      <w:proofErr w:type="spellEnd"/>
      <w:r w:rsidRPr="00EF5A5F">
        <w:t xml:space="preserve"> at home (figure </w:t>
      </w:r>
      <w:r w:rsidR="00442BBD">
        <w:t>5.9</w:t>
      </w:r>
      <w:r w:rsidR="00EA0FD0" w:rsidRPr="00EF5A5F">
        <w:t xml:space="preserve">). By </w:t>
      </w:r>
      <w:r w:rsidR="00EA0FD0" w:rsidRPr="00E0193D">
        <w:t xml:space="preserve">comparison, </w:t>
      </w:r>
      <w:r w:rsidR="008B475A" w:rsidRPr="00E0193D">
        <w:t>18.2</w:t>
      </w:r>
      <w:r w:rsidR="00E0193D" w:rsidRPr="00E0193D">
        <w:t xml:space="preserve"> </w:t>
      </w:r>
      <w:r w:rsidRPr="00E0193D">
        <w:t>per</w:t>
      </w:r>
      <w:r w:rsidR="00E0193D" w:rsidRPr="00E0193D">
        <w:t xml:space="preserve"> </w:t>
      </w:r>
      <w:r w:rsidRPr="00E0193D">
        <w:t xml:space="preserve">cent </w:t>
      </w:r>
      <w:r w:rsidRPr="00165F0A">
        <w:t xml:space="preserve">of the total population of Australia </w:t>
      </w:r>
      <w:r w:rsidR="002D7E23" w:rsidRPr="00165F0A">
        <w:t xml:space="preserve">in </w:t>
      </w:r>
      <w:r w:rsidR="00BA680F" w:rsidRPr="00165F0A">
        <w:t xml:space="preserve">2011 </w:t>
      </w:r>
      <w:r w:rsidRPr="00165F0A">
        <w:t xml:space="preserve">spoke a </w:t>
      </w:r>
      <w:proofErr w:type="spellStart"/>
      <w:r w:rsidR="00276FDB" w:rsidRPr="00165F0A">
        <w:t>LOTE</w:t>
      </w:r>
      <w:proofErr w:type="spellEnd"/>
      <w:r w:rsidR="00276FDB" w:rsidRPr="00165F0A">
        <w:t xml:space="preserve"> </w:t>
      </w:r>
      <w:r w:rsidRPr="00165F0A">
        <w:t>at home</w:t>
      </w:r>
      <w:r w:rsidR="00BA680F" w:rsidRPr="00165F0A">
        <w:t xml:space="preserve"> (table </w:t>
      </w:r>
      <w:proofErr w:type="spellStart"/>
      <w:r w:rsidR="00BA680F" w:rsidRPr="00165F0A">
        <w:t>5A.14</w:t>
      </w:r>
      <w:proofErr w:type="spellEnd"/>
      <w:r w:rsidR="00BA680F" w:rsidRPr="00165F0A">
        <w:t>)</w:t>
      </w:r>
      <w:r w:rsidR="00165F0A" w:rsidRPr="00165F0A">
        <w:t xml:space="preserve"> (derived from ABS 2011 </w:t>
      </w:r>
      <w:r w:rsidR="00165F0A" w:rsidRPr="00165F0A">
        <w:rPr>
          <w:i/>
        </w:rPr>
        <w:t>Census of Population and Housing</w:t>
      </w:r>
      <w:r w:rsidR="00165F0A" w:rsidRPr="00165F0A">
        <w:t xml:space="preserve">, table </w:t>
      </w:r>
      <w:proofErr w:type="spellStart"/>
      <w:r w:rsidR="00CB7C95">
        <w:t>2</w:t>
      </w:r>
      <w:r w:rsidR="00165F0A" w:rsidRPr="00165F0A">
        <w:t>A.11</w:t>
      </w:r>
      <w:proofErr w:type="spellEnd"/>
      <w:r w:rsidR="00165F0A" w:rsidRPr="00165F0A">
        <w:t>).</w:t>
      </w:r>
    </w:p>
    <w:p w:rsidR="004A350E" w:rsidRDefault="004A350E" w:rsidP="004A350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A350E" w:rsidTr="004A350E">
        <w:tc>
          <w:tcPr>
            <w:tcW w:w="8771" w:type="dxa"/>
            <w:tcBorders>
              <w:top w:val="single" w:sz="6" w:space="0" w:color="78A22F"/>
              <w:left w:val="nil"/>
              <w:bottom w:val="nil"/>
              <w:right w:val="nil"/>
            </w:tcBorders>
            <w:shd w:val="clear" w:color="auto" w:fill="auto"/>
          </w:tcPr>
          <w:p w:rsidR="004A350E" w:rsidRPr="00176D3F" w:rsidRDefault="004A350E" w:rsidP="00AF674C">
            <w:pPr>
              <w:pStyle w:val="FigureTitle"/>
            </w:pPr>
            <w:r w:rsidRPr="00784A05">
              <w:rPr>
                <w:b w:val="0"/>
              </w:rPr>
              <w:t xml:space="preserve">Figure </w:t>
            </w:r>
            <w:r>
              <w:rPr>
                <w:b w:val="0"/>
              </w:rPr>
              <w:t>5.</w:t>
            </w:r>
            <w:r w:rsidR="00D80B1E">
              <w:rPr>
                <w:b w:val="0"/>
                <w:noProof/>
              </w:rPr>
              <w:t>9</w:t>
            </w:r>
            <w:r>
              <w:tab/>
            </w:r>
            <w:r w:rsidRPr="00C02C05">
              <w:t>VET students of all ages, by language spoken at home, 201</w:t>
            </w:r>
            <w:r w:rsidR="00AF674C">
              <w:t>3</w:t>
            </w:r>
            <w:r w:rsidRPr="00C02C05">
              <w:rPr>
                <w:rStyle w:val="NoteLabel"/>
                <w:b/>
              </w:rPr>
              <w:t>a, b</w:t>
            </w:r>
          </w:p>
        </w:tc>
      </w:tr>
      <w:tr w:rsidR="004A350E" w:rsidTr="004A350E">
        <w:tc>
          <w:tcPr>
            <w:tcW w:w="8771" w:type="dxa"/>
            <w:tcBorders>
              <w:top w:val="nil"/>
              <w:left w:val="nil"/>
              <w:bottom w:val="nil"/>
              <w:right w:val="nil"/>
            </w:tcBorders>
            <w:shd w:val="clear" w:color="auto" w:fill="auto"/>
            <w:tcMar>
              <w:top w:w="28" w:type="dxa"/>
              <w:bottom w:w="28" w:type="dxa"/>
            </w:tcMar>
          </w:tcPr>
          <w:tbl>
            <w:tblPr>
              <w:tblW w:w="8561"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61"/>
            </w:tblGrid>
            <w:tr w:rsidR="004A350E" w:rsidTr="00DD49BC">
              <w:tc>
                <w:tcPr>
                  <w:tcW w:w="5000" w:type="pct"/>
                  <w:tcBorders>
                    <w:top w:val="nil"/>
                    <w:bottom w:val="nil"/>
                  </w:tcBorders>
                </w:tcPr>
                <w:p w:rsidR="004A350E" w:rsidRDefault="009F6491" w:rsidP="004A350E">
                  <w:pPr>
                    <w:pStyle w:val="Figure"/>
                    <w:spacing w:before="60" w:after="60"/>
                  </w:pPr>
                  <w:r>
                    <w:rPr>
                      <w:noProof/>
                    </w:rPr>
                    <w:drawing>
                      <wp:inline distT="0" distB="0" distL="0" distR="0">
                        <wp:extent cx="5400675" cy="2686050"/>
                        <wp:effectExtent l="0" t="0" r="9525" b="0"/>
                        <wp:docPr id="8" name="Picture 8" descr="Figure 5.9 VET students of all ages, by language spoken at home,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00675" cy="2686050"/>
                                </a:xfrm>
                                <a:prstGeom prst="rect">
                                  <a:avLst/>
                                </a:prstGeom>
                                <a:noFill/>
                                <a:ln>
                                  <a:noFill/>
                                </a:ln>
                              </pic:spPr>
                            </pic:pic>
                          </a:graphicData>
                        </a:graphic>
                      </wp:inline>
                    </w:drawing>
                  </w:r>
                </w:p>
              </w:tc>
            </w:tr>
          </w:tbl>
          <w:p w:rsidR="004A350E" w:rsidRDefault="004A350E" w:rsidP="004A350E">
            <w:pPr>
              <w:pStyle w:val="Figure"/>
            </w:pPr>
          </w:p>
        </w:tc>
      </w:tr>
      <w:tr w:rsidR="004A350E" w:rsidRPr="00176D3F" w:rsidTr="004A350E">
        <w:tc>
          <w:tcPr>
            <w:tcW w:w="8771" w:type="dxa"/>
            <w:tcBorders>
              <w:top w:val="nil"/>
              <w:left w:val="nil"/>
              <w:bottom w:val="nil"/>
              <w:right w:val="nil"/>
            </w:tcBorders>
            <w:shd w:val="clear" w:color="auto" w:fill="auto"/>
          </w:tcPr>
          <w:p w:rsidR="004A350E" w:rsidRPr="00176D3F" w:rsidRDefault="004A350E" w:rsidP="004A350E">
            <w:pPr>
              <w:pStyle w:val="Note"/>
            </w:pPr>
            <w:r w:rsidRPr="004B1B81">
              <w:rPr>
                <w:rStyle w:val="NoteLabel"/>
              </w:rPr>
              <w:t>a</w:t>
            </w:r>
            <w:r w:rsidRPr="004B1B81">
              <w:t xml:space="preserve"> Data are for government funded VET students. </w:t>
            </w:r>
            <w:r w:rsidRPr="004B1B81">
              <w:rPr>
                <w:rStyle w:val="NoteLabel"/>
              </w:rPr>
              <w:t>b</w:t>
            </w:r>
            <w:r w:rsidRPr="004B1B81">
              <w:t xml:space="preserve"> Students reported as speaking a language other than English at home are those who self-identify on their enrolment form that they speak a language other than English at home.  Not all students responded to the relevant question on the enrolment form.</w:t>
            </w:r>
          </w:p>
        </w:tc>
      </w:tr>
      <w:tr w:rsidR="004A350E" w:rsidRPr="00176D3F" w:rsidTr="004A350E">
        <w:tc>
          <w:tcPr>
            <w:tcW w:w="8771" w:type="dxa"/>
            <w:tcBorders>
              <w:top w:val="nil"/>
              <w:left w:val="nil"/>
              <w:bottom w:val="nil"/>
              <w:right w:val="nil"/>
            </w:tcBorders>
            <w:shd w:val="clear" w:color="auto" w:fill="auto"/>
          </w:tcPr>
          <w:p w:rsidR="004A350E" w:rsidRPr="00176D3F" w:rsidRDefault="004A350E" w:rsidP="004A350E">
            <w:pPr>
              <w:pStyle w:val="Source"/>
            </w:pPr>
            <w:r w:rsidRPr="004B1B81">
              <w:rPr>
                <w:i/>
              </w:rPr>
              <w:t>Source</w:t>
            </w:r>
            <w:r w:rsidRPr="004B1B81">
              <w:t xml:space="preserve">: NCVER (unpublished) National VET provider collection; table </w:t>
            </w:r>
            <w:proofErr w:type="spellStart"/>
            <w:r w:rsidRPr="004B1B81">
              <w:t>5A.14</w:t>
            </w:r>
            <w:proofErr w:type="spellEnd"/>
            <w:r w:rsidRPr="004B1B81">
              <w:t>.</w:t>
            </w:r>
          </w:p>
        </w:tc>
      </w:tr>
      <w:tr w:rsidR="004A350E" w:rsidTr="004A350E">
        <w:tc>
          <w:tcPr>
            <w:tcW w:w="8771" w:type="dxa"/>
            <w:tcBorders>
              <w:top w:val="nil"/>
              <w:left w:val="nil"/>
              <w:bottom w:val="single" w:sz="6" w:space="0" w:color="78A22F"/>
              <w:right w:val="nil"/>
            </w:tcBorders>
            <w:shd w:val="clear" w:color="auto" w:fill="auto"/>
          </w:tcPr>
          <w:p w:rsidR="004A350E" w:rsidRDefault="004A350E" w:rsidP="004A350E">
            <w:pPr>
              <w:pStyle w:val="Figurespace"/>
            </w:pPr>
          </w:p>
        </w:tc>
      </w:tr>
      <w:tr w:rsidR="004A350E" w:rsidRPr="000863A5" w:rsidTr="004A350E">
        <w:tc>
          <w:tcPr>
            <w:tcW w:w="8771" w:type="dxa"/>
            <w:tcBorders>
              <w:top w:val="single" w:sz="6" w:space="0" w:color="78A22F"/>
              <w:left w:val="nil"/>
              <w:bottom w:val="nil"/>
              <w:right w:val="nil"/>
            </w:tcBorders>
          </w:tcPr>
          <w:p w:rsidR="004A350E" w:rsidRPr="00626D32" w:rsidRDefault="004A350E" w:rsidP="004A350E">
            <w:pPr>
              <w:pStyle w:val="BoxSpaceBelow"/>
            </w:pPr>
          </w:p>
        </w:tc>
      </w:tr>
    </w:tbl>
    <w:p w:rsidR="00B006D2" w:rsidRDefault="00B006D2" w:rsidP="00B006D2">
      <w:pPr>
        <w:pStyle w:val="BodyText"/>
      </w:pPr>
      <w:r w:rsidRPr="00FF3898">
        <w:t xml:space="preserve">Participation in government funded VET for people speaking a </w:t>
      </w:r>
      <w:proofErr w:type="spellStart"/>
      <w:r w:rsidRPr="00FF3898">
        <w:t>LOTE</w:t>
      </w:r>
      <w:proofErr w:type="spellEnd"/>
      <w:r w:rsidRPr="00FF3898">
        <w:t xml:space="preserve"> at home </w:t>
      </w:r>
      <w:r w:rsidR="00AD7CF2">
        <w:t>was</w:t>
      </w:r>
      <w:r w:rsidRPr="00FF3898">
        <w:t xml:space="preserve"> estimated to be 5.6 per</w:t>
      </w:r>
      <w:r w:rsidR="00AE5734">
        <w:t xml:space="preserve"> </w:t>
      </w:r>
      <w:r w:rsidRPr="00FF3898">
        <w:t>cent nationally in 201</w:t>
      </w:r>
      <w:r w:rsidR="00FF3898" w:rsidRPr="00FF3898">
        <w:t>1</w:t>
      </w:r>
      <w:r w:rsidRPr="00FF3898">
        <w:t>, compared with 7.1 per</w:t>
      </w:r>
      <w:r w:rsidR="00AE5734">
        <w:t xml:space="preserve"> </w:t>
      </w:r>
      <w:r w:rsidRPr="00FF3898">
        <w:t>cent for people who spoke only English at home, and 6.</w:t>
      </w:r>
      <w:r w:rsidR="00FF3898" w:rsidRPr="00FF3898">
        <w:t>6</w:t>
      </w:r>
      <w:r w:rsidR="00AE5734">
        <w:t xml:space="preserve"> </w:t>
      </w:r>
      <w:r w:rsidRPr="00FF3898">
        <w:t>per</w:t>
      </w:r>
      <w:r w:rsidR="00AE5734">
        <w:t xml:space="preserve"> </w:t>
      </w:r>
      <w:r w:rsidR="00B43698" w:rsidRPr="00FF3898">
        <w:t xml:space="preserve">cent for the general population. The estimated national participation rate in 2006 for people speaking a </w:t>
      </w:r>
      <w:proofErr w:type="spellStart"/>
      <w:r w:rsidR="00B43698" w:rsidRPr="00FF3898">
        <w:t>LOTE</w:t>
      </w:r>
      <w:proofErr w:type="spellEnd"/>
      <w:r w:rsidR="00B43698" w:rsidRPr="00FF3898">
        <w:t xml:space="preserve"> at home was similar at 5.5 per cent </w:t>
      </w:r>
      <w:r w:rsidRPr="00FF3898">
        <w:t xml:space="preserve">(table </w:t>
      </w:r>
      <w:proofErr w:type="spellStart"/>
      <w:r w:rsidRPr="00FF3898">
        <w:t>5A.15</w:t>
      </w:r>
      <w:proofErr w:type="spellEnd"/>
      <w:r w:rsidRPr="00FF3898">
        <w:t xml:space="preserve">) (derived from ABS </w:t>
      </w:r>
      <w:r w:rsidR="00B43698" w:rsidRPr="00FF3898">
        <w:t xml:space="preserve">2006 and </w:t>
      </w:r>
      <w:r w:rsidRPr="00FF3898">
        <w:t xml:space="preserve">2011 </w:t>
      </w:r>
      <w:r w:rsidRPr="00FF3898">
        <w:rPr>
          <w:i/>
        </w:rPr>
        <w:t>Census of Population and Housing</w:t>
      </w:r>
      <w:r w:rsidRPr="00FF3898">
        <w:t>, table</w:t>
      </w:r>
      <w:r w:rsidR="00B43698" w:rsidRPr="00FF3898">
        <w:t>s</w:t>
      </w:r>
      <w:r w:rsidRPr="00FF3898">
        <w:t xml:space="preserve"> </w:t>
      </w:r>
      <w:proofErr w:type="spellStart"/>
      <w:r w:rsidR="00AD7CF2">
        <w:t>2</w:t>
      </w:r>
      <w:r w:rsidR="00B43698" w:rsidRPr="00FF3898">
        <w:t>A.10</w:t>
      </w:r>
      <w:proofErr w:type="spellEnd"/>
      <w:r w:rsidR="00B43698" w:rsidRPr="00FF3898">
        <w:t xml:space="preserve"> and </w:t>
      </w:r>
      <w:proofErr w:type="spellStart"/>
      <w:r w:rsidR="00AD7CF2">
        <w:t>2</w:t>
      </w:r>
      <w:r w:rsidRPr="00FF3898">
        <w:t>A.11</w:t>
      </w:r>
      <w:proofErr w:type="spellEnd"/>
      <w:r w:rsidRPr="00FF3898">
        <w:t>).</w:t>
      </w:r>
    </w:p>
    <w:p w:rsidR="00C57336" w:rsidRPr="00EF5A5F" w:rsidRDefault="00C57336" w:rsidP="00281C53">
      <w:pPr>
        <w:pStyle w:val="Heading4"/>
      </w:pPr>
      <w:r w:rsidRPr="00EF5A5F">
        <w:t>Effectiveness</w:t>
      </w:r>
      <w:r w:rsidR="00782E96">
        <w:t xml:space="preserve"> </w:t>
      </w:r>
    </w:p>
    <w:p w:rsidR="00CF33C3" w:rsidRPr="00EF5A5F" w:rsidRDefault="00CF33C3" w:rsidP="001E472A">
      <w:pPr>
        <w:pStyle w:val="BodyText"/>
      </w:pPr>
      <w:r w:rsidRPr="00EF5A5F">
        <w:t>A key national goal of the VET system is to enable development of a highly skilled workforce.</w:t>
      </w:r>
    </w:p>
    <w:p w:rsidR="00C57336" w:rsidRPr="00EF5A5F" w:rsidRDefault="00C57336" w:rsidP="00281C53">
      <w:pPr>
        <w:pStyle w:val="Heading5"/>
      </w:pPr>
      <w:r w:rsidRPr="00EF5A5F">
        <w:t>Student participation in VET</w:t>
      </w:r>
    </w:p>
    <w:p w:rsidR="0042744F" w:rsidRDefault="00590667" w:rsidP="00AF674C">
      <w:pPr>
        <w:pStyle w:val="BodyText"/>
      </w:pPr>
      <w:r w:rsidRPr="00EF5A5F">
        <w:t>‘Student participation in VET’ is an indicator of governments’ objective to provide people aged 15–64 years with the level of access to the VET system that is necessary for a highly skilled workforce</w:t>
      </w:r>
      <w:r w:rsidR="003A1F28" w:rsidRPr="00EF5A5F">
        <w:t xml:space="preserve"> </w:t>
      </w:r>
      <w:r w:rsidR="00C57336" w:rsidRPr="00EF5A5F">
        <w:t xml:space="preserve">(box </w:t>
      </w:r>
      <w:r w:rsidR="00442BBD">
        <w:t>5.5</w:t>
      </w:r>
      <w:r w:rsidR="00974313" w:rsidRPr="00EF5A5F">
        <w:t>).</w:t>
      </w:r>
    </w:p>
    <w:p w:rsidR="004A350E" w:rsidRDefault="004A350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A350E" w:rsidTr="004A350E">
        <w:tc>
          <w:tcPr>
            <w:tcW w:w="8771" w:type="dxa"/>
            <w:tcBorders>
              <w:top w:val="single" w:sz="6" w:space="0" w:color="78A22F"/>
              <w:left w:val="nil"/>
              <w:bottom w:val="nil"/>
              <w:right w:val="nil"/>
            </w:tcBorders>
            <w:shd w:val="clear" w:color="auto" w:fill="F2F2F2" w:themeFill="background1" w:themeFillShade="F2"/>
          </w:tcPr>
          <w:p w:rsidR="004A350E" w:rsidRDefault="004A350E" w:rsidP="004A350E">
            <w:pPr>
              <w:pStyle w:val="BoxTitle"/>
            </w:pPr>
            <w:r>
              <w:rPr>
                <w:b w:val="0"/>
              </w:rPr>
              <w:t>Box 5.</w:t>
            </w:r>
            <w:r w:rsidR="00D80B1E">
              <w:rPr>
                <w:b w:val="0"/>
                <w:noProof/>
              </w:rPr>
              <w:t>5</w:t>
            </w:r>
            <w:r>
              <w:tab/>
            </w:r>
            <w:r w:rsidRPr="00EF5A5F">
              <w:t>Student participation in VET</w:t>
            </w:r>
          </w:p>
        </w:tc>
      </w:tr>
      <w:tr w:rsidR="004A350E" w:rsidTr="004A350E">
        <w:trPr>
          <w:cantSplit/>
        </w:trPr>
        <w:tc>
          <w:tcPr>
            <w:tcW w:w="8771" w:type="dxa"/>
            <w:tcBorders>
              <w:top w:val="nil"/>
              <w:left w:val="nil"/>
              <w:bottom w:val="nil"/>
              <w:right w:val="nil"/>
            </w:tcBorders>
            <w:shd w:val="clear" w:color="auto" w:fill="F2F2F2" w:themeFill="background1" w:themeFillShade="F2"/>
          </w:tcPr>
          <w:p w:rsidR="004A350E" w:rsidRPr="00EF5A5F" w:rsidRDefault="004A350E" w:rsidP="004A350E">
            <w:pPr>
              <w:pStyle w:val="Box"/>
            </w:pPr>
            <w:r w:rsidRPr="00EF5A5F">
              <w:t>‘Student participation in VET’ is defined by three measures:</w:t>
            </w:r>
          </w:p>
          <w:p w:rsidR="004A350E" w:rsidRPr="00EF5A5F" w:rsidRDefault="004A350E" w:rsidP="004A350E">
            <w:pPr>
              <w:pStyle w:val="BoxListBullet"/>
            </w:pPr>
            <w:r w:rsidRPr="00EF5A5F">
              <w:t>the number of people aged 15–64 years participating in VET as a proportion of the population aged 15–64 years</w:t>
            </w:r>
          </w:p>
          <w:p w:rsidR="004A350E" w:rsidRPr="00EF5A5F" w:rsidRDefault="004A350E" w:rsidP="004A350E">
            <w:pPr>
              <w:pStyle w:val="BoxListBullet"/>
            </w:pPr>
            <w:r w:rsidRPr="00EF5A5F">
              <w:t xml:space="preserve">the number of people aged 15–64 years participating in </w:t>
            </w:r>
            <w:r w:rsidRPr="00A405CB">
              <w:t>VET at certificate level III and</w:t>
            </w:r>
            <w:r w:rsidRPr="00EF5A5F">
              <w:t xml:space="preserve"> above as a proportion of the population aged 15–64 years</w:t>
            </w:r>
          </w:p>
          <w:p w:rsidR="004A350E" w:rsidRPr="00EF5A5F" w:rsidRDefault="004A350E" w:rsidP="004A350E">
            <w:pPr>
              <w:pStyle w:val="BoxListBullet"/>
            </w:pPr>
            <w:r w:rsidRPr="00EF5A5F">
              <w:t xml:space="preserve">the number of people aged 15–64 years participating in </w:t>
            </w:r>
            <w:r w:rsidRPr="00A405CB">
              <w:t>VET at diploma</w:t>
            </w:r>
            <w:r w:rsidRPr="00EF5A5F">
              <w:t xml:space="preserve"> level and above as a proportion of the population aged 15–64 years.</w:t>
            </w:r>
          </w:p>
          <w:p w:rsidR="004A350E" w:rsidRPr="00EF5A5F" w:rsidRDefault="004A350E" w:rsidP="004A350E">
            <w:pPr>
              <w:pStyle w:val="Box"/>
            </w:pPr>
            <w:r w:rsidRPr="00EF5A5F">
              <w:t>High or increasing VET participation rates indicate high or increasing levels of access to the VET system by the general population. High or increasing participation in VET certificate level</w:t>
            </w:r>
            <w:r w:rsidR="0002794C">
              <w:t> </w:t>
            </w:r>
            <w:r w:rsidRPr="00EF5A5F">
              <w:t>III and above, and in VET diploma level and above, indicate greater or increasing participation in higher skill level courses, which is desirable.</w:t>
            </w:r>
          </w:p>
          <w:p w:rsidR="004A350E" w:rsidRPr="00EF5A5F" w:rsidRDefault="004A350E" w:rsidP="004A350E">
            <w:pPr>
              <w:pStyle w:val="Box"/>
            </w:pPr>
            <w:r w:rsidRPr="00EF5A5F">
              <w:t>Data for VET diploma level and above are a sub-set of data for the larger group of VET certificate III level and above. Data are for government funded VET students.</w:t>
            </w:r>
          </w:p>
          <w:p w:rsidR="004A350E" w:rsidRDefault="004A350E" w:rsidP="004A350E">
            <w:pPr>
              <w:pStyle w:val="BoxListBullet"/>
              <w:numPr>
                <w:ilvl w:val="0"/>
                <w:numId w:val="0"/>
              </w:numPr>
              <w:ind w:left="284" w:hanging="284"/>
            </w:pPr>
            <w:r w:rsidRPr="00EF5A5F">
              <w:t>Data reported for this indicator are</w:t>
            </w:r>
          </w:p>
          <w:p w:rsidR="004A350E" w:rsidRDefault="004A350E" w:rsidP="004A350E">
            <w:pPr>
              <w:pStyle w:val="BoxListBullet"/>
              <w:numPr>
                <w:ilvl w:val="0"/>
                <w:numId w:val="0"/>
              </w:numPr>
              <w:ind w:left="284" w:hanging="284"/>
            </w:pPr>
            <w:r w:rsidRPr="001D1E8C">
              <w:t>•</w:t>
            </w:r>
            <w:r w:rsidRPr="001D1E8C">
              <w:tab/>
              <w:t>comparable (subject to caveats) acr</w:t>
            </w:r>
            <w:r>
              <w:t>oss jurisdictions and over time</w:t>
            </w:r>
          </w:p>
          <w:p w:rsidR="004A350E" w:rsidRPr="00EF5A5F" w:rsidRDefault="004A350E" w:rsidP="004A350E">
            <w:pPr>
              <w:pStyle w:val="BoxListBullet"/>
              <w:numPr>
                <w:ilvl w:val="0"/>
                <w:numId w:val="0"/>
              </w:numPr>
              <w:ind w:left="284" w:hanging="284"/>
            </w:pPr>
            <w:r w:rsidRPr="001D1E8C">
              <w:t>•</w:t>
            </w:r>
            <w:r w:rsidRPr="001D1E8C">
              <w:tab/>
              <w:t xml:space="preserve">complete for the current reporting period (subject to caveats). All required </w:t>
            </w:r>
            <w:r>
              <w:t>201</w:t>
            </w:r>
            <w:r w:rsidR="00F3610C">
              <w:t>3</w:t>
            </w:r>
            <w:r w:rsidRPr="001D1E8C">
              <w:t xml:space="preserve"> data are available for all jurisdictions providing the service.</w:t>
            </w:r>
          </w:p>
          <w:p w:rsidR="004A350E" w:rsidRDefault="004A350E" w:rsidP="00F3610C">
            <w:pPr>
              <w:pStyle w:val="Box"/>
            </w:pPr>
            <w:r w:rsidRPr="00EF5A5F">
              <w:t>Data quality information for this indicator</w:t>
            </w:r>
            <w:r w:rsidR="006E0D24">
              <w:t xml:space="preserve"> is at www.pc.gov.au</w:t>
            </w:r>
            <w:r w:rsidRPr="00EF5A5F">
              <w:t>/</w:t>
            </w:r>
            <w:proofErr w:type="spellStart"/>
            <w:r w:rsidRPr="00EF5A5F">
              <w:t>rogs</w:t>
            </w:r>
            <w:proofErr w:type="spellEnd"/>
            <w:r w:rsidRPr="00EF5A5F">
              <w:t>/</w:t>
            </w:r>
            <w:r>
              <w:t>201</w:t>
            </w:r>
            <w:r w:rsidR="00F3610C">
              <w:t>5</w:t>
            </w:r>
            <w:r w:rsidRPr="00EF5A5F">
              <w:t>.</w:t>
            </w:r>
          </w:p>
        </w:tc>
      </w:tr>
      <w:tr w:rsidR="004A350E" w:rsidTr="004A350E">
        <w:trPr>
          <w:cantSplit/>
        </w:trPr>
        <w:tc>
          <w:tcPr>
            <w:tcW w:w="8771" w:type="dxa"/>
            <w:tcBorders>
              <w:top w:val="nil"/>
              <w:left w:val="nil"/>
              <w:bottom w:val="single" w:sz="6" w:space="0" w:color="78A22F"/>
              <w:right w:val="nil"/>
            </w:tcBorders>
            <w:shd w:val="clear" w:color="auto" w:fill="F2F2F2" w:themeFill="background1" w:themeFillShade="F2"/>
          </w:tcPr>
          <w:p w:rsidR="004A350E" w:rsidRDefault="004A350E">
            <w:pPr>
              <w:pStyle w:val="Box"/>
              <w:spacing w:before="0" w:line="120" w:lineRule="exact"/>
            </w:pPr>
          </w:p>
        </w:tc>
      </w:tr>
      <w:tr w:rsidR="004A350E" w:rsidRPr="000863A5" w:rsidTr="004A350E">
        <w:tc>
          <w:tcPr>
            <w:tcW w:w="8771" w:type="dxa"/>
            <w:tcBorders>
              <w:top w:val="single" w:sz="6" w:space="0" w:color="78A22F"/>
              <w:left w:val="nil"/>
              <w:bottom w:val="nil"/>
              <w:right w:val="nil"/>
            </w:tcBorders>
          </w:tcPr>
          <w:p w:rsidR="004A350E" w:rsidRPr="00626D32" w:rsidRDefault="004A350E" w:rsidP="004A350E">
            <w:pPr>
              <w:pStyle w:val="BoxSpaceBelow"/>
            </w:pPr>
          </w:p>
        </w:tc>
      </w:tr>
    </w:tbl>
    <w:p w:rsidR="00C57336" w:rsidRPr="00C20022" w:rsidRDefault="00C57336" w:rsidP="00F87532">
      <w:pPr>
        <w:pStyle w:val="BodyText"/>
      </w:pPr>
      <w:r w:rsidRPr="00C20022">
        <w:t xml:space="preserve">In </w:t>
      </w:r>
      <w:r w:rsidR="00127AB8" w:rsidRPr="00C20022">
        <w:t>201</w:t>
      </w:r>
      <w:r w:rsidR="00AF674C">
        <w:t>3</w:t>
      </w:r>
      <w:r w:rsidRPr="00C20022">
        <w:t xml:space="preserve">, </w:t>
      </w:r>
      <w:r w:rsidR="001A70A8">
        <w:t>1.5</w:t>
      </w:r>
      <w:r w:rsidR="00AE5734">
        <w:t xml:space="preserve"> </w:t>
      </w:r>
      <w:r w:rsidRPr="00C20022">
        <w:t xml:space="preserve">million people aged 15–64 years participated in government funded VET programs. This is equivalent to </w:t>
      </w:r>
      <w:r w:rsidR="001A70A8">
        <w:t>9.4</w:t>
      </w:r>
      <w:r w:rsidR="00AE5734">
        <w:t xml:space="preserve"> </w:t>
      </w:r>
      <w:r w:rsidRPr="00C20022">
        <w:t>per</w:t>
      </w:r>
      <w:r w:rsidR="00AE5734">
        <w:t xml:space="preserve"> </w:t>
      </w:r>
      <w:r w:rsidRPr="00C20022">
        <w:t>cent of people aged 15–64</w:t>
      </w:r>
      <w:r w:rsidR="00AE5734">
        <w:t xml:space="preserve"> </w:t>
      </w:r>
      <w:r w:rsidR="005F04CA" w:rsidRPr="00C20022">
        <w:t xml:space="preserve">years nationally. </w:t>
      </w:r>
      <w:r w:rsidR="00C62410" w:rsidRPr="00C20022">
        <w:t xml:space="preserve">The </w:t>
      </w:r>
      <w:r w:rsidR="00127AB8" w:rsidRPr="00C20022">
        <w:t>1.</w:t>
      </w:r>
      <w:r w:rsidR="00C20022" w:rsidRPr="00C20022">
        <w:t>5</w:t>
      </w:r>
      <w:r w:rsidR="00772CFF" w:rsidRPr="00C20022">
        <w:t> </w:t>
      </w:r>
      <w:r w:rsidRPr="00C20022">
        <w:t xml:space="preserve">million </w:t>
      </w:r>
      <w:r w:rsidR="00372A4C" w:rsidRPr="00C20022">
        <w:t xml:space="preserve">government funded VET </w:t>
      </w:r>
      <w:r w:rsidRPr="00C20022">
        <w:t>students include:</w:t>
      </w:r>
    </w:p>
    <w:p w:rsidR="00C57336" w:rsidRPr="00C20022" w:rsidRDefault="001A70A8" w:rsidP="00D01117">
      <w:pPr>
        <w:pStyle w:val="ListBullet"/>
      </w:pPr>
      <w:r w:rsidRPr="001A70A8">
        <w:t>398</w:t>
      </w:r>
      <w:r w:rsidR="00127AB8" w:rsidRPr="001A70A8">
        <w:t> </w:t>
      </w:r>
      <w:r w:rsidRPr="001A70A8">
        <w:t>0</w:t>
      </w:r>
      <w:r w:rsidR="00127AB8" w:rsidRPr="001A70A8">
        <w:t>00</w:t>
      </w:r>
      <w:r w:rsidR="00C57336" w:rsidRPr="001A70A8">
        <w:t xml:space="preserve"> </w:t>
      </w:r>
      <w:r w:rsidR="0002794C">
        <w:t xml:space="preserve">people </w:t>
      </w:r>
      <w:r w:rsidR="0002794C" w:rsidRPr="00C20022">
        <w:t xml:space="preserve">aged 15–19 years </w:t>
      </w:r>
      <w:r w:rsidR="0002794C">
        <w:t>(</w:t>
      </w:r>
      <w:r>
        <w:t>27.1</w:t>
      </w:r>
      <w:r w:rsidR="00AE5734">
        <w:t xml:space="preserve"> </w:t>
      </w:r>
      <w:r w:rsidR="00C57336" w:rsidRPr="00C20022">
        <w:t>per</w:t>
      </w:r>
      <w:r w:rsidR="00AE5734">
        <w:t xml:space="preserve"> </w:t>
      </w:r>
      <w:r w:rsidR="00C57336" w:rsidRPr="00C20022">
        <w:t xml:space="preserve">cent of </w:t>
      </w:r>
      <w:r w:rsidR="0002794C">
        <w:t>that age group)</w:t>
      </w:r>
    </w:p>
    <w:p w:rsidR="00C57336" w:rsidRPr="00C20022" w:rsidRDefault="001A70A8" w:rsidP="00D061BE">
      <w:pPr>
        <w:pStyle w:val="ListBullet"/>
        <w:spacing w:before="80"/>
      </w:pPr>
      <w:r>
        <w:t xml:space="preserve">269 400 </w:t>
      </w:r>
      <w:r w:rsidR="0002794C">
        <w:t>people aged</w:t>
      </w:r>
      <w:r w:rsidR="00C57336" w:rsidRPr="00C20022">
        <w:t xml:space="preserve"> </w:t>
      </w:r>
      <w:r w:rsidR="0002794C" w:rsidRPr="00C20022">
        <w:t>20–24 years</w:t>
      </w:r>
      <w:r w:rsidR="0002794C">
        <w:t xml:space="preserve"> (</w:t>
      </w:r>
      <w:r>
        <w:t>16.4</w:t>
      </w:r>
      <w:r w:rsidR="00AE5734">
        <w:t xml:space="preserve"> </w:t>
      </w:r>
      <w:r w:rsidR="00772CFF" w:rsidRPr="00C20022">
        <w:t>per</w:t>
      </w:r>
      <w:r w:rsidR="00AE5734">
        <w:t xml:space="preserve"> </w:t>
      </w:r>
      <w:r w:rsidR="00C57336" w:rsidRPr="00C20022">
        <w:t xml:space="preserve">cent of </w:t>
      </w:r>
      <w:r w:rsidR="0002794C">
        <w:t>that age group)</w:t>
      </w:r>
    </w:p>
    <w:p w:rsidR="004027FC" w:rsidRPr="00C20022" w:rsidRDefault="001A70A8" w:rsidP="00D061BE">
      <w:pPr>
        <w:pStyle w:val="ListBullet"/>
        <w:spacing w:before="80"/>
      </w:pPr>
      <w:r>
        <w:t xml:space="preserve">786 000 </w:t>
      </w:r>
      <w:r w:rsidR="0002794C">
        <w:t xml:space="preserve">people aged </w:t>
      </w:r>
      <w:r w:rsidR="0002794C" w:rsidRPr="00C20022">
        <w:t>25–64 years</w:t>
      </w:r>
      <w:r w:rsidR="0002794C">
        <w:t xml:space="preserve"> (</w:t>
      </w:r>
      <w:r>
        <w:t>6.4</w:t>
      </w:r>
      <w:r w:rsidR="00AE5734">
        <w:t xml:space="preserve"> </w:t>
      </w:r>
      <w:r w:rsidR="00C57336" w:rsidRPr="00C20022">
        <w:t>per</w:t>
      </w:r>
      <w:r w:rsidR="00AE5734">
        <w:t xml:space="preserve"> </w:t>
      </w:r>
      <w:r w:rsidR="00C57336" w:rsidRPr="00C20022">
        <w:t xml:space="preserve">cent of </w:t>
      </w:r>
      <w:r w:rsidR="0002794C">
        <w:t>that age group)</w:t>
      </w:r>
      <w:r w:rsidR="0002794C" w:rsidRPr="00C20022">
        <w:t xml:space="preserve"> </w:t>
      </w:r>
      <w:r w:rsidR="004027FC" w:rsidRPr="00C20022">
        <w:t xml:space="preserve">(table </w:t>
      </w:r>
      <w:proofErr w:type="spellStart"/>
      <w:r w:rsidR="004027FC" w:rsidRPr="00C20022">
        <w:t>5A.9</w:t>
      </w:r>
      <w:proofErr w:type="spellEnd"/>
      <w:r w:rsidR="004027FC" w:rsidRPr="00C20022">
        <w:t>).</w:t>
      </w:r>
    </w:p>
    <w:p w:rsidR="008E4B7F" w:rsidRDefault="008E4B7F" w:rsidP="00EE31BD">
      <w:pPr>
        <w:pStyle w:val="BodyText"/>
      </w:pPr>
      <w:r>
        <w:t xml:space="preserve">Data on VET participation by age group from 2004 to 2013 are included in table </w:t>
      </w:r>
      <w:proofErr w:type="spellStart"/>
      <w:r>
        <w:t>5A.9</w:t>
      </w:r>
      <w:proofErr w:type="spellEnd"/>
      <w:r>
        <w:t>.</w:t>
      </w:r>
    </w:p>
    <w:p w:rsidR="00E44FE9" w:rsidRDefault="00EE31BD" w:rsidP="00EE31BD">
      <w:pPr>
        <w:pStyle w:val="BodyText"/>
      </w:pPr>
      <w:r w:rsidRPr="00EF5A5F">
        <w:t>Figure</w:t>
      </w:r>
      <w:r w:rsidR="008F68E3" w:rsidRPr="00EF5A5F">
        <w:t>s</w:t>
      </w:r>
      <w:r w:rsidRPr="00EF5A5F">
        <w:t xml:space="preserve"> </w:t>
      </w:r>
      <w:r w:rsidR="00442BBD">
        <w:t>5.10</w:t>
      </w:r>
      <w:r w:rsidR="008F68E3" w:rsidRPr="00EF5A5F">
        <w:t>–</w:t>
      </w:r>
      <w:r w:rsidR="00442BBD">
        <w:t>12</w:t>
      </w:r>
      <w:r w:rsidRPr="00EF5A5F">
        <w:t xml:space="preserve"> </w:t>
      </w:r>
      <w:r w:rsidR="00DA32E1" w:rsidRPr="00EF5A5F">
        <w:t xml:space="preserve">show VET participation rates for </w:t>
      </w:r>
      <w:r w:rsidR="000A6B52" w:rsidRPr="00EF5A5F">
        <w:t xml:space="preserve">the </w:t>
      </w:r>
      <w:r w:rsidR="004F6132" w:rsidRPr="00EF5A5F">
        <w:t xml:space="preserve">15–64 year old </w:t>
      </w:r>
      <w:r w:rsidR="000A6B52" w:rsidRPr="00EF5A5F">
        <w:t xml:space="preserve">population </w:t>
      </w:r>
      <w:r w:rsidR="00D31470" w:rsidRPr="00EF5A5F">
        <w:t>by</w:t>
      </w:r>
      <w:r w:rsidR="000A6B52" w:rsidRPr="00EF5A5F">
        <w:t xml:space="preserve"> </w:t>
      </w:r>
      <w:r w:rsidR="00287099">
        <w:t>Indigenous</w:t>
      </w:r>
      <w:r w:rsidR="00804C04">
        <w:t xml:space="preserve"> </w:t>
      </w:r>
      <w:r w:rsidR="00D31470" w:rsidRPr="00EF5A5F">
        <w:t>status</w:t>
      </w:r>
      <w:r w:rsidR="000A6B52" w:rsidRPr="00EF5A5F">
        <w:t xml:space="preserve">, </w:t>
      </w:r>
      <w:r w:rsidR="004F6132" w:rsidRPr="00EF5A5F">
        <w:t xml:space="preserve">and </w:t>
      </w:r>
      <w:r w:rsidR="00AD7CF2">
        <w:t>for</w:t>
      </w:r>
      <w:r w:rsidR="000A6B52" w:rsidRPr="00EF5A5F">
        <w:t xml:space="preserve"> the target age groups </w:t>
      </w:r>
      <w:r w:rsidR="00580985" w:rsidRPr="00EF5A5F">
        <w:rPr>
          <w:szCs w:val="26"/>
        </w:rPr>
        <w:t>of 18</w:t>
      </w:r>
      <w:r w:rsidR="00580985" w:rsidRPr="00EF5A5F">
        <w:t xml:space="preserve">–24 years and </w:t>
      </w:r>
      <w:r w:rsidR="00580985" w:rsidRPr="00EF5A5F">
        <w:rPr>
          <w:szCs w:val="26"/>
        </w:rPr>
        <w:t>20</w:t>
      </w:r>
      <w:r w:rsidR="00580985" w:rsidRPr="00EF5A5F">
        <w:t>–64 years.</w:t>
      </w:r>
      <w:r w:rsidR="004F6132" w:rsidRPr="00EF5A5F">
        <w:t xml:space="preserve"> </w:t>
      </w:r>
    </w:p>
    <w:p w:rsidR="00E44FE9" w:rsidRDefault="00E44FE9" w:rsidP="00E44FE9">
      <w:pPr>
        <w:pStyle w:val="Heading6"/>
      </w:pPr>
      <w:r>
        <w:t>Student participation rate for the population aged 15–64 years</w:t>
      </w:r>
    </w:p>
    <w:p w:rsidR="00450255" w:rsidRPr="00086708" w:rsidRDefault="004F6132" w:rsidP="00EE31BD">
      <w:pPr>
        <w:pStyle w:val="BodyText"/>
      </w:pPr>
      <w:r w:rsidRPr="00086708">
        <w:t xml:space="preserve">The </w:t>
      </w:r>
      <w:r w:rsidR="004B2DD6" w:rsidRPr="00086708">
        <w:t xml:space="preserve">national </w:t>
      </w:r>
      <w:r w:rsidRPr="00086708">
        <w:t xml:space="preserve">participation rate for the general population aged 15–64 years was </w:t>
      </w:r>
      <w:r w:rsidR="001A70A8">
        <w:t>9.4</w:t>
      </w:r>
      <w:r w:rsidR="001803EF">
        <w:t xml:space="preserve"> </w:t>
      </w:r>
      <w:r w:rsidRPr="00086708">
        <w:t>per</w:t>
      </w:r>
      <w:r w:rsidR="001803EF">
        <w:t xml:space="preserve"> </w:t>
      </w:r>
      <w:r w:rsidRPr="00086708">
        <w:t xml:space="preserve">cent in </w:t>
      </w:r>
      <w:r w:rsidR="00E60D20" w:rsidRPr="00086708">
        <w:t>201</w:t>
      </w:r>
      <w:r w:rsidR="00910D9C">
        <w:t>3</w:t>
      </w:r>
      <w:r w:rsidRPr="00086708">
        <w:t xml:space="preserve">, compared with </w:t>
      </w:r>
      <w:r w:rsidR="001A70A8">
        <w:t>17.4</w:t>
      </w:r>
      <w:r w:rsidR="001803EF">
        <w:t xml:space="preserve"> </w:t>
      </w:r>
      <w:r w:rsidRPr="00086708">
        <w:t>per</w:t>
      </w:r>
      <w:r w:rsidR="001803EF">
        <w:t xml:space="preserve"> </w:t>
      </w:r>
      <w:r w:rsidRPr="00086708">
        <w:t xml:space="preserve">cent for the </w:t>
      </w:r>
      <w:r w:rsidR="00804C04">
        <w:t xml:space="preserve">Aboriginal and Torres Strait Islander </w:t>
      </w:r>
      <w:r w:rsidRPr="00086708">
        <w:t>population</w:t>
      </w:r>
      <w:r w:rsidR="00D31470" w:rsidRPr="00086708">
        <w:t xml:space="preserve"> and </w:t>
      </w:r>
      <w:r w:rsidR="001A70A8">
        <w:t xml:space="preserve">8.9 </w:t>
      </w:r>
      <w:r w:rsidR="00D31470" w:rsidRPr="00086708">
        <w:t>per</w:t>
      </w:r>
      <w:r w:rsidR="001803EF">
        <w:t xml:space="preserve"> </w:t>
      </w:r>
      <w:r w:rsidR="00D31470" w:rsidRPr="00086708">
        <w:t xml:space="preserve">cent for the </w:t>
      </w:r>
      <w:r w:rsidR="00D061BE" w:rsidRPr="00086708">
        <w:t>non-I</w:t>
      </w:r>
      <w:r w:rsidR="00D31470" w:rsidRPr="00086708">
        <w:t>ndigenous population aged 15–64 years</w:t>
      </w:r>
      <w:r w:rsidR="003D0842" w:rsidRPr="00086708">
        <w:t xml:space="preserve"> (figure</w:t>
      </w:r>
      <w:r w:rsidR="00E44FE9">
        <w:t> </w:t>
      </w:r>
      <w:r w:rsidR="00442BBD" w:rsidRPr="00086708">
        <w:t>5.10</w:t>
      </w:r>
      <w:r w:rsidR="003D0842" w:rsidRPr="00086708">
        <w:t>).</w:t>
      </w:r>
    </w:p>
    <w:p w:rsidR="00E44FE9" w:rsidRDefault="00E44FE9" w:rsidP="00E45077">
      <w:pPr>
        <w:pStyle w:val="BodyText"/>
      </w:pPr>
    </w:p>
    <w:p w:rsidR="00E44FE9" w:rsidRDefault="00E44FE9" w:rsidP="00287099">
      <w:pPr>
        <w:pStyle w:val="Heading6"/>
        <w:keepNext/>
      </w:pPr>
      <w:r>
        <w:lastRenderedPageBreak/>
        <w:t>Student participation rate for the population aged 18–24 years</w:t>
      </w:r>
    </w:p>
    <w:p w:rsidR="00E44FE9" w:rsidRDefault="00450255" w:rsidP="0095094B">
      <w:pPr>
        <w:pStyle w:val="BodyText"/>
      </w:pPr>
      <w:r w:rsidRPr="00EF5A5F">
        <w:t>Nationally</w:t>
      </w:r>
      <w:r w:rsidR="00D54761" w:rsidRPr="00EF5A5F">
        <w:t xml:space="preserve"> </w:t>
      </w:r>
      <w:r w:rsidR="00D54761" w:rsidRPr="00086708">
        <w:t xml:space="preserve">in </w:t>
      </w:r>
      <w:r w:rsidR="00E60D20" w:rsidRPr="00086708">
        <w:t>201</w:t>
      </w:r>
      <w:r w:rsidR="00910D9C">
        <w:t>3</w:t>
      </w:r>
      <w:r w:rsidRPr="00086708">
        <w:t xml:space="preserve">, </w:t>
      </w:r>
      <w:r w:rsidR="001A70A8">
        <w:t>20.4</w:t>
      </w:r>
      <w:r w:rsidR="001803EF">
        <w:t xml:space="preserve"> </w:t>
      </w:r>
      <w:r w:rsidRPr="00086708">
        <w:t>per</w:t>
      </w:r>
      <w:r w:rsidR="001803EF">
        <w:t xml:space="preserve"> </w:t>
      </w:r>
      <w:r w:rsidRPr="00086708">
        <w:t xml:space="preserve">cent of all people aged </w:t>
      </w:r>
      <w:r w:rsidRPr="00086708">
        <w:rPr>
          <w:szCs w:val="26"/>
        </w:rPr>
        <w:t>18</w:t>
      </w:r>
      <w:r w:rsidRPr="00086708">
        <w:t xml:space="preserve">–24 years participated in government funded VET, </w:t>
      </w:r>
      <w:r w:rsidRPr="000C682B">
        <w:rPr>
          <w:shd w:val="clear" w:color="auto" w:fill="FFFFFF" w:themeFill="background1"/>
        </w:rPr>
        <w:t xml:space="preserve">compared with </w:t>
      </w:r>
      <w:r w:rsidR="001A70A8">
        <w:rPr>
          <w:shd w:val="clear" w:color="auto" w:fill="FFFFFF" w:themeFill="background1"/>
        </w:rPr>
        <w:t>25.4</w:t>
      </w:r>
      <w:r w:rsidR="001803EF">
        <w:rPr>
          <w:shd w:val="clear" w:color="auto" w:fill="FFFFFF" w:themeFill="background1"/>
        </w:rPr>
        <w:t xml:space="preserve"> </w:t>
      </w:r>
      <w:r w:rsidRPr="000C682B">
        <w:rPr>
          <w:shd w:val="clear" w:color="auto" w:fill="FFFFFF" w:themeFill="background1"/>
        </w:rPr>
        <w:t>per</w:t>
      </w:r>
      <w:r w:rsidR="001803EF">
        <w:rPr>
          <w:shd w:val="clear" w:color="auto" w:fill="FFFFFF" w:themeFill="background1"/>
        </w:rPr>
        <w:t xml:space="preserve"> </w:t>
      </w:r>
      <w:r w:rsidRPr="000C682B">
        <w:rPr>
          <w:shd w:val="clear" w:color="auto" w:fill="FFFFFF" w:themeFill="background1"/>
        </w:rPr>
        <w:t>cent</w:t>
      </w:r>
      <w:r w:rsidRPr="00086708">
        <w:t xml:space="preserve"> of the </w:t>
      </w:r>
      <w:r w:rsidR="00804C04">
        <w:t xml:space="preserve">Aboriginal and Torres Strait Islander </w:t>
      </w:r>
      <w:r w:rsidRPr="00086708">
        <w:t>p</w:t>
      </w:r>
      <w:r w:rsidR="008978FE" w:rsidRPr="00086708">
        <w:t xml:space="preserve">opulation and </w:t>
      </w:r>
      <w:r w:rsidR="001A70A8">
        <w:t>19.6</w:t>
      </w:r>
      <w:r w:rsidR="001803EF">
        <w:t xml:space="preserve"> </w:t>
      </w:r>
      <w:r w:rsidR="008978FE" w:rsidRPr="00086708">
        <w:t>per</w:t>
      </w:r>
      <w:r w:rsidR="001803EF">
        <w:t xml:space="preserve"> </w:t>
      </w:r>
      <w:r w:rsidR="008978FE" w:rsidRPr="00086708">
        <w:t xml:space="preserve">cent of </w:t>
      </w:r>
      <w:r w:rsidR="008978FE" w:rsidRPr="00EF5A5F">
        <w:t xml:space="preserve">the non-Indigenous population in the same age group. </w:t>
      </w:r>
    </w:p>
    <w:p w:rsidR="00E44FE9" w:rsidRDefault="00E44FE9" w:rsidP="00E44FE9">
      <w:pPr>
        <w:pStyle w:val="Heading6"/>
      </w:pPr>
      <w:r>
        <w:t>Student participation rate for the population aged 20–64 years</w:t>
      </w:r>
    </w:p>
    <w:p w:rsidR="004F6132" w:rsidRDefault="008978FE" w:rsidP="0095094B">
      <w:pPr>
        <w:pStyle w:val="BodyText"/>
      </w:pPr>
      <w:r w:rsidRPr="00086708">
        <w:t xml:space="preserve">Nationally, </w:t>
      </w:r>
      <w:r w:rsidR="001A70A8">
        <w:t>7.6</w:t>
      </w:r>
      <w:r w:rsidR="001803EF">
        <w:t xml:space="preserve"> </w:t>
      </w:r>
      <w:r w:rsidR="00450255" w:rsidRPr="00086708">
        <w:t>per</w:t>
      </w:r>
      <w:r w:rsidR="001803EF">
        <w:t xml:space="preserve"> </w:t>
      </w:r>
      <w:r w:rsidR="00450255" w:rsidRPr="00086708">
        <w:t xml:space="preserve">cent of all people aged </w:t>
      </w:r>
      <w:r w:rsidR="00450255" w:rsidRPr="00086708">
        <w:rPr>
          <w:szCs w:val="26"/>
        </w:rPr>
        <w:t>20</w:t>
      </w:r>
      <w:r w:rsidR="00450255" w:rsidRPr="00086708">
        <w:t xml:space="preserve">–64 years participated, compared with </w:t>
      </w:r>
      <w:r w:rsidR="001A70A8">
        <w:t>14.2</w:t>
      </w:r>
      <w:r w:rsidR="001803EF">
        <w:t xml:space="preserve"> </w:t>
      </w:r>
      <w:r w:rsidR="00450255" w:rsidRPr="00086708">
        <w:t>per</w:t>
      </w:r>
      <w:r w:rsidR="001803EF">
        <w:t xml:space="preserve"> </w:t>
      </w:r>
      <w:r w:rsidR="00450255" w:rsidRPr="00086708">
        <w:t xml:space="preserve">cent of the </w:t>
      </w:r>
      <w:r w:rsidR="00804C04">
        <w:t xml:space="preserve">Aboriginal and Torres Strait Islander </w:t>
      </w:r>
      <w:r w:rsidR="00450255" w:rsidRPr="00086708">
        <w:t xml:space="preserve">population </w:t>
      </w:r>
      <w:r w:rsidRPr="00086708">
        <w:t xml:space="preserve">and </w:t>
      </w:r>
      <w:r w:rsidR="001A70A8">
        <w:t>7.1</w:t>
      </w:r>
      <w:r w:rsidR="001803EF">
        <w:t xml:space="preserve"> </w:t>
      </w:r>
      <w:r w:rsidR="001A70A8">
        <w:t>per</w:t>
      </w:r>
      <w:r w:rsidR="001803EF">
        <w:t xml:space="preserve"> </w:t>
      </w:r>
      <w:r w:rsidRPr="00086708">
        <w:t>cent of the non</w:t>
      </w:r>
      <w:r w:rsidR="00A26D57">
        <w:noBreakHyphen/>
      </w:r>
      <w:r w:rsidRPr="00086708">
        <w:t xml:space="preserve">Indigenous population </w:t>
      </w:r>
      <w:r w:rsidR="001C6568" w:rsidRPr="00086708">
        <w:t xml:space="preserve">aged </w:t>
      </w:r>
      <w:r w:rsidR="001C6568" w:rsidRPr="00086708">
        <w:rPr>
          <w:szCs w:val="26"/>
        </w:rPr>
        <w:t>20</w:t>
      </w:r>
      <w:r w:rsidR="001C6568" w:rsidRPr="00086708">
        <w:t>–64 years</w:t>
      </w:r>
      <w:r w:rsidR="003D0842" w:rsidRPr="00086708">
        <w:t xml:space="preserve"> (figure </w:t>
      </w:r>
      <w:r w:rsidR="00442BBD" w:rsidRPr="00086708">
        <w:t>5.10</w:t>
      </w:r>
      <w:r w:rsidR="003D0842" w:rsidRPr="00086708">
        <w:t>).</w:t>
      </w:r>
    </w:p>
    <w:p w:rsidR="007C4C31" w:rsidRDefault="007C4C31" w:rsidP="00C368C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C4C31" w:rsidTr="00C368C9">
        <w:tc>
          <w:tcPr>
            <w:tcW w:w="8771" w:type="dxa"/>
            <w:tcBorders>
              <w:top w:val="single" w:sz="6" w:space="0" w:color="78A22F"/>
              <w:left w:val="nil"/>
              <w:bottom w:val="nil"/>
              <w:right w:val="nil"/>
            </w:tcBorders>
            <w:shd w:val="clear" w:color="auto" w:fill="auto"/>
          </w:tcPr>
          <w:p w:rsidR="007C4C31" w:rsidRPr="00176D3F" w:rsidRDefault="007C4C31" w:rsidP="00AD2A4A">
            <w:pPr>
              <w:pStyle w:val="FigureTitle"/>
            </w:pPr>
            <w:r w:rsidRPr="00784A05">
              <w:rPr>
                <w:b w:val="0"/>
              </w:rPr>
              <w:t xml:space="preserve">Figure </w:t>
            </w:r>
            <w:r>
              <w:rPr>
                <w:b w:val="0"/>
              </w:rPr>
              <w:t>5.</w:t>
            </w:r>
            <w:r w:rsidR="00D80B1E">
              <w:rPr>
                <w:b w:val="0"/>
                <w:noProof/>
              </w:rPr>
              <w:t>10</w:t>
            </w:r>
            <w:r>
              <w:tab/>
            </w:r>
            <w:r w:rsidRPr="0037023C">
              <w:t>VET participation rate, by target age group and</w:t>
            </w:r>
            <w:r w:rsidR="00804C04">
              <w:t xml:space="preserve"> </w:t>
            </w:r>
            <w:r w:rsidR="00AD2A4A">
              <w:t xml:space="preserve">Indigenous </w:t>
            </w:r>
            <w:r w:rsidRPr="0037023C">
              <w:t>status, 201</w:t>
            </w:r>
            <w:r w:rsidR="00910D9C">
              <w:t>3</w:t>
            </w:r>
            <w:r w:rsidRPr="0037023C">
              <w:rPr>
                <w:rStyle w:val="NoteLabel"/>
                <w:b/>
              </w:rPr>
              <w:t>a, b, c</w:t>
            </w:r>
          </w:p>
        </w:tc>
      </w:tr>
      <w:tr w:rsidR="007C4C31" w:rsidTr="00C368C9">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7C4C31" w:rsidTr="007C4C31">
              <w:tc>
                <w:tcPr>
                  <w:tcW w:w="5000" w:type="pct"/>
                  <w:tcBorders>
                    <w:top w:val="nil"/>
                    <w:bottom w:val="nil"/>
                  </w:tcBorders>
                </w:tcPr>
                <w:p w:rsidR="007C4C31" w:rsidRDefault="009F6491" w:rsidP="0030196B">
                  <w:pPr>
                    <w:pStyle w:val="Figure"/>
                    <w:spacing w:before="0" w:after="0"/>
                  </w:pPr>
                  <w:r>
                    <w:rPr>
                      <w:noProof/>
                    </w:rPr>
                    <w:drawing>
                      <wp:inline distT="0" distB="0" distL="0" distR="0">
                        <wp:extent cx="5391150" cy="1790700"/>
                        <wp:effectExtent l="0" t="0" r="0" b="0"/>
                        <wp:docPr id="10" name="Picture 10" descr="Figure 5.10 VET participation rate, by target age group and Indigenous status, 2013&#10;&#10;(a) 15-64 ye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91150" cy="1790700"/>
                                </a:xfrm>
                                <a:prstGeom prst="rect">
                                  <a:avLst/>
                                </a:prstGeom>
                                <a:noFill/>
                                <a:ln>
                                  <a:noFill/>
                                </a:ln>
                              </pic:spPr>
                            </pic:pic>
                          </a:graphicData>
                        </a:graphic>
                      </wp:inline>
                    </w:drawing>
                  </w:r>
                  <w:r w:rsidR="007C4C31" w:rsidRPr="00036D60">
                    <w:t xml:space="preserve"> </w:t>
                  </w:r>
                  <w:r w:rsidR="007C4C31">
                    <w:br/>
                  </w:r>
                  <w:r>
                    <w:rPr>
                      <w:noProof/>
                    </w:rPr>
                    <w:drawing>
                      <wp:inline distT="0" distB="0" distL="0" distR="0">
                        <wp:extent cx="5391150" cy="1790700"/>
                        <wp:effectExtent l="0" t="0" r="0" b="0"/>
                        <wp:docPr id="11" name="Picture 11" descr="Figure 5.10 VET participation rate, by target age group and Indigenous status, 2013&#10;&#10;(b) 18-24 ye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91150" cy="1790700"/>
                                </a:xfrm>
                                <a:prstGeom prst="rect">
                                  <a:avLst/>
                                </a:prstGeom>
                                <a:noFill/>
                                <a:ln>
                                  <a:noFill/>
                                </a:ln>
                              </pic:spPr>
                            </pic:pic>
                          </a:graphicData>
                        </a:graphic>
                      </wp:inline>
                    </w:drawing>
                  </w:r>
                  <w:r w:rsidR="007C4C31" w:rsidRPr="00036D60">
                    <w:t xml:space="preserve"> </w:t>
                  </w:r>
                  <w:r w:rsidR="007C4C31">
                    <w:br/>
                  </w:r>
                  <w:r>
                    <w:rPr>
                      <w:noProof/>
                    </w:rPr>
                    <w:drawing>
                      <wp:inline distT="0" distB="0" distL="0" distR="0">
                        <wp:extent cx="5391150" cy="2076450"/>
                        <wp:effectExtent l="0" t="0" r="0" b="0"/>
                        <wp:docPr id="12" name="Picture 12" descr="Figure 5.10 VET participation rate, by target age group and Indigenous status, 2013&#10;&#10;(c) 20-64 ye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91150" cy="2076450"/>
                                </a:xfrm>
                                <a:prstGeom prst="rect">
                                  <a:avLst/>
                                </a:prstGeom>
                                <a:noFill/>
                                <a:ln>
                                  <a:noFill/>
                                </a:ln>
                              </pic:spPr>
                            </pic:pic>
                          </a:graphicData>
                        </a:graphic>
                      </wp:inline>
                    </w:drawing>
                  </w:r>
                </w:p>
              </w:tc>
            </w:tr>
          </w:tbl>
          <w:p w:rsidR="007C4C31" w:rsidRDefault="007C4C31" w:rsidP="00C368C9">
            <w:pPr>
              <w:pStyle w:val="Figure"/>
            </w:pPr>
          </w:p>
        </w:tc>
      </w:tr>
      <w:tr w:rsidR="007C4C31" w:rsidRPr="00176D3F" w:rsidTr="00C368C9">
        <w:tc>
          <w:tcPr>
            <w:tcW w:w="8771" w:type="dxa"/>
            <w:tcBorders>
              <w:top w:val="nil"/>
              <w:left w:val="nil"/>
              <w:bottom w:val="nil"/>
              <w:right w:val="nil"/>
            </w:tcBorders>
            <w:shd w:val="clear" w:color="auto" w:fill="auto"/>
          </w:tcPr>
          <w:p w:rsidR="007C4C31" w:rsidRPr="00176D3F" w:rsidRDefault="007C4C31" w:rsidP="00E03077">
            <w:pPr>
              <w:pStyle w:val="Note"/>
            </w:pPr>
            <w:r w:rsidRPr="004B1B81">
              <w:rPr>
                <w:rStyle w:val="NoteLabel"/>
              </w:rPr>
              <w:t>a</w:t>
            </w:r>
            <w:r w:rsidRPr="004B1B81">
              <w:t xml:space="preserve"> Data are for government funded VET students. </w:t>
            </w:r>
            <w:r w:rsidRPr="004B1B81">
              <w:rPr>
                <w:rStyle w:val="NoteLabel"/>
              </w:rPr>
              <w:t>b</w:t>
            </w:r>
            <w:r w:rsidRPr="004B1B81">
              <w:t xml:space="preserve"> The</w:t>
            </w:r>
            <w:r w:rsidR="00804C04">
              <w:t xml:space="preserve"> Aboriginal and Torres Strait Islander </w:t>
            </w:r>
            <w:r w:rsidRPr="004B1B81">
              <w:t>students participation rate is the number of</w:t>
            </w:r>
            <w:r w:rsidR="00804C04">
              <w:t xml:space="preserve"> Aboriginal and Torres Strait Islander </w:t>
            </w:r>
            <w:r w:rsidRPr="004B1B81">
              <w:t>students as a percentage of the estimates of the</w:t>
            </w:r>
            <w:r w:rsidR="00804C04">
              <w:t xml:space="preserve"> Aboriginal and Torres Strait Islander </w:t>
            </w:r>
            <w:r w:rsidRPr="004B1B81">
              <w:t>population. The all students participation rate is the number of students as a percentage of the estimated total population.</w:t>
            </w:r>
            <w:r w:rsidRPr="004B1B81">
              <w:rPr>
                <w:rStyle w:val="NoteLabel"/>
              </w:rPr>
              <w:t xml:space="preserve"> c</w:t>
            </w:r>
            <w:r w:rsidR="00804C04">
              <w:t xml:space="preserve"> Aboriginal and Torres Strait Islander </w:t>
            </w:r>
            <w:r w:rsidRPr="004B1B81">
              <w:t>students are defined as those who self-identify on enrolment forms that they are of Aboriginal and/or To</w:t>
            </w:r>
            <w:r w:rsidR="00E03077">
              <w:t>rres Strait Islander background</w:t>
            </w:r>
            <w:r w:rsidRPr="004B1B81">
              <w:t xml:space="preserve">. Care </w:t>
            </w:r>
            <w:r w:rsidR="00E03077">
              <w:t>should</w:t>
            </w:r>
            <w:r w:rsidRPr="004B1B81">
              <w:t xml:space="preserve"> be taken in comparing participation data due to the high non-respo</w:t>
            </w:r>
            <w:r w:rsidR="00E03077">
              <w:t xml:space="preserve">nse rates in some jurisdictions (see table </w:t>
            </w:r>
            <w:proofErr w:type="spellStart"/>
            <w:r w:rsidR="00E03077">
              <w:t>5A.10</w:t>
            </w:r>
            <w:proofErr w:type="spellEnd"/>
            <w:r w:rsidR="00E03077">
              <w:t>).</w:t>
            </w:r>
          </w:p>
        </w:tc>
      </w:tr>
      <w:tr w:rsidR="007C4C31" w:rsidRPr="00176D3F" w:rsidTr="00C368C9">
        <w:tc>
          <w:tcPr>
            <w:tcW w:w="8771" w:type="dxa"/>
            <w:tcBorders>
              <w:top w:val="nil"/>
              <w:left w:val="nil"/>
              <w:bottom w:val="nil"/>
              <w:right w:val="nil"/>
            </w:tcBorders>
            <w:shd w:val="clear" w:color="auto" w:fill="auto"/>
          </w:tcPr>
          <w:p w:rsidR="007C4C31" w:rsidRPr="00176D3F" w:rsidRDefault="007C4C31" w:rsidP="00080748">
            <w:pPr>
              <w:pStyle w:val="Source"/>
            </w:pPr>
            <w:r w:rsidRPr="00080748">
              <w:rPr>
                <w:i/>
              </w:rPr>
              <w:t>Source</w:t>
            </w:r>
            <w:r w:rsidRPr="00080748">
              <w:t xml:space="preserve">: NCVER (unpublished) National VET provider </w:t>
            </w:r>
            <w:r w:rsidRPr="00080748">
              <w:rPr>
                <w:shd w:val="clear" w:color="auto" w:fill="FFFFFF" w:themeFill="background1"/>
              </w:rPr>
              <w:t>collection; ABS (201</w:t>
            </w:r>
            <w:r w:rsidR="00080748" w:rsidRPr="00080748">
              <w:rPr>
                <w:shd w:val="clear" w:color="auto" w:fill="FFFFFF" w:themeFill="background1"/>
              </w:rPr>
              <w:t>3</w:t>
            </w:r>
            <w:r w:rsidRPr="00080748">
              <w:rPr>
                <w:shd w:val="clear" w:color="auto" w:fill="FFFFFF" w:themeFill="background1"/>
              </w:rPr>
              <w:t xml:space="preserve">), </w:t>
            </w:r>
            <w:r w:rsidRPr="00080748">
              <w:rPr>
                <w:i/>
                <w:shd w:val="clear" w:color="auto" w:fill="FFFFFF" w:themeFill="background1"/>
              </w:rPr>
              <w:t>Australian</w:t>
            </w:r>
            <w:r w:rsidRPr="00080748">
              <w:rPr>
                <w:i/>
              </w:rPr>
              <w:t xml:space="preserve"> Demographic Statistics, June 201</w:t>
            </w:r>
            <w:r w:rsidR="00080748" w:rsidRPr="00080748">
              <w:rPr>
                <w:i/>
              </w:rPr>
              <w:t>3</w:t>
            </w:r>
            <w:r w:rsidRPr="00080748">
              <w:t xml:space="preserve">, Cat. no. 3101.0, Canberra; </w:t>
            </w:r>
            <w:r w:rsidR="00080748" w:rsidRPr="00080748">
              <w:t xml:space="preserve">ABS (2013) </w:t>
            </w:r>
            <w:r w:rsidR="00080748" w:rsidRPr="00080748">
              <w:rPr>
                <w:i/>
              </w:rPr>
              <w:t>Estimates and Projections, Aboriginal and Torres Strait Islander Australians</w:t>
            </w:r>
            <w:r w:rsidR="00080748" w:rsidRPr="00080748">
              <w:t xml:space="preserve">, 2001 to 2026, Cat. no. 3238.0; </w:t>
            </w:r>
            <w:r w:rsidRPr="00080748">
              <w:t xml:space="preserve">table </w:t>
            </w:r>
            <w:proofErr w:type="spellStart"/>
            <w:r w:rsidRPr="00080748">
              <w:t>5A.10</w:t>
            </w:r>
            <w:proofErr w:type="spellEnd"/>
            <w:r w:rsidRPr="00080748">
              <w:t>.</w:t>
            </w:r>
          </w:p>
        </w:tc>
      </w:tr>
      <w:tr w:rsidR="007C4C31" w:rsidTr="00C368C9">
        <w:tc>
          <w:tcPr>
            <w:tcW w:w="8771" w:type="dxa"/>
            <w:tcBorders>
              <w:top w:val="nil"/>
              <w:left w:val="nil"/>
              <w:bottom w:val="single" w:sz="6" w:space="0" w:color="78A22F"/>
              <w:right w:val="nil"/>
            </w:tcBorders>
            <w:shd w:val="clear" w:color="auto" w:fill="auto"/>
          </w:tcPr>
          <w:p w:rsidR="007C4C31" w:rsidRDefault="007C4C31" w:rsidP="00C368C9">
            <w:pPr>
              <w:pStyle w:val="Figurespace"/>
            </w:pPr>
          </w:p>
        </w:tc>
      </w:tr>
      <w:tr w:rsidR="007C4C31" w:rsidRPr="000863A5" w:rsidTr="00C368C9">
        <w:tc>
          <w:tcPr>
            <w:tcW w:w="8771" w:type="dxa"/>
            <w:tcBorders>
              <w:top w:val="single" w:sz="6" w:space="0" w:color="78A22F"/>
              <w:left w:val="nil"/>
              <w:bottom w:val="nil"/>
              <w:right w:val="nil"/>
            </w:tcBorders>
          </w:tcPr>
          <w:p w:rsidR="007C4C31" w:rsidRPr="00626D32" w:rsidRDefault="007C4C31" w:rsidP="00C368C9">
            <w:pPr>
              <w:pStyle w:val="BoxSpaceBelow"/>
            </w:pPr>
          </w:p>
        </w:tc>
      </w:tr>
    </w:tbl>
    <w:p w:rsidR="00E03077" w:rsidRDefault="00E03077" w:rsidP="00E03077">
      <w:pPr>
        <w:pStyle w:val="Heading5"/>
      </w:pPr>
      <w:r>
        <w:lastRenderedPageBreak/>
        <w:t>Participation in Certificate III or above</w:t>
      </w:r>
    </w:p>
    <w:p w:rsidR="00C76AA0" w:rsidRPr="001836FE" w:rsidRDefault="003C3E40" w:rsidP="003C3E40">
      <w:pPr>
        <w:pStyle w:val="BodyText"/>
      </w:pPr>
      <w:r w:rsidRPr="001836FE">
        <w:t xml:space="preserve">In </w:t>
      </w:r>
      <w:r w:rsidR="00A20A1E" w:rsidRPr="001836FE">
        <w:t>201</w:t>
      </w:r>
      <w:r w:rsidR="00DB153E">
        <w:t>3</w:t>
      </w:r>
      <w:r w:rsidRPr="001836FE">
        <w:t xml:space="preserve">, </w:t>
      </w:r>
      <w:r w:rsidR="00BC3707" w:rsidRPr="001836FE">
        <w:t xml:space="preserve">approximately </w:t>
      </w:r>
      <w:r w:rsidR="002060E6">
        <w:t xml:space="preserve">1.0 </w:t>
      </w:r>
      <w:r w:rsidR="001836FE" w:rsidRPr="001836FE">
        <w:t>million</w:t>
      </w:r>
      <w:r w:rsidRPr="001836FE">
        <w:t xml:space="preserve"> people aged 15</w:t>
      </w:r>
      <w:r w:rsidR="00CD2ACA" w:rsidRPr="001836FE">
        <w:t>–</w:t>
      </w:r>
      <w:r w:rsidRPr="001836FE">
        <w:t xml:space="preserve">64 years participated in a government funded VET program at the </w:t>
      </w:r>
      <w:r w:rsidR="00AD0352" w:rsidRPr="001836FE">
        <w:t>c</w:t>
      </w:r>
      <w:r w:rsidRPr="001836FE">
        <w:t xml:space="preserve">ertificate III level or </w:t>
      </w:r>
      <w:r w:rsidR="00D87C93" w:rsidRPr="001836FE">
        <w:t>above</w:t>
      </w:r>
      <w:r w:rsidRPr="001836FE">
        <w:t xml:space="preserve">, representing </w:t>
      </w:r>
      <w:r w:rsidR="002060E6">
        <w:t>6.6</w:t>
      </w:r>
      <w:r w:rsidR="001803EF">
        <w:t xml:space="preserve"> </w:t>
      </w:r>
      <w:r w:rsidRPr="001836FE">
        <w:t>per</w:t>
      </w:r>
      <w:r w:rsidR="001803EF">
        <w:t xml:space="preserve"> </w:t>
      </w:r>
      <w:r w:rsidRPr="001836FE">
        <w:t>cent of the population aged 15</w:t>
      </w:r>
      <w:r w:rsidR="00CD2ACA" w:rsidRPr="001836FE">
        <w:t>–</w:t>
      </w:r>
      <w:r w:rsidRPr="001836FE">
        <w:t>64 years</w:t>
      </w:r>
      <w:r w:rsidR="00C06576">
        <w:t xml:space="preserve"> nationally</w:t>
      </w:r>
      <w:r w:rsidR="009A6689" w:rsidRPr="001836FE">
        <w:t xml:space="preserve"> </w:t>
      </w:r>
      <w:r w:rsidRPr="001836FE">
        <w:t>(</w:t>
      </w:r>
      <w:r w:rsidR="00972AE1" w:rsidRPr="001836FE">
        <w:t xml:space="preserve">figure </w:t>
      </w:r>
      <w:r w:rsidR="00442BBD" w:rsidRPr="001836FE">
        <w:t>5.11</w:t>
      </w:r>
      <w:r w:rsidR="00972AE1" w:rsidRPr="001836FE">
        <w:t xml:space="preserve"> and </w:t>
      </w:r>
      <w:r w:rsidRPr="001836FE">
        <w:t>table</w:t>
      </w:r>
      <w:r w:rsidR="001803EF">
        <w:t xml:space="preserve"> </w:t>
      </w:r>
      <w:proofErr w:type="spellStart"/>
      <w:r w:rsidRPr="001836FE">
        <w:t>5A.</w:t>
      </w:r>
      <w:r w:rsidR="003E14C9" w:rsidRPr="001836FE">
        <w:t>17</w:t>
      </w:r>
      <w:proofErr w:type="spellEnd"/>
      <w:r w:rsidRPr="001836FE">
        <w:t>).</w:t>
      </w:r>
      <w:r w:rsidR="00030C08" w:rsidRPr="001836FE">
        <w:t xml:space="preserve"> </w:t>
      </w:r>
      <w:r w:rsidR="00D061BE" w:rsidRPr="001836FE">
        <w:t xml:space="preserve">This compares with </w:t>
      </w:r>
      <w:r w:rsidR="002060E6">
        <w:t>8.5</w:t>
      </w:r>
      <w:r w:rsidR="001803EF">
        <w:t xml:space="preserve"> </w:t>
      </w:r>
      <w:r w:rsidR="00030C08" w:rsidRPr="001836FE">
        <w:t>per</w:t>
      </w:r>
      <w:r w:rsidR="001803EF">
        <w:t xml:space="preserve"> </w:t>
      </w:r>
      <w:r w:rsidR="00030C08" w:rsidRPr="001836FE">
        <w:t>cent of the</w:t>
      </w:r>
      <w:r w:rsidR="00804C04">
        <w:t xml:space="preserve"> Aboriginal and Torres Strait Islander </w:t>
      </w:r>
      <w:r w:rsidR="00030C08" w:rsidRPr="001836FE">
        <w:t xml:space="preserve">population </w:t>
      </w:r>
      <w:r w:rsidR="00945DD5" w:rsidRPr="001836FE">
        <w:t xml:space="preserve">and </w:t>
      </w:r>
      <w:r w:rsidR="002060E6">
        <w:t>6.3</w:t>
      </w:r>
      <w:r w:rsidR="001803EF">
        <w:t xml:space="preserve"> </w:t>
      </w:r>
      <w:r w:rsidR="00945DD5" w:rsidRPr="001836FE">
        <w:t>per</w:t>
      </w:r>
      <w:r w:rsidR="001803EF">
        <w:t xml:space="preserve"> </w:t>
      </w:r>
      <w:r w:rsidR="00945DD5" w:rsidRPr="001836FE">
        <w:t xml:space="preserve">cent of the non-Indigenous population </w:t>
      </w:r>
      <w:r w:rsidR="00030C08" w:rsidRPr="001836FE">
        <w:t xml:space="preserve">aged 15–64 years (figure </w:t>
      </w:r>
      <w:r w:rsidR="00442BBD" w:rsidRPr="001836FE">
        <w:t>5.11</w:t>
      </w:r>
      <w:r w:rsidR="00030C08" w:rsidRPr="001836FE">
        <w:t>)</w:t>
      </w:r>
      <w:r w:rsidR="00C76AA0" w:rsidRPr="001836FE">
        <w:t>.</w:t>
      </w:r>
    </w:p>
    <w:p w:rsidR="00A13064" w:rsidRPr="00A13064" w:rsidRDefault="00945DD5" w:rsidP="00A13064">
      <w:pPr>
        <w:pStyle w:val="BodyText"/>
      </w:pPr>
      <w:r w:rsidRPr="00A13064">
        <w:t>Nationally</w:t>
      </w:r>
      <w:r w:rsidR="00D54761" w:rsidRPr="00A13064">
        <w:t xml:space="preserve"> in </w:t>
      </w:r>
      <w:r w:rsidR="00A20A1E" w:rsidRPr="00A13064">
        <w:t>201</w:t>
      </w:r>
      <w:r w:rsidR="00DB153E">
        <w:t>3</w:t>
      </w:r>
      <w:r w:rsidRPr="00A13064">
        <w:t xml:space="preserve">, </w:t>
      </w:r>
      <w:r w:rsidR="002060E6">
        <w:t>16.0</w:t>
      </w:r>
      <w:r w:rsidR="001803EF">
        <w:t xml:space="preserve"> </w:t>
      </w:r>
      <w:r w:rsidRPr="00A13064">
        <w:t>per</w:t>
      </w:r>
      <w:r w:rsidR="001803EF">
        <w:t xml:space="preserve"> </w:t>
      </w:r>
      <w:r w:rsidRPr="00A13064">
        <w:t xml:space="preserve">cent of all people aged 18–24 years participated in government funded VET at the certificate III level or </w:t>
      </w:r>
      <w:r w:rsidR="005B5B8C" w:rsidRPr="00A13064">
        <w:t>above</w:t>
      </w:r>
      <w:r w:rsidRPr="00A13064">
        <w:t xml:space="preserve">, compared with </w:t>
      </w:r>
      <w:r w:rsidR="002060E6">
        <w:t>14.3</w:t>
      </w:r>
      <w:r w:rsidR="001803EF">
        <w:t xml:space="preserve"> </w:t>
      </w:r>
      <w:r w:rsidRPr="00A13064">
        <w:t>per</w:t>
      </w:r>
      <w:r w:rsidR="001803EF">
        <w:t xml:space="preserve"> </w:t>
      </w:r>
      <w:r w:rsidRPr="00A13064">
        <w:t>cent of the</w:t>
      </w:r>
      <w:r w:rsidR="00804C04">
        <w:t xml:space="preserve"> Aboriginal and Torres Strait Islander </w:t>
      </w:r>
      <w:r w:rsidRPr="00A13064">
        <w:t xml:space="preserve">population and </w:t>
      </w:r>
      <w:r w:rsidR="009E096A">
        <w:t>15.7</w:t>
      </w:r>
      <w:r w:rsidR="001803EF">
        <w:t xml:space="preserve"> </w:t>
      </w:r>
      <w:r w:rsidR="009E096A">
        <w:t>per</w:t>
      </w:r>
      <w:r w:rsidR="001803EF">
        <w:t xml:space="preserve"> </w:t>
      </w:r>
      <w:r w:rsidRPr="00A13064">
        <w:t>cent of the non</w:t>
      </w:r>
      <w:r w:rsidR="0069034B">
        <w:noBreakHyphen/>
      </w:r>
      <w:r w:rsidRPr="00A13064">
        <w:t xml:space="preserve">Indigenous population aged </w:t>
      </w:r>
      <w:r w:rsidR="00D54761" w:rsidRPr="00A13064">
        <w:t>18–24</w:t>
      </w:r>
      <w:r w:rsidRPr="00A13064">
        <w:t xml:space="preserve"> years</w:t>
      </w:r>
      <w:r w:rsidR="00D54761" w:rsidRPr="00A13064">
        <w:t xml:space="preserve">. </w:t>
      </w:r>
      <w:r w:rsidRPr="00A13064">
        <w:t xml:space="preserve">Nationally, </w:t>
      </w:r>
      <w:r w:rsidR="009E096A">
        <w:t>5.7</w:t>
      </w:r>
      <w:r w:rsidR="001803EF">
        <w:t xml:space="preserve"> </w:t>
      </w:r>
      <w:r w:rsidRPr="00A13064">
        <w:t>per</w:t>
      </w:r>
      <w:r w:rsidR="001803EF">
        <w:t xml:space="preserve"> </w:t>
      </w:r>
      <w:r w:rsidRPr="00A13064">
        <w:t>cent of all people aged 20</w:t>
      </w:r>
      <w:r w:rsidR="00AD7CF2" w:rsidRPr="00A13064">
        <w:noBreakHyphen/>
      </w:r>
      <w:r w:rsidRPr="00A13064">
        <w:t>64</w:t>
      </w:r>
      <w:r w:rsidR="001803EF">
        <w:t xml:space="preserve"> </w:t>
      </w:r>
      <w:r w:rsidRPr="00A13064">
        <w:t xml:space="preserve">years participated, compared with </w:t>
      </w:r>
      <w:r w:rsidR="009E096A">
        <w:t>7.7</w:t>
      </w:r>
      <w:r w:rsidR="001803EF">
        <w:t xml:space="preserve"> </w:t>
      </w:r>
      <w:r w:rsidRPr="00A13064">
        <w:t>per</w:t>
      </w:r>
      <w:r w:rsidR="001803EF">
        <w:t xml:space="preserve"> </w:t>
      </w:r>
      <w:r w:rsidRPr="00A13064">
        <w:t>cent of the</w:t>
      </w:r>
      <w:r w:rsidR="00804C04">
        <w:t xml:space="preserve"> Aboriginal and Torres Strait Islander </w:t>
      </w:r>
      <w:r w:rsidRPr="00A13064">
        <w:t xml:space="preserve">population and </w:t>
      </w:r>
      <w:r w:rsidR="009E096A">
        <w:t>5.4</w:t>
      </w:r>
      <w:r w:rsidR="001803EF">
        <w:t xml:space="preserve"> </w:t>
      </w:r>
      <w:r w:rsidRPr="00A13064">
        <w:t>per</w:t>
      </w:r>
      <w:r w:rsidR="001803EF">
        <w:t xml:space="preserve"> </w:t>
      </w:r>
      <w:r w:rsidRPr="00A13064">
        <w:t xml:space="preserve">cent of the non-Indigenous population aged 20–64 years (figure </w:t>
      </w:r>
      <w:r w:rsidR="00442BBD" w:rsidRPr="00A13064">
        <w:t>5.11</w:t>
      </w:r>
      <w:r w:rsidRPr="00A13064">
        <w:t>).</w:t>
      </w:r>
      <w:r w:rsidR="00BF7532" w:rsidRPr="00A13064">
        <w:br w:type="page"/>
      </w:r>
    </w:p>
    <w:p w:rsidR="00A13064" w:rsidRDefault="00A13064" w:rsidP="00C368C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13064" w:rsidTr="00A13064">
        <w:tc>
          <w:tcPr>
            <w:tcW w:w="8771" w:type="dxa"/>
            <w:tcBorders>
              <w:top w:val="single" w:sz="6" w:space="0" w:color="78A22F"/>
              <w:left w:val="nil"/>
              <w:bottom w:val="nil"/>
              <w:right w:val="nil"/>
            </w:tcBorders>
            <w:shd w:val="clear" w:color="auto" w:fill="auto"/>
          </w:tcPr>
          <w:p w:rsidR="00A13064" w:rsidRPr="00176D3F" w:rsidRDefault="00A13064" w:rsidP="00AD2A4A">
            <w:pPr>
              <w:pStyle w:val="FigureTitle"/>
            </w:pPr>
            <w:r w:rsidRPr="00784A05">
              <w:rPr>
                <w:b w:val="0"/>
              </w:rPr>
              <w:t xml:space="preserve">Figure </w:t>
            </w:r>
            <w:r>
              <w:rPr>
                <w:b w:val="0"/>
              </w:rPr>
              <w:t>5.</w:t>
            </w:r>
            <w:r w:rsidR="00D80B1E">
              <w:rPr>
                <w:b w:val="0"/>
                <w:noProof/>
              </w:rPr>
              <w:t>11</w:t>
            </w:r>
            <w:r>
              <w:tab/>
            </w:r>
            <w:r w:rsidRPr="00A13064">
              <w:t>VET participation rate in certificate III and above, by target age group and</w:t>
            </w:r>
            <w:r w:rsidR="00804C04">
              <w:t xml:space="preserve"> </w:t>
            </w:r>
            <w:r w:rsidR="00AD2A4A">
              <w:t>Indigenous status</w:t>
            </w:r>
            <w:r w:rsidRPr="00A13064">
              <w:t xml:space="preserve">, </w:t>
            </w:r>
            <w:proofErr w:type="spellStart"/>
            <w:r w:rsidRPr="00A13064">
              <w:t>201</w:t>
            </w:r>
            <w:r w:rsidR="00DB153E">
              <w:t>3</w:t>
            </w:r>
            <w:r w:rsidRPr="00A13064">
              <w:rPr>
                <w:vertAlign w:val="superscript"/>
              </w:rPr>
              <w:t>a</w:t>
            </w:r>
            <w:proofErr w:type="spellEnd"/>
            <w:r w:rsidRPr="00A13064">
              <w:rPr>
                <w:vertAlign w:val="superscript"/>
              </w:rPr>
              <w:t>, b, c, d</w:t>
            </w:r>
          </w:p>
        </w:tc>
      </w:tr>
      <w:tr w:rsidR="00A13064" w:rsidTr="00A13064">
        <w:tc>
          <w:tcPr>
            <w:tcW w:w="8771" w:type="dxa"/>
            <w:tcBorders>
              <w:top w:val="nil"/>
              <w:left w:val="nil"/>
              <w:bottom w:val="nil"/>
              <w:right w:val="nil"/>
            </w:tcBorders>
            <w:shd w:val="clear" w:color="auto" w:fill="auto"/>
            <w:tcMar>
              <w:top w:w="28" w:type="dxa"/>
              <w:bottom w:w="28" w:type="dxa"/>
            </w:tcMar>
          </w:tcPr>
          <w:tbl>
            <w:tblPr>
              <w:tblW w:w="8561"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61"/>
            </w:tblGrid>
            <w:tr w:rsidR="00A13064" w:rsidTr="00A13064">
              <w:tc>
                <w:tcPr>
                  <w:tcW w:w="5000" w:type="pct"/>
                  <w:tcBorders>
                    <w:top w:val="nil"/>
                    <w:bottom w:val="nil"/>
                  </w:tcBorders>
                </w:tcPr>
                <w:p w:rsidR="00A13064" w:rsidRDefault="009F6491" w:rsidP="00A13064">
                  <w:pPr>
                    <w:pStyle w:val="Figure"/>
                    <w:shd w:val="clear" w:color="auto" w:fill="FFFFFF" w:themeFill="background1"/>
                    <w:spacing w:before="0" w:after="0"/>
                  </w:pPr>
                  <w:r>
                    <w:rPr>
                      <w:noProof/>
                    </w:rPr>
                    <w:drawing>
                      <wp:inline distT="0" distB="0" distL="0" distR="0">
                        <wp:extent cx="5391150" cy="1790700"/>
                        <wp:effectExtent l="0" t="0" r="0" b="0"/>
                        <wp:docPr id="13" name="Picture 13" descr="Figure 5.11 VET participation rate in certificate III and above, by target age group and Indigenous status, 2013&#10;&#10;(a) 15-64 ye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91150" cy="1790700"/>
                                </a:xfrm>
                                <a:prstGeom prst="rect">
                                  <a:avLst/>
                                </a:prstGeom>
                                <a:noFill/>
                                <a:ln>
                                  <a:noFill/>
                                </a:ln>
                              </pic:spPr>
                            </pic:pic>
                          </a:graphicData>
                        </a:graphic>
                      </wp:inline>
                    </w:drawing>
                  </w:r>
                </w:p>
                <w:p w:rsidR="0030196B" w:rsidRDefault="009F6491" w:rsidP="00A13064">
                  <w:pPr>
                    <w:pStyle w:val="Figure"/>
                    <w:shd w:val="clear" w:color="auto" w:fill="FFFFFF" w:themeFill="background1"/>
                    <w:spacing w:before="0" w:after="0"/>
                  </w:pPr>
                  <w:r>
                    <w:rPr>
                      <w:noProof/>
                    </w:rPr>
                    <w:drawing>
                      <wp:inline distT="0" distB="0" distL="0" distR="0">
                        <wp:extent cx="5391150" cy="1790700"/>
                        <wp:effectExtent l="0" t="0" r="0" b="0"/>
                        <wp:docPr id="15" name="Picture 15" descr="Figure 5.11 VET participation rate in certificate III and above, by target age group and Indigenous status, 2013&#10;&#10;(b) 18-24 ye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91150" cy="1790700"/>
                                </a:xfrm>
                                <a:prstGeom prst="rect">
                                  <a:avLst/>
                                </a:prstGeom>
                                <a:noFill/>
                                <a:ln>
                                  <a:noFill/>
                                </a:ln>
                              </pic:spPr>
                            </pic:pic>
                          </a:graphicData>
                        </a:graphic>
                      </wp:inline>
                    </w:drawing>
                  </w:r>
                </w:p>
                <w:p w:rsidR="0030196B" w:rsidRDefault="009F6491" w:rsidP="00A13064">
                  <w:pPr>
                    <w:pStyle w:val="Figure"/>
                    <w:shd w:val="clear" w:color="auto" w:fill="FFFFFF" w:themeFill="background1"/>
                    <w:spacing w:before="0" w:after="0"/>
                  </w:pPr>
                  <w:r>
                    <w:rPr>
                      <w:noProof/>
                    </w:rPr>
                    <w:drawing>
                      <wp:inline distT="0" distB="0" distL="0" distR="0">
                        <wp:extent cx="5391150" cy="2076450"/>
                        <wp:effectExtent l="0" t="0" r="0" b="0"/>
                        <wp:docPr id="16" name="Picture 16" descr="Figure 5.11 VET participation rate in certificate III and above, by target age group and Indigenous status, 2013&#10;&#10;(c) 20-64 ye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91150" cy="2076450"/>
                                </a:xfrm>
                                <a:prstGeom prst="rect">
                                  <a:avLst/>
                                </a:prstGeom>
                                <a:noFill/>
                                <a:ln>
                                  <a:noFill/>
                                </a:ln>
                              </pic:spPr>
                            </pic:pic>
                          </a:graphicData>
                        </a:graphic>
                      </wp:inline>
                    </w:drawing>
                  </w:r>
                </w:p>
              </w:tc>
            </w:tr>
          </w:tbl>
          <w:p w:rsidR="00A13064" w:rsidRDefault="00A13064" w:rsidP="00C368C9">
            <w:pPr>
              <w:pStyle w:val="Figure"/>
            </w:pPr>
          </w:p>
        </w:tc>
      </w:tr>
      <w:tr w:rsidR="00A13064" w:rsidRPr="00176D3F" w:rsidTr="00A13064">
        <w:tc>
          <w:tcPr>
            <w:tcW w:w="8771" w:type="dxa"/>
            <w:tcBorders>
              <w:top w:val="nil"/>
              <w:left w:val="nil"/>
              <w:bottom w:val="nil"/>
              <w:right w:val="nil"/>
            </w:tcBorders>
            <w:shd w:val="clear" w:color="auto" w:fill="auto"/>
          </w:tcPr>
          <w:p w:rsidR="00A13064" w:rsidRPr="00176D3F" w:rsidRDefault="00A13064" w:rsidP="00E03077">
            <w:pPr>
              <w:pStyle w:val="Note"/>
            </w:pPr>
            <w:r w:rsidRPr="00DF2CF9">
              <w:rPr>
                <w:rStyle w:val="NoteLabel"/>
              </w:rPr>
              <w:t>a</w:t>
            </w:r>
            <w:r w:rsidRPr="00DF2CF9">
              <w:t xml:space="preserve"> Data are for government funded VET students. </w:t>
            </w:r>
            <w:r w:rsidRPr="00DF2CF9">
              <w:rPr>
                <w:rStyle w:val="NoteLabel"/>
              </w:rPr>
              <w:t>b</w:t>
            </w:r>
            <w:r w:rsidRPr="00DF2CF9">
              <w:t xml:space="preserve"> Data are for the highest level qualification attempted by a student in a reporting year. </w:t>
            </w:r>
            <w:r w:rsidRPr="00DF2CF9">
              <w:rPr>
                <w:rStyle w:val="NoteLabel"/>
              </w:rPr>
              <w:t>c</w:t>
            </w:r>
            <w:r w:rsidRPr="00DF2CF9">
              <w:t xml:space="preserve"> The</w:t>
            </w:r>
            <w:r w:rsidR="00804C04">
              <w:t xml:space="preserve"> Aboriginal and Torres Strait Islander </w:t>
            </w:r>
            <w:r w:rsidRPr="00DF2CF9">
              <w:t>students participation rate is the number of</w:t>
            </w:r>
            <w:r w:rsidR="00804C04">
              <w:t xml:space="preserve"> Aboriginal and Torres Strait Islander </w:t>
            </w:r>
            <w:r w:rsidRPr="00DF2CF9">
              <w:t>students as a percentage of the estimates of the</w:t>
            </w:r>
            <w:r w:rsidR="00804C04">
              <w:t xml:space="preserve"> Aboriginal and Torres Strait Islander </w:t>
            </w:r>
            <w:r w:rsidRPr="00DF2CF9">
              <w:t xml:space="preserve">population. The all students participation rate is the number of students as a percentage of the estimated total population. </w:t>
            </w:r>
            <w:r w:rsidRPr="00DF2CF9">
              <w:rPr>
                <w:rStyle w:val="NoteLabel"/>
              </w:rPr>
              <w:t>d</w:t>
            </w:r>
            <w:r w:rsidR="00804C04">
              <w:t xml:space="preserve"> Aboriginal and Torres Strait Islander </w:t>
            </w:r>
            <w:r w:rsidRPr="00DF2CF9">
              <w:t xml:space="preserve">students are defined as those who self-identify on enrolment forms that they are of Aboriginal and/or Torres Strait Islander background. Care </w:t>
            </w:r>
            <w:r w:rsidR="00E03077">
              <w:t>should</w:t>
            </w:r>
            <w:r w:rsidRPr="00DF2CF9">
              <w:t xml:space="preserve"> be taken in comparing participation data due to the high non-response rates in some jurisdictions</w:t>
            </w:r>
            <w:r w:rsidR="00E03077">
              <w:t xml:space="preserve"> (see </w:t>
            </w:r>
            <w:r w:rsidR="00E03077" w:rsidRPr="00DF2CF9">
              <w:t>table </w:t>
            </w:r>
            <w:proofErr w:type="spellStart"/>
            <w:r w:rsidR="00E03077" w:rsidRPr="00DF2CF9">
              <w:t>5A.17</w:t>
            </w:r>
            <w:proofErr w:type="spellEnd"/>
            <w:r w:rsidR="00E03077" w:rsidRPr="00DF2CF9">
              <w:t>).</w:t>
            </w:r>
          </w:p>
        </w:tc>
      </w:tr>
      <w:tr w:rsidR="00A13064" w:rsidRPr="00176D3F" w:rsidTr="00A13064">
        <w:tc>
          <w:tcPr>
            <w:tcW w:w="8771" w:type="dxa"/>
            <w:tcBorders>
              <w:top w:val="nil"/>
              <w:left w:val="nil"/>
              <w:bottom w:val="nil"/>
              <w:right w:val="nil"/>
            </w:tcBorders>
            <w:shd w:val="clear" w:color="auto" w:fill="auto"/>
          </w:tcPr>
          <w:p w:rsidR="00A13064" w:rsidRPr="00176D3F" w:rsidRDefault="00A13064" w:rsidP="00080748">
            <w:pPr>
              <w:pStyle w:val="Source"/>
            </w:pPr>
            <w:r w:rsidRPr="00080748">
              <w:rPr>
                <w:i/>
              </w:rPr>
              <w:t>Source</w:t>
            </w:r>
            <w:r w:rsidRPr="00080748">
              <w:t>: NCVER (unpublished) National VET provider collection; ABS (201</w:t>
            </w:r>
            <w:r w:rsidR="00080748" w:rsidRPr="00080748">
              <w:t>3</w:t>
            </w:r>
            <w:r w:rsidRPr="00080748">
              <w:t xml:space="preserve">), </w:t>
            </w:r>
            <w:r w:rsidRPr="00080748">
              <w:rPr>
                <w:i/>
              </w:rPr>
              <w:t>Australian Demographic Statistics, June 201</w:t>
            </w:r>
            <w:r w:rsidR="00080748" w:rsidRPr="00080748">
              <w:rPr>
                <w:i/>
              </w:rPr>
              <w:t>3</w:t>
            </w:r>
            <w:r w:rsidRPr="00080748">
              <w:t xml:space="preserve">, Cat. no. 3101.0, Canberra; </w:t>
            </w:r>
            <w:r w:rsidR="00080748" w:rsidRPr="00080748">
              <w:t xml:space="preserve">ABS (2013) </w:t>
            </w:r>
            <w:r w:rsidR="00080748" w:rsidRPr="00080748">
              <w:rPr>
                <w:i/>
              </w:rPr>
              <w:t>Estimates and Projections, Aboriginal and Torres Strait Islander Australians</w:t>
            </w:r>
            <w:r w:rsidR="00080748" w:rsidRPr="00080748">
              <w:t>, 2001 to 2026, Cat. no. 3238.0</w:t>
            </w:r>
            <w:r w:rsidRPr="00080748">
              <w:t xml:space="preserve">; table </w:t>
            </w:r>
            <w:proofErr w:type="spellStart"/>
            <w:r w:rsidRPr="00080748">
              <w:t>5A.17</w:t>
            </w:r>
            <w:proofErr w:type="spellEnd"/>
            <w:r w:rsidRPr="00080748">
              <w:t>.</w:t>
            </w:r>
          </w:p>
        </w:tc>
      </w:tr>
      <w:tr w:rsidR="00A13064" w:rsidTr="00A13064">
        <w:tc>
          <w:tcPr>
            <w:tcW w:w="8771" w:type="dxa"/>
            <w:tcBorders>
              <w:top w:val="nil"/>
              <w:left w:val="nil"/>
              <w:bottom w:val="single" w:sz="6" w:space="0" w:color="78A22F"/>
              <w:right w:val="nil"/>
            </w:tcBorders>
            <w:shd w:val="clear" w:color="auto" w:fill="auto"/>
          </w:tcPr>
          <w:p w:rsidR="00A13064" w:rsidRDefault="00A13064" w:rsidP="00C368C9">
            <w:pPr>
              <w:pStyle w:val="Figurespace"/>
            </w:pPr>
          </w:p>
        </w:tc>
      </w:tr>
      <w:tr w:rsidR="00A13064" w:rsidRPr="000863A5" w:rsidTr="00A13064">
        <w:tc>
          <w:tcPr>
            <w:tcW w:w="8771" w:type="dxa"/>
            <w:tcBorders>
              <w:top w:val="single" w:sz="6" w:space="0" w:color="78A22F"/>
              <w:left w:val="nil"/>
              <w:bottom w:val="nil"/>
              <w:right w:val="nil"/>
            </w:tcBorders>
          </w:tcPr>
          <w:p w:rsidR="00A13064" w:rsidRPr="00626D32" w:rsidRDefault="00A13064" w:rsidP="00C368C9">
            <w:pPr>
              <w:pStyle w:val="BoxSpaceBelow"/>
            </w:pPr>
          </w:p>
        </w:tc>
      </w:tr>
    </w:tbl>
    <w:p w:rsidR="00E03077" w:rsidRDefault="00E03077" w:rsidP="00E03077">
      <w:pPr>
        <w:pStyle w:val="Heading5"/>
      </w:pPr>
      <w:r>
        <w:lastRenderedPageBreak/>
        <w:t>Participation in diploma and above</w:t>
      </w:r>
    </w:p>
    <w:p w:rsidR="00D360F0" w:rsidRPr="00442BBD" w:rsidRDefault="00C76AA0" w:rsidP="00376A75">
      <w:pPr>
        <w:pStyle w:val="BodyText"/>
      </w:pPr>
      <w:r w:rsidRPr="001836FE">
        <w:t xml:space="preserve">In </w:t>
      </w:r>
      <w:r w:rsidR="00A20A1E" w:rsidRPr="001836FE">
        <w:t>201</w:t>
      </w:r>
      <w:r w:rsidR="00DB153E">
        <w:t>3</w:t>
      </w:r>
      <w:r w:rsidRPr="001836FE">
        <w:t xml:space="preserve">, approximately </w:t>
      </w:r>
      <w:r w:rsidR="00290FF3">
        <w:t>17</w:t>
      </w:r>
      <w:r w:rsidR="004C5D86">
        <w:t>3</w:t>
      </w:r>
      <w:r w:rsidR="00290FF3">
        <w:t> </w:t>
      </w:r>
      <w:r w:rsidR="004C5D86">
        <w:t>4</w:t>
      </w:r>
      <w:r w:rsidR="00290FF3">
        <w:t>00</w:t>
      </w:r>
      <w:r w:rsidR="00085222" w:rsidRPr="00DB153E">
        <w:rPr>
          <w:color w:val="FF0000"/>
        </w:rPr>
        <w:t xml:space="preserve"> </w:t>
      </w:r>
      <w:r w:rsidRPr="001836FE">
        <w:t xml:space="preserve">people aged 15–64 years participated in a government funded VET program at the diploma level or </w:t>
      </w:r>
      <w:r w:rsidR="00D87C93" w:rsidRPr="001836FE">
        <w:t>above</w:t>
      </w:r>
      <w:r w:rsidRPr="001836FE">
        <w:t xml:space="preserve">, representing </w:t>
      </w:r>
      <w:r w:rsidR="004C5D86">
        <w:t>1.1</w:t>
      </w:r>
      <w:r w:rsidR="001803EF">
        <w:t xml:space="preserve"> </w:t>
      </w:r>
      <w:r w:rsidRPr="001836FE">
        <w:t>per</w:t>
      </w:r>
      <w:r w:rsidR="001803EF">
        <w:t xml:space="preserve"> </w:t>
      </w:r>
      <w:r w:rsidRPr="00442BBD">
        <w:t xml:space="preserve">cent of the </w:t>
      </w:r>
      <w:r w:rsidRPr="001836FE">
        <w:t xml:space="preserve">population aged 15–64 years </w:t>
      </w:r>
      <w:r w:rsidR="00C06576">
        <w:t xml:space="preserve">nationally </w:t>
      </w:r>
      <w:r w:rsidRPr="001836FE">
        <w:t>(</w:t>
      </w:r>
      <w:r w:rsidR="00172143" w:rsidRPr="001836FE">
        <w:t xml:space="preserve">figure </w:t>
      </w:r>
      <w:r w:rsidR="00442BBD" w:rsidRPr="001836FE">
        <w:t>5.12</w:t>
      </w:r>
      <w:r w:rsidR="00172143" w:rsidRPr="001836FE">
        <w:t xml:space="preserve"> and </w:t>
      </w:r>
      <w:r w:rsidR="00C238D8" w:rsidRPr="001836FE">
        <w:t>table</w:t>
      </w:r>
      <w:r w:rsidR="001803EF">
        <w:t xml:space="preserve"> </w:t>
      </w:r>
      <w:proofErr w:type="spellStart"/>
      <w:r w:rsidRPr="001836FE">
        <w:t>5A.1</w:t>
      </w:r>
      <w:r w:rsidR="00C238D8" w:rsidRPr="001836FE">
        <w:t>8</w:t>
      </w:r>
      <w:proofErr w:type="spellEnd"/>
      <w:r w:rsidRPr="001836FE">
        <w:t xml:space="preserve">). </w:t>
      </w:r>
      <w:r w:rsidR="002D582D" w:rsidRPr="001836FE">
        <w:t xml:space="preserve">This compares with </w:t>
      </w:r>
      <w:r w:rsidR="004C5D86">
        <w:t>1.0</w:t>
      </w:r>
      <w:r w:rsidR="001803EF">
        <w:t xml:space="preserve"> </w:t>
      </w:r>
      <w:r w:rsidR="002D582D" w:rsidRPr="001836FE">
        <w:t>per</w:t>
      </w:r>
      <w:r w:rsidR="001803EF">
        <w:t xml:space="preserve"> </w:t>
      </w:r>
      <w:r w:rsidR="002D582D" w:rsidRPr="001836FE">
        <w:t>cent of the</w:t>
      </w:r>
      <w:r w:rsidR="00804C04">
        <w:t xml:space="preserve"> Aboriginal and Torres Strait Islander </w:t>
      </w:r>
      <w:r w:rsidR="002D582D" w:rsidRPr="001836FE">
        <w:t xml:space="preserve">population and </w:t>
      </w:r>
      <w:r w:rsidR="004C5D86">
        <w:t>1.1</w:t>
      </w:r>
      <w:r w:rsidR="001803EF">
        <w:t xml:space="preserve"> </w:t>
      </w:r>
      <w:r w:rsidR="002D582D" w:rsidRPr="001836FE">
        <w:t>per</w:t>
      </w:r>
      <w:r w:rsidR="001803EF">
        <w:t xml:space="preserve"> </w:t>
      </w:r>
      <w:r w:rsidR="002D582D" w:rsidRPr="001836FE">
        <w:t xml:space="preserve">cent of the non-Indigenous population </w:t>
      </w:r>
      <w:r w:rsidR="002D582D" w:rsidRPr="00442BBD">
        <w:t>aged 15–64 years</w:t>
      </w:r>
      <w:r w:rsidR="00C238D8" w:rsidRPr="00442BBD">
        <w:t xml:space="preserve"> (figure </w:t>
      </w:r>
      <w:r w:rsidR="00442BBD" w:rsidRPr="00442BBD">
        <w:t>5.12</w:t>
      </w:r>
      <w:r w:rsidR="00C238D8" w:rsidRPr="00442BBD">
        <w:t>)</w:t>
      </w:r>
      <w:r w:rsidR="00357F9D" w:rsidRPr="00442BBD">
        <w:t>.</w:t>
      </w:r>
    </w:p>
    <w:p w:rsidR="00D41C82" w:rsidRDefault="005B5B8C" w:rsidP="001A5364">
      <w:pPr>
        <w:pStyle w:val="BodyText"/>
        <w:shd w:val="clear" w:color="auto" w:fill="FFFFFF" w:themeFill="background1"/>
      </w:pPr>
      <w:r w:rsidRPr="001836FE">
        <w:t xml:space="preserve">Nationally in </w:t>
      </w:r>
      <w:r w:rsidR="00A20A1E" w:rsidRPr="001836FE">
        <w:t>201</w:t>
      </w:r>
      <w:r w:rsidR="00DB153E">
        <w:t>3</w:t>
      </w:r>
      <w:r w:rsidRPr="001836FE">
        <w:t xml:space="preserve">, </w:t>
      </w:r>
      <w:r w:rsidR="004C5D86">
        <w:t>2.5</w:t>
      </w:r>
      <w:r w:rsidR="001803EF">
        <w:t xml:space="preserve"> </w:t>
      </w:r>
      <w:r w:rsidRPr="001836FE">
        <w:t>per</w:t>
      </w:r>
      <w:r w:rsidR="001803EF">
        <w:t xml:space="preserve"> </w:t>
      </w:r>
      <w:r w:rsidRPr="001836FE">
        <w:t xml:space="preserve">cent of all people aged </w:t>
      </w:r>
      <w:r w:rsidRPr="001836FE">
        <w:rPr>
          <w:szCs w:val="26"/>
        </w:rPr>
        <w:t>18</w:t>
      </w:r>
      <w:r w:rsidRPr="001836FE">
        <w:t xml:space="preserve">–24 years participated in government funded VET at the diploma level or above, compared with </w:t>
      </w:r>
      <w:r w:rsidR="004C5D86">
        <w:t>1.2</w:t>
      </w:r>
      <w:r w:rsidR="001803EF">
        <w:t xml:space="preserve"> </w:t>
      </w:r>
      <w:r w:rsidRPr="001836FE">
        <w:t>per</w:t>
      </w:r>
      <w:r w:rsidR="001803EF">
        <w:t xml:space="preserve"> </w:t>
      </w:r>
      <w:r w:rsidRPr="001836FE">
        <w:t>cent of the</w:t>
      </w:r>
      <w:r w:rsidR="00804C04">
        <w:t xml:space="preserve"> Aboriginal and Torres Strait Islander </w:t>
      </w:r>
      <w:r w:rsidRPr="001836FE">
        <w:t xml:space="preserve">population and </w:t>
      </w:r>
      <w:r w:rsidR="004C5D86">
        <w:t>2.5</w:t>
      </w:r>
      <w:r w:rsidR="001803EF">
        <w:t xml:space="preserve"> </w:t>
      </w:r>
      <w:r w:rsidRPr="001836FE">
        <w:t>per</w:t>
      </w:r>
      <w:r w:rsidR="001803EF">
        <w:t xml:space="preserve"> </w:t>
      </w:r>
      <w:r w:rsidRPr="001836FE">
        <w:t xml:space="preserve">cent of the non-Indigenous population aged </w:t>
      </w:r>
      <w:r w:rsidRPr="001836FE">
        <w:rPr>
          <w:szCs w:val="26"/>
        </w:rPr>
        <w:t>18</w:t>
      </w:r>
      <w:r w:rsidRPr="001836FE">
        <w:t xml:space="preserve">–24 years. Nationally, </w:t>
      </w:r>
      <w:r w:rsidR="004C5D86">
        <w:t>1.1</w:t>
      </w:r>
      <w:r w:rsidR="001803EF">
        <w:t xml:space="preserve"> </w:t>
      </w:r>
      <w:r w:rsidRPr="001836FE">
        <w:t>per</w:t>
      </w:r>
      <w:r w:rsidR="001803EF">
        <w:t xml:space="preserve"> </w:t>
      </w:r>
      <w:r w:rsidRPr="001836FE">
        <w:t xml:space="preserve">cent of all people aged </w:t>
      </w:r>
      <w:r w:rsidRPr="001836FE">
        <w:rPr>
          <w:szCs w:val="26"/>
        </w:rPr>
        <w:t>20</w:t>
      </w:r>
      <w:r w:rsidRPr="001836FE">
        <w:t xml:space="preserve">–64 years participated, </w:t>
      </w:r>
      <w:r w:rsidR="004C5D86">
        <w:t xml:space="preserve">with similar </w:t>
      </w:r>
      <w:r w:rsidR="001836FE">
        <w:t>proportion</w:t>
      </w:r>
      <w:r w:rsidR="004C5D86">
        <w:t xml:space="preserve">s participating for </w:t>
      </w:r>
      <w:r w:rsidR="00804C04">
        <w:t xml:space="preserve">Aboriginal and Torres Strait Islander </w:t>
      </w:r>
      <w:r w:rsidR="001836FE">
        <w:t>and non</w:t>
      </w:r>
      <w:r w:rsidR="004C5D86">
        <w:noBreakHyphen/>
      </w:r>
      <w:r w:rsidR="001836FE">
        <w:t>Indigenous populations</w:t>
      </w:r>
      <w:r w:rsidRPr="00442BBD">
        <w:t xml:space="preserve"> </w:t>
      </w:r>
      <w:r w:rsidR="004C5D86">
        <w:t>(1.1</w:t>
      </w:r>
      <w:r w:rsidR="001803EF">
        <w:t xml:space="preserve"> </w:t>
      </w:r>
      <w:r w:rsidR="004C5D86">
        <w:t>per</w:t>
      </w:r>
      <w:r w:rsidR="001803EF">
        <w:t xml:space="preserve"> </w:t>
      </w:r>
      <w:r w:rsidR="004C5D86">
        <w:t>cent and 1.0</w:t>
      </w:r>
      <w:r w:rsidR="001803EF">
        <w:t xml:space="preserve"> </w:t>
      </w:r>
      <w:r w:rsidR="004C5D86">
        <w:t>per</w:t>
      </w:r>
      <w:r w:rsidR="001803EF">
        <w:t xml:space="preserve"> </w:t>
      </w:r>
      <w:r w:rsidR="004C5D86">
        <w:t xml:space="preserve">cent, respectively) </w:t>
      </w:r>
      <w:r w:rsidRPr="00442BBD">
        <w:t xml:space="preserve">(figure </w:t>
      </w:r>
      <w:r w:rsidR="00442BBD" w:rsidRPr="00442BBD">
        <w:t>5.12</w:t>
      </w:r>
      <w:r w:rsidRPr="00442BBD">
        <w:t>).</w:t>
      </w:r>
      <w:r w:rsidR="00B94D9F" w:rsidRPr="00EF5A5F">
        <w:br w:type="page"/>
      </w: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41C82" w:rsidTr="00C368C9">
        <w:tc>
          <w:tcPr>
            <w:tcW w:w="8771" w:type="dxa"/>
            <w:tcBorders>
              <w:top w:val="single" w:sz="6" w:space="0" w:color="78A22F"/>
              <w:left w:val="nil"/>
              <w:bottom w:val="nil"/>
              <w:right w:val="nil"/>
            </w:tcBorders>
            <w:shd w:val="clear" w:color="auto" w:fill="auto"/>
          </w:tcPr>
          <w:p w:rsidR="00D41C82" w:rsidRPr="00176D3F" w:rsidRDefault="00D41C82" w:rsidP="00AD2A4A">
            <w:pPr>
              <w:pStyle w:val="FigureTitle"/>
            </w:pPr>
            <w:r w:rsidRPr="00784A05">
              <w:rPr>
                <w:b w:val="0"/>
              </w:rPr>
              <w:lastRenderedPageBreak/>
              <w:t xml:space="preserve">Figure </w:t>
            </w:r>
            <w:r>
              <w:rPr>
                <w:b w:val="0"/>
              </w:rPr>
              <w:t>5.</w:t>
            </w:r>
            <w:r w:rsidR="00D80B1E">
              <w:rPr>
                <w:b w:val="0"/>
                <w:noProof/>
              </w:rPr>
              <w:t>12</w:t>
            </w:r>
            <w:r>
              <w:tab/>
            </w:r>
            <w:r w:rsidRPr="00D41C82">
              <w:rPr>
                <w:rStyle w:val="FigureTitleChar"/>
                <w:b/>
              </w:rPr>
              <w:t>VET participation rate in diploma and above, by target age group and</w:t>
            </w:r>
            <w:r w:rsidR="00804C04">
              <w:rPr>
                <w:rStyle w:val="FigureTitleChar"/>
                <w:b/>
              </w:rPr>
              <w:t xml:space="preserve"> </w:t>
            </w:r>
            <w:r w:rsidR="00AD2A4A">
              <w:rPr>
                <w:rStyle w:val="FigureTitleChar"/>
                <w:b/>
              </w:rPr>
              <w:t>Indigenous</w:t>
            </w:r>
            <w:r w:rsidR="00804C04">
              <w:rPr>
                <w:rStyle w:val="FigureTitleChar"/>
                <w:b/>
              </w:rPr>
              <w:t xml:space="preserve"> </w:t>
            </w:r>
            <w:r w:rsidRPr="00D41C82">
              <w:rPr>
                <w:rStyle w:val="FigureTitleChar"/>
                <w:b/>
              </w:rPr>
              <w:t>status, 201</w:t>
            </w:r>
            <w:r w:rsidR="00FC4B3F">
              <w:rPr>
                <w:rStyle w:val="FigureTitleChar"/>
                <w:b/>
              </w:rPr>
              <w:t>3</w:t>
            </w:r>
            <w:r w:rsidRPr="00D41C82">
              <w:rPr>
                <w:rStyle w:val="NoteLabel"/>
                <w:b/>
              </w:rPr>
              <w:t>a, b, c, d, e</w:t>
            </w:r>
          </w:p>
        </w:tc>
      </w:tr>
      <w:tr w:rsidR="00D41C82" w:rsidTr="00C368C9">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D41C82" w:rsidTr="00D41C82">
              <w:tc>
                <w:tcPr>
                  <w:tcW w:w="5000" w:type="pct"/>
                  <w:tcBorders>
                    <w:top w:val="nil"/>
                    <w:bottom w:val="nil"/>
                  </w:tcBorders>
                </w:tcPr>
                <w:p w:rsidR="00D41C82" w:rsidRDefault="009F6491" w:rsidP="004C5D86">
                  <w:pPr>
                    <w:pStyle w:val="Figure"/>
                    <w:spacing w:before="0" w:after="0"/>
                  </w:pPr>
                  <w:r>
                    <w:rPr>
                      <w:noProof/>
                    </w:rPr>
                    <w:drawing>
                      <wp:inline distT="0" distB="0" distL="0" distR="0">
                        <wp:extent cx="5391150" cy="1619250"/>
                        <wp:effectExtent l="0" t="0" r="0" b="0"/>
                        <wp:docPr id="17" name="Picture 17" descr="Figure 5.12 VET participation rate in diploma and above, by target age group and Indigenous status, 2013&#10;&#10;(a) 15-64 ye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91150" cy="1619250"/>
                                </a:xfrm>
                                <a:prstGeom prst="rect">
                                  <a:avLst/>
                                </a:prstGeom>
                                <a:noFill/>
                                <a:ln>
                                  <a:noFill/>
                                </a:ln>
                              </pic:spPr>
                            </pic:pic>
                          </a:graphicData>
                        </a:graphic>
                      </wp:inline>
                    </w:drawing>
                  </w:r>
                  <w:r w:rsidR="00D41C82">
                    <w:rPr>
                      <w:noProof/>
                    </w:rPr>
                    <w:br/>
                  </w:r>
                  <w:r>
                    <w:rPr>
                      <w:noProof/>
                    </w:rPr>
                    <w:drawing>
                      <wp:inline distT="0" distB="0" distL="0" distR="0">
                        <wp:extent cx="5391150" cy="1790700"/>
                        <wp:effectExtent l="0" t="0" r="0" b="0"/>
                        <wp:docPr id="18" name="Picture 18" descr="Figure 5.12 VET participation rate in diploma and above, by target age group and Indigenous status, 2013&#10;&#10;(b) 18-24 ye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91150" cy="1790700"/>
                                </a:xfrm>
                                <a:prstGeom prst="rect">
                                  <a:avLst/>
                                </a:prstGeom>
                                <a:noFill/>
                                <a:ln>
                                  <a:noFill/>
                                </a:ln>
                              </pic:spPr>
                            </pic:pic>
                          </a:graphicData>
                        </a:graphic>
                      </wp:inline>
                    </w:drawing>
                  </w:r>
                  <w:r w:rsidR="00D41C82">
                    <w:rPr>
                      <w:noProof/>
                    </w:rPr>
                    <w:br/>
                  </w:r>
                  <w:r>
                    <w:rPr>
                      <w:noProof/>
                    </w:rPr>
                    <w:drawing>
                      <wp:inline distT="0" distB="0" distL="0" distR="0">
                        <wp:extent cx="5391150" cy="1952625"/>
                        <wp:effectExtent l="0" t="0" r="0" b="9525"/>
                        <wp:docPr id="19" name="Picture 19" descr="Figure 5.12 VET participation rate in diploma and above, by target age group and Indigenous status, 2013&#10;&#10;(c) 20-64 ye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91150" cy="1952625"/>
                                </a:xfrm>
                                <a:prstGeom prst="rect">
                                  <a:avLst/>
                                </a:prstGeom>
                                <a:noFill/>
                                <a:ln>
                                  <a:noFill/>
                                </a:ln>
                              </pic:spPr>
                            </pic:pic>
                          </a:graphicData>
                        </a:graphic>
                      </wp:inline>
                    </w:drawing>
                  </w:r>
                </w:p>
              </w:tc>
            </w:tr>
          </w:tbl>
          <w:p w:rsidR="00D41C82" w:rsidRDefault="00D41C82" w:rsidP="00C368C9">
            <w:pPr>
              <w:pStyle w:val="Figure"/>
            </w:pPr>
          </w:p>
        </w:tc>
      </w:tr>
      <w:tr w:rsidR="00D41C82" w:rsidRPr="00176D3F" w:rsidTr="00C368C9">
        <w:tc>
          <w:tcPr>
            <w:tcW w:w="8771" w:type="dxa"/>
            <w:tcBorders>
              <w:top w:val="nil"/>
              <w:left w:val="nil"/>
              <w:bottom w:val="nil"/>
              <w:right w:val="nil"/>
            </w:tcBorders>
            <w:shd w:val="clear" w:color="auto" w:fill="auto"/>
          </w:tcPr>
          <w:p w:rsidR="00D41C82" w:rsidRPr="00176D3F" w:rsidRDefault="00D41C82" w:rsidP="00CE1395">
            <w:pPr>
              <w:pStyle w:val="Note"/>
            </w:pPr>
            <w:r w:rsidRPr="00DF2CF9">
              <w:rPr>
                <w:rStyle w:val="NoteLabel"/>
              </w:rPr>
              <w:t>a</w:t>
            </w:r>
            <w:r w:rsidRPr="00DF2CF9">
              <w:t xml:space="preserve"> Data are for government funded VET students. </w:t>
            </w:r>
            <w:r w:rsidRPr="00DF2CF9">
              <w:rPr>
                <w:rStyle w:val="NoteLabel"/>
              </w:rPr>
              <w:t>b</w:t>
            </w:r>
            <w:r w:rsidRPr="00DF2CF9">
              <w:t xml:space="preserve"> Data are for the highest level qualification attempted by a student in a reporting year. </w:t>
            </w:r>
            <w:r w:rsidRPr="00DF2CF9">
              <w:rPr>
                <w:rStyle w:val="NoteLabel"/>
              </w:rPr>
              <w:t>c</w:t>
            </w:r>
            <w:r w:rsidRPr="00DF2CF9">
              <w:t xml:space="preserve"> Course levels classified as diploma and above are included in the group of courses classified as certificate III and above. </w:t>
            </w:r>
            <w:r w:rsidRPr="00DF2CF9">
              <w:rPr>
                <w:rStyle w:val="NoteLabel"/>
              </w:rPr>
              <w:t>d</w:t>
            </w:r>
            <w:r w:rsidRPr="00DF2CF9">
              <w:t xml:space="preserve"> The</w:t>
            </w:r>
            <w:r w:rsidR="00804C04">
              <w:t xml:space="preserve"> Aboriginal and Torres Strait Islander </w:t>
            </w:r>
            <w:r w:rsidRPr="00DF2CF9">
              <w:t>students participation rate is the number of</w:t>
            </w:r>
            <w:r w:rsidR="00804C04">
              <w:t xml:space="preserve"> Aboriginal and Torres Strait Islander </w:t>
            </w:r>
            <w:r w:rsidRPr="00DF2CF9">
              <w:t>students as a percentage of the estimates of the</w:t>
            </w:r>
            <w:r w:rsidR="00804C04">
              <w:t xml:space="preserve"> Aboriginal and Torres Strait Islander </w:t>
            </w:r>
            <w:r w:rsidRPr="00DF2CF9">
              <w:t>population. The all students participation rate is the number of students as a percentage of the estimated total population.</w:t>
            </w:r>
            <w:r w:rsidRPr="00DF2CF9">
              <w:rPr>
                <w:rStyle w:val="NoteLabel"/>
              </w:rPr>
              <w:t xml:space="preserve"> e</w:t>
            </w:r>
            <w:r w:rsidR="00804C04">
              <w:t xml:space="preserve"> Aboriginal and Torres Strait Islander </w:t>
            </w:r>
            <w:r w:rsidRPr="00DF2CF9">
              <w:t>students are defined as those who self-identify on enrolment forms that they are of Aboriginal and/or Torres Strait Islander background. Not all students respond to the relevant question on the enrolment form (table </w:t>
            </w:r>
            <w:proofErr w:type="spellStart"/>
            <w:r w:rsidRPr="00DF2CF9">
              <w:t>5A.18</w:t>
            </w:r>
            <w:proofErr w:type="spellEnd"/>
            <w:r w:rsidRPr="00DF2CF9">
              <w:t>). Care needs to be taken in comparing participation data due to the high non</w:t>
            </w:r>
            <w:r w:rsidR="00CE1395">
              <w:noBreakHyphen/>
            </w:r>
            <w:r w:rsidRPr="00DF2CF9">
              <w:t>response rates in some jurisdictions.</w:t>
            </w:r>
          </w:p>
        </w:tc>
      </w:tr>
      <w:tr w:rsidR="00D41C82" w:rsidRPr="00176D3F" w:rsidTr="00C368C9">
        <w:tc>
          <w:tcPr>
            <w:tcW w:w="8771" w:type="dxa"/>
            <w:tcBorders>
              <w:top w:val="nil"/>
              <w:left w:val="nil"/>
              <w:bottom w:val="nil"/>
              <w:right w:val="nil"/>
            </w:tcBorders>
            <w:shd w:val="clear" w:color="auto" w:fill="auto"/>
          </w:tcPr>
          <w:p w:rsidR="00D41C82" w:rsidRPr="00176D3F" w:rsidRDefault="00D41C82" w:rsidP="00080748">
            <w:pPr>
              <w:pStyle w:val="Source"/>
            </w:pPr>
            <w:r w:rsidRPr="00171E10">
              <w:rPr>
                <w:i/>
              </w:rPr>
              <w:t xml:space="preserve">Source: NCVER (unpublished) National </w:t>
            </w:r>
            <w:r w:rsidRPr="00080748">
              <w:rPr>
                <w:i/>
              </w:rPr>
              <w:t xml:space="preserve">VET </w:t>
            </w:r>
            <w:r w:rsidRPr="00080748">
              <w:rPr>
                <w:i/>
                <w:shd w:val="clear" w:color="auto" w:fill="FFFFFF" w:themeFill="background1"/>
              </w:rPr>
              <w:t>provider collection; ABS</w:t>
            </w:r>
            <w:r w:rsidRPr="00080748">
              <w:rPr>
                <w:shd w:val="clear" w:color="auto" w:fill="FFFFFF" w:themeFill="background1"/>
              </w:rPr>
              <w:t xml:space="preserve"> (201</w:t>
            </w:r>
            <w:r w:rsidR="00080748" w:rsidRPr="00080748">
              <w:rPr>
                <w:shd w:val="clear" w:color="auto" w:fill="FFFFFF" w:themeFill="background1"/>
              </w:rPr>
              <w:t>3</w:t>
            </w:r>
            <w:r w:rsidRPr="00080748">
              <w:rPr>
                <w:shd w:val="clear" w:color="auto" w:fill="FFFFFF" w:themeFill="background1"/>
              </w:rPr>
              <w:t xml:space="preserve">), </w:t>
            </w:r>
            <w:r w:rsidRPr="00080748">
              <w:rPr>
                <w:i/>
                <w:shd w:val="clear" w:color="auto" w:fill="FFFFFF" w:themeFill="background1"/>
              </w:rPr>
              <w:t>Australian Demographic Statistics, June 201</w:t>
            </w:r>
            <w:r w:rsidR="00080748" w:rsidRPr="00080748">
              <w:rPr>
                <w:i/>
                <w:shd w:val="clear" w:color="auto" w:fill="FFFFFF" w:themeFill="background1"/>
              </w:rPr>
              <w:t>3</w:t>
            </w:r>
            <w:r w:rsidRPr="00080748">
              <w:rPr>
                <w:shd w:val="clear" w:color="auto" w:fill="FFFFFF" w:themeFill="background1"/>
              </w:rPr>
              <w:t xml:space="preserve">, Cat. no. 3101.0, Canberra; </w:t>
            </w:r>
            <w:r w:rsidR="00080748" w:rsidRPr="00080748">
              <w:rPr>
                <w:shd w:val="clear" w:color="auto" w:fill="FFFFFF" w:themeFill="background1"/>
              </w:rPr>
              <w:t xml:space="preserve">ABS (2013) </w:t>
            </w:r>
            <w:r w:rsidR="00080748" w:rsidRPr="00080748">
              <w:rPr>
                <w:i/>
                <w:shd w:val="clear" w:color="auto" w:fill="FFFFFF" w:themeFill="background1"/>
              </w:rPr>
              <w:t>Estimates and Projections, Aboriginal and Torres Strait Islander Australians</w:t>
            </w:r>
            <w:r w:rsidR="00080748" w:rsidRPr="00080748">
              <w:rPr>
                <w:shd w:val="clear" w:color="auto" w:fill="FFFFFF" w:themeFill="background1"/>
              </w:rPr>
              <w:t>, 2001 to 2026, Cat. no. 3238.</w:t>
            </w:r>
            <w:r w:rsidRPr="00080748">
              <w:rPr>
                <w:shd w:val="clear" w:color="auto" w:fill="FFFFFF" w:themeFill="background1"/>
              </w:rPr>
              <w:t xml:space="preserve">; table </w:t>
            </w:r>
            <w:proofErr w:type="spellStart"/>
            <w:r w:rsidRPr="00080748">
              <w:rPr>
                <w:shd w:val="clear" w:color="auto" w:fill="FFFFFF" w:themeFill="background1"/>
              </w:rPr>
              <w:t>5A.18</w:t>
            </w:r>
            <w:proofErr w:type="spellEnd"/>
            <w:r w:rsidRPr="00080748">
              <w:rPr>
                <w:shd w:val="clear" w:color="auto" w:fill="FFFFFF" w:themeFill="background1"/>
              </w:rPr>
              <w:t>.</w:t>
            </w:r>
          </w:p>
        </w:tc>
      </w:tr>
      <w:tr w:rsidR="00D41C82" w:rsidTr="00C368C9">
        <w:tc>
          <w:tcPr>
            <w:tcW w:w="8771" w:type="dxa"/>
            <w:tcBorders>
              <w:top w:val="nil"/>
              <w:left w:val="nil"/>
              <w:bottom w:val="single" w:sz="6" w:space="0" w:color="78A22F"/>
              <w:right w:val="nil"/>
            </w:tcBorders>
            <w:shd w:val="clear" w:color="auto" w:fill="auto"/>
          </w:tcPr>
          <w:p w:rsidR="00D41C82" w:rsidRDefault="00D41C82" w:rsidP="00C368C9">
            <w:pPr>
              <w:pStyle w:val="Figurespace"/>
            </w:pPr>
          </w:p>
        </w:tc>
      </w:tr>
      <w:tr w:rsidR="00D41C82" w:rsidRPr="000863A5" w:rsidTr="00C368C9">
        <w:tc>
          <w:tcPr>
            <w:tcW w:w="8771" w:type="dxa"/>
            <w:tcBorders>
              <w:top w:val="single" w:sz="6" w:space="0" w:color="78A22F"/>
              <w:left w:val="nil"/>
              <w:bottom w:val="nil"/>
              <w:right w:val="nil"/>
            </w:tcBorders>
          </w:tcPr>
          <w:p w:rsidR="00D41C82" w:rsidRPr="00626D32" w:rsidRDefault="00D41C82" w:rsidP="00C368C9">
            <w:pPr>
              <w:pStyle w:val="BoxSpaceBelow"/>
            </w:pPr>
          </w:p>
        </w:tc>
      </w:tr>
    </w:tbl>
    <w:p w:rsidR="00C57336" w:rsidRPr="00EF5A5F" w:rsidRDefault="00C57336" w:rsidP="00281C53">
      <w:pPr>
        <w:pStyle w:val="Heading4"/>
      </w:pPr>
      <w:r w:rsidRPr="00EF5A5F">
        <w:lastRenderedPageBreak/>
        <w:t>Efficiency</w:t>
      </w:r>
    </w:p>
    <w:p w:rsidR="00C57336" w:rsidRDefault="00C57336" w:rsidP="009621D0">
      <w:pPr>
        <w:pStyle w:val="BodyText"/>
      </w:pPr>
      <w:r w:rsidRPr="00EF5A5F">
        <w:t>A</w:t>
      </w:r>
      <w:r w:rsidR="00372A4C" w:rsidRPr="00EF5A5F">
        <w:t xml:space="preserve"> proxy</w:t>
      </w:r>
      <w:r w:rsidRPr="00EF5A5F">
        <w:t xml:space="preserve"> indicator of efficiency is the level of government inputs per unit of output (unit cost). The indicator</w:t>
      </w:r>
      <w:r w:rsidR="004461E9" w:rsidRPr="00EF5A5F">
        <w:t>s</w:t>
      </w:r>
      <w:r w:rsidRPr="00EF5A5F">
        <w:t xml:space="preserve"> of unit cost reported </w:t>
      </w:r>
      <w:r w:rsidR="004461E9" w:rsidRPr="00EF5A5F">
        <w:t xml:space="preserve">are </w:t>
      </w:r>
      <w:r w:rsidRPr="00EF5A5F">
        <w:t>‘</w:t>
      </w:r>
      <w:r w:rsidR="00FD3093">
        <w:t>r</w:t>
      </w:r>
      <w:r w:rsidRPr="00EF5A5F">
        <w:t>ecurre</w:t>
      </w:r>
      <w:r w:rsidR="008F026B" w:rsidRPr="00EF5A5F">
        <w:t>nt expenditure per annu</w:t>
      </w:r>
      <w:r w:rsidR="001E6ABD" w:rsidRPr="00EF5A5F">
        <w:t>a</w:t>
      </w:r>
      <w:r w:rsidR="008F026B" w:rsidRPr="00EF5A5F">
        <w:t>l hour’</w:t>
      </w:r>
      <w:r w:rsidR="004461E9" w:rsidRPr="00EF5A5F">
        <w:t xml:space="preserve"> and ‘</w:t>
      </w:r>
      <w:r w:rsidR="00FD3093">
        <w:t>r</w:t>
      </w:r>
      <w:r w:rsidR="004461E9" w:rsidRPr="00EF5A5F">
        <w:t>ecurrent expenditure per load pass’</w:t>
      </w:r>
      <w:r w:rsidR="008F026B" w:rsidRPr="00EF5A5F">
        <w:t>.</w:t>
      </w:r>
      <w:r w:rsidR="00372A4C" w:rsidRPr="00EF5A5F">
        <w:t xml:space="preserve"> </w:t>
      </w:r>
      <w:r w:rsidR="00357F9D" w:rsidRPr="00EF5A5F">
        <w:t xml:space="preserve">The Steering Committee has addressed four areas </w:t>
      </w:r>
      <w:r w:rsidR="0095518C">
        <w:t>to help</w:t>
      </w:r>
      <w:r w:rsidR="00357F9D" w:rsidRPr="00EF5A5F">
        <w:t xml:space="preserve"> improve the comparability of efficiency indicators</w:t>
      </w:r>
      <w:r w:rsidR="0095518C" w:rsidRPr="0095518C">
        <w:t xml:space="preserve"> </w:t>
      </w:r>
      <w:r w:rsidR="0095518C" w:rsidRPr="00EF5A5F">
        <w:t>across jurisdictions</w:t>
      </w:r>
      <w:r w:rsidR="00357F9D" w:rsidRPr="00EF5A5F">
        <w:t xml:space="preserve">: superannuation; depreciation; user cost of capital; and payroll tax (see chapter </w:t>
      </w:r>
      <w:r w:rsidR="00754E57">
        <w:t>1</w:t>
      </w:r>
      <w:r w:rsidR="00357F9D" w:rsidRPr="00EF5A5F">
        <w:t>).</w:t>
      </w:r>
      <w:r w:rsidRPr="00EF5A5F">
        <w:t xml:space="preserve"> </w:t>
      </w:r>
      <w:r w:rsidR="00357F9D" w:rsidRPr="00EF5A5F">
        <w:t xml:space="preserve">In </w:t>
      </w:r>
      <w:r w:rsidRPr="00EF5A5F">
        <w:t>VET</w:t>
      </w:r>
      <w:r w:rsidR="00357F9D" w:rsidRPr="00EF5A5F">
        <w:t xml:space="preserve">, the user cost of capital is not included in estimates of recurrent expenditure, although it is reported separately </w:t>
      </w:r>
      <w:r w:rsidR="0041225C" w:rsidRPr="00EF5A5F">
        <w:t>in</w:t>
      </w:r>
      <w:r w:rsidR="00357F9D" w:rsidRPr="00EF5A5F">
        <w:t xml:space="preserve"> the </w:t>
      </w:r>
      <w:r w:rsidR="0041225C" w:rsidRPr="00EF5A5F">
        <w:t xml:space="preserve">measures </w:t>
      </w:r>
      <w:r w:rsidR="00357F9D" w:rsidRPr="00EF5A5F">
        <w:t>‘</w:t>
      </w:r>
      <w:r w:rsidR="00142638" w:rsidRPr="00EF5A5F">
        <w:t xml:space="preserve">user </w:t>
      </w:r>
      <w:r w:rsidR="00357F9D" w:rsidRPr="00EF5A5F">
        <w:t>cost of capital per annual hour’ (box</w:t>
      </w:r>
      <w:r w:rsidR="001803EF">
        <w:t xml:space="preserve"> </w:t>
      </w:r>
      <w:r w:rsidR="00442BBD">
        <w:t>5.9</w:t>
      </w:r>
      <w:r w:rsidR="00357F9D" w:rsidRPr="00EF5A5F">
        <w:t>) and, ‘</w:t>
      </w:r>
      <w:r w:rsidR="00142638" w:rsidRPr="00EF5A5F">
        <w:t xml:space="preserve">user </w:t>
      </w:r>
      <w:r w:rsidR="00357F9D" w:rsidRPr="00EF5A5F">
        <w:t>cost of capital per load pass’ (box</w:t>
      </w:r>
      <w:r w:rsidR="001803EF">
        <w:t xml:space="preserve"> </w:t>
      </w:r>
      <w:r w:rsidR="00442BBD">
        <w:t>5.10</w:t>
      </w:r>
      <w:r w:rsidR="00357F9D" w:rsidRPr="00EF5A5F">
        <w:t xml:space="preserve">). </w:t>
      </w:r>
      <w:r w:rsidRPr="00EF5A5F">
        <w:t>To promote accuracy and comparability of reported efficiency measures some adjustments are made to the data (box</w:t>
      </w:r>
      <w:r w:rsidR="001803EF">
        <w:t xml:space="preserve"> </w:t>
      </w:r>
      <w:r w:rsidR="00442BBD">
        <w:t>5.6</w:t>
      </w:r>
      <w:r w:rsidR="008F026B" w:rsidRPr="00EF5A5F">
        <w:t>).</w:t>
      </w:r>
    </w:p>
    <w:p w:rsidR="001D2776" w:rsidRDefault="001D2776" w:rsidP="009621D0">
      <w:pPr>
        <w:pStyle w:val="BodyText"/>
      </w:pPr>
      <w:r>
        <w:t>Data for efficiency indicators are reported for 10 years (2004–2013) in the relevant attachment tables.</w:t>
      </w:r>
    </w:p>
    <w:p w:rsidR="004642F3" w:rsidRDefault="004642F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642F3" w:rsidTr="00C368C9">
        <w:tc>
          <w:tcPr>
            <w:tcW w:w="8771" w:type="dxa"/>
            <w:tcBorders>
              <w:top w:val="single" w:sz="6" w:space="0" w:color="78A22F"/>
              <w:left w:val="nil"/>
              <w:bottom w:val="nil"/>
              <w:right w:val="nil"/>
            </w:tcBorders>
            <w:shd w:val="clear" w:color="auto" w:fill="F2F2F2" w:themeFill="background1" w:themeFillShade="F2"/>
          </w:tcPr>
          <w:p w:rsidR="004642F3" w:rsidRDefault="004642F3" w:rsidP="004642F3">
            <w:pPr>
              <w:pStyle w:val="BoxTitle"/>
            </w:pPr>
            <w:r>
              <w:rPr>
                <w:b w:val="0"/>
              </w:rPr>
              <w:t>Box</w:t>
            </w:r>
            <w:bookmarkStart w:id="8" w:name="OLE_LINK1"/>
            <w:r>
              <w:rPr>
                <w:b w:val="0"/>
              </w:rPr>
              <w:t xml:space="preserve"> 5.</w:t>
            </w:r>
            <w:r w:rsidR="00D80B1E">
              <w:rPr>
                <w:b w:val="0"/>
                <w:noProof/>
              </w:rPr>
              <w:t>6</w:t>
            </w:r>
            <w:bookmarkEnd w:id="8"/>
            <w:r>
              <w:tab/>
            </w:r>
            <w:r w:rsidRPr="00EF5A5F">
              <w:t>Comparability of cost estimates</w:t>
            </w:r>
          </w:p>
        </w:tc>
      </w:tr>
      <w:tr w:rsidR="004642F3" w:rsidTr="00C368C9">
        <w:trPr>
          <w:cantSplit/>
        </w:trPr>
        <w:tc>
          <w:tcPr>
            <w:tcW w:w="8771" w:type="dxa"/>
            <w:tcBorders>
              <w:top w:val="nil"/>
              <w:left w:val="nil"/>
              <w:bottom w:val="nil"/>
              <w:right w:val="nil"/>
            </w:tcBorders>
            <w:shd w:val="clear" w:color="auto" w:fill="F2F2F2" w:themeFill="background1" w:themeFillShade="F2"/>
          </w:tcPr>
          <w:p w:rsidR="004642F3" w:rsidRDefault="004642F3" w:rsidP="00C368C9">
            <w:pPr>
              <w:pStyle w:val="Box"/>
            </w:pPr>
            <w:r w:rsidRPr="00EF5A5F">
              <w:t>Government recurrent expenditure is calculated using data prepared by states and territories under the Australian Vocational Education and Training Management Information Statistical Standard (</w:t>
            </w:r>
            <w:proofErr w:type="spellStart"/>
            <w:r w:rsidRPr="00EF5A5F">
              <w:t>AVETMISS</w:t>
            </w:r>
            <w:proofErr w:type="spellEnd"/>
            <w:r w:rsidRPr="00EF5A5F">
              <w:t xml:space="preserve">) for VET financial data. These data are prepared annually on an accrual basis and are audited. </w:t>
            </w:r>
          </w:p>
          <w:p w:rsidR="004642F3" w:rsidRDefault="004642F3" w:rsidP="00C368C9">
            <w:pPr>
              <w:pStyle w:val="Box"/>
            </w:pPr>
            <w:r w:rsidRPr="00EF5A5F">
              <w:t>The method for calculating government recurrent expenditure for VET was changed commencing with the 2011 Report, and includes Commonwealth and S</w:t>
            </w:r>
            <w:r>
              <w:t xml:space="preserve">tate/Territory </w:t>
            </w:r>
            <w:r w:rsidRPr="00EF5A5F">
              <w:t>recurrent funding, Commonwealth specific purpose funding and S</w:t>
            </w:r>
            <w:r>
              <w:t xml:space="preserve">tate/Territory </w:t>
            </w:r>
            <w:r w:rsidRPr="00EF5A5F">
              <w:t xml:space="preserve">specific purpose funding. This includes activity funded under the NASWD. The definition of government recurrent expenditure has been broadened since the 2010 Report, which included only Commonwealth and State recurrent funding under the </w:t>
            </w:r>
            <w:proofErr w:type="spellStart"/>
            <w:r w:rsidRPr="00EF5A5F">
              <w:t>CSASAW</w:t>
            </w:r>
            <w:proofErr w:type="spellEnd"/>
            <w:r w:rsidRPr="00EF5A5F">
              <w:t xml:space="preserve"> (replaced by the NASWD on 1 January 2009). Government recurrent expenditure is calculated by adding the following </w:t>
            </w:r>
            <w:proofErr w:type="spellStart"/>
            <w:r w:rsidRPr="00EF5A5F">
              <w:t>AVETMISS</w:t>
            </w:r>
            <w:proofErr w:type="spellEnd"/>
            <w:r w:rsidRPr="00EF5A5F">
              <w:t xml:space="preserve"> financial statements revenue items for the government recurrent payments received by states and territories: Commonwealth National Agreement revenue, </w:t>
            </w:r>
            <w:r w:rsidRPr="009F0F4A">
              <w:t>State/Territory</w:t>
            </w:r>
            <w:r w:rsidRPr="00EF5A5F">
              <w:t xml:space="preserve"> recurrent revenue, Commonwealth Administered Programs revenue and revenue for VET expenses and liabilities of State/Territory training departments undertaken by another department or agency but required to be reported in the financial accounts of the training department. </w:t>
            </w:r>
            <w:r w:rsidRPr="00342AE5">
              <w:t xml:space="preserve">VET in schools revenue </w:t>
            </w:r>
            <w:r w:rsidRPr="009F0F4A">
              <w:t>for 2010 and later years can no longer be separated from the other specific purpose program payments made by the Australian Government to the states and territories. Hence, commencing with the 2011 Report</w:t>
            </w:r>
            <w:r>
              <w:t>,</w:t>
            </w:r>
            <w:r w:rsidRPr="00342AE5">
              <w:t xml:space="preserve"> the government recurrent expenditure figures include payments received by states and territories for VET in schools programs. Historical government expenditure has been recalculated to reflect this revised approach</w:t>
            </w:r>
            <w:r>
              <w:t>.</w:t>
            </w:r>
          </w:p>
          <w:p w:rsidR="004642F3" w:rsidRPr="00EF5A5F" w:rsidRDefault="004642F3" w:rsidP="00C368C9">
            <w:pPr>
              <w:pStyle w:val="Box"/>
            </w:pPr>
            <w:r w:rsidRPr="00EF5A5F">
              <w:t>The reported government recurrent expenditure excludes capital expenditure, and the user cost of capital (which is the opportunity cost of funds tied up in the capital used to deliver services, calculated as 8 per cent of the total value of the physical non-current assets) is reported separately. The method for calculating user cost of capital is unchanged from the earlier editions of the Report (referred to as ‘cost of capital’ in this chapter prior to the 2011 Report).</w:t>
            </w:r>
          </w:p>
        </w:tc>
      </w:tr>
      <w:tr w:rsidR="004642F3" w:rsidTr="00C368C9">
        <w:trPr>
          <w:cantSplit/>
        </w:trPr>
        <w:tc>
          <w:tcPr>
            <w:tcW w:w="8771" w:type="dxa"/>
            <w:tcBorders>
              <w:top w:val="nil"/>
              <w:left w:val="nil"/>
              <w:bottom w:val="nil"/>
              <w:right w:val="nil"/>
            </w:tcBorders>
            <w:shd w:val="clear" w:color="auto" w:fill="F2F2F2" w:themeFill="background1" w:themeFillShade="F2"/>
          </w:tcPr>
          <w:p w:rsidR="004642F3" w:rsidRDefault="004642F3" w:rsidP="004642F3">
            <w:pPr>
              <w:pStyle w:val="Continued"/>
            </w:pPr>
            <w:r w:rsidRPr="00EF5A5F">
              <w:t>(Continued on next page)</w:t>
            </w:r>
          </w:p>
        </w:tc>
      </w:tr>
      <w:tr w:rsidR="004642F3" w:rsidTr="00C368C9">
        <w:trPr>
          <w:cantSplit/>
        </w:trPr>
        <w:tc>
          <w:tcPr>
            <w:tcW w:w="8771" w:type="dxa"/>
            <w:tcBorders>
              <w:top w:val="nil"/>
              <w:left w:val="nil"/>
              <w:bottom w:val="single" w:sz="6" w:space="0" w:color="78A22F"/>
              <w:right w:val="nil"/>
            </w:tcBorders>
            <w:shd w:val="clear" w:color="auto" w:fill="F2F2F2" w:themeFill="background1" w:themeFillShade="F2"/>
          </w:tcPr>
          <w:p w:rsidR="004642F3" w:rsidRDefault="004642F3">
            <w:pPr>
              <w:pStyle w:val="Box"/>
              <w:spacing w:before="0" w:line="120" w:lineRule="exact"/>
            </w:pPr>
          </w:p>
        </w:tc>
      </w:tr>
      <w:tr w:rsidR="004642F3" w:rsidRPr="000863A5" w:rsidTr="00C368C9">
        <w:tc>
          <w:tcPr>
            <w:tcW w:w="8771" w:type="dxa"/>
            <w:tcBorders>
              <w:top w:val="single" w:sz="6" w:space="0" w:color="78A22F"/>
              <w:left w:val="nil"/>
              <w:bottom w:val="nil"/>
              <w:right w:val="nil"/>
            </w:tcBorders>
          </w:tcPr>
          <w:p w:rsidR="004642F3" w:rsidRPr="00626D32" w:rsidRDefault="004642F3" w:rsidP="00C368C9">
            <w:pPr>
              <w:pStyle w:val="BoxSpaceBelow"/>
            </w:pPr>
          </w:p>
        </w:tc>
      </w:tr>
    </w:tbl>
    <w:p w:rsidR="004642F3" w:rsidRDefault="004642F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642F3" w:rsidTr="003D2E15">
        <w:tc>
          <w:tcPr>
            <w:tcW w:w="8771" w:type="dxa"/>
            <w:tcBorders>
              <w:top w:val="single" w:sz="6" w:space="0" w:color="78A22F"/>
              <w:left w:val="nil"/>
              <w:bottom w:val="nil"/>
              <w:right w:val="nil"/>
            </w:tcBorders>
            <w:shd w:val="clear" w:color="auto" w:fill="F2F2F2" w:themeFill="background1" w:themeFillShade="F2"/>
          </w:tcPr>
          <w:p w:rsidR="004642F3" w:rsidRDefault="004642F3" w:rsidP="004642F3">
            <w:pPr>
              <w:pStyle w:val="BoxTitle"/>
            </w:pPr>
            <w:r>
              <w:rPr>
                <w:b w:val="0"/>
              </w:rPr>
              <w:t>Box</w:t>
            </w:r>
            <w:r w:rsidRPr="004642F3">
              <w:rPr>
                <w:b w:val="0"/>
              </w:rPr>
              <w:t xml:space="preserve"> 5.6</w:t>
            </w:r>
            <w:r>
              <w:tab/>
            </w:r>
            <w:r w:rsidRPr="00EF5A5F">
              <w:rPr>
                <w:sz w:val="18"/>
                <w:szCs w:val="18"/>
              </w:rPr>
              <w:t>(Continued)</w:t>
            </w:r>
          </w:p>
        </w:tc>
      </w:tr>
      <w:tr w:rsidR="004642F3" w:rsidTr="003D2E15">
        <w:trPr>
          <w:cantSplit/>
        </w:trPr>
        <w:tc>
          <w:tcPr>
            <w:tcW w:w="8771" w:type="dxa"/>
            <w:tcBorders>
              <w:top w:val="nil"/>
              <w:left w:val="nil"/>
              <w:bottom w:val="nil"/>
              <w:right w:val="nil"/>
            </w:tcBorders>
            <w:shd w:val="clear" w:color="auto" w:fill="F2F2F2" w:themeFill="background1" w:themeFillShade="F2"/>
          </w:tcPr>
          <w:p w:rsidR="004642F3" w:rsidRPr="00EF5A5F" w:rsidRDefault="004642F3" w:rsidP="004642F3">
            <w:pPr>
              <w:pStyle w:val="Box"/>
            </w:pPr>
            <w:r w:rsidRPr="004642F3">
              <w:t>To promote comparability of the financial data across states and territories, as well as comparability between the financial and activity data, expenditure is adjusted by course mix weights where used for calculating unit costs (that is, efficiency indicators per government funded annual hour) to recognise the different proportions of relatively more expensive and less expensive training programs that occur in jurisdictions. The same method of calculating course mix weights has been implemented across all years for relevant data, providing comparability across all years for the indicators: ‘government recurrent expenditure per annual hour’ and ‘user cost of capital per annual hour’.</w:t>
            </w:r>
          </w:p>
          <w:p w:rsidR="004642F3" w:rsidRDefault="004642F3" w:rsidP="00A26D57">
            <w:pPr>
              <w:pStyle w:val="Box"/>
            </w:pPr>
            <w:r w:rsidRPr="00EF5A5F">
              <w:t xml:space="preserve">Expenditure data for years prior to </w:t>
            </w:r>
            <w:r w:rsidRPr="00A26D57">
              <w:t>201</w:t>
            </w:r>
            <w:r w:rsidR="00461DA8" w:rsidRPr="00A26D57">
              <w:t>3</w:t>
            </w:r>
            <w:r w:rsidRPr="00EF5A5F">
              <w:t xml:space="preserve"> are adjusted to real dollars (</w:t>
            </w:r>
            <w:r w:rsidRPr="00A26D57">
              <w:t>201</w:t>
            </w:r>
            <w:r w:rsidR="00461DA8" w:rsidRPr="00A26D57">
              <w:t>3</w:t>
            </w:r>
            <w:r w:rsidRPr="00EF5A5F">
              <w:t xml:space="preserve"> dollars) using the gross domestic product (GDP) chain price index (table </w:t>
            </w:r>
            <w:proofErr w:type="spellStart"/>
            <w:r w:rsidRPr="00EF5A5F">
              <w:t>5A</w:t>
            </w:r>
            <w:r w:rsidRPr="004642F3">
              <w:t>.9</w:t>
            </w:r>
            <w:r w:rsidR="00F83513">
              <w:t>3</w:t>
            </w:r>
            <w:proofErr w:type="spellEnd"/>
            <w:r w:rsidRPr="004642F3">
              <w:t xml:space="preserve">) This index is also used for calculating VET expenditure data in other reports. </w:t>
            </w:r>
          </w:p>
          <w:p w:rsidR="004642F3" w:rsidRDefault="004642F3" w:rsidP="004642F3">
            <w:pPr>
              <w:pStyle w:val="Box"/>
            </w:pPr>
            <w:r w:rsidRPr="00EF5A5F">
              <w:t>Annual hours are adjusted for invalid enrolment rates based on formal advice of the NCVER auditors. Invalid enrolments are those student enrolments reported in the national collection as participating in a module or unit of competency but for which the auditors could find no confirmed evidence that the student had participated in that enrolmen</w:t>
            </w:r>
            <w:r>
              <w:t>t within the collection period.</w:t>
            </w:r>
          </w:p>
        </w:tc>
      </w:tr>
      <w:tr w:rsidR="004642F3" w:rsidTr="00C368C9">
        <w:trPr>
          <w:cantSplit/>
        </w:trPr>
        <w:tc>
          <w:tcPr>
            <w:tcW w:w="8771" w:type="dxa"/>
            <w:tcBorders>
              <w:top w:val="nil"/>
              <w:left w:val="nil"/>
              <w:bottom w:val="single" w:sz="6" w:space="0" w:color="78A22F"/>
              <w:right w:val="nil"/>
            </w:tcBorders>
            <w:shd w:val="clear" w:color="auto" w:fill="F2F2F2" w:themeFill="background1" w:themeFillShade="F2"/>
          </w:tcPr>
          <w:p w:rsidR="004642F3" w:rsidRDefault="004642F3">
            <w:pPr>
              <w:pStyle w:val="Box"/>
              <w:spacing w:before="0" w:line="120" w:lineRule="exact"/>
            </w:pPr>
          </w:p>
        </w:tc>
      </w:tr>
      <w:tr w:rsidR="004642F3" w:rsidRPr="000863A5" w:rsidTr="00C368C9">
        <w:tc>
          <w:tcPr>
            <w:tcW w:w="8771" w:type="dxa"/>
            <w:tcBorders>
              <w:top w:val="single" w:sz="6" w:space="0" w:color="78A22F"/>
              <w:left w:val="nil"/>
              <w:bottom w:val="nil"/>
              <w:right w:val="nil"/>
            </w:tcBorders>
          </w:tcPr>
          <w:p w:rsidR="004642F3" w:rsidRPr="00626D32" w:rsidRDefault="004642F3" w:rsidP="00C368C9">
            <w:pPr>
              <w:pStyle w:val="BoxSpaceBelow"/>
            </w:pPr>
          </w:p>
        </w:tc>
      </w:tr>
    </w:tbl>
    <w:p w:rsidR="00C57336" w:rsidRPr="000C682B" w:rsidRDefault="001E1524" w:rsidP="000C682B">
      <w:pPr>
        <w:pStyle w:val="Heading5"/>
      </w:pPr>
      <w:r w:rsidRPr="000C682B">
        <w:t xml:space="preserve">Government recurrent expenditure per annual hour </w:t>
      </w:r>
    </w:p>
    <w:p w:rsidR="00C57336" w:rsidRDefault="000D514D" w:rsidP="00792821">
      <w:pPr>
        <w:pStyle w:val="BodyText"/>
      </w:pPr>
      <w:r w:rsidRPr="00EF5A5F">
        <w:t xml:space="preserve">‘Government recurrent expenditure per annual hour’ is an indicator of </w:t>
      </w:r>
      <w:r w:rsidR="003913DC" w:rsidRPr="00EF5A5F">
        <w:t xml:space="preserve">governments’ objective to </w:t>
      </w:r>
      <w:r w:rsidR="00B77C37" w:rsidRPr="00EF5A5F">
        <w:t>provide VET services in an efficient manner</w:t>
      </w:r>
      <w:r w:rsidRPr="00EF5A5F">
        <w:t xml:space="preserve">. Recurrent cost per annual hour of training measures the average cost of producing a training output of the VET system (a unit cost) </w:t>
      </w:r>
      <w:r w:rsidR="00C57336" w:rsidRPr="00EF5A5F">
        <w:t>(box</w:t>
      </w:r>
      <w:r w:rsidR="001803EF">
        <w:t xml:space="preserve"> </w:t>
      </w:r>
      <w:r w:rsidR="00442BBD">
        <w:t>5.7</w:t>
      </w:r>
      <w:r w:rsidR="00C57336" w:rsidRPr="00EF5A5F">
        <w:t>).</w:t>
      </w:r>
    </w:p>
    <w:p w:rsidR="00DD49BC" w:rsidRDefault="00DD49B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D49BC" w:rsidTr="00137F60">
        <w:tc>
          <w:tcPr>
            <w:tcW w:w="8771" w:type="dxa"/>
            <w:tcBorders>
              <w:top w:val="single" w:sz="6" w:space="0" w:color="78A22F"/>
              <w:left w:val="nil"/>
              <w:bottom w:val="nil"/>
              <w:right w:val="nil"/>
            </w:tcBorders>
            <w:shd w:val="clear" w:color="auto" w:fill="F2F2F2" w:themeFill="background1" w:themeFillShade="F2"/>
          </w:tcPr>
          <w:p w:rsidR="00DD49BC" w:rsidRDefault="00DD49BC" w:rsidP="00DD49BC">
            <w:pPr>
              <w:pStyle w:val="BoxTitle"/>
            </w:pPr>
            <w:r>
              <w:rPr>
                <w:b w:val="0"/>
              </w:rPr>
              <w:t>Box 5.</w:t>
            </w:r>
            <w:r w:rsidR="00D80B1E">
              <w:rPr>
                <w:b w:val="0"/>
                <w:noProof/>
              </w:rPr>
              <w:t>7</w:t>
            </w:r>
            <w:r>
              <w:tab/>
            </w:r>
            <w:r w:rsidRPr="00EF5A5F">
              <w:t>Government recurrent expenditure per annual hour</w:t>
            </w:r>
          </w:p>
        </w:tc>
      </w:tr>
      <w:tr w:rsidR="00DD49BC" w:rsidTr="00137F60">
        <w:trPr>
          <w:cantSplit/>
        </w:trPr>
        <w:tc>
          <w:tcPr>
            <w:tcW w:w="8771" w:type="dxa"/>
            <w:tcBorders>
              <w:top w:val="nil"/>
              <w:left w:val="nil"/>
              <w:bottom w:val="nil"/>
              <w:right w:val="nil"/>
            </w:tcBorders>
            <w:shd w:val="clear" w:color="auto" w:fill="F2F2F2" w:themeFill="background1" w:themeFillShade="F2"/>
          </w:tcPr>
          <w:p w:rsidR="00DD49BC" w:rsidRPr="00EF5A5F" w:rsidRDefault="00DD49BC" w:rsidP="00137F60">
            <w:pPr>
              <w:pStyle w:val="Box"/>
            </w:pPr>
            <w:r w:rsidRPr="00EF5A5F">
              <w:t xml:space="preserve">‘Government recurrent expenditure per annual hour’ is defined as government recurrent expenditure (as defined in box 5.6) divided by government funded annual hours. </w:t>
            </w:r>
          </w:p>
          <w:p w:rsidR="00DD49BC" w:rsidRPr="00EF5A5F" w:rsidRDefault="00DD49BC" w:rsidP="00137F60">
            <w:pPr>
              <w:pStyle w:val="Box"/>
            </w:pPr>
            <w:r w:rsidRPr="00EF5A5F">
              <w:t xml:space="preserve">Low or decreasing unit costs can indicate efficient delivery of VET services. </w:t>
            </w:r>
          </w:p>
          <w:p w:rsidR="00DD49BC" w:rsidRPr="00EF5A5F" w:rsidRDefault="00DD49BC" w:rsidP="00137F60">
            <w:pPr>
              <w:pStyle w:val="Box"/>
            </w:pPr>
            <w:r w:rsidRPr="00EF5A5F">
              <w:t xml:space="preserve">Government recurrent expenditure per annual hour </w:t>
            </w:r>
            <w:r w:rsidR="0095518C">
              <w:t>should</w:t>
            </w:r>
            <w:r w:rsidRPr="00EF5A5F">
              <w:t xml:space="preserve"> be interpreted carefully because low or decreasing unit costs do not necessarily reflect a lessening of quality. The factors that have the greatest impact on efficiency include:</w:t>
            </w:r>
          </w:p>
          <w:p w:rsidR="00DD49BC" w:rsidRPr="00EF5A5F" w:rsidRDefault="00DD49BC" w:rsidP="00137F60">
            <w:pPr>
              <w:pStyle w:val="BoxListBullet"/>
            </w:pPr>
            <w:r w:rsidRPr="00EF5A5F">
              <w:t>training related factors, such as class sizes, teaching salaries, teaching hours per full time equivalent staff member and differences in the length of training programs</w:t>
            </w:r>
          </w:p>
          <w:p w:rsidR="00DD49BC" w:rsidRPr="00EF5A5F" w:rsidRDefault="00DD49BC" w:rsidP="00137F60">
            <w:pPr>
              <w:pStyle w:val="BoxListBullet"/>
            </w:pPr>
            <w:r w:rsidRPr="00EF5A5F">
              <w:t>differences across jurisdictions, including socio-demographic composition, administrative scale, and dispersion and scale of service delivery</w:t>
            </w:r>
          </w:p>
          <w:p w:rsidR="00DD49BC" w:rsidRPr="00EF5A5F" w:rsidRDefault="00DD49BC" w:rsidP="00137F60">
            <w:pPr>
              <w:pStyle w:val="BoxListBullet"/>
            </w:pPr>
            <w:r w:rsidRPr="00EF5A5F">
              <w:t>VET policies and practices, including the level of fees and charges paid by students.</w:t>
            </w:r>
          </w:p>
          <w:p w:rsidR="00DD49BC" w:rsidRPr="00EF5A5F" w:rsidRDefault="00DD49BC" w:rsidP="00137F60">
            <w:pPr>
              <w:pStyle w:val="Box"/>
            </w:pPr>
            <w:r w:rsidRPr="009F0F4A">
              <w:t>Expenditure per annual hour is adjusted for course mix differences across jurisdictions</w:t>
            </w:r>
            <w:r w:rsidRPr="00CE1395">
              <w:rPr>
                <w:shd w:val="clear" w:color="auto" w:fill="F2F2F2" w:themeFill="background1" w:themeFillShade="F2"/>
              </w:rPr>
              <w:t xml:space="preserve"> </w:t>
            </w:r>
            <w:r w:rsidRPr="00FD3D47">
              <w:t xml:space="preserve">(more information is provided in box 5.6). </w:t>
            </w:r>
            <w:r w:rsidRPr="00A405CB">
              <w:t>The reported government recurrent expenditure excludes capital expenditure, and the user cost of capital is reported separately.</w:t>
            </w:r>
          </w:p>
          <w:p w:rsidR="00DD49BC" w:rsidRDefault="00DD49BC" w:rsidP="00137F60">
            <w:pPr>
              <w:pStyle w:val="Box"/>
            </w:pPr>
            <w:r>
              <w:t xml:space="preserve">Data reported for this measure are </w:t>
            </w:r>
          </w:p>
          <w:p w:rsidR="00DD49BC" w:rsidRDefault="00DD49BC" w:rsidP="00137F60">
            <w:pPr>
              <w:pStyle w:val="BoxListBullet"/>
            </w:pPr>
            <w:r>
              <w:t>comparable (subject to caveats) across jurisdictions and over time</w:t>
            </w:r>
          </w:p>
          <w:p w:rsidR="00DD49BC" w:rsidRDefault="00DD49BC" w:rsidP="00137F60">
            <w:pPr>
              <w:pStyle w:val="BoxListBullet"/>
            </w:pPr>
            <w:r>
              <w:t>complete for the current reporting period (subject to caveats). All required 201</w:t>
            </w:r>
            <w:r w:rsidR="00F3610C">
              <w:t>3</w:t>
            </w:r>
            <w:r>
              <w:t xml:space="preserve"> data are available for all jurisdictions providing the service.</w:t>
            </w:r>
          </w:p>
          <w:p w:rsidR="00DD49BC" w:rsidRPr="00EF5A5F" w:rsidRDefault="00DD49BC" w:rsidP="00FC4B3F">
            <w:pPr>
              <w:pStyle w:val="Box"/>
            </w:pPr>
            <w:r w:rsidRPr="00EF5A5F">
              <w:t xml:space="preserve">Data quality information for this indicator </w:t>
            </w:r>
            <w:r w:rsidR="006E0D24">
              <w:t>is at www.pc.gov.au/</w:t>
            </w:r>
            <w:proofErr w:type="spellStart"/>
            <w:r w:rsidRPr="00EF5A5F">
              <w:t>rogs</w:t>
            </w:r>
            <w:proofErr w:type="spellEnd"/>
            <w:r w:rsidRPr="00EF5A5F">
              <w:t>/</w:t>
            </w:r>
            <w:r>
              <w:t>201</w:t>
            </w:r>
            <w:r w:rsidR="00FC4B3F">
              <w:t>5</w:t>
            </w:r>
            <w:r w:rsidRPr="00EF5A5F">
              <w:t>.</w:t>
            </w:r>
          </w:p>
        </w:tc>
      </w:tr>
      <w:tr w:rsidR="00DD49BC" w:rsidTr="00137F60">
        <w:trPr>
          <w:cantSplit/>
        </w:trPr>
        <w:tc>
          <w:tcPr>
            <w:tcW w:w="8771" w:type="dxa"/>
            <w:tcBorders>
              <w:top w:val="nil"/>
              <w:left w:val="nil"/>
              <w:bottom w:val="single" w:sz="6" w:space="0" w:color="78A22F"/>
              <w:right w:val="nil"/>
            </w:tcBorders>
            <w:shd w:val="clear" w:color="auto" w:fill="F2F2F2" w:themeFill="background1" w:themeFillShade="F2"/>
          </w:tcPr>
          <w:p w:rsidR="00DD49BC" w:rsidRDefault="00DD49BC">
            <w:pPr>
              <w:pStyle w:val="Box"/>
              <w:spacing w:before="0" w:line="120" w:lineRule="exact"/>
            </w:pPr>
          </w:p>
        </w:tc>
      </w:tr>
      <w:tr w:rsidR="00DD49BC" w:rsidRPr="000863A5" w:rsidTr="00137F60">
        <w:tc>
          <w:tcPr>
            <w:tcW w:w="8771" w:type="dxa"/>
            <w:tcBorders>
              <w:top w:val="single" w:sz="6" w:space="0" w:color="78A22F"/>
              <w:left w:val="nil"/>
              <w:bottom w:val="nil"/>
              <w:right w:val="nil"/>
            </w:tcBorders>
          </w:tcPr>
          <w:p w:rsidR="00DD49BC" w:rsidRPr="00626D32" w:rsidRDefault="00DD49BC" w:rsidP="00137F60">
            <w:pPr>
              <w:pStyle w:val="BoxSpaceBelow"/>
            </w:pPr>
          </w:p>
        </w:tc>
      </w:tr>
    </w:tbl>
    <w:p w:rsidR="00C57336" w:rsidRDefault="00EA5AFE" w:rsidP="00A26D57">
      <w:pPr>
        <w:pStyle w:val="BodyText"/>
      </w:pPr>
      <w:r w:rsidRPr="00754E57">
        <w:t>G</w:t>
      </w:r>
      <w:r w:rsidR="00C57336" w:rsidRPr="00754E57">
        <w:t xml:space="preserve">overnment </w:t>
      </w:r>
      <w:r w:rsidR="00280F08" w:rsidRPr="00754E57">
        <w:t xml:space="preserve">real </w:t>
      </w:r>
      <w:r w:rsidR="00C57336" w:rsidRPr="00754E57">
        <w:t>recurrent expenditure per annual hour of government funded</w:t>
      </w:r>
      <w:r w:rsidRPr="00754E57">
        <w:t xml:space="preserve"> VET programs in </w:t>
      </w:r>
      <w:r w:rsidR="00CE6D0B" w:rsidRPr="00754E57">
        <w:t>201</w:t>
      </w:r>
      <w:r w:rsidR="00FC4B3F">
        <w:t>3</w:t>
      </w:r>
      <w:r w:rsidR="00CE6D0B" w:rsidRPr="00754E57">
        <w:t xml:space="preserve"> </w:t>
      </w:r>
      <w:r w:rsidRPr="00754E57">
        <w:t xml:space="preserve">was </w:t>
      </w:r>
      <w:r w:rsidR="00FB215B" w:rsidRPr="00A26D57">
        <w:t>$</w:t>
      </w:r>
      <w:r w:rsidR="00754E57" w:rsidRPr="00A26D57">
        <w:t>12.6</w:t>
      </w:r>
      <w:r w:rsidR="00DD7116" w:rsidRPr="00A26D57">
        <w:t>0</w:t>
      </w:r>
      <w:r w:rsidR="00FE5D97" w:rsidRPr="00917A82">
        <w:t xml:space="preserve"> </w:t>
      </w:r>
      <w:r w:rsidRPr="00917A82">
        <w:t>nationally</w:t>
      </w:r>
      <w:r w:rsidR="00235488" w:rsidRPr="00917A82">
        <w:t>,</w:t>
      </w:r>
      <w:r w:rsidRPr="00917A82">
        <w:t xml:space="preserve"> </w:t>
      </w:r>
      <w:r w:rsidR="00235488" w:rsidRPr="00A26D57">
        <w:t>a</w:t>
      </w:r>
      <w:r w:rsidR="00461DA8" w:rsidRPr="00A26D57">
        <w:t>n increase</w:t>
      </w:r>
      <w:r w:rsidR="0015552C" w:rsidRPr="00917A82">
        <w:t xml:space="preserve"> from </w:t>
      </w:r>
      <w:r w:rsidR="00FB215B" w:rsidRPr="00A26D57">
        <w:t>$</w:t>
      </w:r>
      <w:r w:rsidR="00460754" w:rsidRPr="00A26D57">
        <w:t>12.5</w:t>
      </w:r>
      <w:r w:rsidR="00DD7116" w:rsidRPr="00A26D57">
        <w:t>3</w:t>
      </w:r>
      <w:r w:rsidR="000F0D6E" w:rsidRPr="00917A82">
        <w:t xml:space="preserve"> </w:t>
      </w:r>
      <w:r w:rsidR="00280F08" w:rsidRPr="00917A82">
        <w:t xml:space="preserve">in </w:t>
      </w:r>
      <w:r w:rsidR="00CE6D0B" w:rsidRPr="00917A82">
        <w:t>201</w:t>
      </w:r>
      <w:r w:rsidR="00FC4B3F" w:rsidRPr="00917A82">
        <w:t>2</w:t>
      </w:r>
      <w:r w:rsidR="0025117B">
        <w:t xml:space="preserve"> </w:t>
      </w:r>
      <w:r w:rsidR="0025117B" w:rsidRPr="00A26D57">
        <w:t>but a decrease from $17.0</w:t>
      </w:r>
      <w:r w:rsidR="00DD7116" w:rsidRPr="00A26D57">
        <w:t>3</w:t>
      </w:r>
      <w:r w:rsidR="0025117B" w:rsidRPr="00A26D57">
        <w:t xml:space="preserve"> in 2004</w:t>
      </w:r>
      <w:r w:rsidR="00CE6D0B" w:rsidRPr="00A26D57">
        <w:t xml:space="preserve"> </w:t>
      </w:r>
      <w:r w:rsidR="00235488" w:rsidRPr="00754E57">
        <w:t>(figure</w:t>
      </w:r>
      <w:r w:rsidR="001803EF">
        <w:t xml:space="preserve"> </w:t>
      </w:r>
      <w:r w:rsidR="00442BBD" w:rsidRPr="00754E57">
        <w:t>5.13</w:t>
      </w:r>
      <w:r w:rsidR="0025117B">
        <w:t xml:space="preserve"> </w:t>
      </w:r>
      <w:r w:rsidR="0025117B" w:rsidRPr="00A26D57">
        <w:t>and table 5A.19</w:t>
      </w:r>
      <w:r w:rsidR="00C57336" w:rsidRPr="00754E57">
        <w:t>).</w:t>
      </w:r>
    </w:p>
    <w:p w:rsidR="00DD49BC" w:rsidRDefault="00DD49BC" w:rsidP="00137F6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D49BC" w:rsidTr="00A26D57">
        <w:tc>
          <w:tcPr>
            <w:tcW w:w="8771" w:type="dxa"/>
            <w:tcBorders>
              <w:top w:val="single" w:sz="6" w:space="0" w:color="78A22F"/>
              <w:left w:val="nil"/>
              <w:bottom w:val="nil"/>
              <w:right w:val="nil"/>
            </w:tcBorders>
            <w:shd w:val="clear" w:color="auto" w:fill="auto"/>
          </w:tcPr>
          <w:p w:rsidR="00DD49BC" w:rsidRPr="00176D3F" w:rsidRDefault="00DD49BC" w:rsidP="00F3610C">
            <w:pPr>
              <w:pStyle w:val="FigureTitle"/>
            </w:pPr>
            <w:r w:rsidRPr="00784A05">
              <w:rPr>
                <w:b w:val="0"/>
              </w:rPr>
              <w:t xml:space="preserve">Figure </w:t>
            </w:r>
            <w:r>
              <w:rPr>
                <w:b w:val="0"/>
              </w:rPr>
              <w:t>5.</w:t>
            </w:r>
            <w:r w:rsidR="00D80B1E">
              <w:rPr>
                <w:b w:val="0"/>
                <w:noProof/>
              </w:rPr>
              <w:t>13</w:t>
            </w:r>
            <w:r>
              <w:tab/>
            </w:r>
            <w:r w:rsidRPr="00250878">
              <w:t>Government real recurrent expenditure per annual hour (201</w:t>
            </w:r>
            <w:r w:rsidR="00F3610C">
              <w:t>3</w:t>
            </w:r>
            <w:r w:rsidRPr="00250878">
              <w:t> dollars)</w:t>
            </w:r>
            <w:r w:rsidRPr="00250878">
              <w:rPr>
                <w:rStyle w:val="NoteLabel"/>
                <w:b/>
              </w:rPr>
              <w:t>a, b, c</w:t>
            </w:r>
            <w:r>
              <w:rPr>
                <w:rStyle w:val="NoteLabel"/>
                <w:b/>
              </w:rPr>
              <w:t>, d</w:t>
            </w:r>
          </w:p>
        </w:tc>
      </w:tr>
      <w:tr w:rsidR="00DD49BC" w:rsidTr="00A26D57">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DD49BC" w:rsidTr="00A26D57">
              <w:tc>
                <w:tcPr>
                  <w:tcW w:w="5000" w:type="pct"/>
                  <w:tcBorders>
                    <w:top w:val="nil"/>
                    <w:bottom w:val="nil"/>
                  </w:tcBorders>
                  <w:shd w:val="clear" w:color="auto" w:fill="auto"/>
                </w:tcPr>
                <w:p w:rsidR="00DD49BC" w:rsidRDefault="009F6491" w:rsidP="00DD49BC">
                  <w:pPr>
                    <w:pStyle w:val="Figure"/>
                    <w:spacing w:before="60" w:after="60"/>
                  </w:pPr>
                  <w:r>
                    <w:rPr>
                      <w:noProof/>
                    </w:rPr>
                    <w:drawing>
                      <wp:inline distT="0" distB="0" distL="0" distR="0">
                        <wp:extent cx="5391150" cy="2686050"/>
                        <wp:effectExtent l="0" t="0" r="0" b="0"/>
                        <wp:docPr id="20" name="Picture 20" descr="Figure 5.13 Government real recurrent expenditure per annual hour (2013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DD49BC" w:rsidRDefault="00DD49BC" w:rsidP="00137F60">
            <w:pPr>
              <w:pStyle w:val="Figure"/>
            </w:pPr>
          </w:p>
        </w:tc>
      </w:tr>
      <w:tr w:rsidR="00DD49BC" w:rsidRPr="00176D3F" w:rsidTr="00A26D57">
        <w:tc>
          <w:tcPr>
            <w:tcW w:w="8771" w:type="dxa"/>
            <w:tcBorders>
              <w:top w:val="nil"/>
              <w:left w:val="nil"/>
              <w:bottom w:val="nil"/>
              <w:right w:val="nil"/>
            </w:tcBorders>
            <w:shd w:val="clear" w:color="auto" w:fill="auto"/>
          </w:tcPr>
          <w:p w:rsidR="00461DA8" w:rsidRPr="00461DA8" w:rsidRDefault="00DD49BC" w:rsidP="00461DA8">
            <w:pPr>
              <w:pStyle w:val="Note"/>
            </w:pPr>
            <w:proofErr w:type="spellStart"/>
            <w:r w:rsidRPr="00171E10">
              <w:rPr>
                <w:rStyle w:val="NoteLabel"/>
              </w:rPr>
              <w:t>a</w:t>
            </w:r>
            <w:proofErr w:type="spellEnd"/>
            <w:r w:rsidRPr="00171E10">
              <w:t xml:space="preserve"> The ACT does not levy payroll tax on its VET employees. A payroll tax estimate based on the ACT payroll tax rate has been included in the expenditure data for the ACT. </w:t>
            </w:r>
            <w:r w:rsidRPr="00171E10">
              <w:rPr>
                <w:rStyle w:val="NoteLabel"/>
              </w:rPr>
              <w:t>b</w:t>
            </w:r>
            <w:r w:rsidRPr="00171E10">
              <w:t xml:space="preserve"> Data for Australia exclude the ACT payroll tax estimate</w:t>
            </w:r>
            <w:r w:rsidR="0095518C">
              <w:t xml:space="preserve">, but include </w:t>
            </w:r>
            <w:r w:rsidR="00CA7F9D">
              <w:t xml:space="preserve">actual </w:t>
            </w:r>
            <w:r w:rsidR="0095518C">
              <w:t>payroll tax for all other jurisdictions</w:t>
            </w:r>
            <w:r w:rsidRPr="00171E10">
              <w:t xml:space="preserve">. </w:t>
            </w:r>
            <w:r w:rsidRPr="00171E10">
              <w:rPr>
                <w:rStyle w:val="NoteLabel"/>
              </w:rPr>
              <w:t>c</w:t>
            </w:r>
            <w:r w:rsidRPr="00171E10">
              <w:t> </w:t>
            </w:r>
            <w:r w:rsidRPr="009D3389">
              <w:t>The variation in WA’s expenditure from 2011 to 2012 largely reflects the move from fortnightly to quarterly payments to State Training Providers.</w:t>
            </w:r>
            <w:r>
              <w:t xml:space="preserve"> </w:t>
            </w:r>
            <w:r w:rsidRPr="009D3389">
              <w:rPr>
                <w:rStyle w:val="NoteLabel"/>
              </w:rPr>
              <w:t>d</w:t>
            </w:r>
            <w:r>
              <w:t> </w:t>
            </w:r>
            <w:r w:rsidRPr="00171E10">
              <w:t xml:space="preserve"> Historical data have been adjusted to </w:t>
            </w:r>
            <w:r w:rsidRPr="00A26D57">
              <w:t>201</w:t>
            </w:r>
            <w:r w:rsidR="00461DA8" w:rsidRPr="00A26D57">
              <w:t>3</w:t>
            </w:r>
            <w:r w:rsidRPr="00A26D57">
              <w:t xml:space="preserve"> </w:t>
            </w:r>
            <w:r w:rsidRPr="00171E10">
              <w:t>dollars using the GDP chain price index deflator (table </w:t>
            </w:r>
            <w:proofErr w:type="spellStart"/>
            <w:r w:rsidRPr="00171E10">
              <w:t>5A.</w:t>
            </w:r>
            <w:r>
              <w:t>9</w:t>
            </w:r>
            <w:r w:rsidR="00F83513">
              <w:t>3</w:t>
            </w:r>
            <w:proofErr w:type="spellEnd"/>
            <w:r w:rsidRPr="00171E10">
              <w:t>). Recent volatility in the deflator series affects annual movements of real expenditure.</w:t>
            </w:r>
          </w:p>
        </w:tc>
      </w:tr>
      <w:tr w:rsidR="00DD49BC" w:rsidRPr="00176D3F" w:rsidTr="00137F60">
        <w:tc>
          <w:tcPr>
            <w:tcW w:w="8771" w:type="dxa"/>
            <w:tcBorders>
              <w:top w:val="nil"/>
              <w:left w:val="nil"/>
              <w:bottom w:val="nil"/>
              <w:right w:val="nil"/>
            </w:tcBorders>
            <w:shd w:val="clear" w:color="auto" w:fill="auto"/>
          </w:tcPr>
          <w:p w:rsidR="00DD49BC" w:rsidRPr="00176D3F" w:rsidRDefault="00DD49BC" w:rsidP="00137F60">
            <w:pPr>
              <w:pStyle w:val="Source"/>
            </w:pPr>
            <w:r w:rsidRPr="00171E10">
              <w:rPr>
                <w:i/>
              </w:rPr>
              <w:t>Source</w:t>
            </w:r>
            <w:r w:rsidRPr="00171E10">
              <w:t>: NCVER (unpublished) National financial and VET provider collections; table 5A.19.</w:t>
            </w:r>
          </w:p>
        </w:tc>
      </w:tr>
      <w:tr w:rsidR="00DD49BC" w:rsidTr="00137F60">
        <w:tc>
          <w:tcPr>
            <w:tcW w:w="8771" w:type="dxa"/>
            <w:tcBorders>
              <w:top w:val="nil"/>
              <w:left w:val="nil"/>
              <w:bottom w:val="single" w:sz="6" w:space="0" w:color="78A22F"/>
              <w:right w:val="nil"/>
            </w:tcBorders>
            <w:shd w:val="clear" w:color="auto" w:fill="auto"/>
          </w:tcPr>
          <w:p w:rsidR="00DD49BC" w:rsidRDefault="00DD49BC" w:rsidP="00137F60">
            <w:pPr>
              <w:pStyle w:val="Figurespace"/>
            </w:pPr>
          </w:p>
        </w:tc>
      </w:tr>
      <w:tr w:rsidR="00DD49BC" w:rsidRPr="000863A5" w:rsidTr="00137F60">
        <w:tc>
          <w:tcPr>
            <w:tcW w:w="8771" w:type="dxa"/>
            <w:tcBorders>
              <w:top w:val="single" w:sz="6" w:space="0" w:color="78A22F"/>
              <w:left w:val="nil"/>
              <w:bottom w:val="nil"/>
              <w:right w:val="nil"/>
            </w:tcBorders>
          </w:tcPr>
          <w:p w:rsidR="00DD49BC" w:rsidRPr="00626D32" w:rsidRDefault="00DD49BC" w:rsidP="00137F60">
            <w:pPr>
              <w:pStyle w:val="BoxSpaceBelow"/>
            </w:pPr>
          </w:p>
        </w:tc>
      </w:tr>
    </w:tbl>
    <w:p w:rsidR="006148D2" w:rsidRPr="000C682B" w:rsidRDefault="006148D2" w:rsidP="006148D2">
      <w:pPr>
        <w:pStyle w:val="Heading5"/>
      </w:pPr>
      <w:r w:rsidRPr="000C682B">
        <w:t>Government recurrent expenditure per load pass</w:t>
      </w:r>
    </w:p>
    <w:p w:rsidR="00C57336" w:rsidRDefault="00FF125D" w:rsidP="006148D2">
      <w:pPr>
        <w:pStyle w:val="BodyText"/>
      </w:pPr>
      <w:r w:rsidRPr="00EF5A5F">
        <w:t xml:space="preserve">‘Government recurrent expenditure per load pass’ is an indicator of </w:t>
      </w:r>
      <w:r w:rsidR="00F52645" w:rsidRPr="00EF5A5F">
        <w:t>governments’ objective to provide VET services in an efficient manner.</w:t>
      </w:r>
      <w:r w:rsidRPr="00EF5A5F">
        <w:t xml:space="preserve"> It is the cost to government of each successfully completed VET module or unit of competency (that is, the cost pe</w:t>
      </w:r>
      <w:r w:rsidR="00A84F67" w:rsidRPr="00EF5A5F">
        <w:t>r successfully achieved output)</w:t>
      </w:r>
      <w:r w:rsidRPr="00EF5A5F">
        <w:t xml:space="preserve"> </w:t>
      </w:r>
      <w:r w:rsidR="00C57336" w:rsidRPr="00EF5A5F">
        <w:t xml:space="preserve">(box </w:t>
      </w:r>
      <w:r w:rsidR="00442BBD">
        <w:t>5.8</w:t>
      </w:r>
      <w:r w:rsidR="00C57336" w:rsidRPr="00EF5A5F">
        <w:t xml:space="preserve">). </w:t>
      </w:r>
    </w:p>
    <w:p w:rsidR="00DD49BC" w:rsidRDefault="00DD49B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D49BC" w:rsidTr="00137F60">
        <w:tc>
          <w:tcPr>
            <w:tcW w:w="8771" w:type="dxa"/>
            <w:tcBorders>
              <w:top w:val="single" w:sz="6" w:space="0" w:color="78A22F"/>
              <w:left w:val="nil"/>
              <w:bottom w:val="nil"/>
              <w:right w:val="nil"/>
            </w:tcBorders>
            <w:shd w:val="clear" w:color="auto" w:fill="F2F2F2" w:themeFill="background1" w:themeFillShade="F2"/>
          </w:tcPr>
          <w:p w:rsidR="00DD49BC" w:rsidRDefault="00DD49BC" w:rsidP="00DD49BC">
            <w:pPr>
              <w:pStyle w:val="BoxTitle"/>
            </w:pPr>
            <w:r>
              <w:rPr>
                <w:b w:val="0"/>
              </w:rPr>
              <w:t>Box 5.</w:t>
            </w:r>
            <w:r w:rsidR="00D80B1E">
              <w:rPr>
                <w:b w:val="0"/>
                <w:noProof/>
              </w:rPr>
              <w:t>8</w:t>
            </w:r>
            <w:r>
              <w:tab/>
            </w:r>
            <w:r w:rsidRPr="00EF5A5F">
              <w:t>Government recurrent expenditure per load pass</w:t>
            </w:r>
          </w:p>
        </w:tc>
      </w:tr>
      <w:tr w:rsidR="00DD49BC" w:rsidTr="00137F60">
        <w:trPr>
          <w:cantSplit/>
        </w:trPr>
        <w:tc>
          <w:tcPr>
            <w:tcW w:w="8771" w:type="dxa"/>
            <w:tcBorders>
              <w:top w:val="nil"/>
              <w:left w:val="nil"/>
              <w:bottom w:val="nil"/>
              <w:right w:val="nil"/>
            </w:tcBorders>
            <w:shd w:val="clear" w:color="auto" w:fill="F2F2F2" w:themeFill="background1" w:themeFillShade="F2"/>
          </w:tcPr>
          <w:p w:rsidR="00DD49BC" w:rsidRPr="00EF5A5F" w:rsidRDefault="00DD49BC" w:rsidP="00137F60">
            <w:pPr>
              <w:pStyle w:val="Box"/>
            </w:pPr>
            <w:r w:rsidRPr="00EF5A5F">
              <w:t xml:space="preserve">‘Government recurrent expenditure per load pass’ is defined as government recurrent expenditure (as defined in box 5.6) divided by hours of </w:t>
            </w:r>
            <w:r>
              <w:t>government</w:t>
            </w:r>
            <w:r w:rsidRPr="00EF5A5F">
              <w:t xml:space="preserve"> funded load pass. Load pass is based on assessable enrolments of modules and units of competency achieved/passed and </w:t>
            </w:r>
            <w:proofErr w:type="spellStart"/>
            <w:r w:rsidRPr="00EF5A5F">
              <w:t>RPL</w:t>
            </w:r>
            <w:proofErr w:type="spellEnd"/>
            <w:r w:rsidRPr="00EF5A5F">
              <w:t>, and does not include non-assessable enrolments.</w:t>
            </w:r>
          </w:p>
          <w:p w:rsidR="00DD49BC" w:rsidRPr="00EF5A5F" w:rsidRDefault="00DD49BC" w:rsidP="00137F60">
            <w:pPr>
              <w:pStyle w:val="Box"/>
            </w:pPr>
            <w:r w:rsidRPr="00EF5A5F">
              <w:t xml:space="preserve">Low or decreasing unit costs can indicate efficient delivery of VET services per successfully completed load pass hour. </w:t>
            </w:r>
          </w:p>
          <w:p w:rsidR="00DD49BC" w:rsidRPr="00EF5A5F" w:rsidRDefault="00DD49BC" w:rsidP="00137F60">
            <w:pPr>
              <w:pStyle w:val="Box"/>
            </w:pPr>
            <w:r w:rsidRPr="00EF5A5F">
              <w:t>The factors that have the greatest impact on efficiency include:</w:t>
            </w:r>
          </w:p>
          <w:p w:rsidR="00DD49BC" w:rsidRPr="00EF5A5F" w:rsidRDefault="00DD49BC" w:rsidP="00137F60">
            <w:pPr>
              <w:pStyle w:val="BoxListBullet"/>
            </w:pPr>
            <w:r w:rsidRPr="00EF5A5F">
              <w:t>training related factors, such as class sizes, teaching salaries, teaching hours per full time equivalent staff member, and differences in the length of training programs</w:t>
            </w:r>
          </w:p>
          <w:p w:rsidR="00DD49BC" w:rsidRPr="00EF5A5F" w:rsidRDefault="00DD49BC" w:rsidP="00137F60">
            <w:pPr>
              <w:pStyle w:val="BoxListBullet"/>
            </w:pPr>
            <w:r w:rsidRPr="00EF5A5F">
              <w:t>differences across jurisdictions, including socio-demographic composition, administrative scale, and dispersion and scale of service delivery</w:t>
            </w:r>
          </w:p>
          <w:p w:rsidR="00DD49BC" w:rsidRPr="00EF5A5F" w:rsidRDefault="00DD49BC" w:rsidP="00137F60">
            <w:pPr>
              <w:pStyle w:val="BoxListBullet"/>
            </w:pPr>
            <w:r w:rsidRPr="00EF5A5F">
              <w:t>VET policies and practices, including the level of fees and charges paid by students.</w:t>
            </w:r>
          </w:p>
          <w:p w:rsidR="00DD49BC" w:rsidRPr="00EF5A5F" w:rsidRDefault="00DD49BC" w:rsidP="00137F60">
            <w:pPr>
              <w:pStyle w:val="Box"/>
            </w:pPr>
            <w:r w:rsidRPr="00A405CB">
              <w:t>The reported government recurrent expenditure excludes capital expenditure, and the user cost of capital is reported separately.</w:t>
            </w:r>
          </w:p>
          <w:p w:rsidR="00DD49BC" w:rsidRDefault="00DD49BC" w:rsidP="00137F60">
            <w:pPr>
              <w:pStyle w:val="Box"/>
            </w:pPr>
            <w:r>
              <w:t xml:space="preserve">Data reported for this measure are </w:t>
            </w:r>
          </w:p>
          <w:p w:rsidR="00DD49BC" w:rsidRDefault="00DD49BC" w:rsidP="00137F60">
            <w:pPr>
              <w:pStyle w:val="BoxListBullet"/>
            </w:pPr>
            <w:r>
              <w:t>comparable (subject to caveats) across jurisdictions and over time</w:t>
            </w:r>
          </w:p>
          <w:p w:rsidR="00DD49BC" w:rsidRDefault="00DD49BC" w:rsidP="00137F60">
            <w:pPr>
              <w:pStyle w:val="BoxListBullet"/>
            </w:pPr>
            <w:r>
              <w:t>complete for the current reporting period (subject to caveats). All required 201</w:t>
            </w:r>
            <w:r w:rsidR="00F3610C">
              <w:t>3</w:t>
            </w:r>
            <w:r>
              <w:t xml:space="preserve"> data are available for all jurisdictions providing the service.</w:t>
            </w:r>
          </w:p>
          <w:p w:rsidR="00DD49BC" w:rsidRPr="00EF5A5F" w:rsidRDefault="00DD49BC" w:rsidP="00F3610C">
            <w:pPr>
              <w:pStyle w:val="Box"/>
            </w:pPr>
            <w:r w:rsidRPr="00EF5A5F">
              <w:t xml:space="preserve">Data quality information for this indicator </w:t>
            </w:r>
            <w:r w:rsidR="006E0D24">
              <w:t>is at www.pc.gov.au/</w:t>
            </w:r>
            <w:proofErr w:type="spellStart"/>
            <w:r w:rsidRPr="00EF5A5F">
              <w:t>rogs</w:t>
            </w:r>
            <w:proofErr w:type="spellEnd"/>
            <w:r w:rsidRPr="00EF5A5F">
              <w:t>/</w:t>
            </w:r>
            <w:r>
              <w:t>201</w:t>
            </w:r>
            <w:r w:rsidR="00F3610C">
              <w:t>5</w:t>
            </w:r>
            <w:r w:rsidRPr="00EF5A5F">
              <w:t>.</w:t>
            </w:r>
          </w:p>
        </w:tc>
      </w:tr>
      <w:tr w:rsidR="00DD49BC" w:rsidTr="00137F60">
        <w:trPr>
          <w:cantSplit/>
        </w:trPr>
        <w:tc>
          <w:tcPr>
            <w:tcW w:w="8771" w:type="dxa"/>
            <w:tcBorders>
              <w:top w:val="nil"/>
              <w:left w:val="nil"/>
              <w:bottom w:val="single" w:sz="6" w:space="0" w:color="78A22F"/>
              <w:right w:val="nil"/>
            </w:tcBorders>
            <w:shd w:val="clear" w:color="auto" w:fill="F2F2F2" w:themeFill="background1" w:themeFillShade="F2"/>
          </w:tcPr>
          <w:p w:rsidR="00DD49BC" w:rsidRDefault="00DD49BC">
            <w:pPr>
              <w:pStyle w:val="Box"/>
              <w:spacing w:before="0" w:line="120" w:lineRule="exact"/>
            </w:pPr>
          </w:p>
        </w:tc>
      </w:tr>
      <w:tr w:rsidR="00DD49BC" w:rsidRPr="000863A5" w:rsidTr="00137F60">
        <w:tc>
          <w:tcPr>
            <w:tcW w:w="8771" w:type="dxa"/>
            <w:tcBorders>
              <w:top w:val="single" w:sz="6" w:space="0" w:color="78A22F"/>
              <w:left w:val="nil"/>
              <w:bottom w:val="nil"/>
              <w:right w:val="nil"/>
            </w:tcBorders>
          </w:tcPr>
          <w:p w:rsidR="00DD49BC" w:rsidRPr="00626D32" w:rsidRDefault="00DD49BC" w:rsidP="00137F60">
            <w:pPr>
              <w:pStyle w:val="BoxSpaceBelow"/>
            </w:pPr>
          </w:p>
        </w:tc>
      </w:tr>
    </w:tbl>
    <w:p w:rsidR="00C57336" w:rsidRDefault="00C57336" w:rsidP="00AD6D24">
      <w:pPr>
        <w:pStyle w:val="BodyText"/>
      </w:pPr>
      <w:r w:rsidRPr="006C5A10">
        <w:t xml:space="preserve">Government </w:t>
      </w:r>
      <w:r w:rsidR="00280F08" w:rsidRPr="006C5A10">
        <w:t xml:space="preserve">real </w:t>
      </w:r>
      <w:r w:rsidR="00930286" w:rsidRPr="006C5A10">
        <w:t xml:space="preserve">recurrent </w:t>
      </w:r>
      <w:r w:rsidRPr="006C5A10">
        <w:t xml:space="preserve">expenditure per load pass hour of government funded VET programs in </w:t>
      </w:r>
      <w:r w:rsidR="00CE6D0B" w:rsidRPr="006C5A10">
        <w:t>201</w:t>
      </w:r>
      <w:r w:rsidR="00F3610C">
        <w:t>3</w:t>
      </w:r>
      <w:r w:rsidR="00CE6D0B" w:rsidRPr="006C5A10">
        <w:t xml:space="preserve"> </w:t>
      </w:r>
      <w:r w:rsidRPr="006C5A10">
        <w:t xml:space="preserve">was </w:t>
      </w:r>
      <w:r w:rsidR="00227C8D" w:rsidRPr="00A26D57">
        <w:t>$</w:t>
      </w:r>
      <w:r w:rsidR="009E096A" w:rsidRPr="00A26D57">
        <w:t>15.2</w:t>
      </w:r>
      <w:r w:rsidR="00DD7116" w:rsidRPr="00A26D57">
        <w:t>3</w:t>
      </w:r>
      <w:r w:rsidR="009E096A">
        <w:t xml:space="preserve"> </w:t>
      </w:r>
      <w:r w:rsidRPr="006C5A10">
        <w:t>nationally</w:t>
      </w:r>
      <w:r w:rsidR="00235488" w:rsidRPr="006C5A10">
        <w:t>, a</w:t>
      </w:r>
      <w:r w:rsidRPr="006C5A10">
        <w:t xml:space="preserve"> </w:t>
      </w:r>
      <w:r w:rsidR="009E096A" w:rsidRPr="00A26D57">
        <w:t>decreas</w:t>
      </w:r>
      <w:r w:rsidRPr="00A26D57">
        <w:t>e</w:t>
      </w:r>
      <w:r w:rsidRPr="006C5A10">
        <w:t xml:space="preserve"> from </w:t>
      </w:r>
      <w:r w:rsidR="00227C8D" w:rsidRPr="00A26D57">
        <w:t>$</w:t>
      </w:r>
      <w:r w:rsidR="009E096A" w:rsidRPr="00A26D57">
        <w:t>15.</w:t>
      </w:r>
      <w:r w:rsidR="00DD7116" w:rsidRPr="00A26D57">
        <w:t>28</w:t>
      </w:r>
      <w:r w:rsidR="009E096A">
        <w:t xml:space="preserve"> </w:t>
      </w:r>
      <w:r w:rsidRPr="006C5A10">
        <w:t xml:space="preserve">in </w:t>
      </w:r>
      <w:r w:rsidR="00CE6D0B" w:rsidRPr="00655E39">
        <w:t>201</w:t>
      </w:r>
      <w:r w:rsidR="0025117B" w:rsidRPr="00655E39">
        <w:t>2</w:t>
      </w:r>
      <w:r w:rsidR="00CE6D0B" w:rsidRPr="00655E39">
        <w:t xml:space="preserve"> </w:t>
      </w:r>
      <w:r w:rsidR="002F6FE7" w:rsidRPr="00655E39">
        <w:t>a</w:t>
      </w:r>
      <w:r w:rsidR="002F6FE7" w:rsidRPr="006C5A10">
        <w:t xml:space="preserve">nd </w:t>
      </w:r>
      <w:r w:rsidR="00782F69" w:rsidRPr="006C5A10">
        <w:t xml:space="preserve">from </w:t>
      </w:r>
      <w:r w:rsidR="00782F69" w:rsidRPr="00A26D57">
        <w:t>$</w:t>
      </w:r>
      <w:r w:rsidR="00461DA8" w:rsidRPr="00A26D57">
        <w:t>23.</w:t>
      </w:r>
      <w:r w:rsidR="00DD7116" w:rsidRPr="00A26D57">
        <w:t>18</w:t>
      </w:r>
      <w:r w:rsidR="009E096A">
        <w:t xml:space="preserve"> </w:t>
      </w:r>
      <w:r w:rsidR="002F6FE7" w:rsidRPr="006C5A10">
        <w:t xml:space="preserve">in </w:t>
      </w:r>
      <w:r w:rsidR="00CE6D0B" w:rsidRPr="006C5A10">
        <w:t>200</w:t>
      </w:r>
      <w:r w:rsidR="00F3610C">
        <w:t>4</w:t>
      </w:r>
      <w:r w:rsidR="007E7322">
        <w:t xml:space="preserve"> </w:t>
      </w:r>
      <w:r w:rsidR="00235488" w:rsidRPr="00EF5A5F">
        <w:t>(figure</w:t>
      </w:r>
      <w:r w:rsidR="001803EF">
        <w:t xml:space="preserve"> </w:t>
      </w:r>
      <w:r w:rsidR="00442BBD">
        <w:t>5.14</w:t>
      </w:r>
      <w:r w:rsidR="00305403" w:rsidRPr="00EF5A5F">
        <w:t xml:space="preserve"> and table </w:t>
      </w:r>
      <w:proofErr w:type="spellStart"/>
      <w:r w:rsidR="00305403" w:rsidRPr="00EF5A5F">
        <w:t>5A.20</w:t>
      </w:r>
      <w:proofErr w:type="spellEnd"/>
      <w:r w:rsidR="00B208DC" w:rsidRPr="00EF5A5F">
        <w:t>).</w:t>
      </w:r>
    </w:p>
    <w:p w:rsidR="00DD49BC" w:rsidRDefault="00DD49BC" w:rsidP="00137F6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D49BC" w:rsidTr="00A26D57">
        <w:tc>
          <w:tcPr>
            <w:tcW w:w="8771" w:type="dxa"/>
            <w:tcBorders>
              <w:top w:val="single" w:sz="6" w:space="0" w:color="78A22F"/>
              <w:left w:val="nil"/>
              <w:bottom w:val="nil"/>
              <w:right w:val="nil"/>
            </w:tcBorders>
            <w:shd w:val="clear" w:color="auto" w:fill="auto"/>
          </w:tcPr>
          <w:p w:rsidR="00DD49BC" w:rsidRPr="00176D3F" w:rsidRDefault="00DD49BC" w:rsidP="00F3610C">
            <w:pPr>
              <w:pStyle w:val="FigureTitle"/>
            </w:pPr>
            <w:r w:rsidRPr="00784A05">
              <w:rPr>
                <w:b w:val="0"/>
              </w:rPr>
              <w:t xml:space="preserve">Figure </w:t>
            </w:r>
            <w:r>
              <w:rPr>
                <w:b w:val="0"/>
              </w:rPr>
              <w:t>5.</w:t>
            </w:r>
            <w:r w:rsidR="00D80B1E">
              <w:rPr>
                <w:b w:val="0"/>
                <w:noProof/>
              </w:rPr>
              <w:t>14</w:t>
            </w:r>
            <w:r>
              <w:tab/>
            </w:r>
            <w:r w:rsidRPr="00171E10">
              <w:t>Government real recurrent expenditure per hour of load pass (201</w:t>
            </w:r>
            <w:r w:rsidR="00F3610C">
              <w:t>3</w:t>
            </w:r>
            <w:r w:rsidRPr="00171E10">
              <w:t> dollars)</w:t>
            </w:r>
            <w:r w:rsidRPr="00171E10">
              <w:rPr>
                <w:rStyle w:val="NoteLabel"/>
                <w:b/>
              </w:rPr>
              <w:t>a, b, c</w:t>
            </w:r>
            <w:r>
              <w:rPr>
                <w:rStyle w:val="NoteLabel"/>
                <w:b/>
              </w:rPr>
              <w:t>, d</w:t>
            </w:r>
            <w:r w:rsidR="00CA7F9D">
              <w:rPr>
                <w:rStyle w:val="NoteLabel"/>
                <w:b/>
              </w:rPr>
              <w:t xml:space="preserve"> </w:t>
            </w:r>
          </w:p>
        </w:tc>
      </w:tr>
      <w:tr w:rsidR="00DD49BC" w:rsidTr="00A26D57">
        <w:tc>
          <w:tcPr>
            <w:tcW w:w="8771" w:type="dxa"/>
            <w:tcBorders>
              <w:top w:val="nil"/>
              <w:left w:val="nil"/>
              <w:bottom w:val="nil"/>
              <w:right w:val="nil"/>
            </w:tcBorders>
            <w:shd w:val="clear" w:color="auto" w:fill="auto"/>
            <w:tcMar>
              <w:top w:w="28" w:type="dxa"/>
              <w:bottom w:w="28" w:type="dxa"/>
            </w:tcMar>
          </w:tcPr>
          <w:tbl>
            <w:tblPr>
              <w:tblW w:w="5000" w:type="pct"/>
              <w:tblLayout w:type="fixed"/>
              <w:tblCellMar>
                <w:top w:w="28" w:type="dxa"/>
                <w:left w:w="0" w:type="dxa"/>
                <w:right w:w="0" w:type="dxa"/>
              </w:tblCellMar>
              <w:tblLook w:val="0000" w:firstRow="0" w:lastRow="0" w:firstColumn="0" w:lastColumn="0" w:noHBand="0" w:noVBand="0"/>
            </w:tblPr>
            <w:tblGrid>
              <w:gridCol w:w="8487"/>
            </w:tblGrid>
            <w:tr w:rsidR="00DD49BC" w:rsidTr="00A26D57">
              <w:tc>
                <w:tcPr>
                  <w:tcW w:w="5000" w:type="pct"/>
                </w:tcPr>
                <w:p w:rsidR="00DD49BC" w:rsidRDefault="009F6491" w:rsidP="00DD49BC">
                  <w:pPr>
                    <w:pStyle w:val="Figure"/>
                    <w:spacing w:before="60" w:after="60"/>
                  </w:pPr>
                  <w:r>
                    <w:rPr>
                      <w:noProof/>
                    </w:rPr>
                    <w:drawing>
                      <wp:inline distT="0" distB="0" distL="0" distR="0">
                        <wp:extent cx="5305425" cy="2686050"/>
                        <wp:effectExtent l="0" t="0" r="9525" b="0"/>
                        <wp:docPr id="21" name="Picture 21" descr="Figure 5.14 Government real recurrent expenditure per hour of load pass (2013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05425" cy="2686050"/>
                                </a:xfrm>
                                <a:prstGeom prst="rect">
                                  <a:avLst/>
                                </a:prstGeom>
                                <a:noFill/>
                                <a:ln>
                                  <a:noFill/>
                                </a:ln>
                              </pic:spPr>
                            </pic:pic>
                          </a:graphicData>
                        </a:graphic>
                      </wp:inline>
                    </w:drawing>
                  </w:r>
                </w:p>
              </w:tc>
            </w:tr>
          </w:tbl>
          <w:p w:rsidR="00DD49BC" w:rsidRDefault="00DD49BC" w:rsidP="00137F60">
            <w:pPr>
              <w:pStyle w:val="Figure"/>
            </w:pPr>
          </w:p>
        </w:tc>
      </w:tr>
      <w:tr w:rsidR="00DD49BC" w:rsidRPr="00176D3F" w:rsidTr="00137F60">
        <w:tc>
          <w:tcPr>
            <w:tcW w:w="8771" w:type="dxa"/>
            <w:tcBorders>
              <w:top w:val="nil"/>
              <w:left w:val="nil"/>
              <w:bottom w:val="nil"/>
              <w:right w:val="nil"/>
            </w:tcBorders>
            <w:shd w:val="clear" w:color="auto" w:fill="auto"/>
          </w:tcPr>
          <w:p w:rsidR="00DD49BC" w:rsidRPr="00176D3F" w:rsidRDefault="00DD49BC" w:rsidP="00460754">
            <w:pPr>
              <w:pStyle w:val="Note"/>
            </w:pPr>
            <w:proofErr w:type="spellStart"/>
            <w:r w:rsidRPr="00171E10">
              <w:rPr>
                <w:rStyle w:val="NoteLabel"/>
              </w:rPr>
              <w:t>a</w:t>
            </w:r>
            <w:proofErr w:type="spellEnd"/>
            <w:r w:rsidRPr="00171E10">
              <w:t xml:space="preserve"> The ACT does not levy payroll tax on its VET employees. A payroll tax estimate based on the ACT payroll tax rate has been included in the expenditure data for the ACT. </w:t>
            </w:r>
            <w:r w:rsidRPr="00171E10">
              <w:rPr>
                <w:rStyle w:val="NoteLabel"/>
              </w:rPr>
              <w:t>b</w:t>
            </w:r>
            <w:r w:rsidRPr="00171E10">
              <w:t xml:space="preserve"> Data for Australia exclude the ACT payroll tax estimate</w:t>
            </w:r>
            <w:r w:rsidR="00CA7F9D">
              <w:t>, but include actual payroll tax for all other jurisdictions</w:t>
            </w:r>
            <w:r w:rsidRPr="00171E10">
              <w:t xml:space="preserve">. </w:t>
            </w:r>
            <w:r w:rsidRPr="00171E10">
              <w:rPr>
                <w:rStyle w:val="NoteLabel"/>
              </w:rPr>
              <w:t>c</w:t>
            </w:r>
            <w:r w:rsidRPr="00171E10">
              <w:t> </w:t>
            </w:r>
            <w:r w:rsidRPr="009D3389">
              <w:t>The variation in WA’s expenditure from 2011 to 2012 largely reflects the move from fortnightly to quarterly payments to State Training Providers.</w:t>
            </w:r>
            <w:r>
              <w:t xml:space="preserve"> </w:t>
            </w:r>
            <w:r w:rsidRPr="009D3389">
              <w:rPr>
                <w:rStyle w:val="NoteLabel"/>
              </w:rPr>
              <w:t>d</w:t>
            </w:r>
            <w:r>
              <w:t> </w:t>
            </w:r>
            <w:r w:rsidRPr="00171E10">
              <w:t>Historical data have been adjusted to 201</w:t>
            </w:r>
            <w:r w:rsidR="00460754">
              <w:t>3</w:t>
            </w:r>
            <w:r w:rsidRPr="00171E10">
              <w:t xml:space="preserve"> dollars using the GDP chain price index deflator (table </w:t>
            </w:r>
            <w:proofErr w:type="spellStart"/>
            <w:r w:rsidRPr="00171E10">
              <w:t>5A.</w:t>
            </w:r>
            <w:r>
              <w:t>9</w:t>
            </w:r>
            <w:r w:rsidR="00F83513">
              <w:t>3</w:t>
            </w:r>
            <w:proofErr w:type="spellEnd"/>
            <w:r w:rsidRPr="00171E10">
              <w:t>). Recent volatility in the deflator series affects annual movements of real expenditure.</w:t>
            </w:r>
          </w:p>
        </w:tc>
      </w:tr>
      <w:tr w:rsidR="00DD49BC" w:rsidRPr="00176D3F" w:rsidTr="00137F60">
        <w:tc>
          <w:tcPr>
            <w:tcW w:w="8771" w:type="dxa"/>
            <w:tcBorders>
              <w:top w:val="nil"/>
              <w:left w:val="nil"/>
              <w:bottom w:val="nil"/>
              <w:right w:val="nil"/>
            </w:tcBorders>
            <w:shd w:val="clear" w:color="auto" w:fill="auto"/>
          </w:tcPr>
          <w:p w:rsidR="00DD49BC" w:rsidRPr="00176D3F" w:rsidRDefault="00DD49BC" w:rsidP="00137F60">
            <w:pPr>
              <w:pStyle w:val="Source"/>
            </w:pPr>
            <w:r w:rsidRPr="00171E10">
              <w:rPr>
                <w:i/>
              </w:rPr>
              <w:t>Source:</w:t>
            </w:r>
            <w:r w:rsidRPr="00171E10">
              <w:t xml:space="preserve"> NCVER (unpublished) National financial and VET provider collections; table </w:t>
            </w:r>
            <w:proofErr w:type="spellStart"/>
            <w:r w:rsidRPr="00171E10">
              <w:t>5A.20</w:t>
            </w:r>
            <w:proofErr w:type="spellEnd"/>
            <w:r w:rsidRPr="00171E10">
              <w:t>.</w:t>
            </w:r>
          </w:p>
        </w:tc>
      </w:tr>
      <w:tr w:rsidR="00DD49BC" w:rsidTr="00137F60">
        <w:tc>
          <w:tcPr>
            <w:tcW w:w="8771" w:type="dxa"/>
            <w:tcBorders>
              <w:top w:val="nil"/>
              <w:left w:val="nil"/>
              <w:bottom w:val="single" w:sz="6" w:space="0" w:color="78A22F"/>
              <w:right w:val="nil"/>
            </w:tcBorders>
            <w:shd w:val="clear" w:color="auto" w:fill="auto"/>
          </w:tcPr>
          <w:p w:rsidR="00DD49BC" w:rsidRDefault="00DD49BC" w:rsidP="00137F60">
            <w:pPr>
              <w:pStyle w:val="Figurespace"/>
            </w:pPr>
          </w:p>
        </w:tc>
      </w:tr>
      <w:tr w:rsidR="00DD49BC" w:rsidRPr="000863A5" w:rsidTr="00137F60">
        <w:tc>
          <w:tcPr>
            <w:tcW w:w="8771" w:type="dxa"/>
            <w:tcBorders>
              <w:top w:val="single" w:sz="6" w:space="0" w:color="78A22F"/>
              <w:left w:val="nil"/>
              <w:bottom w:val="nil"/>
              <w:right w:val="nil"/>
            </w:tcBorders>
          </w:tcPr>
          <w:p w:rsidR="00DD49BC" w:rsidRPr="00626D32" w:rsidRDefault="00DD49BC" w:rsidP="00137F60">
            <w:pPr>
              <w:pStyle w:val="BoxSpaceBelow"/>
            </w:pPr>
          </w:p>
        </w:tc>
      </w:tr>
    </w:tbl>
    <w:p w:rsidR="00C57336" w:rsidRPr="00EF5A5F" w:rsidRDefault="00142638" w:rsidP="00281C53">
      <w:pPr>
        <w:pStyle w:val="Heading5"/>
      </w:pPr>
      <w:r w:rsidRPr="00EF5A5F">
        <w:t>User c</w:t>
      </w:r>
      <w:r w:rsidR="003B68FC" w:rsidRPr="00EF5A5F">
        <w:t xml:space="preserve">ost of capital per annual hour </w:t>
      </w:r>
    </w:p>
    <w:p w:rsidR="00C57336" w:rsidRDefault="00295628" w:rsidP="009621D0">
      <w:pPr>
        <w:pStyle w:val="BodyText"/>
      </w:pPr>
      <w:r w:rsidRPr="00EF5A5F">
        <w:t>‘</w:t>
      </w:r>
      <w:r w:rsidR="00142638" w:rsidRPr="00EF5A5F">
        <w:t>User c</w:t>
      </w:r>
      <w:r w:rsidRPr="00EF5A5F">
        <w:t xml:space="preserve">ost of capital per annual hour’ is an indicator of </w:t>
      </w:r>
      <w:r w:rsidR="00B77C37" w:rsidRPr="00EF5A5F">
        <w:t>governments’ objective to provide VET services in an efficient manner</w:t>
      </w:r>
      <w:r w:rsidRPr="00EF5A5F">
        <w:t xml:space="preserve">. The </w:t>
      </w:r>
      <w:r w:rsidR="00142638" w:rsidRPr="00EF5A5F">
        <w:t>user cost of capital</w:t>
      </w:r>
      <w:r w:rsidRPr="00EF5A5F">
        <w:t xml:space="preserve"> is included in estimates of the cost of government services because it reflects the opportunity cost of government assets. Not reporting the user cost of capital underestimates the cost to </w:t>
      </w:r>
      <w:r w:rsidR="00A84F67" w:rsidRPr="00EF5A5F">
        <w:t>government of service provision</w:t>
      </w:r>
      <w:r w:rsidRPr="00EF5A5F">
        <w:t xml:space="preserve"> </w:t>
      </w:r>
      <w:r w:rsidR="00C57336" w:rsidRPr="00EF5A5F">
        <w:t xml:space="preserve">(box </w:t>
      </w:r>
      <w:r w:rsidR="00442BBD">
        <w:t>5.9</w:t>
      </w:r>
      <w:r w:rsidR="00C57336" w:rsidRPr="00EF5A5F">
        <w:t xml:space="preserve">). </w:t>
      </w:r>
    </w:p>
    <w:p w:rsidR="00DD49BC" w:rsidRDefault="00DD49B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D49BC" w:rsidTr="00137F60">
        <w:tc>
          <w:tcPr>
            <w:tcW w:w="8771" w:type="dxa"/>
            <w:tcBorders>
              <w:top w:val="single" w:sz="6" w:space="0" w:color="78A22F"/>
              <w:left w:val="nil"/>
              <w:bottom w:val="nil"/>
              <w:right w:val="nil"/>
            </w:tcBorders>
            <w:shd w:val="clear" w:color="auto" w:fill="F2F2F2" w:themeFill="background1" w:themeFillShade="F2"/>
          </w:tcPr>
          <w:p w:rsidR="00DD49BC" w:rsidRDefault="00DD49BC" w:rsidP="00DD49BC">
            <w:pPr>
              <w:pStyle w:val="BoxTitle"/>
            </w:pPr>
            <w:r>
              <w:rPr>
                <w:b w:val="0"/>
              </w:rPr>
              <w:t>Box 5.</w:t>
            </w:r>
            <w:r w:rsidR="00D80B1E">
              <w:rPr>
                <w:b w:val="0"/>
                <w:noProof/>
              </w:rPr>
              <w:t>9</w:t>
            </w:r>
            <w:r>
              <w:tab/>
            </w:r>
            <w:r w:rsidRPr="00EF5A5F">
              <w:t>User cost of capital per annual hour</w:t>
            </w:r>
          </w:p>
        </w:tc>
      </w:tr>
      <w:tr w:rsidR="00DD49BC" w:rsidTr="00137F60">
        <w:trPr>
          <w:cantSplit/>
        </w:trPr>
        <w:tc>
          <w:tcPr>
            <w:tcW w:w="8771" w:type="dxa"/>
            <w:tcBorders>
              <w:top w:val="nil"/>
              <w:left w:val="nil"/>
              <w:bottom w:val="nil"/>
              <w:right w:val="nil"/>
            </w:tcBorders>
            <w:shd w:val="clear" w:color="auto" w:fill="F2F2F2" w:themeFill="background1" w:themeFillShade="F2"/>
          </w:tcPr>
          <w:p w:rsidR="00DD49BC" w:rsidRPr="00EF5A5F" w:rsidRDefault="00DD49BC" w:rsidP="00137F60">
            <w:pPr>
              <w:pStyle w:val="Box"/>
            </w:pPr>
            <w:r w:rsidRPr="00EF5A5F">
              <w:t xml:space="preserve">‘User cost of capital per annual hour’ is defined as the user cost of capital (adjusted for course mix weight) divided by government funded annual hours. User cost of capital is 8 per cent of the value of total physical non-current assets. Annual hours are the total hours of delivery based on the standard nominal hour value for each subject undertaken. These represent the hours of supervised training under a traditional delivery strategy. </w:t>
            </w:r>
          </w:p>
          <w:p w:rsidR="00DD49BC" w:rsidRPr="00EF5A5F" w:rsidRDefault="00DD49BC" w:rsidP="00137F60">
            <w:pPr>
              <w:pStyle w:val="Box"/>
            </w:pPr>
            <w:r w:rsidRPr="00EF5A5F">
              <w:t xml:space="preserve">Low or decreasing total costs per annual hour can reflect higher efficiency in the delivery of VET services. </w:t>
            </w:r>
          </w:p>
          <w:p w:rsidR="00DD49BC" w:rsidRPr="00EF5A5F" w:rsidRDefault="00DD49BC" w:rsidP="00137F60">
            <w:pPr>
              <w:pStyle w:val="Box"/>
            </w:pPr>
            <w:r w:rsidRPr="00EF5A5F">
              <w:t xml:space="preserve">User cost of capital per annual hour </w:t>
            </w:r>
            <w:r w:rsidR="00CA7F9D">
              <w:t>should</w:t>
            </w:r>
            <w:r w:rsidRPr="00EF5A5F">
              <w:t xml:space="preserve"> be interpreted carefully because low unit costs may not necessarily reflect a lessening of quality. Differences in some input costs (for example, land values) can affect reported costs across jurisdictions without necessarily reflecting the efficiency of service delivery. The user cost of capital for land is presented separately from the cost of other assets, to allow users assessing the results to consider any differences in land values across jurisdictions. The Steering Committee has adopted a nominal user cost of capital rate of 8 per cent, although the actual rate may vary across jurisdictions. The basis for the 8 per cent capital charge is discussed in chapter </w:t>
            </w:r>
            <w:r>
              <w:t>1</w:t>
            </w:r>
            <w:r w:rsidRPr="00EF5A5F">
              <w:t>.</w:t>
            </w:r>
          </w:p>
          <w:p w:rsidR="00DD49BC" w:rsidRPr="00EF5A5F" w:rsidRDefault="00DD49BC" w:rsidP="00137F60">
            <w:pPr>
              <w:pStyle w:val="Box"/>
            </w:pPr>
            <w:r w:rsidRPr="009F0F4A">
              <w:t>User cost of capital per annual hour is adjusted for course mix differences across jurisdictions (more i</w:t>
            </w:r>
            <w:r w:rsidRPr="00FD3D47">
              <w:t>nformation is provided in box 5.6)</w:t>
            </w:r>
            <w:r w:rsidRPr="00EF5A5F">
              <w:t>.</w:t>
            </w:r>
          </w:p>
          <w:p w:rsidR="00DD49BC" w:rsidRDefault="00DD49BC" w:rsidP="00137F60">
            <w:pPr>
              <w:pStyle w:val="Box"/>
            </w:pPr>
            <w:r>
              <w:t xml:space="preserve">Data reported for this measure are </w:t>
            </w:r>
          </w:p>
          <w:p w:rsidR="00DD49BC" w:rsidRDefault="00DD49BC" w:rsidP="00137F60">
            <w:pPr>
              <w:pStyle w:val="BoxListBullet"/>
            </w:pPr>
            <w:r>
              <w:t>comparable (subject to caveats) across jurisdictions and over time</w:t>
            </w:r>
          </w:p>
          <w:p w:rsidR="00DD49BC" w:rsidRDefault="00DD49BC" w:rsidP="00137F60">
            <w:pPr>
              <w:pStyle w:val="BoxListBullet"/>
            </w:pPr>
            <w:r>
              <w:t>complete for the current reporting period (subject to caveats). All required 201</w:t>
            </w:r>
            <w:r w:rsidR="00F3610C">
              <w:t>3</w:t>
            </w:r>
            <w:r>
              <w:t xml:space="preserve"> data are available for all jurisdictions providing the service.</w:t>
            </w:r>
          </w:p>
          <w:p w:rsidR="00DD49BC" w:rsidRPr="00EF5A5F" w:rsidRDefault="00DD49BC" w:rsidP="00F3610C">
            <w:pPr>
              <w:pStyle w:val="Box"/>
            </w:pPr>
            <w:r w:rsidRPr="00EF5A5F">
              <w:t xml:space="preserve">Data quality information for this indicator </w:t>
            </w:r>
            <w:r w:rsidR="006E0D24">
              <w:t>is at www.pc.gov.au/</w:t>
            </w:r>
            <w:proofErr w:type="spellStart"/>
            <w:r w:rsidRPr="00EF5A5F">
              <w:t>rogs</w:t>
            </w:r>
            <w:proofErr w:type="spellEnd"/>
            <w:r w:rsidRPr="00EF5A5F">
              <w:t>/</w:t>
            </w:r>
            <w:r>
              <w:t>201</w:t>
            </w:r>
            <w:r w:rsidR="00F3610C">
              <w:t>5</w:t>
            </w:r>
            <w:r w:rsidRPr="00EF5A5F">
              <w:t>.</w:t>
            </w:r>
          </w:p>
        </w:tc>
      </w:tr>
      <w:tr w:rsidR="00DD49BC" w:rsidTr="00137F60">
        <w:trPr>
          <w:cantSplit/>
        </w:trPr>
        <w:tc>
          <w:tcPr>
            <w:tcW w:w="8771" w:type="dxa"/>
            <w:tcBorders>
              <w:top w:val="nil"/>
              <w:left w:val="nil"/>
              <w:bottom w:val="single" w:sz="6" w:space="0" w:color="78A22F"/>
              <w:right w:val="nil"/>
            </w:tcBorders>
            <w:shd w:val="clear" w:color="auto" w:fill="F2F2F2" w:themeFill="background1" w:themeFillShade="F2"/>
          </w:tcPr>
          <w:p w:rsidR="00DD49BC" w:rsidRDefault="00DD49BC">
            <w:pPr>
              <w:pStyle w:val="Box"/>
              <w:spacing w:before="0" w:line="120" w:lineRule="exact"/>
            </w:pPr>
          </w:p>
        </w:tc>
      </w:tr>
      <w:tr w:rsidR="00DD49BC" w:rsidRPr="000863A5" w:rsidTr="00137F60">
        <w:tc>
          <w:tcPr>
            <w:tcW w:w="8771" w:type="dxa"/>
            <w:tcBorders>
              <w:top w:val="single" w:sz="6" w:space="0" w:color="78A22F"/>
              <w:left w:val="nil"/>
              <w:bottom w:val="nil"/>
              <w:right w:val="nil"/>
            </w:tcBorders>
          </w:tcPr>
          <w:p w:rsidR="00DD49BC" w:rsidRPr="00626D32" w:rsidRDefault="00DD49BC" w:rsidP="00137F60">
            <w:pPr>
              <w:pStyle w:val="BoxSpaceBelow"/>
            </w:pPr>
          </w:p>
        </w:tc>
      </w:tr>
    </w:tbl>
    <w:p w:rsidR="00C57336" w:rsidRDefault="00C57336" w:rsidP="00EC52AB">
      <w:pPr>
        <w:pStyle w:val="BodyText"/>
      </w:pPr>
      <w:r w:rsidRPr="00EF5A5F">
        <w:t xml:space="preserve">Nationally, the </w:t>
      </w:r>
      <w:r w:rsidR="00142638" w:rsidRPr="00EF5A5F">
        <w:t xml:space="preserve">user cost of </w:t>
      </w:r>
      <w:r w:rsidR="00142638" w:rsidRPr="006C5A10">
        <w:t>capital</w:t>
      </w:r>
      <w:r w:rsidRPr="006C5A10">
        <w:t xml:space="preserve"> per annual hour in </w:t>
      </w:r>
      <w:r w:rsidR="00CE6D0B" w:rsidRPr="006C5A10">
        <w:t>201</w:t>
      </w:r>
      <w:r w:rsidR="00F3610C">
        <w:t>3</w:t>
      </w:r>
      <w:r w:rsidR="00CE6D0B" w:rsidRPr="006C5A10">
        <w:t xml:space="preserve"> </w:t>
      </w:r>
      <w:r w:rsidRPr="006C5A10">
        <w:t xml:space="preserve">was </w:t>
      </w:r>
      <w:r w:rsidR="00BF289D" w:rsidRPr="006C5A10">
        <w:t>$</w:t>
      </w:r>
      <w:r w:rsidR="009940ED">
        <w:t>2.05</w:t>
      </w:r>
      <w:r w:rsidRPr="006C5A10">
        <w:t xml:space="preserve">. The largest components of </w:t>
      </w:r>
      <w:r w:rsidR="00142638" w:rsidRPr="006C5A10">
        <w:t>user cost of capital</w:t>
      </w:r>
      <w:r w:rsidRPr="006C5A10">
        <w:t xml:space="preserve"> per annual</w:t>
      </w:r>
      <w:r w:rsidR="00B75B00" w:rsidRPr="006C5A10">
        <w:t xml:space="preserve"> hour were building costs (</w:t>
      </w:r>
      <w:r w:rsidR="00BF289D" w:rsidRPr="006C5A10">
        <w:t>$</w:t>
      </w:r>
      <w:r w:rsidR="009940ED">
        <w:t xml:space="preserve">1.49) </w:t>
      </w:r>
      <w:r w:rsidRPr="006C5A10">
        <w:t>followed by land costs (</w:t>
      </w:r>
      <w:r w:rsidR="00BF289D" w:rsidRPr="006C5A10">
        <w:t>$</w:t>
      </w:r>
      <w:r w:rsidR="009940ED">
        <w:t>0.41</w:t>
      </w:r>
      <w:r w:rsidRPr="006C5A10">
        <w:t xml:space="preserve">) (figure </w:t>
      </w:r>
      <w:r w:rsidR="00442BBD">
        <w:t>5.15</w:t>
      </w:r>
      <w:r w:rsidRPr="00EF5A5F">
        <w:t>).</w:t>
      </w:r>
    </w:p>
    <w:p w:rsidR="00FA7D52" w:rsidRDefault="00FA7D52" w:rsidP="00137F6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A7D52" w:rsidTr="00137F60">
        <w:tc>
          <w:tcPr>
            <w:tcW w:w="8771" w:type="dxa"/>
            <w:tcBorders>
              <w:top w:val="single" w:sz="6" w:space="0" w:color="78A22F"/>
              <w:left w:val="nil"/>
              <w:bottom w:val="nil"/>
              <w:right w:val="nil"/>
            </w:tcBorders>
            <w:shd w:val="clear" w:color="auto" w:fill="auto"/>
          </w:tcPr>
          <w:p w:rsidR="00FA7D52" w:rsidRPr="00176D3F" w:rsidRDefault="00FA7D52" w:rsidP="00F3610C">
            <w:pPr>
              <w:pStyle w:val="FigureTitle"/>
            </w:pPr>
            <w:r w:rsidRPr="00784A05">
              <w:rPr>
                <w:b w:val="0"/>
              </w:rPr>
              <w:t xml:space="preserve">Figure </w:t>
            </w:r>
            <w:r>
              <w:rPr>
                <w:b w:val="0"/>
              </w:rPr>
              <w:t>5.</w:t>
            </w:r>
            <w:r w:rsidR="00D80B1E">
              <w:rPr>
                <w:b w:val="0"/>
                <w:noProof/>
              </w:rPr>
              <w:t>15</w:t>
            </w:r>
            <w:r>
              <w:tab/>
            </w:r>
            <w:r w:rsidRPr="00250878">
              <w:t>User cost of capital per annual hour, 201</w:t>
            </w:r>
            <w:r w:rsidR="00F3610C">
              <w:t>3</w:t>
            </w:r>
            <w:r w:rsidRPr="00250878">
              <w:rPr>
                <w:rStyle w:val="NoteLabel"/>
                <w:b/>
              </w:rPr>
              <w:t>a</w:t>
            </w:r>
          </w:p>
        </w:tc>
      </w:tr>
      <w:tr w:rsidR="00FA7D52" w:rsidTr="00137F60">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487"/>
            </w:tblGrid>
            <w:tr w:rsidR="00FA7D52" w:rsidTr="00137F60">
              <w:tc>
                <w:tcPr>
                  <w:tcW w:w="5000" w:type="pct"/>
                  <w:tcBorders>
                    <w:top w:val="nil"/>
                    <w:bottom w:val="nil"/>
                  </w:tcBorders>
                </w:tcPr>
                <w:p w:rsidR="00FA7D52" w:rsidRDefault="009F6491" w:rsidP="00137F60">
                  <w:pPr>
                    <w:pStyle w:val="Figure"/>
                    <w:spacing w:before="60" w:after="60"/>
                  </w:pPr>
                  <w:r>
                    <w:rPr>
                      <w:noProof/>
                    </w:rPr>
                    <w:drawing>
                      <wp:inline distT="0" distB="0" distL="0" distR="0">
                        <wp:extent cx="5381625" cy="2695575"/>
                        <wp:effectExtent l="0" t="0" r="9525" b="9525"/>
                        <wp:docPr id="22" name="Picture 22" descr="Figure 5.15 User corst of capital per annual hour,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81625" cy="2695575"/>
                                </a:xfrm>
                                <a:prstGeom prst="rect">
                                  <a:avLst/>
                                </a:prstGeom>
                                <a:noFill/>
                                <a:ln>
                                  <a:noFill/>
                                </a:ln>
                              </pic:spPr>
                            </pic:pic>
                          </a:graphicData>
                        </a:graphic>
                      </wp:inline>
                    </w:drawing>
                  </w:r>
                </w:p>
              </w:tc>
            </w:tr>
          </w:tbl>
          <w:p w:rsidR="00FA7D52" w:rsidRDefault="00FA7D52" w:rsidP="00137F60">
            <w:pPr>
              <w:pStyle w:val="Figure"/>
            </w:pPr>
          </w:p>
        </w:tc>
      </w:tr>
      <w:tr w:rsidR="00FA7D52" w:rsidRPr="00176D3F" w:rsidTr="00137F60">
        <w:tc>
          <w:tcPr>
            <w:tcW w:w="8771" w:type="dxa"/>
            <w:tcBorders>
              <w:top w:val="nil"/>
              <w:left w:val="nil"/>
              <w:bottom w:val="nil"/>
              <w:right w:val="nil"/>
            </w:tcBorders>
            <w:shd w:val="clear" w:color="auto" w:fill="auto"/>
          </w:tcPr>
          <w:p w:rsidR="00FA7D52" w:rsidRPr="00176D3F" w:rsidRDefault="00FA7D52" w:rsidP="00460754">
            <w:pPr>
              <w:pStyle w:val="Note"/>
            </w:pPr>
            <w:r w:rsidRPr="00171E10">
              <w:rPr>
                <w:rStyle w:val="NoteLabel"/>
              </w:rPr>
              <w:t>a</w:t>
            </w:r>
            <w:r w:rsidRPr="00171E10">
              <w:sym w:font="Symbol" w:char="F020"/>
            </w:r>
            <w:r w:rsidRPr="00171E10">
              <w:t xml:space="preserve"> ‘All other user cost of capital’ includes plant, equipment, motor vehicles and other capital. See table</w:t>
            </w:r>
            <w:r w:rsidR="00460754">
              <w:t> </w:t>
            </w:r>
            <w:proofErr w:type="spellStart"/>
            <w:r w:rsidRPr="00171E10">
              <w:t>5A.21</w:t>
            </w:r>
            <w:proofErr w:type="spellEnd"/>
            <w:r w:rsidRPr="00171E10">
              <w:t xml:space="preserve"> for further information.</w:t>
            </w:r>
          </w:p>
        </w:tc>
      </w:tr>
      <w:tr w:rsidR="00FA7D52" w:rsidRPr="00176D3F" w:rsidTr="00137F60">
        <w:tc>
          <w:tcPr>
            <w:tcW w:w="8771" w:type="dxa"/>
            <w:tcBorders>
              <w:top w:val="nil"/>
              <w:left w:val="nil"/>
              <w:bottom w:val="nil"/>
              <w:right w:val="nil"/>
            </w:tcBorders>
            <w:shd w:val="clear" w:color="auto" w:fill="auto"/>
          </w:tcPr>
          <w:p w:rsidR="00FA7D52" w:rsidRPr="00176D3F" w:rsidRDefault="00FA7D52" w:rsidP="00137F60">
            <w:pPr>
              <w:pStyle w:val="Source"/>
            </w:pPr>
            <w:r w:rsidRPr="00171E10">
              <w:rPr>
                <w:i/>
              </w:rPr>
              <w:t>Source</w:t>
            </w:r>
            <w:r w:rsidRPr="00171E10">
              <w:t xml:space="preserve">: NCVER (unpublished) National financial and VET provider collections; table </w:t>
            </w:r>
            <w:proofErr w:type="spellStart"/>
            <w:r w:rsidRPr="00171E10">
              <w:t>5A.21</w:t>
            </w:r>
            <w:proofErr w:type="spellEnd"/>
            <w:r w:rsidRPr="00171E10">
              <w:t>.</w:t>
            </w:r>
          </w:p>
        </w:tc>
      </w:tr>
      <w:tr w:rsidR="00FA7D52" w:rsidTr="00137F60">
        <w:tc>
          <w:tcPr>
            <w:tcW w:w="8771" w:type="dxa"/>
            <w:tcBorders>
              <w:top w:val="nil"/>
              <w:left w:val="nil"/>
              <w:bottom w:val="single" w:sz="6" w:space="0" w:color="78A22F"/>
              <w:right w:val="nil"/>
            </w:tcBorders>
            <w:shd w:val="clear" w:color="auto" w:fill="auto"/>
          </w:tcPr>
          <w:p w:rsidR="00FA7D52" w:rsidRDefault="00FA7D52" w:rsidP="00137F60">
            <w:pPr>
              <w:pStyle w:val="Figurespace"/>
            </w:pPr>
          </w:p>
        </w:tc>
      </w:tr>
      <w:tr w:rsidR="00FA7D52" w:rsidRPr="000863A5" w:rsidTr="00137F60">
        <w:tc>
          <w:tcPr>
            <w:tcW w:w="8771" w:type="dxa"/>
            <w:tcBorders>
              <w:top w:val="single" w:sz="6" w:space="0" w:color="78A22F"/>
              <w:left w:val="nil"/>
              <w:bottom w:val="nil"/>
              <w:right w:val="nil"/>
            </w:tcBorders>
          </w:tcPr>
          <w:p w:rsidR="00FA7D52" w:rsidRPr="00626D32" w:rsidRDefault="00FA7D52" w:rsidP="00137F60">
            <w:pPr>
              <w:pStyle w:val="BoxSpaceBelow"/>
            </w:pPr>
          </w:p>
        </w:tc>
      </w:tr>
    </w:tbl>
    <w:p w:rsidR="0099273C" w:rsidRPr="00EF5A5F" w:rsidRDefault="0099273C" w:rsidP="001803EF">
      <w:pPr>
        <w:pStyle w:val="BodyText"/>
        <w:shd w:val="clear" w:color="auto" w:fill="FFFFFF" w:themeFill="background1"/>
      </w:pPr>
      <w:r w:rsidRPr="001803EF">
        <w:t>Table</w:t>
      </w:r>
      <w:r w:rsidR="00A31382" w:rsidRPr="001803EF">
        <w:t>s</w:t>
      </w:r>
      <w:r w:rsidRPr="001803EF">
        <w:t xml:space="preserve"> </w:t>
      </w:r>
      <w:proofErr w:type="spellStart"/>
      <w:r w:rsidRPr="001803EF">
        <w:t>5A.22</w:t>
      </w:r>
      <w:proofErr w:type="spellEnd"/>
      <w:r w:rsidR="00A31382" w:rsidRPr="001803EF">
        <w:t xml:space="preserve"> and </w:t>
      </w:r>
      <w:proofErr w:type="spellStart"/>
      <w:r w:rsidR="00A31382" w:rsidRPr="001803EF">
        <w:t>5A.23</w:t>
      </w:r>
      <w:proofErr w:type="spellEnd"/>
      <w:r w:rsidRPr="001803EF">
        <w:t xml:space="preserve"> provide</w:t>
      </w:r>
      <w:r w:rsidR="001803EF" w:rsidRPr="001803EF">
        <w:t xml:space="preserve"> </w:t>
      </w:r>
      <w:r w:rsidRPr="001803EF">
        <w:t xml:space="preserve">additional information on the total cost to government of funding VET per annual hour </w:t>
      </w:r>
      <w:r w:rsidR="00A31382" w:rsidRPr="001803EF">
        <w:t>over a 10</w:t>
      </w:r>
      <w:r w:rsidR="00A31382" w:rsidRPr="001803EF">
        <w:noBreakHyphen/>
        <w:t xml:space="preserve">year time series </w:t>
      </w:r>
      <w:r w:rsidRPr="001803EF">
        <w:t>(includ</w:t>
      </w:r>
      <w:r w:rsidR="009935F9" w:rsidRPr="001803EF">
        <w:t>ing</w:t>
      </w:r>
      <w:r w:rsidRPr="001803EF">
        <w:t xml:space="preserve"> both the user cost of capital and recurrent costs).</w:t>
      </w:r>
    </w:p>
    <w:p w:rsidR="006148D2" w:rsidRPr="00EF5A5F" w:rsidRDefault="006148D2" w:rsidP="006148D2">
      <w:pPr>
        <w:pStyle w:val="Heading5"/>
      </w:pPr>
      <w:r w:rsidRPr="00EF5A5F">
        <w:t>User cost of capital per load pass</w:t>
      </w:r>
    </w:p>
    <w:p w:rsidR="00C57336" w:rsidRDefault="00D5141C" w:rsidP="006148D2">
      <w:pPr>
        <w:pStyle w:val="BodyText"/>
      </w:pPr>
      <w:r w:rsidRPr="00EF5A5F">
        <w:t>‘</w:t>
      </w:r>
      <w:r w:rsidR="003F412D" w:rsidRPr="00EF5A5F">
        <w:t>User c</w:t>
      </w:r>
      <w:r w:rsidRPr="00EF5A5F">
        <w:t xml:space="preserve">ost of capital per load pass’ is an indicator of </w:t>
      </w:r>
      <w:r w:rsidR="000543C4" w:rsidRPr="00EF5A5F">
        <w:t>governments’ objective to provide VET services in an efficient manner</w:t>
      </w:r>
      <w:r w:rsidRPr="00EF5A5F">
        <w:t xml:space="preserve">. The </w:t>
      </w:r>
      <w:r w:rsidR="003F412D" w:rsidRPr="00EF5A5F">
        <w:t>user cost of capital</w:t>
      </w:r>
      <w:r w:rsidRPr="00EF5A5F">
        <w:t xml:space="preserve"> is included in estimates of the cost of government services because it reflects the opportunity cost of government assets. Not reporting the user cost of capital underestimates the cost to </w:t>
      </w:r>
      <w:r w:rsidR="00A84F67" w:rsidRPr="00EF5A5F">
        <w:t>government of service provision</w:t>
      </w:r>
      <w:r w:rsidRPr="00EF5A5F">
        <w:t xml:space="preserve"> </w:t>
      </w:r>
      <w:r w:rsidR="00553D45" w:rsidRPr="00EF5A5F">
        <w:t>(box</w:t>
      </w:r>
      <w:r w:rsidR="001803EF">
        <w:t xml:space="preserve"> </w:t>
      </w:r>
      <w:r w:rsidR="00442BBD">
        <w:t>5.10</w:t>
      </w:r>
      <w:r w:rsidR="00C57336" w:rsidRPr="00EF5A5F">
        <w:t>).</w:t>
      </w:r>
    </w:p>
    <w:p w:rsidR="00FA7D52" w:rsidRDefault="00FA7D5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A7D52" w:rsidTr="00137F60">
        <w:tc>
          <w:tcPr>
            <w:tcW w:w="8771" w:type="dxa"/>
            <w:tcBorders>
              <w:top w:val="single" w:sz="6" w:space="0" w:color="78A22F"/>
              <w:left w:val="nil"/>
              <w:bottom w:val="nil"/>
              <w:right w:val="nil"/>
            </w:tcBorders>
            <w:shd w:val="clear" w:color="auto" w:fill="F2F2F2" w:themeFill="background1" w:themeFillShade="F2"/>
          </w:tcPr>
          <w:p w:rsidR="00FA7D52" w:rsidRDefault="00FA7D52" w:rsidP="00FA7D52">
            <w:pPr>
              <w:pStyle w:val="BoxTitle"/>
            </w:pPr>
            <w:r>
              <w:rPr>
                <w:b w:val="0"/>
              </w:rPr>
              <w:t>Box 5.</w:t>
            </w:r>
            <w:r w:rsidR="00D80B1E">
              <w:rPr>
                <w:b w:val="0"/>
                <w:noProof/>
              </w:rPr>
              <w:t>10</w:t>
            </w:r>
            <w:r>
              <w:tab/>
            </w:r>
            <w:r w:rsidRPr="00EF5A5F">
              <w:t>User cost of capital per load pass</w:t>
            </w:r>
          </w:p>
        </w:tc>
      </w:tr>
      <w:tr w:rsidR="00FA7D52" w:rsidTr="00137F60">
        <w:trPr>
          <w:cantSplit/>
        </w:trPr>
        <w:tc>
          <w:tcPr>
            <w:tcW w:w="8771" w:type="dxa"/>
            <w:tcBorders>
              <w:top w:val="nil"/>
              <w:left w:val="nil"/>
              <w:bottom w:val="nil"/>
              <w:right w:val="nil"/>
            </w:tcBorders>
            <w:shd w:val="clear" w:color="auto" w:fill="F2F2F2" w:themeFill="background1" w:themeFillShade="F2"/>
          </w:tcPr>
          <w:p w:rsidR="00FA7D52" w:rsidRPr="00EF5A5F" w:rsidRDefault="00FA7D52" w:rsidP="00137F60">
            <w:pPr>
              <w:pStyle w:val="Box"/>
            </w:pPr>
            <w:r w:rsidRPr="00EF5A5F">
              <w:t xml:space="preserve">‘User cost of capital per load pass’ is defined as the user cost of capital divided by hours of </w:t>
            </w:r>
            <w:r>
              <w:t>government</w:t>
            </w:r>
            <w:r w:rsidRPr="00EF5A5F">
              <w:t xml:space="preserve"> funded load pass. User cost of capital is 8 per cent of the value of total physical non-current assets. Load pass is based on assessable enrolments of modules and units of competency achieved/passed and </w:t>
            </w:r>
            <w:proofErr w:type="spellStart"/>
            <w:r w:rsidRPr="00EF5A5F">
              <w:t>RPL</w:t>
            </w:r>
            <w:proofErr w:type="spellEnd"/>
            <w:r w:rsidRPr="00EF5A5F">
              <w:t>, and does not include non</w:t>
            </w:r>
            <w:r w:rsidRPr="00EF5A5F">
              <w:noBreakHyphen/>
              <w:t>assessable enrolments.</w:t>
            </w:r>
          </w:p>
          <w:p w:rsidR="00FA7D52" w:rsidRPr="00EF5A5F" w:rsidRDefault="00FA7D52" w:rsidP="00137F60">
            <w:pPr>
              <w:pStyle w:val="Box"/>
            </w:pPr>
            <w:r w:rsidRPr="00EF5A5F">
              <w:t>Low or decreasing total costs per load pass hour can reflect higher efficiency in the delivery of VET services.</w:t>
            </w:r>
          </w:p>
          <w:p w:rsidR="00FA7D52" w:rsidRPr="00EF5A5F" w:rsidRDefault="00FA7D52" w:rsidP="00137F60">
            <w:pPr>
              <w:pStyle w:val="Box"/>
            </w:pPr>
            <w:r w:rsidRPr="00EF5A5F">
              <w:t xml:space="preserve">User cost of capital per load pass </w:t>
            </w:r>
            <w:r w:rsidR="00CA7F9D">
              <w:t>should</w:t>
            </w:r>
            <w:r w:rsidRPr="00EF5A5F">
              <w:t xml:space="preserve"> be interpreted carefully because differences in some input costs (for example, land values) could affect reported costs across jurisdictions without necessarily reflecting the efficiency of service delivery. The user cost of capital for land is presented separately from the cost of other assets, to allow users assessing the results to consider any differences in land values across jurisdictions. The Steering Committee has adopted a nominal user cost of capital rate of 8</w:t>
            </w:r>
            <w:r w:rsidR="001803EF">
              <w:t xml:space="preserve"> </w:t>
            </w:r>
            <w:r w:rsidRPr="00EF5A5F">
              <w:t>per</w:t>
            </w:r>
            <w:r w:rsidR="001803EF">
              <w:t xml:space="preserve"> </w:t>
            </w:r>
            <w:r w:rsidRPr="00EF5A5F">
              <w:t>cent, although the actual rate may vary across jurisdictions. The basis for the 8</w:t>
            </w:r>
            <w:r w:rsidR="001803EF">
              <w:t xml:space="preserve"> </w:t>
            </w:r>
            <w:r w:rsidRPr="00EF5A5F">
              <w:t>per</w:t>
            </w:r>
            <w:r w:rsidR="001803EF">
              <w:t xml:space="preserve"> </w:t>
            </w:r>
            <w:r w:rsidRPr="00EF5A5F">
              <w:t xml:space="preserve">cent capital charge is discussed in chapter </w:t>
            </w:r>
            <w:r>
              <w:t>1</w:t>
            </w:r>
            <w:r w:rsidRPr="00EF5A5F">
              <w:t>.</w:t>
            </w:r>
          </w:p>
          <w:p w:rsidR="00FA7D52" w:rsidRDefault="00FA7D52" w:rsidP="00137F60">
            <w:pPr>
              <w:pStyle w:val="Box"/>
            </w:pPr>
            <w:r>
              <w:t xml:space="preserve">Data reported for this measure are </w:t>
            </w:r>
          </w:p>
          <w:p w:rsidR="00FA7D52" w:rsidRDefault="00FA7D52" w:rsidP="00137F60">
            <w:pPr>
              <w:pStyle w:val="BoxListBullet"/>
            </w:pPr>
            <w:r>
              <w:t>comparable (subject to caveats) across jurisdictions and over time</w:t>
            </w:r>
          </w:p>
          <w:p w:rsidR="00FA7D52" w:rsidRDefault="00FA7D52" w:rsidP="00137F60">
            <w:pPr>
              <w:pStyle w:val="BoxListBullet"/>
            </w:pPr>
            <w:r>
              <w:t>complete for the current reporting period (subject to caveats). All required 201</w:t>
            </w:r>
            <w:r w:rsidR="00F3610C">
              <w:t>3</w:t>
            </w:r>
            <w:r>
              <w:t xml:space="preserve"> data are available for all jurisdictions providing the service.</w:t>
            </w:r>
          </w:p>
          <w:p w:rsidR="00FA7D52" w:rsidRPr="00EF5A5F" w:rsidRDefault="00FA7D52" w:rsidP="00F3610C">
            <w:pPr>
              <w:pStyle w:val="Box"/>
            </w:pPr>
            <w:r w:rsidRPr="00EF5A5F">
              <w:t xml:space="preserve">Data quality information for this indicator </w:t>
            </w:r>
            <w:r w:rsidR="006E0D24">
              <w:t>is at www.pc.gov.au/</w:t>
            </w:r>
            <w:proofErr w:type="spellStart"/>
            <w:r w:rsidRPr="00EF5A5F">
              <w:t>rogs</w:t>
            </w:r>
            <w:proofErr w:type="spellEnd"/>
            <w:r w:rsidRPr="00EF5A5F">
              <w:t>/</w:t>
            </w:r>
            <w:r>
              <w:t>201</w:t>
            </w:r>
            <w:r w:rsidR="00F3610C">
              <w:t>5</w:t>
            </w:r>
            <w:r w:rsidRPr="00EF5A5F">
              <w:t>.</w:t>
            </w:r>
          </w:p>
        </w:tc>
      </w:tr>
      <w:tr w:rsidR="00FA7D52" w:rsidTr="00137F60">
        <w:trPr>
          <w:cantSplit/>
        </w:trPr>
        <w:tc>
          <w:tcPr>
            <w:tcW w:w="8771" w:type="dxa"/>
            <w:tcBorders>
              <w:top w:val="nil"/>
              <w:left w:val="nil"/>
              <w:bottom w:val="single" w:sz="6" w:space="0" w:color="78A22F"/>
              <w:right w:val="nil"/>
            </w:tcBorders>
            <w:shd w:val="clear" w:color="auto" w:fill="F2F2F2" w:themeFill="background1" w:themeFillShade="F2"/>
          </w:tcPr>
          <w:p w:rsidR="00FA7D52" w:rsidRDefault="00FA7D52">
            <w:pPr>
              <w:pStyle w:val="Box"/>
              <w:spacing w:before="0" w:line="120" w:lineRule="exact"/>
            </w:pPr>
          </w:p>
        </w:tc>
      </w:tr>
      <w:tr w:rsidR="00FA7D52" w:rsidRPr="000863A5" w:rsidTr="00137F60">
        <w:tc>
          <w:tcPr>
            <w:tcW w:w="8771" w:type="dxa"/>
            <w:tcBorders>
              <w:top w:val="single" w:sz="6" w:space="0" w:color="78A22F"/>
              <w:left w:val="nil"/>
              <w:bottom w:val="nil"/>
              <w:right w:val="nil"/>
            </w:tcBorders>
          </w:tcPr>
          <w:p w:rsidR="00FA7D52" w:rsidRPr="00626D32" w:rsidRDefault="00FA7D52" w:rsidP="00137F60">
            <w:pPr>
              <w:pStyle w:val="BoxSpaceBelow"/>
            </w:pPr>
          </w:p>
        </w:tc>
      </w:tr>
    </w:tbl>
    <w:p w:rsidR="008B2039" w:rsidRDefault="008B2039" w:rsidP="0095094B">
      <w:pPr>
        <w:pStyle w:val="BodyText"/>
      </w:pPr>
      <w:r w:rsidRPr="00EF5A5F">
        <w:t xml:space="preserve">In </w:t>
      </w:r>
      <w:r w:rsidR="00CE6D0B">
        <w:t>201</w:t>
      </w:r>
      <w:r w:rsidR="00F3610C">
        <w:t>3</w:t>
      </w:r>
      <w:r w:rsidRPr="00EF5A5F">
        <w:t xml:space="preserve">, the </w:t>
      </w:r>
      <w:r w:rsidR="003F412D" w:rsidRPr="00EF5A5F">
        <w:t xml:space="preserve">user cost of </w:t>
      </w:r>
      <w:r w:rsidR="003F412D" w:rsidRPr="006C5A10">
        <w:t>capital</w:t>
      </w:r>
      <w:r w:rsidRPr="006C5A10">
        <w:t xml:space="preserve"> per load pass hour was </w:t>
      </w:r>
      <w:r w:rsidR="00603BB3">
        <w:t xml:space="preserve">$2.48 </w:t>
      </w:r>
      <w:r w:rsidRPr="006C5A10">
        <w:t>nationally</w:t>
      </w:r>
      <w:r w:rsidR="009C66AD" w:rsidRPr="006C5A10">
        <w:t>.</w:t>
      </w:r>
      <w:r w:rsidR="00DC4F98" w:rsidRPr="006C5A10">
        <w:t xml:space="preserve"> </w:t>
      </w:r>
      <w:r w:rsidR="000F127B" w:rsidRPr="006C5A10">
        <w:t>T</w:t>
      </w:r>
      <w:r w:rsidRPr="006C5A10">
        <w:t>he larges</w:t>
      </w:r>
      <w:r w:rsidR="00CE7D93" w:rsidRPr="006C5A10">
        <w:t xml:space="preserve">t components were building </w:t>
      </w:r>
      <w:r w:rsidR="00A31382">
        <w:t>($1.80</w:t>
      </w:r>
      <w:r w:rsidRPr="006C5A10">
        <w:t>) and land (</w:t>
      </w:r>
      <w:r w:rsidR="003A7FD6" w:rsidRPr="006C5A10">
        <w:t>$</w:t>
      </w:r>
      <w:r w:rsidR="00A31382">
        <w:t>0.49</w:t>
      </w:r>
      <w:r w:rsidRPr="006C5A10">
        <w:t xml:space="preserve">) costs (figure </w:t>
      </w:r>
      <w:r w:rsidR="00442BBD" w:rsidRPr="006C5A10">
        <w:t>5</w:t>
      </w:r>
      <w:r w:rsidR="00442BBD">
        <w:t>.16</w:t>
      </w:r>
      <w:r w:rsidRPr="00EF5A5F">
        <w:t>).</w:t>
      </w:r>
    </w:p>
    <w:p w:rsidR="00FA7D52" w:rsidRDefault="00FA7D52" w:rsidP="00137F6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A7D52" w:rsidTr="00137F60">
        <w:tc>
          <w:tcPr>
            <w:tcW w:w="8771" w:type="dxa"/>
            <w:tcBorders>
              <w:top w:val="single" w:sz="6" w:space="0" w:color="78A22F"/>
              <w:left w:val="nil"/>
              <w:bottom w:val="nil"/>
              <w:right w:val="nil"/>
            </w:tcBorders>
            <w:shd w:val="clear" w:color="auto" w:fill="auto"/>
          </w:tcPr>
          <w:p w:rsidR="00FA7D52" w:rsidRPr="00176D3F" w:rsidRDefault="00FA7D52" w:rsidP="00F3610C">
            <w:pPr>
              <w:pStyle w:val="FigureTitle"/>
            </w:pPr>
            <w:r w:rsidRPr="00784A05">
              <w:rPr>
                <w:b w:val="0"/>
              </w:rPr>
              <w:t xml:space="preserve">Figure </w:t>
            </w:r>
            <w:r>
              <w:rPr>
                <w:b w:val="0"/>
              </w:rPr>
              <w:t>5.</w:t>
            </w:r>
            <w:r w:rsidR="00D80B1E">
              <w:rPr>
                <w:b w:val="0"/>
                <w:noProof/>
              </w:rPr>
              <w:t>16</w:t>
            </w:r>
            <w:r>
              <w:tab/>
            </w:r>
            <w:r w:rsidRPr="00250878">
              <w:t xml:space="preserve">User cost of capital per hour of load pass, </w:t>
            </w:r>
            <w:r w:rsidRPr="00683BA9">
              <w:t>201</w:t>
            </w:r>
            <w:r w:rsidR="00F3610C">
              <w:t>3</w:t>
            </w:r>
            <w:r w:rsidRPr="00683BA9">
              <w:rPr>
                <w:rStyle w:val="NoteLabel"/>
                <w:b/>
              </w:rPr>
              <w:t>a, b</w:t>
            </w:r>
          </w:p>
        </w:tc>
      </w:tr>
      <w:tr w:rsidR="00FA7D52" w:rsidTr="00137F60">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FA7D52" w:rsidTr="00FA7D52">
              <w:tc>
                <w:tcPr>
                  <w:tcW w:w="5000" w:type="pct"/>
                  <w:tcBorders>
                    <w:top w:val="nil"/>
                    <w:bottom w:val="nil"/>
                  </w:tcBorders>
                </w:tcPr>
                <w:p w:rsidR="00FA7D52" w:rsidRDefault="009F6491" w:rsidP="00FA7D52">
                  <w:pPr>
                    <w:pStyle w:val="Figure"/>
                    <w:spacing w:before="60" w:after="60"/>
                  </w:pPr>
                  <w:r>
                    <w:rPr>
                      <w:noProof/>
                    </w:rPr>
                    <w:drawing>
                      <wp:inline distT="0" distB="0" distL="0" distR="0">
                        <wp:extent cx="5381625" cy="2686050"/>
                        <wp:effectExtent l="0" t="0" r="9525" b="0"/>
                        <wp:docPr id="23" name="Picture 23" descr="Figure 5.16 User cost of capital per hour of load pass,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381625" cy="2686050"/>
                                </a:xfrm>
                                <a:prstGeom prst="rect">
                                  <a:avLst/>
                                </a:prstGeom>
                                <a:noFill/>
                                <a:ln>
                                  <a:noFill/>
                                </a:ln>
                              </pic:spPr>
                            </pic:pic>
                          </a:graphicData>
                        </a:graphic>
                      </wp:inline>
                    </w:drawing>
                  </w:r>
                </w:p>
              </w:tc>
            </w:tr>
          </w:tbl>
          <w:p w:rsidR="00FA7D52" w:rsidRDefault="00FA7D52" w:rsidP="00137F60">
            <w:pPr>
              <w:pStyle w:val="Figure"/>
            </w:pPr>
          </w:p>
        </w:tc>
      </w:tr>
      <w:tr w:rsidR="00FA7D52" w:rsidRPr="00176D3F" w:rsidTr="00137F60">
        <w:tc>
          <w:tcPr>
            <w:tcW w:w="8771" w:type="dxa"/>
            <w:tcBorders>
              <w:top w:val="nil"/>
              <w:left w:val="nil"/>
              <w:bottom w:val="nil"/>
              <w:right w:val="nil"/>
            </w:tcBorders>
            <w:shd w:val="clear" w:color="auto" w:fill="auto"/>
          </w:tcPr>
          <w:p w:rsidR="00FA7D52" w:rsidRPr="00176D3F" w:rsidRDefault="00FA7D52" w:rsidP="00FA7D52">
            <w:pPr>
              <w:pStyle w:val="Note"/>
              <w:keepNext/>
            </w:pPr>
            <w:r w:rsidRPr="00171E10">
              <w:rPr>
                <w:rStyle w:val="NoteLabel"/>
              </w:rPr>
              <w:t>a</w:t>
            </w:r>
            <w:r w:rsidRPr="00171E10">
              <w:t xml:space="preserve"> Load pass is based on assessable enrolments of modules and units of competency achieved/passed and </w:t>
            </w:r>
            <w:proofErr w:type="spellStart"/>
            <w:r w:rsidRPr="00171E10">
              <w:t>RPL</w:t>
            </w:r>
            <w:proofErr w:type="spellEnd"/>
            <w:r w:rsidRPr="00171E10">
              <w:t xml:space="preserve">. It does not include non-assessable enrolments. </w:t>
            </w:r>
            <w:r w:rsidRPr="00171E10">
              <w:rPr>
                <w:rStyle w:val="NoteLabel"/>
              </w:rPr>
              <w:t>b</w:t>
            </w:r>
            <w:r w:rsidRPr="00171E10">
              <w:t xml:space="preserve"> ‘All other user cost of capital’ includes plant, equipment, motor vehicles and other capital.</w:t>
            </w:r>
          </w:p>
        </w:tc>
      </w:tr>
      <w:tr w:rsidR="00FA7D52" w:rsidRPr="00176D3F" w:rsidTr="00137F60">
        <w:tc>
          <w:tcPr>
            <w:tcW w:w="8771" w:type="dxa"/>
            <w:tcBorders>
              <w:top w:val="nil"/>
              <w:left w:val="nil"/>
              <w:bottom w:val="nil"/>
              <w:right w:val="nil"/>
            </w:tcBorders>
            <w:shd w:val="clear" w:color="auto" w:fill="auto"/>
          </w:tcPr>
          <w:p w:rsidR="00FA7D52" w:rsidRPr="00176D3F" w:rsidRDefault="00FA7D52" w:rsidP="00137F60">
            <w:pPr>
              <w:pStyle w:val="Source"/>
            </w:pPr>
            <w:r w:rsidRPr="00171E10">
              <w:rPr>
                <w:i/>
              </w:rPr>
              <w:t>Source</w:t>
            </w:r>
            <w:r w:rsidRPr="00171E10">
              <w:t xml:space="preserve">: NCVER (unpublished) National financial and VET provider collections; table </w:t>
            </w:r>
            <w:proofErr w:type="spellStart"/>
            <w:r w:rsidRPr="00171E10">
              <w:t>5A.2</w:t>
            </w:r>
            <w:r w:rsidR="00A31382">
              <w:t>1</w:t>
            </w:r>
            <w:proofErr w:type="spellEnd"/>
            <w:r w:rsidRPr="00171E10">
              <w:t>.</w:t>
            </w:r>
          </w:p>
        </w:tc>
      </w:tr>
      <w:tr w:rsidR="00FA7D52" w:rsidTr="00137F60">
        <w:tc>
          <w:tcPr>
            <w:tcW w:w="8771" w:type="dxa"/>
            <w:tcBorders>
              <w:top w:val="nil"/>
              <w:left w:val="nil"/>
              <w:bottom w:val="single" w:sz="6" w:space="0" w:color="78A22F"/>
              <w:right w:val="nil"/>
            </w:tcBorders>
            <w:shd w:val="clear" w:color="auto" w:fill="auto"/>
          </w:tcPr>
          <w:p w:rsidR="00FA7D52" w:rsidRDefault="00FA7D52" w:rsidP="00137F60">
            <w:pPr>
              <w:pStyle w:val="Figurespace"/>
            </w:pPr>
          </w:p>
        </w:tc>
      </w:tr>
      <w:tr w:rsidR="00FA7D52" w:rsidRPr="000863A5" w:rsidTr="00137F60">
        <w:tc>
          <w:tcPr>
            <w:tcW w:w="8771" w:type="dxa"/>
            <w:tcBorders>
              <w:top w:val="single" w:sz="6" w:space="0" w:color="78A22F"/>
              <w:left w:val="nil"/>
              <w:bottom w:val="nil"/>
              <w:right w:val="nil"/>
            </w:tcBorders>
          </w:tcPr>
          <w:p w:rsidR="00FA7D52" w:rsidRPr="00626D32" w:rsidRDefault="00FA7D52" w:rsidP="00137F60">
            <w:pPr>
              <w:pStyle w:val="BoxSpaceBelow"/>
            </w:pPr>
          </w:p>
        </w:tc>
      </w:tr>
    </w:tbl>
    <w:p w:rsidR="00A31382" w:rsidRPr="00EF5A5F" w:rsidRDefault="00A31382" w:rsidP="001803EF">
      <w:pPr>
        <w:pStyle w:val="BodyText"/>
        <w:shd w:val="clear" w:color="auto" w:fill="FFFFFF" w:themeFill="background1"/>
      </w:pPr>
      <w:r w:rsidRPr="00EF5A5F">
        <w:t>Table</w:t>
      </w:r>
      <w:r>
        <w:t>s</w:t>
      </w:r>
      <w:r w:rsidRPr="00EF5A5F">
        <w:t xml:space="preserve"> </w:t>
      </w:r>
      <w:proofErr w:type="spellStart"/>
      <w:r w:rsidRPr="00EF5A5F">
        <w:t>5A.22</w:t>
      </w:r>
      <w:proofErr w:type="spellEnd"/>
      <w:r>
        <w:t xml:space="preserve"> and </w:t>
      </w:r>
      <w:proofErr w:type="spellStart"/>
      <w:r>
        <w:t>5A.24</w:t>
      </w:r>
      <w:proofErr w:type="spellEnd"/>
      <w:r w:rsidRPr="00EF5A5F">
        <w:t xml:space="preserve"> provide additional information on the total cost to government of funding VET per </w:t>
      </w:r>
      <w:r>
        <w:t>load pass</w:t>
      </w:r>
      <w:r w:rsidRPr="00EF5A5F">
        <w:t xml:space="preserve"> hour </w:t>
      </w:r>
      <w:r>
        <w:t>over a 10</w:t>
      </w:r>
      <w:r>
        <w:noBreakHyphen/>
        <w:t xml:space="preserve">year time series </w:t>
      </w:r>
      <w:r w:rsidRPr="00EF5A5F">
        <w:t>(includ</w:t>
      </w:r>
      <w:r>
        <w:t>ing</w:t>
      </w:r>
      <w:r w:rsidRPr="00EF5A5F">
        <w:t xml:space="preserve"> both the user cost of capital and recurrent costs).</w:t>
      </w:r>
    </w:p>
    <w:p w:rsidR="00C57336" w:rsidRPr="00EF5A5F" w:rsidRDefault="00C57336" w:rsidP="00281C53">
      <w:pPr>
        <w:pStyle w:val="Heading3"/>
      </w:pPr>
      <w:r w:rsidRPr="00EF5A5F">
        <w:t>Outcomes</w:t>
      </w:r>
    </w:p>
    <w:p w:rsidR="00C57336" w:rsidRPr="00EF5A5F" w:rsidRDefault="007B2759" w:rsidP="00C57336">
      <w:pPr>
        <w:pStyle w:val="BodyText"/>
      </w:pPr>
      <w:r w:rsidRPr="00EF5A5F">
        <w:t xml:space="preserve">Outcomes are the impact of services on the status of an individual or group (while outputs are the services delivered) (see chapter 1, section 1.5). </w:t>
      </w:r>
      <w:r w:rsidR="00C57336" w:rsidRPr="00EF5A5F">
        <w:t xml:space="preserve">The objectives for VET services </w:t>
      </w:r>
      <w:r w:rsidR="00DC725E">
        <w:t xml:space="preserve">include </w:t>
      </w:r>
      <w:r w:rsidR="00C57336" w:rsidRPr="00EF5A5F">
        <w:t>a range of outcomes for students and employers (box</w:t>
      </w:r>
      <w:r w:rsidR="001803EF">
        <w:t xml:space="preserve"> </w:t>
      </w:r>
      <w:r w:rsidR="00442BBD">
        <w:t>5.3</w:t>
      </w:r>
      <w:r w:rsidR="00C57336" w:rsidRPr="00EF5A5F">
        <w:t xml:space="preserve">). </w:t>
      </w:r>
    </w:p>
    <w:p w:rsidR="00C57336" w:rsidRPr="00EF5A5F" w:rsidRDefault="00C57336" w:rsidP="00281C53">
      <w:pPr>
        <w:pStyle w:val="Heading4"/>
      </w:pPr>
      <w:r w:rsidRPr="00EF5A5F">
        <w:t xml:space="preserve">Student outcomes </w:t>
      </w:r>
    </w:p>
    <w:p w:rsidR="00C57336" w:rsidRDefault="008F67BC" w:rsidP="00CC7F11">
      <w:pPr>
        <w:pStyle w:val="BodyText"/>
      </w:pPr>
      <w:r w:rsidRPr="00EF5A5F">
        <w:t xml:space="preserve">The annual </w:t>
      </w:r>
      <w:r w:rsidR="00C57336" w:rsidRPr="00EF5A5F">
        <w:rPr>
          <w:i/>
        </w:rPr>
        <w:t>Student Outcomes Survey</w:t>
      </w:r>
      <w:r w:rsidR="00C57336" w:rsidRPr="00EF5A5F">
        <w:t xml:space="preserve"> conducted by the NCVER identifies training outcomes for students who graduated with a qualification from a course (graduates) and students who successfully completed some training below the level of full qualification and who were no longer engaged in training when the survey was undertaken (module completers). The students must have been undertaking activity within the VET system in Australia in the previous year (box</w:t>
      </w:r>
      <w:r w:rsidR="00D2242D" w:rsidRPr="00EF5A5F">
        <w:t xml:space="preserve"> </w:t>
      </w:r>
      <w:r w:rsidR="00442BBD">
        <w:t>5.11</w:t>
      </w:r>
      <w:r w:rsidR="00C57336" w:rsidRPr="00EF5A5F">
        <w:t>).</w:t>
      </w:r>
    </w:p>
    <w:p w:rsidR="00FA7D52" w:rsidRDefault="00FA7D5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A7D52" w:rsidTr="00137F60">
        <w:tc>
          <w:tcPr>
            <w:tcW w:w="8771" w:type="dxa"/>
            <w:tcBorders>
              <w:top w:val="single" w:sz="6" w:space="0" w:color="78A22F"/>
              <w:left w:val="nil"/>
              <w:bottom w:val="nil"/>
              <w:right w:val="nil"/>
            </w:tcBorders>
            <w:shd w:val="clear" w:color="auto" w:fill="F2F2F2" w:themeFill="background1" w:themeFillShade="F2"/>
          </w:tcPr>
          <w:p w:rsidR="00FA7D52" w:rsidRDefault="00FA7D52" w:rsidP="00FA7D52">
            <w:pPr>
              <w:pStyle w:val="BoxTitle"/>
            </w:pPr>
            <w:r>
              <w:rPr>
                <w:b w:val="0"/>
              </w:rPr>
              <w:t>Box 5.</w:t>
            </w:r>
            <w:r w:rsidR="00D80B1E">
              <w:rPr>
                <w:b w:val="0"/>
                <w:noProof/>
              </w:rPr>
              <w:t>11</w:t>
            </w:r>
            <w:r>
              <w:tab/>
            </w:r>
            <w:r w:rsidRPr="00EF5A5F">
              <w:t>Student Outcomes Survey</w:t>
            </w:r>
          </w:p>
        </w:tc>
      </w:tr>
      <w:tr w:rsidR="00FA7D52" w:rsidTr="00137F60">
        <w:trPr>
          <w:cantSplit/>
        </w:trPr>
        <w:tc>
          <w:tcPr>
            <w:tcW w:w="8771" w:type="dxa"/>
            <w:tcBorders>
              <w:top w:val="nil"/>
              <w:left w:val="nil"/>
              <w:bottom w:val="nil"/>
              <w:right w:val="nil"/>
            </w:tcBorders>
            <w:shd w:val="clear" w:color="auto" w:fill="F2F2F2" w:themeFill="background1" w:themeFillShade="F2"/>
          </w:tcPr>
          <w:p w:rsidR="00FA7D52" w:rsidRPr="00EF5A5F" w:rsidRDefault="00FA7D52" w:rsidP="00137F60">
            <w:pPr>
              <w:pStyle w:val="Box"/>
            </w:pPr>
            <w:r w:rsidRPr="00EF5A5F">
              <w:t xml:space="preserve">The </w:t>
            </w:r>
            <w:r w:rsidR="00DC725E" w:rsidRPr="00DC725E">
              <w:t xml:space="preserve">Student Outcomes Survey </w:t>
            </w:r>
            <w:r w:rsidR="00DC725E">
              <w:t xml:space="preserve">collects data </w:t>
            </w:r>
            <w:r w:rsidRPr="00EF5A5F">
              <w:t>about graduates and module completers</w:t>
            </w:r>
            <w:r w:rsidR="00DC725E">
              <w:t>, including</w:t>
            </w:r>
            <w:r w:rsidRPr="00EF5A5F">
              <w:t xml:space="preserve"> their general characteristics, fields of study, employment outcomes, occupations, industries of employment, satisfaction with their course of study, and further study outcomes.</w:t>
            </w:r>
          </w:p>
          <w:p w:rsidR="00FA7D52" w:rsidRPr="00EF5A5F" w:rsidRDefault="00FA7D52" w:rsidP="00137F60">
            <w:pPr>
              <w:pStyle w:val="Box"/>
            </w:pPr>
            <w:r w:rsidRPr="00EF5A5F">
              <w:t xml:space="preserve">The survey collects the opinions of a sample of VET students, so the results are estimates of the opinions of the total VET student population. The sample is randomly selected and stratified for graduates and module completers by TAFE institute, field of study, sex and age. Responses are weighted to population benchmarks to minimise non-response bias. </w:t>
            </w:r>
          </w:p>
          <w:p w:rsidR="00FA7D52" w:rsidRPr="00EF5A5F" w:rsidRDefault="00FA7D52" w:rsidP="00137F60">
            <w:pPr>
              <w:pStyle w:val="Box"/>
            </w:pPr>
            <w:r w:rsidRPr="00EF5A5F">
              <w:t xml:space="preserve">The precision of survey estimates depends on the sample size and the distribution of sample responses. Consequently, jurisdictional comparisons </w:t>
            </w:r>
            <w:r w:rsidR="00DC725E">
              <w:t>should</w:t>
            </w:r>
            <w:r w:rsidRPr="00EF5A5F">
              <w:t xml:space="preserve"> be made with care. To assist with making comparisons across jurisdictions, error bars representing the 95 per cent confidence intervals associated with each point estimate are presented in the survey figures. These confidence intervals can be used to indicate whether there are likely to be statistically significant differences across jurisdictions. When comparing the estimates, if the confidence intervals for the jurisdictions do not overlap, then the estimates are statistically significantly different (at the 95 per cent confidence level). Confidence intervals are also included in the associated attachment tables.</w:t>
            </w:r>
          </w:p>
          <w:p w:rsidR="00FA7D52" w:rsidRPr="00EF5A5F" w:rsidRDefault="00FA7D52" w:rsidP="00137F60">
            <w:pPr>
              <w:pStyle w:val="Box"/>
            </w:pPr>
            <w:r w:rsidRPr="00EF5A5F">
              <w:t>The Student Outcomes Survey yields data on all VET providers, capturing government funded students (TAFE, private and community education providers) as well as those training on a fee</w:t>
            </w:r>
            <w:r w:rsidRPr="00EF5A5F">
              <w:noBreakHyphen/>
              <w:t>for</w:t>
            </w:r>
            <w:r w:rsidRPr="00EF5A5F">
              <w:noBreakHyphen/>
              <w:t xml:space="preserve">service basis (TAFE and some private and community education providers). The discussion of student outcomes in the chapter focuses on government funded VET graduates, that is, students who undertook government funded VET activity. </w:t>
            </w:r>
          </w:p>
          <w:p w:rsidR="00FA7D52" w:rsidRPr="00EF5A5F" w:rsidRDefault="00FA7D52" w:rsidP="00DC725E">
            <w:pPr>
              <w:pStyle w:val="Box"/>
            </w:pPr>
            <w:r w:rsidRPr="00EF5A5F">
              <w:t xml:space="preserve">Care </w:t>
            </w:r>
            <w:r w:rsidR="00DC725E">
              <w:t>should</w:t>
            </w:r>
            <w:r w:rsidRPr="00EF5A5F">
              <w:t xml:space="preserve"> be taken when comparing student outcomes across states and territories, because each jurisdiction has different economic, demographic and social profiles that are likely to have an effect on a range of training related outcomes. In particular, economic parameters beyond the control of the VET system may affect employment outcomes for graduates (see </w:t>
            </w:r>
            <w:r>
              <w:t>chapter 2</w:t>
            </w:r>
            <w:r w:rsidRPr="00EF5A5F">
              <w:t>).</w:t>
            </w:r>
          </w:p>
        </w:tc>
      </w:tr>
      <w:tr w:rsidR="00FA7D52" w:rsidTr="00137F60">
        <w:trPr>
          <w:cantSplit/>
        </w:trPr>
        <w:tc>
          <w:tcPr>
            <w:tcW w:w="8771" w:type="dxa"/>
            <w:tcBorders>
              <w:top w:val="nil"/>
              <w:left w:val="nil"/>
              <w:bottom w:val="single" w:sz="6" w:space="0" w:color="78A22F"/>
              <w:right w:val="nil"/>
            </w:tcBorders>
            <w:shd w:val="clear" w:color="auto" w:fill="F2F2F2" w:themeFill="background1" w:themeFillShade="F2"/>
          </w:tcPr>
          <w:p w:rsidR="00FA7D52" w:rsidRDefault="00FA7D52">
            <w:pPr>
              <w:pStyle w:val="Box"/>
              <w:spacing w:before="0" w:line="120" w:lineRule="exact"/>
            </w:pPr>
          </w:p>
        </w:tc>
      </w:tr>
      <w:tr w:rsidR="00FA7D52" w:rsidRPr="000863A5" w:rsidTr="00137F60">
        <w:tc>
          <w:tcPr>
            <w:tcW w:w="8771" w:type="dxa"/>
            <w:tcBorders>
              <w:top w:val="single" w:sz="6" w:space="0" w:color="78A22F"/>
              <w:left w:val="nil"/>
              <w:bottom w:val="nil"/>
              <w:right w:val="nil"/>
            </w:tcBorders>
          </w:tcPr>
          <w:p w:rsidR="00FA7D52" w:rsidRPr="00626D32" w:rsidRDefault="00FA7D52" w:rsidP="00137F60">
            <w:pPr>
              <w:pStyle w:val="BoxSpaceBelow"/>
            </w:pPr>
          </w:p>
        </w:tc>
      </w:tr>
    </w:tbl>
    <w:p w:rsidR="00C57336" w:rsidRPr="00EF5A5F" w:rsidRDefault="00C57336" w:rsidP="00A52937">
      <w:pPr>
        <w:pStyle w:val="Heading5"/>
      </w:pPr>
      <w:r w:rsidRPr="00EF5A5F">
        <w:t>Student employment and further study outcomes</w:t>
      </w:r>
    </w:p>
    <w:p w:rsidR="00C57336" w:rsidRDefault="00D8167A" w:rsidP="00D64BF3">
      <w:pPr>
        <w:pStyle w:val="BodyText"/>
      </w:pPr>
      <w:r w:rsidRPr="00EF5A5F">
        <w:t xml:space="preserve">‘Student employment and further study outcomes’ is an indicator </w:t>
      </w:r>
      <w:r w:rsidR="00E040AE" w:rsidRPr="00EF5A5F">
        <w:t xml:space="preserve">of </w:t>
      </w:r>
      <w:r w:rsidR="000543C4" w:rsidRPr="00EF5A5F">
        <w:t>governments’ objective for the VET system</w:t>
      </w:r>
      <w:r w:rsidR="00D17EFB" w:rsidRPr="00EF5A5F">
        <w:t xml:space="preserve"> to meet individual students’ objectives</w:t>
      </w:r>
      <w:r w:rsidR="00DB378D" w:rsidRPr="00EF5A5F">
        <w:t>.</w:t>
      </w:r>
      <w:r w:rsidR="00E040AE" w:rsidRPr="00EF5A5F">
        <w:t xml:space="preserve"> </w:t>
      </w:r>
      <w:r w:rsidRPr="00EF5A5F">
        <w:t>It reports on the benefits students gained from the VET system. These benefits include employment, improved employment circumstances, a pathway for further study/tra</w:t>
      </w:r>
      <w:r w:rsidR="00A84F67" w:rsidRPr="00EF5A5F">
        <w:t>ining, and personal development</w:t>
      </w:r>
      <w:r w:rsidR="00C57336" w:rsidRPr="00EF5A5F">
        <w:t xml:space="preserve"> (box </w:t>
      </w:r>
      <w:r w:rsidR="00442BBD">
        <w:t>5.12</w:t>
      </w:r>
      <w:r w:rsidR="00C57336" w:rsidRPr="00EF5A5F">
        <w:t>).</w:t>
      </w:r>
    </w:p>
    <w:p w:rsidR="00FA7D52" w:rsidRDefault="00FA7D5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A7D52" w:rsidTr="00137F60">
        <w:tc>
          <w:tcPr>
            <w:tcW w:w="8771" w:type="dxa"/>
            <w:tcBorders>
              <w:top w:val="single" w:sz="6" w:space="0" w:color="78A22F"/>
              <w:left w:val="nil"/>
              <w:bottom w:val="nil"/>
              <w:right w:val="nil"/>
            </w:tcBorders>
            <w:shd w:val="clear" w:color="auto" w:fill="F2F2F2" w:themeFill="background1" w:themeFillShade="F2"/>
          </w:tcPr>
          <w:p w:rsidR="00FA7D52" w:rsidRDefault="00FA7D52" w:rsidP="00FA7D52">
            <w:pPr>
              <w:pStyle w:val="BoxTitle"/>
            </w:pPr>
            <w:r>
              <w:rPr>
                <w:b w:val="0"/>
              </w:rPr>
              <w:t>Box 5.</w:t>
            </w:r>
            <w:r w:rsidR="00D80B1E">
              <w:rPr>
                <w:b w:val="0"/>
                <w:noProof/>
              </w:rPr>
              <w:t>12</w:t>
            </w:r>
            <w:r>
              <w:tab/>
            </w:r>
            <w:r w:rsidRPr="00EF5A5F">
              <w:t>Student employment and further study outcomes</w:t>
            </w:r>
          </w:p>
        </w:tc>
      </w:tr>
      <w:tr w:rsidR="00FA7D52" w:rsidTr="00137F60">
        <w:trPr>
          <w:cantSplit/>
        </w:trPr>
        <w:tc>
          <w:tcPr>
            <w:tcW w:w="8771" w:type="dxa"/>
            <w:tcBorders>
              <w:top w:val="nil"/>
              <w:left w:val="nil"/>
              <w:bottom w:val="nil"/>
              <w:right w:val="nil"/>
            </w:tcBorders>
            <w:shd w:val="clear" w:color="auto" w:fill="F2F2F2" w:themeFill="background1" w:themeFillShade="F2"/>
          </w:tcPr>
          <w:p w:rsidR="00FA7D52" w:rsidRPr="00EF5A5F" w:rsidRDefault="00FA7D52" w:rsidP="00137F60">
            <w:pPr>
              <w:pStyle w:val="Box"/>
            </w:pPr>
            <w:r w:rsidRPr="00EF5A5F">
              <w:t>‘Student employment and further study outcomes’ is defined by four measures:</w:t>
            </w:r>
          </w:p>
          <w:p w:rsidR="00FA7D52" w:rsidRPr="00EF5A5F" w:rsidRDefault="00FA7D52" w:rsidP="00137F60">
            <w:pPr>
              <w:pStyle w:val="BoxListBullet"/>
            </w:pPr>
            <w:r w:rsidRPr="00EF5A5F">
              <w:t xml:space="preserve">the proportion of </w:t>
            </w:r>
            <w:r w:rsidR="00DC725E">
              <w:t xml:space="preserve">government funded VET </w:t>
            </w:r>
            <w:r w:rsidRPr="00EF5A5F">
              <w:t>graduates who were employed and/or continued on to further study after completing their course, reported by VET target groups</w:t>
            </w:r>
          </w:p>
          <w:p w:rsidR="00FA7D52" w:rsidRPr="00EF5A5F" w:rsidRDefault="00FA7D52" w:rsidP="00137F60">
            <w:pPr>
              <w:pStyle w:val="BoxListBullet"/>
            </w:pPr>
            <w:r w:rsidRPr="00EF5A5F">
              <w:t xml:space="preserve">the proportion of </w:t>
            </w:r>
            <w:r w:rsidR="00DC725E">
              <w:t xml:space="preserve">government funded VET </w:t>
            </w:r>
            <w:r w:rsidRPr="00EF5A5F">
              <w:t xml:space="preserve">graduates employed after completing their course who were unemployed before the course </w:t>
            </w:r>
          </w:p>
          <w:p w:rsidR="00FA7D52" w:rsidRPr="00EF5A5F" w:rsidRDefault="00FA7D52" w:rsidP="00137F60">
            <w:pPr>
              <w:pStyle w:val="BoxListBullet"/>
            </w:pPr>
            <w:r w:rsidRPr="00EF5A5F">
              <w:rPr>
                <w:rFonts w:cs="Arial"/>
                <w:szCs w:val="22"/>
              </w:rPr>
              <w:t xml:space="preserve">the proportion of </w:t>
            </w:r>
            <w:r w:rsidR="00DC725E">
              <w:t xml:space="preserve">government funded VET </w:t>
            </w:r>
            <w:r w:rsidRPr="00EF5A5F">
              <w:rPr>
                <w:rFonts w:cs="Arial"/>
                <w:szCs w:val="22"/>
              </w:rPr>
              <w:t>graduates who improved their employment circumstances after completing their course</w:t>
            </w:r>
            <w:r w:rsidRPr="00EF5A5F">
              <w:t>, reported by VET target groups</w:t>
            </w:r>
            <w:r w:rsidRPr="006C5A10">
              <w:t xml:space="preserve"> </w:t>
            </w:r>
            <w:r>
              <w:t xml:space="preserve">and </w:t>
            </w:r>
            <w:r w:rsidRPr="006C5A10">
              <w:t>by level of qualification</w:t>
            </w:r>
            <w:r w:rsidRPr="00EF5A5F">
              <w:t>. The definition of ‘</w:t>
            </w:r>
            <w:r w:rsidRPr="00EF5A5F">
              <w:rPr>
                <w:rFonts w:cs="Arial"/>
                <w:szCs w:val="22"/>
              </w:rPr>
              <w:t>improved employment circumstances’ is at least one of</w:t>
            </w:r>
            <w:r w:rsidRPr="00EF5A5F">
              <w:t>:</w:t>
            </w:r>
          </w:p>
          <w:p w:rsidR="00FA7D52" w:rsidRPr="00EF5A5F" w:rsidRDefault="00FA7D52" w:rsidP="00137F60">
            <w:pPr>
              <w:pStyle w:val="BoxListBullet2"/>
            </w:pPr>
            <w:bookmarkStart w:id="9" w:name="OLE_LINK73"/>
            <w:r w:rsidRPr="00EF5A5F">
              <w:t>employment status changing from not employed before training (both unemployed and not in the labour force) to employed either full-time or part-time after training</w:t>
            </w:r>
          </w:p>
          <w:p w:rsidR="00FA7D52" w:rsidRPr="00EF5A5F" w:rsidRDefault="00FA7D52" w:rsidP="00137F60">
            <w:pPr>
              <w:pStyle w:val="BoxListBullet2"/>
            </w:pPr>
            <w:r w:rsidRPr="00EF5A5F">
              <w:t>employed at a higher skill level after training</w:t>
            </w:r>
          </w:p>
          <w:p w:rsidR="00FA7D52" w:rsidRPr="006C5A10" w:rsidRDefault="00FA7D52" w:rsidP="00137F60">
            <w:pPr>
              <w:pStyle w:val="BoxListBullet2"/>
            </w:pPr>
            <w:r w:rsidRPr="00EF5A5F">
              <w:t xml:space="preserve">received a job-related benefit after completing their training, including set up or </w:t>
            </w:r>
            <w:r w:rsidRPr="006C5A10">
              <w:t>expanded their own business, got a promotion, increased earnings, or other job</w:t>
            </w:r>
            <w:r w:rsidRPr="006C5A10">
              <w:noBreakHyphen/>
              <w:t>related benefits</w:t>
            </w:r>
          </w:p>
          <w:bookmarkEnd w:id="9"/>
          <w:p w:rsidR="00FA7D52" w:rsidRPr="00EF5A5F" w:rsidRDefault="00FA7D52" w:rsidP="00137F60">
            <w:pPr>
              <w:pStyle w:val="BoxListBullet"/>
            </w:pPr>
            <w:r w:rsidRPr="006C5A10">
              <w:t xml:space="preserve">the proportion of </w:t>
            </w:r>
            <w:r w:rsidR="00DC725E">
              <w:t xml:space="preserve">government funded VET </w:t>
            </w:r>
            <w:r w:rsidRPr="006C5A10">
              <w:t xml:space="preserve">graduates </w:t>
            </w:r>
            <w:r w:rsidRPr="00EF5A5F">
              <w:t xml:space="preserve">who undertook their course for employment-related reasons and were employed after completing their course, who reported at least one job-related benefit from completing the course. </w:t>
            </w:r>
          </w:p>
          <w:p w:rsidR="00FA7D52" w:rsidRPr="00EF5A5F" w:rsidRDefault="00FA7D52" w:rsidP="00137F60">
            <w:pPr>
              <w:pStyle w:val="Box"/>
            </w:pPr>
            <w:r>
              <w:t>Data</w:t>
            </w:r>
            <w:r w:rsidRPr="00EF5A5F">
              <w:t xml:space="preserve"> are </w:t>
            </w:r>
            <w:r>
              <w:t xml:space="preserve">provided </w:t>
            </w:r>
            <w:r w:rsidRPr="00EF5A5F">
              <w:t xml:space="preserve">for VET target groups </w:t>
            </w:r>
            <w:r>
              <w:t>(</w:t>
            </w:r>
            <w:r w:rsidRPr="00EF5A5F">
              <w:t>students with disability, students speaking a language other than English at home, students from remote and very remote areas and</w:t>
            </w:r>
            <w:r w:rsidR="00804C04">
              <w:t xml:space="preserve"> Aboriginal and Torres Strait Islander </w:t>
            </w:r>
            <w:r w:rsidRPr="00EF5A5F">
              <w:t>students</w:t>
            </w:r>
            <w:r>
              <w:t>)</w:t>
            </w:r>
            <w:r w:rsidRPr="00EF5A5F">
              <w:t>.</w:t>
            </w:r>
          </w:p>
          <w:p w:rsidR="00FA7D52" w:rsidRPr="00EF5A5F" w:rsidRDefault="00FA7D52" w:rsidP="00137F60">
            <w:pPr>
              <w:pStyle w:val="Box"/>
            </w:pPr>
            <w:r w:rsidRPr="00EF5A5F">
              <w:t>Holding other factors constant, high or increasing proportions indicate positive employment or further study outcomes after training. The proportion of students who improved their employment outcomes or were engaged in further study can overlap, since students may realise the two outcomes simultaneously.</w:t>
            </w:r>
          </w:p>
          <w:p w:rsidR="00FA7D52" w:rsidRPr="00EF5A5F" w:rsidRDefault="00FA7D52" w:rsidP="00137F60">
            <w:pPr>
              <w:pStyle w:val="Box"/>
            </w:pPr>
            <w:r w:rsidRPr="00EF5A5F">
              <w:t xml:space="preserve">Comparison of labour market outcomes must also account for the general economic conditions in each jurisdiction (see </w:t>
            </w:r>
            <w:r>
              <w:t>chapter 2</w:t>
            </w:r>
            <w:r w:rsidRPr="00EF5A5F">
              <w:t>).</w:t>
            </w:r>
          </w:p>
          <w:p w:rsidR="00FA7D52" w:rsidRDefault="00FA7D52" w:rsidP="00137F60">
            <w:pPr>
              <w:pStyle w:val="Box"/>
            </w:pPr>
            <w:r>
              <w:t xml:space="preserve">Data </w:t>
            </w:r>
            <w:r w:rsidR="006F0893">
              <w:t>reported for these measures are:</w:t>
            </w:r>
          </w:p>
          <w:p w:rsidR="00FA7D52" w:rsidRDefault="00FA7D52" w:rsidP="00137F60">
            <w:pPr>
              <w:pStyle w:val="BoxListBullet"/>
            </w:pPr>
            <w:r>
              <w:t>comparable (subject to caveats) across jurisdictions and over time</w:t>
            </w:r>
          </w:p>
          <w:p w:rsidR="00FA7D52" w:rsidRDefault="00FA7D52" w:rsidP="00137F60">
            <w:pPr>
              <w:pStyle w:val="BoxListBullet"/>
            </w:pPr>
            <w:r>
              <w:t>complete for the current reporting period (subject to caveats). All required 201</w:t>
            </w:r>
            <w:r w:rsidR="00F3610C">
              <w:t>3</w:t>
            </w:r>
            <w:r>
              <w:t xml:space="preserve"> data are available for all jurisdictions providing the service.</w:t>
            </w:r>
          </w:p>
          <w:p w:rsidR="00FA7D52" w:rsidRPr="00EF5A5F" w:rsidRDefault="00FA7D52" w:rsidP="00F3610C">
            <w:pPr>
              <w:pStyle w:val="Box"/>
            </w:pPr>
            <w:r w:rsidRPr="00EF5A5F">
              <w:t xml:space="preserve">Data quality information for this indicator </w:t>
            </w:r>
            <w:r w:rsidR="006E0D24">
              <w:t>is at www.pc.gov.au/</w:t>
            </w:r>
            <w:proofErr w:type="spellStart"/>
            <w:r w:rsidRPr="00EF5A5F">
              <w:t>rogs</w:t>
            </w:r>
            <w:proofErr w:type="spellEnd"/>
            <w:r w:rsidRPr="00EF5A5F">
              <w:t>/</w:t>
            </w:r>
            <w:r>
              <w:t>201</w:t>
            </w:r>
            <w:r w:rsidR="00F3610C">
              <w:t>5</w:t>
            </w:r>
            <w:r w:rsidRPr="00EF5A5F">
              <w:t>.</w:t>
            </w:r>
          </w:p>
        </w:tc>
      </w:tr>
      <w:tr w:rsidR="00FA7D52" w:rsidTr="00137F60">
        <w:trPr>
          <w:cantSplit/>
        </w:trPr>
        <w:tc>
          <w:tcPr>
            <w:tcW w:w="8771" w:type="dxa"/>
            <w:tcBorders>
              <w:top w:val="nil"/>
              <w:left w:val="nil"/>
              <w:bottom w:val="single" w:sz="6" w:space="0" w:color="78A22F"/>
              <w:right w:val="nil"/>
            </w:tcBorders>
            <w:shd w:val="clear" w:color="auto" w:fill="F2F2F2" w:themeFill="background1" w:themeFillShade="F2"/>
          </w:tcPr>
          <w:p w:rsidR="00FA7D52" w:rsidRDefault="00FA7D52">
            <w:pPr>
              <w:pStyle w:val="Box"/>
              <w:spacing w:before="0" w:line="120" w:lineRule="exact"/>
            </w:pPr>
          </w:p>
        </w:tc>
      </w:tr>
      <w:tr w:rsidR="00FA7D52" w:rsidRPr="000863A5" w:rsidTr="00137F60">
        <w:tc>
          <w:tcPr>
            <w:tcW w:w="8771" w:type="dxa"/>
            <w:tcBorders>
              <w:top w:val="single" w:sz="6" w:space="0" w:color="78A22F"/>
              <w:left w:val="nil"/>
              <w:bottom w:val="nil"/>
              <w:right w:val="nil"/>
            </w:tcBorders>
          </w:tcPr>
          <w:p w:rsidR="00FA7D52" w:rsidRPr="00626D32" w:rsidRDefault="00FA7D52" w:rsidP="00137F60">
            <w:pPr>
              <w:pStyle w:val="BoxSpaceBelow"/>
            </w:pPr>
          </w:p>
        </w:tc>
      </w:tr>
    </w:tbl>
    <w:p w:rsidR="00B6333E" w:rsidRPr="00EF5A5F" w:rsidRDefault="004E3A2B" w:rsidP="00DA3292">
      <w:pPr>
        <w:pStyle w:val="Heading6"/>
      </w:pPr>
      <w:r w:rsidRPr="00EF5A5F">
        <w:t>Student employment and further study outcomes —</w:t>
      </w:r>
      <w:r w:rsidR="00A35252" w:rsidRPr="00EF5A5F">
        <w:t>t</w:t>
      </w:r>
      <w:r w:rsidR="00AA0202" w:rsidRPr="00EF5A5F">
        <w:t>he proportion of graduates who were employed and/or continued on to further study after completing their course</w:t>
      </w:r>
    </w:p>
    <w:p w:rsidR="00C57336" w:rsidRDefault="00C57336" w:rsidP="00D64BF3">
      <w:pPr>
        <w:pStyle w:val="BodyText"/>
      </w:pPr>
      <w:r w:rsidRPr="00EF5A5F">
        <w:t xml:space="preserve">Nationally, </w:t>
      </w:r>
      <w:r w:rsidR="00A31382">
        <w:t>87.5</w:t>
      </w:r>
      <w:r w:rsidR="001803EF">
        <w:t xml:space="preserve"> </w:t>
      </w:r>
      <w:r w:rsidRPr="00EF5A5F">
        <w:t>per</w:t>
      </w:r>
      <w:r w:rsidR="001803EF">
        <w:t xml:space="preserve"> </w:t>
      </w:r>
      <w:r w:rsidRPr="00EF5A5F">
        <w:t xml:space="preserve">cent of </w:t>
      </w:r>
      <w:r w:rsidR="009529D3" w:rsidRPr="00EF5A5F">
        <w:t xml:space="preserve">government funded VET </w:t>
      </w:r>
      <w:r w:rsidRPr="00EF5A5F">
        <w:t xml:space="preserve">graduates surveyed indicated that they were either in employment and/or pursuing further study after completing a VET course in </w:t>
      </w:r>
      <w:r w:rsidR="00F6462E">
        <w:t>201</w:t>
      </w:r>
      <w:r w:rsidR="008224E4">
        <w:t>3</w:t>
      </w:r>
      <w:r w:rsidR="00F6462E" w:rsidRPr="00EF5A5F">
        <w:t xml:space="preserve"> </w:t>
      </w:r>
      <w:r w:rsidRPr="00EF5A5F">
        <w:t>— compared w</w:t>
      </w:r>
      <w:r w:rsidR="00BE4089" w:rsidRPr="00EF5A5F">
        <w:t xml:space="preserve">ith </w:t>
      </w:r>
      <w:r w:rsidR="00A31382">
        <w:t>89.2</w:t>
      </w:r>
      <w:r w:rsidR="001803EF">
        <w:t xml:space="preserve"> </w:t>
      </w:r>
      <w:r w:rsidR="008858D3" w:rsidRPr="00EF5A5F">
        <w:t>per</w:t>
      </w:r>
      <w:r w:rsidR="001803EF">
        <w:t xml:space="preserve"> </w:t>
      </w:r>
      <w:r w:rsidR="008858D3" w:rsidRPr="00EF5A5F">
        <w:t xml:space="preserve">cent in </w:t>
      </w:r>
      <w:r w:rsidR="00F6462E">
        <w:t>200</w:t>
      </w:r>
      <w:r w:rsidR="008224E4">
        <w:t>9</w:t>
      </w:r>
      <w:r w:rsidRPr="00EF5A5F">
        <w:t xml:space="preserve">. Of </w:t>
      </w:r>
      <w:r w:rsidR="003D036A" w:rsidRPr="00EF5A5F">
        <w:t xml:space="preserve">all </w:t>
      </w:r>
      <w:r w:rsidR="009529D3" w:rsidRPr="00EF5A5F">
        <w:t xml:space="preserve">government funded VET </w:t>
      </w:r>
      <w:r w:rsidRPr="00EF5A5F">
        <w:t xml:space="preserve">graduates in </w:t>
      </w:r>
      <w:r w:rsidR="00F6462E">
        <w:t>201</w:t>
      </w:r>
      <w:r w:rsidR="008224E4">
        <w:t>3</w:t>
      </w:r>
      <w:r w:rsidRPr="00EF5A5F">
        <w:t xml:space="preserve">, </w:t>
      </w:r>
      <w:r w:rsidR="00A31382">
        <w:t>77.0</w:t>
      </w:r>
      <w:r w:rsidR="001803EF">
        <w:t xml:space="preserve"> </w:t>
      </w:r>
      <w:r w:rsidRPr="00EF5A5F">
        <w:t>per</w:t>
      </w:r>
      <w:r w:rsidR="001803EF">
        <w:t xml:space="preserve"> </w:t>
      </w:r>
      <w:r w:rsidRPr="00EF5A5F">
        <w:t xml:space="preserve">cent said they were in employment while </w:t>
      </w:r>
      <w:r w:rsidR="00A31382">
        <w:t>35.3</w:t>
      </w:r>
      <w:r w:rsidR="001803EF">
        <w:t xml:space="preserve"> </w:t>
      </w:r>
      <w:r w:rsidR="00747F9B" w:rsidRPr="00EF5A5F">
        <w:t>per</w:t>
      </w:r>
      <w:r w:rsidR="001803EF">
        <w:t xml:space="preserve"> </w:t>
      </w:r>
      <w:r w:rsidR="00747F9B" w:rsidRPr="00EF5A5F">
        <w:t>c</w:t>
      </w:r>
      <w:r w:rsidRPr="00EF5A5F">
        <w:t xml:space="preserve">ent </w:t>
      </w:r>
      <w:r w:rsidR="00DC725E">
        <w:t>had</w:t>
      </w:r>
      <w:r w:rsidR="00461DA8">
        <w:t xml:space="preserve"> </w:t>
      </w:r>
      <w:r w:rsidRPr="00EF5A5F">
        <w:t xml:space="preserve">continued on to further study (figure </w:t>
      </w:r>
      <w:r w:rsidR="00442BBD">
        <w:t>5.17</w:t>
      </w:r>
      <w:r w:rsidR="007A2676" w:rsidRPr="00EF5A5F">
        <w:t xml:space="preserve"> and table </w:t>
      </w:r>
      <w:proofErr w:type="spellStart"/>
      <w:r w:rsidR="007A2676" w:rsidRPr="00EF5A5F">
        <w:t>5A.</w:t>
      </w:r>
      <w:r w:rsidR="000E7F82" w:rsidRPr="00EF5A5F">
        <w:t>25</w:t>
      </w:r>
      <w:proofErr w:type="spellEnd"/>
      <w:r w:rsidRPr="00EF5A5F">
        <w:t>).</w:t>
      </w:r>
    </w:p>
    <w:p w:rsidR="00FA7D52" w:rsidRDefault="00FA7D52" w:rsidP="00137F6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A7D52" w:rsidTr="00137F60">
        <w:tc>
          <w:tcPr>
            <w:tcW w:w="8771" w:type="dxa"/>
            <w:tcBorders>
              <w:top w:val="single" w:sz="6" w:space="0" w:color="78A22F"/>
              <w:left w:val="nil"/>
              <w:bottom w:val="nil"/>
              <w:right w:val="nil"/>
            </w:tcBorders>
            <w:shd w:val="clear" w:color="auto" w:fill="auto"/>
          </w:tcPr>
          <w:p w:rsidR="00FA7D52" w:rsidRPr="00176D3F" w:rsidRDefault="00FA7D52" w:rsidP="008224E4">
            <w:pPr>
              <w:pStyle w:val="FigureTitle"/>
            </w:pPr>
            <w:r w:rsidRPr="00784A05">
              <w:rPr>
                <w:b w:val="0"/>
              </w:rPr>
              <w:t xml:space="preserve">Figure </w:t>
            </w:r>
            <w:r>
              <w:rPr>
                <w:b w:val="0"/>
              </w:rPr>
              <w:t>5.</w:t>
            </w:r>
            <w:r w:rsidR="00D80B1E">
              <w:rPr>
                <w:b w:val="0"/>
                <w:noProof/>
              </w:rPr>
              <w:t>17</w:t>
            </w:r>
            <w:r>
              <w:tab/>
            </w:r>
            <w:r w:rsidRPr="00DC0B62">
              <w:t>Proportion of government funded VET graduates in employment and/or who continued on to further study in 201</w:t>
            </w:r>
            <w:r w:rsidR="008224E4">
              <w:t>3</w:t>
            </w:r>
            <w:r w:rsidRPr="00DC0B62">
              <w:t xml:space="preserve"> after completing a course</w:t>
            </w:r>
            <w:r w:rsidRPr="00DC0B62">
              <w:rPr>
                <w:rStyle w:val="NoteLabel"/>
                <w:b/>
              </w:rPr>
              <w:t>a, b</w:t>
            </w:r>
            <w:r>
              <w:rPr>
                <w:rStyle w:val="NoteLabel"/>
                <w:b/>
              </w:rPr>
              <w:t xml:space="preserve">, </w:t>
            </w:r>
            <w:r w:rsidRPr="00ED0CB2">
              <w:rPr>
                <w:rStyle w:val="NoteLabel"/>
                <w:b/>
                <w:shd w:val="clear" w:color="auto" w:fill="FFFFFF" w:themeFill="background1"/>
              </w:rPr>
              <w:t>c</w:t>
            </w:r>
          </w:p>
        </w:tc>
      </w:tr>
      <w:tr w:rsidR="00FA7D52" w:rsidTr="00137F60">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FA7D52" w:rsidTr="00FA7D52">
              <w:tc>
                <w:tcPr>
                  <w:tcW w:w="5000" w:type="pct"/>
                  <w:tcBorders>
                    <w:top w:val="nil"/>
                    <w:bottom w:val="nil"/>
                  </w:tcBorders>
                </w:tcPr>
                <w:p w:rsidR="00FA7D52" w:rsidRDefault="009F6491" w:rsidP="00FA7D52">
                  <w:pPr>
                    <w:pStyle w:val="Figure"/>
                    <w:spacing w:before="60" w:after="60"/>
                  </w:pPr>
                  <w:r>
                    <w:rPr>
                      <w:noProof/>
                    </w:rPr>
                    <w:drawing>
                      <wp:inline distT="0" distB="0" distL="0" distR="0">
                        <wp:extent cx="5391150" cy="2714625"/>
                        <wp:effectExtent l="0" t="0" r="0" b="9525"/>
                        <wp:docPr id="24" name="Picture 24" descr="Figure 5.17 Proportion of government funded VET graduates in employment and/or who continued on to further study in 2013 after completing a cours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91150" cy="2714625"/>
                                </a:xfrm>
                                <a:prstGeom prst="rect">
                                  <a:avLst/>
                                </a:prstGeom>
                                <a:noFill/>
                                <a:ln>
                                  <a:noFill/>
                                </a:ln>
                              </pic:spPr>
                            </pic:pic>
                          </a:graphicData>
                        </a:graphic>
                      </wp:inline>
                    </w:drawing>
                  </w:r>
                </w:p>
              </w:tc>
            </w:tr>
          </w:tbl>
          <w:p w:rsidR="00FA7D52" w:rsidRDefault="00FA7D52" w:rsidP="00137F60">
            <w:pPr>
              <w:pStyle w:val="Figure"/>
            </w:pPr>
          </w:p>
        </w:tc>
      </w:tr>
      <w:tr w:rsidR="00FA7D52" w:rsidRPr="00176D3F" w:rsidTr="00137F60">
        <w:tc>
          <w:tcPr>
            <w:tcW w:w="8771" w:type="dxa"/>
            <w:tcBorders>
              <w:top w:val="nil"/>
              <w:left w:val="nil"/>
              <w:bottom w:val="nil"/>
              <w:right w:val="nil"/>
            </w:tcBorders>
            <w:shd w:val="clear" w:color="auto" w:fill="auto"/>
          </w:tcPr>
          <w:p w:rsidR="00FA7D52" w:rsidRPr="00176D3F" w:rsidRDefault="00FA7D52" w:rsidP="00DC725E">
            <w:pPr>
              <w:pStyle w:val="Note"/>
            </w:pPr>
            <w:r w:rsidRPr="00171E10">
              <w:rPr>
                <w:rStyle w:val="NoteLabel"/>
              </w:rPr>
              <w:t>a</w:t>
            </w:r>
            <w:r w:rsidRPr="00171E10">
              <w:t xml:space="preserve"> Graduates employed after training and graduates in further study after training are subsets of graduates who are employed or in further study. Graduates can be both </w:t>
            </w:r>
            <w:r w:rsidRPr="008B5B6B">
              <w:t xml:space="preserve">employed and in further study. </w:t>
            </w:r>
            <w:r w:rsidRPr="008B5B6B">
              <w:rPr>
                <w:rStyle w:val="NoteLabel"/>
              </w:rPr>
              <w:t>b</w:t>
            </w:r>
            <w:r w:rsidRPr="008B5B6B">
              <w:t xml:space="preserve"> Error bars represent the 95 per cent confidence interval associated with each point estimate. </w:t>
            </w:r>
            <w:r w:rsidRPr="008B5B6B">
              <w:rPr>
                <w:rStyle w:val="NoteLabel"/>
              </w:rPr>
              <w:t>c</w:t>
            </w:r>
            <w:r w:rsidRPr="000C682B">
              <w:rPr>
                <w:rStyle w:val="NoteLabel"/>
                <w:shd w:val="clear" w:color="auto" w:fill="FFFFFF" w:themeFill="background1"/>
              </w:rPr>
              <w:t> </w:t>
            </w:r>
            <w:r w:rsidRPr="000C682B">
              <w:rPr>
                <w:shd w:val="clear" w:color="auto" w:fill="FFFFFF" w:themeFill="background1"/>
              </w:rPr>
              <w:t>Data relate to courses completed in 201</w:t>
            </w:r>
            <w:r w:rsidR="00DC725E">
              <w:rPr>
                <w:shd w:val="clear" w:color="auto" w:fill="FFFFFF" w:themeFill="background1"/>
              </w:rPr>
              <w:t>2</w:t>
            </w:r>
            <w:r w:rsidRPr="000C682B">
              <w:rPr>
                <w:shd w:val="clear" w:color="auto" w:fill="FFFFFF" w:themeFill="background1"/>
              </w:rPr>
              <w:t>.</w:t>
            </w:r>
          </w:p>
        </w:tc>
      </w:tr>
      <w:tr w:rsidR="00FA7D52" w:rsidRPr="00176D3F" w:rsidTr="00137F60">
        <w:tc>
          <w:tcPr>
            <w:tcW w:w="8771" w:type="dxa"/>
            <w:tcBorders>
              <w:top w:val="nil"/>
              <w:left w:val="nil"/>
              <w:bottom w:val="nil"/>
              <w:right w:val="nil"/>
            </w:tcBorders>
            <w:shd w:val="clear" w:color="auto" w:fill="auto"/>
          </w:tcPr>
          <w:p w:rsidR="00FA7D52" w:rsidRPr="00176D3F" w:rsidRDefault="00FA7D52" w:rsidP="00137F60">
            <w:pPr>
              <w:pStyle w:val="Source"/>
            </w:pPr>
            <w:r w:rsidRPr="00171E10">
              <w:rPr>
                <w:i/>
              </w:rPr>
              <w:t>Source</w:t>
            </w:r>
            <w:r w:rsidRPr="00171E10">
              <w:t xml:space="preserve">: NCVER (unpublished) </w:t>
            </w:r>
            <w:r w:rsidRPr="00171E10">
              <w:rPr>
                <w:i/>
              </w:rPr>
              <w:t>Student Outcomes Survey</w:t>
            </w:r>
            <w:r w:rsidRPr="00171E10">
              <w:t xml:space="preserve">; table </w:t>
            </w:r>
            <w:proofErr w:type="spellStart"/>
            <w:r w:rsidRPr="00171E10">
              <w:t>5A.25</w:t>
            </w:r>
            <w:proofErr w:type="spellEnd"/>
            <w:r w:rsidRPr="00171E10">
              <w:t>.</w:t>
            </w:r>
          </w:p>
        </w:tc>
      </w:tr>
      <w:tr w:rsidR="00FA7D52" w:rsidTr="00137F60">
        <w:tc>
          <w:tcPr>
            <w:tcW w:w="8771" w:type="dxa"/>
            <w:tcBorders>
              <w:top w:val="nil"/>
              <w:left w:val="nil"/>
              <w:bottom w:val="single" w:sz="6" w:space="0" w:color="78A22F"/>
              <w:right w:val="nil"/>
            </w:tcBorders>
            <w:shd w:val="clear" w:color="auto" w:fill="auto"/>
          </w:tcPr>
          <w:p w:rsidR="00FA7D52" w:rsidRDefault="00FA7D52" w:rsidP="00137F60">
            <w:pPr>
              <w:pStyle w:val="Figurespace"/>
            </w:pPr>
          </w:p>
        </w:tc>
      </w:tr>
      <w:tr w:rsidR="00FA7D52" w:rsidRPr="000863A5" w:rsidTr="00137F60">
        <w:tc>
          <w:tcPr>
            <w:tcW w:w="8771" w:type="dxa"/>
            <w:tcBorders>
              <w:top w:val="single" w:sz="6" w:space="0" w:color="78A22F"/>
              <w:left w:val="nil"/>
              <w:bottom w:val="nil"/>
              <w:right w:val="nil"/>
            </w:tcBorders>
          </w:tcPr>
          <w:p w:rsidR="00FA7D52" w:rsidRPr="00626D32" w:rsidRDefault="00FA7D52" w:rsidP="00137F60">
            <w:pPr>
              <w:pStyle w:val="BoxSpaceBelow"/>
            </w:pPr>
          </w:p>
        </w:tc>
      </w:tr>
    </w:tbl>
    <w:p w:rsidR="00A35127" w:rsidRDefault="00A35127" w:rsidP="006D5EE2">
      <w:pPr>
        <w:pStyle w:val="BodyText"/>
      </w:pPr>
      <w:r w:rsidRPr="00E444F5">
        <w:t xml:space="preserve">Nationally, </w:t>
      </w:r>
      <w:r w:rsidR="00A31382">
        <w:t>81.5</w:t>
      </w:r>
      <w:r w:rsidR="001803EF">
        <w:t xml:space="preserve"> </w:t>
      </w:r>
      <w:r w:rsidRPr="00E444F5">
        <w:t>per</w:t>
      </w:r>
      <w:r w:rsidR="001803EF">
        <w:t xml:space="preserve"> </w:t>
      </w:r>
      <w:r w:rsidRPr="00E444F5">
        <w:t xml:space="preserve">cent of </w:t>
      </w:r>
      <w:r w:rsidR="009529D3" w:rsidRPr="00E444F5">
        <w:t>government funded</w:t>
      </w:r>
      <w:r w:rsidR="00804C04">
        <w:t xml:space="preserve"> Aboriginal and Torres Strait Islander </w:t>
      </w:r>
      <w:r w:rsidR="009529D3" w:rsidRPr="00E444F5">
        <w:t xml:space="preserve">VET </w:t>
      </w:r>
      <w:r w:rsidRPr="00E444F5">
        <w:t xml:space="preserve">graduates in </w:t>
      </w:r>
      <w:r w:rsidR="006E2568" w:rsidRPr="00E444F5">
        <w:t>201</w:t>
      </w:r>
      <w:r w:rsidR="008224E4">
        <w:t>3</w:t>
      </w:r>
      <w:r w:rsidR="006E2568" w:rsidRPr="00E444F5">
        <w:t xml:space="preserve"> </w:t>
      </w:r>
      <w:r w:rsidRPr="00E444F5">
        <w:t>indicated that they were employed and/or in further study after completing a course</w:t>
      </w:r>
      <w:r w:rsidR="00BE6BC4" w:rsidRPr="00E444F5">
        <w:t xml:space="preserve"> — compared with </w:t>
      </w:r>
      <w:r w:rsidR="00A31382">
        <w:t>84.2</w:t>
      </w:r>
      <w:r w:rsidR="001803EF">
        <w:t xml:space="preserve"> </w:t>
      </w:r>
      <w:r w:rsidR="00BE6BC4" w:rsidRPr="00E444F5">
        <w:t xml:space="preserve">per cent in </w:t>
      </w:r>
      <w:r w:rsidR="006E2568" w:rsidRPr="00E444F5">
        <w:t>200</w:t>
      </w:r>
      <w:r w:rsidR="008224E4">
        <w:t>9</w:t>
      </w:r>
      <w:r w:rsidRPr="00E444F5">
        <w:t xml:space="preserve">. Of </w:t>
      </w:r>
      <w:r w:rsidR="009529D3" w:rsidRPr="00E444F5">
        <w:t>government funded</w:t>
      </w:r>
      <w:r w:rsidR="00804C04">
        <w:t xml:space="preserve"> Aboriginal and Torres Strait Islander </w:t>
      </w:r>
      <w:r w:rsidR="009529D3" w:rsidRPr="00E444F5">
        <w:t xml:space="preserve">VET </w:t>
      </w:r>
      <w:r w:rsidRPr="00E444F5">
        <w:t>graduates</w:t>
      </w:r>
      <w:r w:rsidR="00730071" w:rsidRPr="00E444F5">
        <w:t xml:space="preserve"> in </w:t>
      </w:r>
      <w:r w:rsidR="006E2568" w:rsidRPr="00E444F5">
        <w:t>201</w:t>
      </w:r>
      <w:r w:rsidR="008224E4">
        <w:t>3</w:t>
      </w:r>
      <w:r w:rsidR="00E444F5" w:rsidRPr="00E444F5">
        <w:t xml:space="preserve">, </w:t>
      </w:r>
      <w:r w:rsidR="00A31382">
        <w:t>67.2</w:t>
      </w:r>
      <w:r w:rsidR="001803EF">
        <w:t xml:space="preserve"> </w:t>
      </w:r>
      <w:r w:rsidRPr="00E444F5">
        <w:t>per</w:t>
      </w:r>
      <w:r w:rsidR="001803EF">
        <w:t xml:space="preserve"> </w:t>
      </w:r>
      <w:r w:rsidRPr="00E444F5">
        <w:t xml:space="preserve">cent indicated that they were employed after completing a course (compared with </w:t>
      </w:r>
      <w:r w:rsidR="00A31382">
        <w:t>77.0</w:t>
      </w:r>
      <w:r w:rsidR="001803EF">
        <w:t xml:space="preserve"> </w:t>
      </w:r>
      <w:r w:rsidRPr="00E444F5">
        <w:t>per</w:t>
      </w:r>
      <w:r w:rsidR="001803EF">
        <w:t xml:space="preserve"> </w:t>
      </w:r>
      <w:r w:rsidRPr="00E444F5">
        <w:t xml:space="preserve">cent of all </w:t>
      </w:r>
      <w:r w:rsidR="009529D3" w:rsidRPr="00E444F5">
        <w:t xml:space="preserve">government funded VET </w:t>
      </w:r>
      <w:r w:rsidRPr="00E444F5">
        <w:t xml:space="preserve">graduates) and </w:t>
      </w:r>
      <w:r w:rsidR="00A31382">
        <w:t>38.9</w:t>
      </w:r>
      <w:r w:rsidR="001803EF">
        <w:t xml:space="preserve"> </w:t>
      </w:r>
      <w:r w:rsidRPr="00E444F5">
        <w:t>per</w:t>
      </w:r>
      <w:r w:rsidR="001803EF">
        <w:t xml:space="preserve"> </w:t>
      </w:r>
      <w:r w:rsidRPr="00E444F5">
        <w:t xml:space="preserve">cent continued on to further study (compared with </w:t>
      </w:r>
      <w:r w:rsidR="00A31382">
        <w:t xml:space="preserve">35.3 </w:t>
      </w:r>
      <w:r w:rsidRPr="00E444F5">
        <w:t xml:space="preserve">per cent of all </w:t>
      </w:r>
      <w:r w:rsidR="009529D3" w:rsidRPr="00E444F5">
        <w:t xml:space="preserve">government funded VET </w:t>
      </w:r>
      <w:r w:rsidRPr="00E444F5">
        <w:t>graduates) (figure</w:t>
      </w:r>
      <w:r w:rsidR="001803EF">
        <w:t xml:space="preserve"> </w:t>
      </w:r>
      <w:r w:rsidR="00442BBD" w:rsidRPr="00E444F5">
        <w:t>5.18</w:t>
      </w:r>
      <w:r w:rsidR="004A372A" w:rsidRPr="00E444F5">
        <w:t xml:space="preserve"> and </w:t>
      </w:r>
      <w:r w:rsidR="00F4463B" w:rsidRPr="00E444F5">
        <w:t>table</w:t>
      </w:r>
      <w:r w:rsidR="006F0893">
        <w:t xml:space="preserve">s </w:t>
      </w:r>
      <w:proofErr w:type="spellStart"/>
      <w:r w:rsidR="006F0893">
        <w:t>5A.25</w:t>
      </w:r>
      <w:proofErr w:type="spellEnd"/>
      <w:r w:rsidR="006F0893">
        <w:t>–</w:t>
      </w:r>
      <w:r w:rsidR="006E2568" w:rsidRPr="00E444F5">
        <w:t>2</w:t>
      </w:r>
      <w:r w:rsidR="005D5D9F" w:rsidRPr="00E444F5">
        <w:t>6</w:t>
      </w:r>
      <w:r w:rsidRPr="00E444F5">
        <w:t>).</w:t>
      </w:r>
    </w:p>
    <w:p w:rsidR="00613275" w:rsidRDefault="00613275" w:rsidP="00137F6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13275" w:rsidTr="00137F60">
        <w:tc>
          <w:tcPr>
            <w:tcW w:w="8771" w:type="dxa"/>
            <w:tcBorders>
              <w:top w:val="single" w:sz="6" w:space="0" w:color="78A22F"/>
              <w:left w:val="nil"/>
              <w:bottom w:val="nil"/>
              <w:right w:val="nil"/>
            </w:tcBorders>
            <w:shd w:val="clear" w:color="auto" w:fill="auto"/>
          </w:tcPr>
          <w:p w:rsidR="00613275" w:rsidRPr="00176D3F" w:rsidRDefault="00613275" w:rsidP="008224E4">
            <w:pPr>
              <w:pStyle w:val="FigureTitle"/>
            </w:pPr>
            <w:r w:rsidRPr="00784A05">
              <w:rPr>
                <w:b w:val="0"/>
              </w:rPr>
              <w:t xml:space="preserve">Figure </w:t>
            </w:r>
            <w:r>
              <w:rPr>
                <w:b w:val="0"/>
              </w:rPr>
              <w:t>5.</w:t>
            </w:r>
            <w:r w:rsidR="00D80B1E">
              <w:rPr>
                <w:b w:val="0"/>
                <w:noProof/>
              </w:rPr>
              <w:t>18</w:t>
            </w:r>
            <w:r>
              <w:tab/>
            </w:r>
            <w:r w:rsidRPr="00DC0B62">
              <w:t>Proportion of</w:t>
            </w:r>
            <w:r w:rsidR="00804C04">
              <w:t xml:space="preserve"> Aboriginal and Torres Strait Islander </w:t>
            </w:r>
            <w:r w:rsidRPr="00DC0B62">
              <w:t>government funded VET graduates in employment and/or who continued on to further study in 201</w:t>
            </w:r>
            <w:r w:rsidR="008224E4">
              <w:t>3</w:t>
            </w:r>
            <w:r w:rsidRPr="00DC0B62">
              <w:t xml:space="preserve"> after completing a course </w:t>
            </w:r>
            <w:r w:rsidRPr="00DC0B62">
              <w:rPr>
                <w:rStyle w:val="NoteLabel"/>
                <w:b/>
              </w:rPr>
              <w:t>a, b</w:t>
            </w:r>
            <w:r>
              <w:rPr>
                <w:rStyle w:val="NoteLabel"/>
                <w:b/>
              </w:rPr>
              <w:t>, c</w:t>
            </w:r>
            <w:r w:rsidRPr="000C682B">
              <w:rPr>
                <w:rStyle w:val="NoteLabel"/>
                <w:b/>
                <w:shd w:val="clear" w:color="auto" w:fill="FFFFFF" w:themeFill="background1"/>
              </w:rPr>
              <w:t>, d</w:t>
            </w:r>
          </w:p>
        </w:tc>
      </w:tr>
      <w:tr w:rsidR="00613275" w:rsidTr="00137F60">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613275" w:rsidTr="00613275">
              <w:tc>
                <w:tcPr>
                  <w:tcW w:w="5000" w:type="pct"/>
                  <w:tcBorders>
                    <w:top w:val="nil"/>
                    <w:bottom w:val="nil"/>
                  </w:tcBorders>
                </w:tcPr>
                <w:p w:rsidR="00613275" w:rsidRDefault="009F6491" w:rsidP="00613275">
                  <w:pPr>
                    <w:pStyle w:val="Figure"/>
                    <w:spacing w:before="60" w:after="60"/>
                  </w:pPr>
                  <w:r>
                    <w:rPr>
                      <w:noProof/>
                    </w:rPr>
                    <w:drawing>
                      <wp:inline distT="0" distB="0" distL="0" distR="0">
                        <wp:extent cx="5391150" cy="2714625"/>
                        <wp:effectExtent l="0" t="0" r="0" b="9525"/>
                        <wp:docPr id="25" name="Picture 25" descr="Figure 5.18 Proportion of Aboriginal and Torres Strait Islander government funded VET graduates in employment and/or who continued on to further study in 2013 after completing a cours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391150" cy="2714625"/>
                                </a:xfrm>
                                <a:prstGeom prst="rect">
                                  <a:avLst/>
                                </a:prstGeom>
                                <a:noFill/>
                                <a:ln>
                                  <a:noFill/>
                                </a:ln>
                              </pic:spPr>
                            </pic:pic>
                          </a:graphicData>
                        </a:graphic>
                      </wp:inline>
                    </w:drawing>
                  </w:r>
                </w:p>
              </w:tc>
            </w:tr>
          </w:tbl>
          <w:p w:rsidR="00613275" w:rsidRDefault="00613275" w:rsidP="00137F60">
            <w:pPr>
              <w:pStyle w:val="Figure"/>
            </w:pPr>
          </w:p>
        </w:tc>
      </w:tr>
      <w:tr w:rsidR="00613275" w:rsidRPr="00176D3F" w:rsidTr="00137F60">
        <w:tc>
          <w:tcPr>
            <w:tcW w:w="8771" w:type="dxa"/>
            <w:tcBorders>
              <w:top w:val="nil"/>
              <w:left w:val="nil"/>
              <w:bottom w:val="nil"/>
              <w:right w:val="nil"/>
            </w:tcBorders>
            <w:shd w:val="clear" w:color="auto" w:fill="auto"/>
          </w:tcPr>
          <w:p w:rsidR="00613275" w:rsidRPr="00176D3F" w:rsidRDefault="00613275" w:rsidP="005C15F8">
            <w:pPr>
              <w:pStyle w:val="Note"/>
            </w:pPr>
            <w:r w:rsidRPr="00EF5A5F">
              <w:rPr>
                <w:rStyle w:val="NoteLabel"/>
              </w:rPr>
              <w:t>a</w:t>
            </w:r>
            <w:r w:rsidRPr="00EF5A5F">
              <w:t xml:space="preserve"> Graduates employed and graduates in further study are subsets of graduates who are employed or in further study. Graduates can be both employed and in </w:t>
            </w:r>
            <w:r w:rsidRPr="007303DD">
              <w:t xml:space="preserve">further study. </w:t>
            </w:r>
            <w:r w:rsidRPr="007303DD">
              <w:rPr>
                <w:rStyle w:val="NoteLabel"/>
              </w:rPr>
              <w:t>b</w:t>
            </w:r>
            <w:r w:rsidRPr="007303DD">
              <w:t xml:space="preserve"> Error bars represent the 95 per cent confidence interval associated with each point estimate </w:t>
            </w:r>
            <w:r w:rsidRPr="007303DD">
              <w:rPr>
                <w:rStyle w:val="NoteLabel"/>
              </w:rPr>
              <w:t>c </w:t>
            </w:r>
            <w:r w:rsidRPr="007303DD">
              <w:t>Data relate to</w:t>
            </w:r>
            <w:r w:rsidRPr="000C682B">
              <w:rPr>
                <w:shd w:val="clear" w:color="auto" w:fill="FFFFFF" w:themeFill="background1"/>
              </w:rPr>
              <w:t xml:space="preserve"> courses completed in 201</w:t>
            </w:r>
            <w:r w:rsidR="008224E4">
              <w:rPr>
                <w:shd w:val="clear" w:color="auto" w:fill="FFFFFF" w:themeFill="background1"/>
              </w:rPr>
              <w:t>2</w:t>
            </w:r>
            <w:r w:rsidRPr="000C682B">
              <w:rPr>
                <w:shd w:val="clear" w:color="auto" w:fill="FFFFFF" w:themeFill="background1"/>
              </w:rPr>
              <w:t xml:space="preserve">. </w:t>
            </w:r>
            <w:r w:rsidR="005C15F8">
              <w:rPr>
                <w:rStyle w:val="NoteLabel"/>
                <w:shd w:val="clear" w:color="auto" w:fill="FFFFFF" w:themeFill="background1"/>
              </w:rPr>
              <w:t>d</w:t>
            </w:r>
            <w:r w:rsidR="005C15F8">
              <w:t> </w:t>
            </w:r>
            <w:r>
              <w:t>ACT data for in further study and training are not published due to 5 or fewer responses</w:t>
            </w:r>
            <w:r w:rsidRPr="00171E10">
              <w:t>.</w:t>
            </w:r>
          </w:p>
        </w:tc>
      </w:tr>
      <w:tr w:rsidR="00613275" w:rsidRPr="00176D3F" w:rsidTr="00137F60">
        <w:tc>
          <w:tcPr>
            <w:tcW w:w="8771" w:type="dxa"/>
            <w:tcBorders>
              <w:top w:val="nil"/>
              <w:left w:val="nil"/>
              <w:bottom w:val="nil"/>
              <w:right w:val="nil"/>
            </w:tcBorders>
            <w:shd w:val="clear" w:color="auto" w:fill="auto"/>
          </w:tcPr>
          <w:p w:rsidR="00613275" w:rsidRPr="00176D3F" w:rsidRDefault="00613275" w:rsidP="00137F60">
            <w:pPr>
              <w:pStyle w:val="Source"/>
            </w:pPr>
            <w:r w:rsidRPr="00EF5A5F">
              <w:rPr>
                <w:i/>
              </w:rPr>
              <w:t>Source</w:t>
            </w:r>
            <w:r w:rsidRPr="00EF5A5F">
              <w:t xml:space="preserve">: NCVER (unpublished) </w:t>
            </w:r>
            <w:r w:rsidRPr="00EF5A5F">
              <w:rPr>
                <w:i/>
              </w:rPr>
              <w:t>Student Outcomes Survey</w:t>
            </w:r>
            <w:r w:rsidRPr="00EF5A5F">
              <w:t xml:space="preserve">; table </w:t>
            </w:r>
            <w:proofErr w:type="spellStart"/>
            <w:r w:rsidRPr="00EF5A5F">
              <w:t>5A.26</w:t>
            </w:r>
            <w:proofErr w:type="spellEnd"/>
            <w:r w:rsidRPr="00EF5A5F">
              <w:t>.</w:t>
            </w:r>
          </w:p>
        </w:tc>
      </w:tr>
      <w:tr w:rsidR="00613275" w:rsidTr="00137F60">
        <w:tc>
          <w:tcPr>
            <w:tcW w:w="8771" w:type="dxa"/>
            <w:tcBorders>
              <w:top w:val="nil"/>
              <w:left w:val="nil"/>
              <w:bottom w:val="single" w:sz="6" w:space="0" w:color="78A22F"/>
              <w:right w:val="nil"/>
            </w:tcBorders>
            <w:shd w:val="clear" w:color="auto" w:fill="auto"/>
          </w:tcPr>
          <w:p w:rsidR="00613275" w:rsidRDefault="00613275" w:rsidP="00137F60">
            <w:pPr>
              <w:pStyle w:val="Figurespace"/>
            </w:pPr>
          </w:p>
        </w:tc>
      </w:tr>
      <w:tr w:rsidR="00613275" w:rsidRPr="000863A5" w:rsidTr="00137F60">
        <w:tc>
          <w:tcPr>
            <w:tcW w:w="8771" w:type="dxa"/>
            <w:tcBorders>
              <w:top w:val="single" w:sz="6" w:space="0" w:color="78A22F"/>
              <w:left w:val="nil"/>
              <w:bottom w:val="nil"/>
              <w:right w:val="nil"/>
            </w:tcBorders>
          </w:tcPr>
          <w:p w:rsidR="00613275" w:rsidRPr="00626D32" w:rsidRDefault="00613275" w:rsidP="00137F60">
            <w:pPr>
              <w:pStyle w:val="BoxSpaceBelow"/>
            </w:pPr>
          </w:p>
        </w:tc>
      </w:tr>
    </w:tbl>
    <w:p w:rsidR="00981FDC" w:rsidRPr="00EF5A5F" w:rsidRDefault="00981FDC" w:rsidP="000A5B6F">
      <w:pPr>
        <w:pStyle w:val="BodyText"/>
      </w:pPr>
      <w:r w:rsidRPr="00EF5A5F">
        <w:t>The proportion</w:t>
      </w:r>
      <w:r w:rsidR="00DC725E">
        <w:t>s</w:t>
      </w:r>
      <w:r w:rsidRPr="00EF5A5F">
        <w:t xml:space="preserve"> of graduates by target groups who </w:t>
      </w:r>
      <w:r w:rsidR="00FB21CD" w:rsidRPr="00EF5A5F">
        <w:t xml:space="preserve">were </w:t>
      </w:r>
      <w:r w:rsidR="007A2676" w:rsidRPr="00EF5A5F">
        <w:t>in employment after completing their course</w:t>
      </w:r>
      <w:r w:rsidRPr="00EF5A5F">
        <w:t xml:space="preserve"> or continued onto further study can also indicate the equity of outcomes for these groups.</w:t>
      </w:r>
    </w:p>
    <w:p w:rsidR="00890106" w:rsidRPr="00EF5A5F" w:rsidRDefault="00890106" w:rsidP="0095094B">
      <w:pPr>
        <w:pStyle w:val="BodyText"/>
      </w:pPr>
      <w:r w:rsidRPr="00E444F5">
        <w:t xml:space="preserve">Nationally, </w:t>
      </w:r>
      <w:r w:rsidR="00A851F4">
        <w:t>54.8</w:t>
      </w:r>
      <w:r w:rsidR="0096194E">
        <w:t xml:space="preserve"> </w:t>
      </w:r>
      <w:r w:rsidRPr="00E444F5">
        <w:t>per</w:t>
      </w:r>
      <w:r w:rsidR="0096194E">
        <w:t xml:space="preserve"> </w:t>
      </w:r>
      <w:r w:rsidRPr="00E444F5">
        <w:t xml:space="preserve">cent of </w:t>
      </w:r>
      <w:r w:rsidR="00CA43E3" w:rsidRPr="00E444F5">
        <w:t xml:space="preserve">government funded VET </w:t>
      </w:r>
      <w:r w:rsidRPr="00E444F5">
        <w:t xml:space="preserve">graduates with disability, </w:t>
      </w:r>
      <w:r w:rsidR="00A851F4">
        <w:t>65.3 </w:t>
      </w:r>
      <w:r w:rsidRPr="00E444F5">
        <w:t xml:space="preserve">per cent of graduates who spoke a language other than English at home, </w:t>
      </w:r>
      <w:r w:rsidR="00A851F4">
        <w:t>85.9</w:t>
      </w:r>
      <w:r w:rsidR="0096194E">
        <w:t xml:space="preserve"> </w:t>
      </w:r>
      <w:r w:rsidRPr="00E444F5">
        <w:t>per</w:t>
      </w:r>
      <w:r w:rsidR="0096194E">
        <w:t xml:space="preserve"> </w:t>
      </w:r>
      <w:r w:rsidRPr="00E444F5">
        <w:t xml:space="preserve">cent of graduates from remote and very remote areas and </w:t>
      </w:r>
      <w:r w:rsidR="00A851F4">
        <w:t>67.2</w:t>
      </w:r>
      <w:r w:rsidR="0096194E">
        <w:t xml:space="preserve"> </w:t>
      </w:r>
      <w:r w:rsidRPr="00E444F5">
        <w:t>per</w:t>
      </w:r>
      <w:r w:rsidR="0096194E">
        <w:t xml:space="preserve"> </w:t>
      </w:r>
      <w:r w:rsidRPr="00E444F5">
        <w:t>cent of</w:t>
      </w:r>
      <w:r w:rsidR="00804C04">
        <w:t xml:space="preserve"> Aboriginal and Torres Strait Islander </w:t>
      </w:r>
      <w:r w:rsidRPr="00E444F5">
        <w:t>graduates</w:t>
      </w:r>
      <w:r w:rsidRPr="00EF5A5F">
        <w:t xml:space="preserve"> were employed in </w:t>
      </w:r>
      <w:r w:rsidR="00E95295">
        <w:t>201</w:t>
      </w:r>
      <w:r w:rsidR="008224E4">
        <w:t>3</w:t>
      </w:r>
      <w:r w:rsidR="00E95295" w:rsidRPr="00EF5A5F">
        <w:t xml:space="preserve"> </w:t>
      </w:r>
      <w:r w:rsidRPr="00EF5A5F">
        <w:t xml:space="preserve">after completing a course in </w:t>
      </w:r>
      <w:r w:rsidR="00E95295">
        <w:t>201</w:t>
      </w:r>
      <w:r w:rsidR="008224E4">
        <w:t>2</w:t>
      </w:r>
      <w:r w:rsidRPr="00EF5A5F">
        <w:t>. In comparison</w:t>
      </w:r>
      <w:r w:rsidRPr="00E444F5">
        <w:t xml:space="preserve">, </w:t>
      </w:r>
      <w:r w:rsidR="00FD5291">
        <w:t>77.0</w:t>
      </w:r>
      <w:r w:rsidR="0096194E">
        <w:t xml:space="preserve"> </w:t>
      </w:r>
      <w:r w:rsidRPr="00E444F5">
        <w:t>per</w:t>
      </w:r>
      <w:r w:rsidR="0096194E">
        <w:t xml:space="preserve"> </w:t>
      </w:r>
      <w:r w:rsidRPr="00E444F5">
        <w:t xml:space="preserve">cent </w:t>
      </w:r>
      <w:r w:rsidRPr="00EF5A5F">
        <w:t xml:space="preserve">of all government funded VET graduates were employed </w:t>
      </w:r>
      <w:r w:rsidR="00FB2278">
        <w:t xml:space="preserve">after completing a course </w:t>
      </w:r>
      <w:r w:rsidRPr="00EF5A5F">
        <w:t xml:space="preserve">(figure </w:t>
      </w:r>
      <w:r w:rsidR="00442BBD">
        <w:t>5.19</w:t>
      </w:r>
      <w:r w:rsidRPr="00EF5A5F">
        <w:t>).</w:t>
      </w:r>
    </w:p>
    <w:p w:rsidR="00C57336" w:rsidRDefault="00C57336" w:rsidP="0095094B">
      <w:pPr>
        <w:pStyle w:val="BodyText"/>
      </w:pPr>
      <w:r w:rsidRPr="00EF5A5F">
        <w:t xml:space="preserve">Further information </w:t>
      </w:r>
      <w:r w:rsidR="001007CB" w:rsidRPr="00EF5A5F">
        <w:t xml:space="preserve">for </w:t>
      </w:r>
      <w:r w:rsidR="0022213A" w:rsidRPr="00EF5A5F">
        <w:t>non-Indigenous graduates</w:t>
      </w:r>
      <w:r w:rsidR="00CA43E3" w:rsidRPr="00EF5A5F">
        <w:t xml:space="preserve"> </w:t>
      </w:r>
      <w:r w:rsidR="00291C95" w:rsidRPr="00EF5A5F">
        <w:t xml:space="preserve">and </w:t>
      </w:r>
      <w:r w:rsidR="0033651B" w:rsidRPr="00EF5A5F">
        <w:t xml:space="preserve">graduates </w:t>
      </w:r>
      <w:r w:rsidR="00E95295">
        <w:t>from other geographical locations</w:t>
      </w:r>
      <w:r w:rsidR="001007CB" w:rsidRPr="00EF5A5F">
        <w:t xml:space="preserve"> are reported in </w:t>
      </w:r>
      <w:r w:rsidR="0022213A" w:rsidRPr="00EF5A5F">
        <w:t>tables</w:t>
      </w:r>
      <w:r w:rsidR="0096194E">
        <w:t xml:space="preserve"> </w:t>
      </w:r>
      <w:proofErr w:type="spellStart"/>
      <w:r w:rsidR="0022213A" w:rsidRPr="00EF5A5F">
        <w:t>5A.27</w:t>
      </w:r>
      <w:proofErr w:type="spellEnd"/>
      <w:r w:rsidR="00CA43E3" w:rsidRPr="00EF5A5F">
        <w:t>–</w:t>
      </w:r>
      <w:r w:rsidR="00E95295">
        <w:t>30</w:t>
      </w:r>
      <w:r w:rsidRPr="00EF5A5F">
        <w:t>.</w:t>
      </w:r>
    </w:p>
    <w:p w:rsidR="00125867" w:rsidRDefault="00125867" w:rsidP="00137F6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25867" w:rsidTr="00137F60">
        <w:tc>
          <w:tcPr>
            <w:tcW w:w="8771" w:type="dxa"/>
            <w:tcBorders>
              <w:top w:val="single" w:sz="6" w:space="0" w:color="78A22F"/>
              <w:left w:val="nil"/>
              <w:bottom w:val="nil"/>
              <w:right w:val="nil"/>
            </w:tcBorders>
            <w:shd w:val="clear" w:color="auto" w:fill="auto"/>
          </w:tcPr>
          <w:p w:rsidR="00125867" w:rsidRPr="00176D3F" w:rsidRDefault="00125867" w:rsidP="008224E4">
            <w:pPr>
              <w:pStyle w:val="FigureTitle"/>
            </w:pPr>
            <w:r w:rsidRPr="00784A05">
              <w:rPr>
                <w:b w:val="0"/>
              </w:rPr>
              <w:t xml:space="preserve">Figure </w:t>
            </w:r>
            <w:r>
              <w:rPr>
                <w:b w:val="0"/>
              </w:rPr>
              <w:t>5.</w:t>
            </w:r>
            <w:r w:rsidR="00D80B1E">
              <w:rPr>
                <w:b w:val="0"/>
                <w:noProof/>
              </w:rPr>
              <w:t>19</w:t>
            </w:r>
            <w:r>
              <w:tab/>
            </w:r>
            <w:r w:rsidRPr="00DC0B62">
              <w:t>Proportion of government funded VET graduates in employment after completing a course, by target group, 201</w:t>
            </w:r>
            <w:r w:rsidR="008224E4">
              <w:t>3</w:t>
            </w:r>
            <w:r w:rsidRPr="00DC0B62">
              <w:rPr>
                <w:rStyle w:val="NoteLabel"/>
                <w:b/>
              </w:rPr>
              <w:t>a, b, c</w:t>
            </w:r>
            <w:r w:rsidRPr="000C682B">
              <w:rPr>
                <w:rStyle w:val="NoteLabel"/>
                <w:b/>
                <w:shd w:val="clear" w:color="auto" w:fill="FFFFFF" w:themeFill="background1"/>
              </w:rPr>
              <w:t>, d</w:t>
            </w:r>
          </w:p>
        </w:tc>
      </w:tr>
      <w:tr w:rsidR="00125867" w:rsidTr="00A26D57">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125867" w:rsidTr="00125867">
              <w:tc>
                <w:tcPr>
                  <w:tcW w:w="5000" w:type="pct"/>
                  <w:tcBorders>
                    <w:top w:val="nil"/>
                    <w:bottom w:val="nil"/>
                  </w:tcBorders>
                </w:tcPr>
                <w:p w:rsidR="00125867" w:rsidRDefault="009F6491" w:rsidP="00137F60">
                  <w:pPr>
                    <w:pStyle w:val="Figure"/>
                    <w:spacing w:before="60" w:after="60"/>
                  </w:pPr>
                  <w:r>
                    <w:rPr>
                      <w:noProof/>
                    </w:rPr>
                    <w:drawing>
                      <wp:inline distT="0" distB="0" distL="0" distR="0">
                        <wp:extent cx="5391150" cy="2714625"/>
                        <wp:effectExtent l="0" t="0" r="0" b="9525"/>
                        <wp:docPr id="26" name="Picture 26" descr="Figure 5.19 Proportion of government funded VET graduates in employment after completing a course, by target group,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91150" cy="2714625"/>
                                </a:xfrm>
                                <a:prstGeom prst="rect">
                                  <a:avLst/>
                                </a:prstGeom>
                                <a:noFill/>
                                <a:ln>
                                  <a:noFill/>
                                </a:ln>
                              </pic:spPr>
                            </pic:pic>
                          </a:graphicData>
                        </a:graphic>
                      </wp:inline>
                    </w:drawing>
                  </w:r>
                </w:p>
              </w:tc>
            </w:tr>
          </w:tbl>
          <w:p w:rsidR="00125867" w:rsidRDefault="00125867" w:rsidP="00137F60">
            <w:pPr>
              <w:pStyle w:val="Figure"/>
            </w:pPr>
          </w:p>
        </w:tc>
      </w:tr>
      <w:tr w:rsidR="00125867" w:rsidRPr="00176D3F" w:rsidTr="00A26D57">
        <w:tc>
          <w:tcPr>
            <w:tcW w:w="8771" w:type="dxa"/>
            <w:tcBorders>
              <w:top w:val="nil"/>
              <w:left w:val="nil"/>
              <w:bottom w:val="nil"/>
              <w:right w:val="nil"/>
            </w:tcBorders>
            <w:shd w:val="clear" w:color="auto" w:fill="auto"/>
          </w:tcPr>
          <w:p w:rsidR="00125867" w:rsidRPr="00176D3F" w:rsidRDefault="00125867" w:rsidP="00DC66F7">
            <w:pPr>
              <w:pStyle w:val="Note"/>
            </w:pPr>
            <w:r w:rsidRPr="00171E10">
              <w:rPr>
                <w:rStyle w:val="NoteLabel"/>
              </w:rPr>
              <w:t>a</w:t>
            </w:r>
            <w:r w:rsidRPr="00171E10">
              <w:t xml:space="preserve"> Students reported as having disability are defined as those who self-identify that they have disability, and impairment or a long-term condition. Disabilities </w:t>
            </w:r>
            <w:r w:rsidRPr="008836A9">
              <w:t xml:space="preserve">include hearing/deaf, physical, intellectual, learning, mental illness, acquired brain impairment, vision, medical condition and other unspecified disabilities. </w:t>
            </w:r>
            <w:r w:rsidRPr="008836A9">
              <w:rPr>
                <w:rStyle w:val="NoteLabel"/>
              </w:rPr>
              <w:t>b</w:t>
            </w:r>
            <w:r w:rsidR="00DC725E" w:rsidRPr="008836A9">
              <w:t> </w:t>
            </w:r>
            <w:r w:rsidRPr="008836A9">
              <w:t xml:space="preserve">Error bars represent the 95 per cent confidence interval associated with each point estimate. </w:t>
            </w:r>
            <w:r w:rsidRPr="008836A9">
              <w:rPr>
                <w:rStyle w:val="NoteLabel"/>
              </w:rPr>
              <w:t>c </w:t>
            </w:r>
            <w:r w:rsidRPr="008836A9">
              <w:t>Data relate to courses completed in 201</w:t>
            </w:r>
            <w:r w:rsidR="008224E4" w:rsidRPr="008836A9">
              <w:t>2</w:t>
            </w:r>
            <w:r w:rsidRPr="008836A9">
              <w:t xml:space="preserve">. </w:t>
            </w:r>
            <w:r w:rsidRPr="008836A9">
              <w:rPr>
                <w:rStyle w:val="NoteLabel"/>
              </w:rPr>
              <w:t>d</w:t>
            </w:r>
            <w:r w:rsidRPr="008836A9">
              <w:t xml:space="preserve"> There are no very</w:t>
            </w:r>
            <w:r w:rsidRPr="000C682B">
              <w:rPr>
                <w:shd w:val="clear" w:color="auto" w:fill="FFFFFF" w:themeFill="background1"/>
              </w:rPr>
              <w:t xml:space="preserve"> remote areas in Vict</w:t>
            </w:r>
            <w:r w:rsidRPr="00171E10">
              <w:t>oria and no remote or very remote areas in the ACT.</w:t>
            </w:r>
          </w:p>
        </w:tc>
      </w:tr>
      <w:tr w:rsidR="00125867" w:rsidRPr="00176D3F" w:rsidTr="00137F60">
        <w:tc>
          <w:tcPr>
            <w:tcW w:w="8771" w:type="dxa"/>
            <w:tcBorders>
              <w:top w:val="nil"/>
              <w:left w:val="nil"/>
              <w:bottom w:val="nil"/>
              <w:right w:val="nil"/>
            </w:tcBorders>
            <w:shd w:val="clear" w:color="auto" w:fill="auto"/>
          </w:tcPr>
          <w:p w:rsidR="00125867" w:rsidRPr="00176D3F" w:rsidRDefault="00125867" w:rsidP="006F0893">
            <w:pPr>
              <w:pStyle w:val="Source"/>
            </w:pPr>
            <w:r w:rsidRPr="00171E10">
              <w:rPr>
                <w:i/>
              </w:rPr>
              <w:t>Source</w:t>
            </w:r>
            <w:r w:rsidRPr="00171E10">
              <w:t xml:space="preserve">: NCVER (unpublished) </w:t>
            </w:r>
            <w:r w:rsidRPr="00171E10">
              <w:rPr>
                <w:i/>
              </w:rPr>
              <w:t>Student Outcomes Survey</w:t>
            </w:r>
            <w:r w:rsidRPr="00171E10">
              <w:t xml:space="preserve">; tables </w:t>
            </w:r>
            <w:proofErr w:type="spellStart"/>
            <w:r w:rsidRPr="00171E10">
              <w:t>5A.25</w:t>
            </w:r>
            <w:proofErr w:type="spellEnd"/>
            <w:r w:rsidR="006F0893">
              <w:t>–</w:t>
            </w:r>
            <w:r w:rsidRPr="00171E10">
              <w:t xml:space="preserve">26 and </w:t>
            </w:r>
            <w:proofErr w:type="spellStart"/>
            <w:r w:rsidRPr="00171E10">
              <w:t>5A.31</w:t>
            </w:r>
            <w:proofErr w:type="spellEnd"/>
            <w:r>
              <w:t>–</w:t>
            </w:r>
            <w:r w:rsidRPr="00171E10">
              <w:t>33.</w:t>
            </w:r>
          </w:p>
        </w:tc>
      </w:tr>
      <w:tr w:rsidR="00125867" w:rsidTr="00137F60">
        <w:tc>
          <w:tcPr>
            <w:tcW w:w="8771" w:type="dxa"/>
            <w:tcBorders>
              <w:top w:val="nil"/>
              <w:left w:val="nil"/>
              <w:bottom w:val="single" w:sz="6" w:space="0" w:color="78A22F"/>
              <w:right w:val="nil"/>
            </w:tcBorders>
            <w:shd w:val="clear" w:color="auto" w:fill="auto"/>
          </w:tcPr>
          <w:p w:rsidR="00125867" w:rsidRDefault="00125867" w:rsidP="00137F60">
            <w:pPr>
              <w:pStyle w:val="Figurespace"/>
            </w:pPr>
          </w:p>
        </w:tc>
      </w:tr>
      <w:tr w:rsidR="00125867" w:rsidRPr="000863A5" w:rsidTr="00137F60">
        <w:tc>
          <w:tcPr>
            <w:tcW w:w="8771" w:type="dxa"/>
            <w:tcBorders>
              <w:top w:val="single" w:sz="6" w:space="0" w:color="78A22F"/>
              <w:left w:val="nil"/>
              <w:bottom w:val="nil"/>
              <w:right w:val="nil"/>
            </w:tcBorders>
          </w:tcPr>
          <w:p w:rsidR="00125867" w:rsidRPr="00626D32" w:rsidRDefault="00125867" w:rsidP="00137F60">
            <w:pPr>
              <w:pStyle w:val="BoxSpaceBelow"/>
            </w:pPr>
          </w:p>
        </w:tc>
      </w:tr>
    </w:tbl>
    <w:p w:rsidR="0055056F" w:rsidRDefault="0055056F" w:rsidP="0095094B">
      <w:pPr>
        <w:pStyle w:val="BodyText"/>
      </w:pPr>
      <w:r w:rsidRPr="009E5E63">
        <w:t xml:space="preserve">Nationally, </w:t>
      </w:r>
      <w:r w:rsidR="007840A3">
        <w:t>37.4</w:t>
      </w:r>
      <w:r w:rsidR="00477437">
        <w:t xml:space="preserve"> </w:t>
      </w:r>
      <w:r w:rsidRPr="009E5E63">
        <w:t>per</w:t>
      </w:r>
      <w:r w:rsidR="00477437">
        <w:t xml:space="preserve"> </w:t>
      </w:r>
      <w:r w:rsidRPr="009E5E63">
        <w:t xml:space="preserve">cent of </w:t>
      </w:r>
      <w:r w:rsidR="002718BE" w:rsidRPr="009E5E63">
        <w:t xml:space="preserve">government funded VET </w:t>
      </w:r>
      <w:r w:rsidRPr="009E5E63">
        <w:t xml:space="preserve">graduates with disability, </w:t>
      </w:r>
      <w:r w:rsidR="007840A3">
        <w:t>36.9 per </w:t>
      </w:r>
      <w:r w:rsidRPr="009E5E63">
        <w:t xml:space="preserve">cent of graduates who spoke a language other than English at home, </w:t>
      </w:r>
      <w:r w:rsidR="007840A3">
        <w:t>34.2</w:t>
      </w:r>
      <w:r w:rsidR="0096194E">
        <w:t xml:space="preserve"> </w:t>
      </w:r>
      <w:r w:rsidRPr="009E5E63">
        <w:t>per</w:t>
      </w:r>
      <w:r w:rsidR="0096194E">
        <w:t xml:space="preserve"> </w:t>
      </w:r>
      <w:r w:rsidRPr="009E5E63">
        <w:t xml:space="preserve">cent of graduates from remote and very remote areas </w:t>
      </w:r>
      <w:r w:rsidR="007840A3">
        <w:t>and 38.9</w:t>
      </w:r>
      <w:r w:rsidR="0096194E">
        <w:t xml:space="preserve"> </w:t>
      </w:r>
      <w:r w:rsidR="007840A3">
        <w:t xml:space="preserve">per </w:t>
      </w:r>
      <w:r w:rsidR="009935F9">
        <w:t>cent of</w:t>
      </w:r>
      <w:r w:rsidR="00804C04">
        <w:t xml:space="preserve"> Aboriginal and Torres Strait Islander </w:t>
      </w:r>
      <w:r w:rsidR="009935F9">
        <w:t>graduates</w:t>
      </w:r>
      <w:r w:rsidRPr="009E5E63">
        <w:t xml:space="preserve"> </w:t>
      </w:r>
      <w:r w:rsidR="000A7C13" w:rsidRPr="009E5E63">
        <w:t xml:space="preserve">continued on to further study </w:t>
      </w:r>
      <w:r w:rsidR="00E95295" w:rsidRPr="009E5E63">
        <w:t>in 201</w:t>
      </w:r>
      <w:r w:rsidR="008224E4">
        <w:t>3</w:t>
      </w:r>
      <w:r w:rsidR="00E95295" w:rsidRPr="009E5E63">
        <w:t xml:space="preserve"> </w:t>
      </w:r>
      <w:r w:rsidR="000A7C13" w:rsidRPr="009E5E63">
        <w:t xml:space="preserve">after completing a course </w:t>
      </w:r>
      <w:r w:rsidRPr="009E5E63">
        <w:t xml:space="preserve">in </w:t>
      </w:r>
      <w:r w:rsidR="008224E4">
        <w:t>2012</w:t>
      </w:r>
      <w:r w:rsidRPr="009E5E63">
        <w:t xml:space="preserve">. In comparison, </w:t>
      </w:r>
      <w:r w:rsidR="007840A3">
        <w:t>35.3</w:t>
      </w:r>
      <w:r w:rsidR="0096194E">
        <w:t xml:space="preserve"> </w:t>
      </w:r>
      <w:r w:rsidRPr="009E5E63">
        <w:t>per</w:t>
      </w:r>
      <w:r w:rsidR="0096194E">
        <w:t xml:space="preserve"> </w:t>
      </w:r>
      <w:r w:rsidRPr="009E5E63">
        <w:t xml:space="preserve">cent of all government funded VET graduates </w:t>
      </w:r>
      <w:r w:rsidR="000A7C13" w:rsidRPr="009E5E63">
        <w:t xml:space="preserve">continued on to further study (figure </w:t>
      </w:r>
      <w:r w:rsidR="00442BBD" w:rsidRPr="009E5E63">
        <w:t>5.20</w:t>
      </w:r>
      <w:r w:rsidR="000A7C13" w:rsidRPr="009E5E63">
        <w:t>).</w:t>
      </w:r>
    </w:p>
    <w:p w:rsidR="003F7732" w:rsidRDefault="003F7732" w:rsidP="00137F6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F7732" w:rsidTr="00A26D57">
        <w:tc>
          <w:tcPr>
            <w:tcW w:w="8771" w:type="dxa"/>
            <w:tcBorders>
              <w:top w:val="nil"/>
              <w:left w:val="nil"/>
              <w:bottom w:val="nil"/>
              <w:right w:val="nil"/>
            </w:tcBorders>
            <w:shd w:val="clear" w:color="auto" w:fill="auto"/>
          </w:tcPr>
          <w:p w:rsidR="003F7732" w:rsidRPr="00176D3F" w:rsidRDefault="003F7732" w:rsidP="00BE25FF">
            <w:pPr>
              <w:pStyle w:val="FigureTitle"/>
            </w:pPr>
            <w:r w:rsidRPr="00784A05">
              <w:rPr>
                <w:b w:val="0"/>
              </w:rPr>
              <w:t xml:space="preserve">Figure </w:t>
            </w:r>
            <w:r>
              <w:rPr>
                <w:b w:val="0"/>
              </w:rPr>
              <w:t>5.</w:t>
            </w:r>
            <w:r w:rsidR="00D80B1E">
              <w:rPr>
                <w:b w:val="0"/>
                <w:noProof/>
              </w:rPr>
              <w:t>20</w:t>
            </w:r>
            <w:r>
              <w:tab/>
            </w:r>
            <w:r w:rsidR="004F79FE" w:rsidRPr="00A26D57">
              <w:t>Proportion of government funded VET graduates who continued on to further study after completing a course, by target group, 2013</w:t>
            </w:r>
            <w:r w:rsidRPr="00CC723C">
              <w:rPr>
                <w:rStyle w:val="NoteLabel"/>
                <w:b/>
              </w:rPr>
              <w:t>a, b, c</w:t>
            </w:r>
            <w:r>
              <w:rPr>
                <w:rStyle w:val="NoteLabel"/>
                <w:b/>
              </w:rPr>
              <w:t xml:space="preserve">, </w:t>
            </w:r>
            <w:r w:rsidRPr="000C682B">
              <w:rPr>
                <w:rStyle w:val="NoteLabel"/>
                <w:b/>
                <w:shd w:val="clear" w:color="auto" w:fill="FFFFFF" w:themeFill="background1"/>
              </w:rPr>
              <w:t>d</w:t>
            </w:r>
          </w:p>
        </w:tc>
      </w:tr>
      <w:tr w:rsidR="003F7732" w:rsidTr="00137F60">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3F7732" w:rsidTr="003F7732">
              <w:tc>
                <w:tcPr>
                  <w:tcW w:w="5000" w:type="pct"/>
                  <w:tcBorders>
                    <w:top w:val="nil"/>
                    <w:bottom w:val="nil"/>
                  </w:tcBorders>
                </w:tcPr>
                <w:p w:rsidR="003F7732" w:rsidRDefault="009F6491" w:rsidP="00137F60">
                  <w:pPr>
                    <w:pStyle w:val="Figure"/>
                    <w:spacing w:before="60" w:after="60"/>
                  </w:pPr>
                  <w:r>
                    <w:rPr>
                      <w:noProof/>
                    </w:rPr>
                    <w:drawing>
                      <wp:inline distT="0" distB="0" distL="0" distR="0">
                        <wp:extent cx="5391150" cy="2714625"/>
                        <wp:effectExtent l="0" t="0" r="0" b="9525"/>
                        <wp:docPr id="27" name="Picture 27" descr="Figure 5.20 Proportion of government funded VET graduates who continued on to further study after completing a course, by target group,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391150" cy="2714625"/>
                                </a:xfrm>
                                <a:prstGeom prst="rect">
                                  <a:avLst/>
                                </a:prstGeom>
                                <a:noFill/>
                                <a:ln>
                                  <a:noFill/>
                                </a:ln>
                              </pic:spPr>
                            </pic:pic>
                          </a:graphicData>
                        </a:graphic>
                      </wp:inline>
                    </w:drawing>
                  </w:r>
                </w:p>
              </w:tc>
            </w:tr>
          </w:tbl>
          <w:p w:rsidR="003F7732" w:rsidRDefault="003F7732" w:rsidP="00137F60">
            <w:pPr>
              <w:pStyle w:val="Figure"/>
            </w:pPr>
          </w:p>
        </w:tc>
      </w:tr>
      <w:tr w:rsidR="003F7732" w:rsidRPr="00176D3F" w:rsidTr="00137F60">
        <w:tc>
          <w:tcPr>
            <w:tcW w:w="8771" w:type="dxa"/>
            <w:tcBorders>
              <w:top w:val="nil"/>
              <w:left w:val="nil"/>
              <w:bottom w:val="nil"/>
              <w:right w:val="nil"/>
            </w:tcBorders>
            <w:shd w:val="clear" w:color="auto" w:fill="auto"/>
          </w:tcPr>
          <w:p w:rsidR="003F7732" w:rsidRPr="00176D3F" w:rsidRDefault="003F7732" w:rsidP="00DC725E">
            <w:pPr>
              <w:pStyle w:val="Note"/>
            </w:pPr>
            <w:r w:rsidRPr="00171E10">
              <w:rPr>
                <w:rStyle w:val="NoteLabel"/>
              </w:rPr>
              <w:t>a</w:t>
            </w:r>
            <w:r w:rsidRPr="00171E10">
              <w:t xml:space="preserve"> Students reported as having disability are defined as those who self-identify that they have disability, and impairment or a long-term condition. Disabilities include hearing/deaf, physical, intellectual, learning, mental illness, acquired brain impairment, vision, </w:t>
            </w:r>
            <w:r w:rsidRPr="00702CE6">
              <w:t xml:space="preserve">medical condition and other unspecified disabilities. </w:t>
            </w:r>
            <w:r w:rsidRPr="00702CE6">
              <w:rPr>
                <w:rStyle w:val="NoteLabel"/>
              </w:rPr>
              <w:t>b</w:t>
            </w:r>
            <w:r w:rsidR="00DC725E" w:rsidRPr="00702CE6">
              <w:rPr>
                <w:rStyle w:val="NoteLabel"/>
              </w:rPr>
              <w:t> </w:t>
            </w:r>
            <w:r w:rsidRPr="00702CE6">
              <w:t xml:space="preserve">Error bars represent the 95 per cent confidence interval associated with each point estimate. The data for graduates from remote and very remote areas in Victoria have relative standard errors greater than 25 per cent and need to be used with caution. </w:t>
            </w:r>
            <w:r w:rsidRPr="00702CE6">
              <w:rPr>
                <w:rStyle w:val="NoteLabel"/>
              </w:rPr>
              <w:t>c </w:t>
            </w:r>
            <w:r w:rsidRPr="00702CE6">
              <w:t>Data relate to courses completed in 201</w:t>
            </w:r>
            <w:r w:rsidR="008224E4" w:rsidRPr="00702CE6">
              <w:t>2</w:t>
            </w:r>
            <w:r w:rsidRPr="00702CE6">
              <w:t xml:space="preserve">. </w:t>
            </w:r>
            <w:r w:rsidRPr="00702CE6">
              <w:rPr>
                <w:rStyle w:val="NoteLabel"/>
              </w:rPr>
              <w:t>d</w:t>
            </w:r>
            <w:r w:rsidRPr="00702CE6">
              <w:t xml:space="preserve"> There are no very remote areas in Victoria and no remote or very remote areas in the ACT. The</w:t>
            </w:r>
            <w:r w:rsidRPr="00171E10">
              <w:t xml:space="preserve"> remote and very remote data for Victoria are for students from remote and very remote areas throughout Australia studying in Victoria (there are no remote and very remote data for the ACT).</w:t>
            </w:r>
          </w:p>
        </w:tc>
      </w:tr>
      <w:tr w:rsidR="003F7732" w:rsidRPr="00176D3F" w:rsidTr="00137F60">
        <w:tc>
          <w:tcPr>
            <w:tcW w:w="8771" w:type="dxa"/>
            <w:tcBorders>
              <w:top w:val="nil"/>
              <w:left w:val="nil"/>
              <w:bottom w:val="nil"/>
              <w:right w:val="nil"/>
            </w:tcBorders>
            <w:shd w:val="clear" w:color="auto" w:fill="auto"/>
          </w:tcPr>
          <w:p w:rsidR="003F7732" w:rsidRPr="00176D3F" w:rsidRDefault="003F7732" w:rsidP="006F0893">
            <w:pPr>
              <w:pStyle w:val="Source"/>
            </w:pPr>
            <w:r w:rsidRPr="00171E10">
              <w:rPr>
                <w:i/>
              </w:rPr>
              <w:t>Source</w:t>
            </w:r>
            <w:r w:rsidRPr="00171E10">
              <w:t xml:space="preserve">: NCVER (unpublished) </w:t>
            </w:r>
            <w:r w:rsidRPr="00171E10">
              <w:rPr>
                <w:i/>
              </w:rPr>
              <w:t>Student Outcomes Survey</w:t>
            </w:r>
            <w:r w:rsidRPr="00171E10">
              <w:t xml:space="preserve">; tables </w:t>
            </w:r>
            <w:proofErr w:type="spellStart"/>
            <w:r w:rsidRPr="00171E10">
              <w:t>5A.25</w:t>
            </w:r>
            <w:proofErr w:type="spellEnd"/>
            <w:r w:rsidR="006F0893">
              <w:t>–</w:t>
            </w:r>
            <w:r w:rsidRPr="00171E10">
              <w:t xml:space="preserve">26 and </w:t>
            </w:r>
            <w:proofErr w:type="spellStart"/>
            <w:r w:rsidRPr="00171E10">
              <w:t>5A.31</w:t>
            </w:r>
            <w:proofErr w:type="spellEnd"/>
            <w:r>
              <w:t>–</w:t>
            </w:r>
            <w:r w:rsidRPr="00171E10">
              <w:t>33.</w:t>
            </w:r>
          </w:p>
        </w:tc>
      </w:tr>
      <w:tr w:rsidR="003F7732" w:rsidTr="00137F60">
        <w:tc>
          <w:tcPr>
            <w:tcW w:w="8771" w:type="dxa"/>
            <w:tcBorders>
              <w:top w:val="nil"/>
              <w:left w:val="nil"/>
              <w:bottom w:val="single" w:sz="6" w:space="0" w:color="78A22F"/>
              <w:right w:val="nil"/>
            </w:tcBorders>
            <w:shd w:val="clear" w:color="auto" w:fill="auto"/>
          </w:tcPr>
          <w:p w:rsidR="003F7732" w:rsidRDefault="003F7732" w:rsidP="00137F60">
            <w:pPr>
              <w:pStyle w:val="Figurespace"/>
            </w:pPr>
          </w:p>
        </w:tc>
      </w:tr>
      <w:tr w:rsidR="003F7732" w:rsidRPr="000863A5" w:rsidTr="00137F60">
        <w:tc>
          <w:tcPr>
            <w:tcW w:w="8771" w:type="dxa"/>
            <w:tcBorders>
              <w:top w:val="single" w:sz="6" w:space="0" w:color="78A22F"/>
              <w:left w:val="nil"/>
              <w:bottom w:val="nil"/>
              <w:right w:val="nil"/>
            </w:tcBorders>
          </w:tcPr>
          <w:p w:rsidR="003F7732" w:rsidRPr="00626D32" w:rsidRDefault="003F7732" w:rsidP="00137F60">
            <w:pPr>
              <w:pStyle w:val="BoxSpaceBelow"/>
            </w:pPr>
          </w:p>
        </w:tc>
      </w:tr>
    </w:tbl>
    <w:p w:rsidR="00C57336" w:rsidRDefault="00C57336" w:rsidP="00C57336">
      <w:pPr>
        <w:pStyle w:val="BodyText"/>
      </w:pPr>
      <w:r w:rsidRPr="00EA6743">
        <w:t xml:space="preserve">Of those </w:t>
      </w:r>
      <w:r w:rsidR="009529D3" w:rsidRPr="00EA6743">
        <w:t xml:space="preserve">government funded VET </w:t>
      </w:r>
      <w:r w:rsidR="00823EB8" w:rsidRPr="00EA6743">
        <w:t>graduates</w:t>
      </w:r>
      <w:r w:rsidRPr="00EA6743">
        <w:t xml:space="preserve"> who continued on to further study</w:t>
      </w:r>
      <w:r w:rsidR="0096194E">
        <w:t xml:space="preserve"> in 2013</w:t>
      </w:r>
      <w:r w:rsidRPr="00EA6743">
        <w:t xml:space="preserve">, </w:t>
      </w:r>
      <w:r w:rsidR="00FF5AEB">
        <w:t>47.6</w:t>
      </w:r>
      <w:r w:rsidR="0096194E">
        <w:t xml:space="preserve"> </w:t>
      </w:r>
      <w:r w:rsidRPr="00EA6743">
        <w:t>per</w:t>
      </w:r>
      <w:r w:rsidR="0096194E">
        <w:t xml:space="preserve"> </w:t>
      </w:r>
      <w:r w:rsidRPr="00EA6743">
        <w:t xml:space="preserve">cent pursued their further study within the TAFE system, while </w:t>
      </w:r>
      <w:r w:rsidR="00FF5AEB">
        <w:t>23.0</w:t>
      </w:r>
      <w:r w:rsidR="0096194E">
        <w:t xml:space="preserve"> </w:t>
      </w:r>
      <w:r w:rsidRPr="00EA6743">
        <w:t>per</w:t>
      </w:r>
      <w:r w:rsidR="0096194E">
        <w:t xml:space="preserve"> </w:t>
      </w:r>
      <w:r w:rsidRPr="00EA6743">
        <w:t xml:space="preserve">cent went on to further study at universities and </w:t>
      </w:r>
      <w:r w:rsidR="00FF5AEB">
        <w:t>29.5</w:t>
      </w:r>
      <w:r w:rsidR="0096194E">
        <w:t xml:space="preserve"> </w:t>
      </w:r>
      <w:r w:rsidRPr="00EA6743">
        <w:t>per</w:t>
      </w:r>
      <w:r w:rsidR="0096194E">
        <w:t xml:space="preserve"> </w:t>
      </w:r>
      <w:r w:rsidRPr="00EA6743">
        <w:t xml:space="preserve">cent went on to further study at private providers or other registered providers </w:t>
      </w:r>
      <w:r w:rsidRPr="00EF5A5F">
        <w:t xml:space="preserve">(figure </w:t>
      </w:r>
      <w:r w:rsidR="00442BBD">
        <w:t>5.21</w:t>
      </w:r>
      <w:r w:rsidRPr="00EF5A5F">
        <w:t xml:space="preserve">). </w:t>
      </w:r>
    </w:p>
    <w:p w:rsidR="002D3596" w:rsidRDefault="002D3596" w:rsidP="00137F6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D3596" w:rsidTr="00A26D57">
        <w:tc>
          <w:tcPr>
            <w:tcW w:w="8771" w:type="dxa"/>
            <w:tcBorders>
              <w:top w:val="single" w:sz="6" w:space="0" w:color="78A22F"/>
              <w:left w:val="nil"/>
              <w:bottom w:val="nil"/>
              <w:right w:val="nil"/>
            </w:tcBorders>
            <w:shd w:val="clear" w:color="auto" w:fill="auto"/>
          </w:tcPr>
          <w:p w:rsidR="002D3596" w:rsidRPr="00176D3F" w:rsidRDefault="002D3596" w:rsidP="00B105D1">
            <w:pPr>
              <w:pStyle w:val="FigureTitle"/>
            </w:pPr>
            <w:r w:rsidRPr="00784A05">
              <w:rPr>
                <w:b w:val="0"/>
              </w:rPr>
              <w:t xml:space="preserve">Figure </w:t>
            </w:r>
            <w:r>
              <w:rPr>
                <w:b w:val="0"/>
              </w:rPr>
              <w:t>5.</w:t>
            </w:r>
            <w:r w:rsidR="00D80B1E">
              <w:rPr>
                <w:b w:val="0"/>
                <w:noProof/>
              </w:rPr>
              <w:t>21</w:t>
            </w:r>
            <w:r>
              <w:tab/>
            </w:r>
            <w:r w:rsidR="004F79FE" w:rsidRPr="00A26D57">
              <w:t>Proportion, by type of continuing institution, of government funded VET graduates who continued on to further study after completing a course, 2013</w:t>
            </w:r>
            <w:r w:rsidRPr="00CC723C">
              <w:rPr>
                <w:rStyle w:val="NoteLabel"/>
                <w:b/>
              </w:rPr>
              <w:t>a</w:t>
            </w:r>
            <w:r w:rsidRPr="000C682B">
              <w:rPr>
                <w:rStyle w:val="NoteLabel"/>
                <w:b/>
                <w:shd w:val="clear" w:color="auto" w:fill="FFFFFF" w:themeFill="background1"/>
              </w:rPr>
              <w:t>, b</w:t>
            </w:r>
          </w:p>
        </w:tc>
      </w:tr>
      <w:tr w:rsidR="002D3596" w:rsidTr="00137F60">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2D3596" w:rsidTr="00137F60">
              <w:tc>
                <w:tcPr>
                  <w:tcW w:w="5000" w:type="pct"/>
                  <w:tcBorders>
                    <w:top w:val="nil"/>
                    <w:bottom w:val="nil"/>
                  </w:tcBorders>
                </w:tcPr>
                <w:p w:rsidR="002D3596" w:rsidRDefault="009F6491" w:rsidP="00137F60">
                  <w:pPr>
                    <w:pStyle w:val="Figure"/>
                    <w:spacing w:before="60" w:after="60"/>
                  </w:pPr>
                  <w:r>
                    <w:rPr>
                      <w:noProof/>
                    </w:rPr>
                    <w:drawing>
                      <wp:inline distT="0" distB="0" distL="0" distR="0">
                        <wp:extent cx="5391150" cy="2714625"/>
                        <wp:effectExtent l="0" t="0" r="0" b="9525"/>
                        <wp:docPr id="28" name="Picture 28" descr="Figure 5.21 Proportion, by type of continuing institution, of government funded VET graduates who continued on to further study after completing a course,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91150" cy="2714625"/>
                                </a:xfrm>
                                <a:prstGeom prst="rect">
                                  <a:avLst/>
                                </a:prstGeom>
                                <a:noFill/>
                                <a:ln>
                                  <a:noFill/>
                                </a:ln>
                              </pic:spPr>
                            </pic:pic>
                          </a:graphicData>
                        </a:graphic>
                      </wp:inline>
                    </w:drawing>
                  </w:r>
                </w:p>
              </w:tc>
            </w:tr>
          </w:tbl>
          <w:p w:rsidR="002D3596" w:rsidRDefault="002D3596" w:rsidP="00137F60">
            <w:pPr>
              <w:pStyle w:val="Figure"/>
            </w:pPr>
          </w:p>
        </w:tc>
      </w:tr>
      <w:tr w:rsidR="002D3596" w:rsidRPr="00176D3F" w:rsidTr="00137F60">
        <w:tc>
          <w:tcPr>
            <w:tcW w:w="8771" w:type="dxa"/>
            <w:tcBorders>
              <w:top w:val="nil"/>
              <w:left w:val="nil"/>
              <w:bottom w:val="nil"/>
              <w:right w:val="nil"/>
            </w:tcBorders>
            <w:shd w:val="clear" w:color="auto" w:fill="auto"/>
          </w:tcPr>
          <w:p w:rsidR="002D3596" w:rsidRPr="00176D3F" w:rsidRDefault="002D3596" w:rsidP="008224E4">
            <w:pPr>
              <w:pStyle w:val="Note"/>
            </w:pPr>
            <w:proofErr w:type="spellStart"/>
            <w:r w:rsidRPr="00171E10">
              <w:rPr>
                <w:rStyle w:val="NoteLabel"/>
              </w:rPr>
              <w:t>a</w:t>
            </w:r>
            <w:proofErr w:type="spellEnd"/>
            <w:r w:rsidRPr="00171E10">
              <w:t xml:space="preserve"> </w:t>
            </w:r>
            <w:r>
              <w:t>E</w:t>
            </w:r>
            <w:r w:rsidRPr="00171E10">
              <w:t xml:space="preserve">rror bars represent the 95 per cent confidence interval associated </w:t>
            </w:r>
            <w:r w:rsidRPr="000C682B">
              <w:rPr>
                <w:shd w:val="clear" w:color="auto" w:fill="FFFFFF" w:themeFill="background1"/>
              </w:rPr>
              <w:t>with each point estimate.</w:t>
            </w:r>
            <w:r w:rsidRPr="000C682B">
              <w:rPr>
                <w:rStyle w:val="NoteLabel"/>
                <w:shd w:val="clear" w:color="auto" w:fill="FFFFFF" w:themeFill="background1"/>
              </w:rPr>
              <w:t xml:space="preserve"> b </w:t>
            </w:r>
            <w:r w:rsidRPr="000C682B">
              <w:rPr>
                <w:shd w:val="clear" w:color="auto" w:fill="FFFFFF" w:themeFill="background1"/>
              </w:rPr>
              <w:t>Data relate to courses completed in 201</w:t>
            </w:r>
            <w:r w:rsidR="008224E4">
              <w:rPr>
                <w:shd w:val="clear" w:color="auto" w:fill="FFFFFF" w:themeFill="background1"/>
              </w:rPr>
              <w:t>2</w:t>
            </w:r>
            <w:r w:rsidRPr="000C682B">
              <w:rPr>
                <w:shd w:val="clear" w:color="auto" w:fill="FFFFFF" w:themeFill="background1"/>
              </w:rPr>
              <w:t>.</w:t>
            </w:r>
          </w:p>
        </w:tc>
      </w:tr>
      <w:tr w:rsidR="002D3596" w:rsidRPr="00176D3F" w:rsidTr="00137F60">
        <w:tc>
          <w:tcPr>
            <w:tcW w:w="8771" w:type="dxa"/>
            <w:tcBorders>
              <w:top w:val="nil"/>
              <w:left w:val="nil"/>
              <w:bottom w:val="nil"/>
              <w:right w:val="nil"/>
            </w:tcBorders>
            <w:shd w:val="clear" w:color="auto" w:fill="auto"/>
          </w:tcPr>
          <w:p w:rsidR="002D3596" w:rsidRPr="00176D3F" w:rsidRDefault="002D3596" w:rsidP="00137F60">
            <w:pPr>
              <w:pStyle w:val="Source"/>
            </w:pPr>
            <w:r w:rsidRPr="00171E10">
              <w:rPr>
                <w:i/>
              </w:rPr>
              <w:t>Source</w:t>
            </w:r>
            <w:r w:rsidRPr="00171E10">
              <w:t xml:space="preserve">: NCVER (unpublished) </w:t>
            </w:r>
            <w:r w:rsidRPr="00171E10">
              <w:rPr>
                <w:i/>
              </w:rPr>
              <w:t>Student Outcomes Survey</w:t>
            </w:r>
            <w:r w:rsidRPr="00171E10">
              <w:t xml:space="preserve">; table </w:t>
            </w:r>
            <w:proofErr w:type="spellStart"/>
            <w:r w:rsidRPr="00171E10">
              <w:t>5A.25</w:t>
            </w:r>
            <w:proofErr w:type="spellEnd"/>
            <w:r w:rsidRPr="00171E10">
              <w:t>.</w:t>
            </w:r>
          </w:p>
        </w:tc>
      </w:tr>
      <w:tr w:rsidR="002D3596" w:rsidTr="00137F60">
        <w:tc>
          <w:tcPr>
            <w:tcW w:w="8771" w:type="dxa"/>
            <w:tcBorders>
              <w:top w:val="nil"/>
              <w:left w:val="nil"/>
              <w:bottom w:val="single" w:sz="6" w:space="0" w:color="78A22F"/>
              <w:right w:val="nil"/>
            </w:tcBorders>
            <w:shd w:val="clear" w:color="auto" w:fill="auto"/>
          </w:tcPr>
          <w:p w:rsidR="002D3596" w:rsidRDefault="002D3596" w:rsidP="00137F60">
            <w:pPr>
              <w:pStyle w:val="Figurespace"/>
            </w:pPr>
          </w:p>
        </w:tc>
      </w:tr>
      <w:tr w:rsidR="002D3596" w:rsidRPr="000863A5" w:rsidTr="00137F60">
        <w:tc>
          <w:tcPr>
            <w:tcW w:w="8771" w:type="dxa"/>
            <w:tcBorders>
              <w:top w:val="single" w:sz="6" w:space="0" w:color="78A22F"/>
              <w:left w:val="nil"/>
              <w:bottom w:val="nil"/>
              <w:right w:val="nil"/>
            </w:tcBorders>
          </w:tcPr>
          <w:p w:rsidR="002D3596" w:rsidRPr="00626D32" w:rsidRDefault="002D3596" w:rsidP="00137F60">
            <w:pPr>
              <w:pStyle w:val="BoxSpaceBelow"/>
            </w:pPr>
          </w:p>
        </w:tc>
      </w:tr>
    </w:tbl>
    <w:p w:rsidR="00730071" w:rsidRDefault="00730071" w:rsidP="0063437C">
      <w:pPr>
        <w:pStyle w:val="BodyText"/>
      </w:pPr>
      <w:r w:rsidRPr="00EA6743">
        <w:t xml:space="preserve">Of those </w:t>
      </w:r>
      <w:r w:rsidR="009529D3" w:rsidRPr="00EA6743">
        <w:t>government funded</w:t>
      </w:r>
      <w:r w:rsidR="00804C04">
        <w:t xml:space="preserve"> Aboriginal and Torres Strait Islander </w:t>
      </w:r>
      <w:r w:rsidR="009529D3" w:rsidRPr="00EA6743">
        <w:t xml:space="preserve">VET </w:t>
      </w:r>
      <w:r w:rsidRPr="00EA6743">
        <w:t>graduates who went on to further study</w:t>
      </w:r>
      <w:r w:rsidR="0096194E">
        <w:t xml:space="preserve"> in 2013</w:t>
      </w:r>
      <w:r w:rsidRPr="00EA6743">
        <w:t xml:space="preserve">, </w:t>
      </w:r>
      <w:r w:rsidR="00F87EC2">
        <w:t>55.8</w:t>
      </w:r>
      <w:r w:rsidR="0096194E">
        <w:t xml:space="preserve"> </w:t>
      </w:r>
      <w:r w:rsidRPr="00EA6743">
        <w:t>per</w:t>
      </w:r>
      <w:r w:rsidR="0096194E">
        <w:t xml:space="preserve"> </w:t>
      </w:r>
      <w:r w:rsidRPr="00EA6743">
        <w:t xml:space="preserve">cent continued on to further study within the TAFE system (compared with </w:t>
      </w:r>
      <w:r w:rsidR="00F87EC2">
        <w:t>47.6</w:t>
      </w:r>
      <w:r w:rsidR="0096194E">
        <w:t xml:space="preserve"> </w:t>
      </w:r>
      <w:r w:rsidRPr="00EA6743">
        <w:t>per</w:t>
      </w:r>
      <w:r w:rsidR="0096194E">
        <w:t xml:space="preserve"> </w:t>
      </w:r>
      <w:r w:rsidRPr="00EA6743">
        <w:t xml:space="preserve">cent for all </w:t>
      </w:r>
      <w:r w:rsidR="009529D3" w:rsidRPr="00EA6743">
        <w:t xml:space="preserve">government funded VET </w:t>
      </w:r>
      <w:r w:rsidRPr="00EA6743">
        <w:t>graduates)</w:t>
      </w:r>
      <w:r w:rsidR="00F25CF1" w:rsidRPr="00EA6743">
        <w:t>,</w:t>
      </w:r>
      <w:r w:rsidRPr="00EA6743">
        <w:t xml:space="preserve"> </w:t>
      </w:r>
      <w:r w:rsidR="00120E55" w:rsidRPr="00EA6743">
        <w:t>while</w:t>
      </w:r>
      <w:r w:rsidRPr="00EA6743">
        <w:t xml:space="preserve"> </w:t>
      </w:r>
      <w:r w:rsidR="00F87EC2">
        <w:t>12.</w:t>
      </w:r>
      <w:r w:rsidR="006F0893">
        <w:t>1</w:t>
      </w:r>
      <w:r w:rsidR="0096194E">
        <w:t xml:space="preserve"> </w:t>
      </w:r>
      <w:r w:rsidR="00F87EC2">
        <w:t>per</w:t>
      </w:r>
      <w:r w:rsidR="0096194E">
        <w:t xml:space="preserve"> </w:t>
      </w:r>
      <w:r w:rsidRPr="00EA6743">
        <w:t xml:space="preserve">cent went to university (compared with </w:t>
      </w:r>
      <w:r w:rsidR="00F87EC2">
        <w:t>23.0</w:t>
      </w:r>
      <w:r w:rsidR="0096194E">
        <w:t xml:space="preserve"> </w:t>
      </w:r>
      <w:r w:rsidRPr="00EA6743">
        <w:t>per</w:t>
      </w:r>
      <w:r w:rsidR="0096194E">
        <w:t xml:space="preserve"> </w:t>
      </w:r>
      <w:r w:rsidRPr="00EA6743">
        <w:t xml:space="preserve">cent for all </w:t>
      </w:r>
      <w:r w:rsidR="009529D3" w:rsidRPr="00EA6743">
        <w:t xml:space="preserve">government funded VET </w:t>
      </w:r>
      <w:r w:rsidRPr="00EA6743">
        <w:t xml:space="preserve">graduates) </w:t>
      </w:r>
      <w:r w:rsidR="00F25CF1" w:rsidRPr="00EA6743">
        <w:t xml:space="preserve">and </w:t>
      </w:r>
      <w:r w:rsidR="00F87EC2">
        <w:t>32.1</w:t>
      </w:r>
      <w:r w:rsidR="0096194E">
        <w:t xml:space="preserve"> </w:t>
      </w:r>
      <w:r w:rsidR="00F25CF1" w:rsidRPr="00EA6743">
        <w:t>per</w:t>
      </w:r>
      <w:r w:rsidR="0096194E">
        <w:t xml:space="preserve"> </w:t>
      </w:r>
      <w:r w:rsidR="00F25CF1" w:rsidRPr="00EA6743">
        <w:t xml:space="preserve">cent went on to further study at private providers or other registered providers </w:t>
      </w:r>
      <w:r w:rsidR="0063437C" w:rsidRPr="00EA6743">
        <w:t xml:space="preserve">(compared with </w:t>
      </w:r>
      <w:r w:rsidR="00F87EC2">
        <w:t xml:space="preserve">29.5 </w:t>
      </w:r>
      <w:r w:rsidR="0063437C" w:rsidRPr="00EA6743">
        <w:t>per</w:t>
      </w:r>
      <w:r w:rsidR="0096194E">
        <w:t xml:space="preserve"> </w:t>
      </w:r>
      <w:r w:rsidR="0063437C" w:rsidRPr="00EA6743">
        <w:t xml:space="preserve">cent for all </w:t>
      </w:r>
      <w:r w:rsidR="0063437C" w:rsidRPr="00EF5A5F">
        <w:t xml:space="preserve">government funded VET graduates) </w:t>
      </w:r>
      <w:r w:rsidRPr="00EF5A5F">
        <w:t xml:space="preserve">(figure </w:t>
      </w:r>
      <w:r w:rsidR="00442BBD">
        <w:t>5.22</w:t>
      </w:r>
      <w:r w:rsidR="00F25CF1" w:rsidRPr="00EF5A5F">
        <w:t xml:space="preserve"> and table </w:t>
      </w:r>
      <w:proofErr w:type="spellStart"/>
      <w:r w:rsidR="00F25CF1" w:rsidRPr="00EF5A5F">
        <w:t>5A.</w:t>
      </w:r>
      <w:r w:rsidR="00D323BF" w:rsidRPr="00EF5A5F">
        <w:t>25</w:t>
      </w:r>
      <w:proofErr w:type="spellEnd"/>
      <w:r w:rsidR="00F25CF1" w:rsidRPr="00EF5A5F">
        <w:t>)</w:t>
      </w:r>
      <w:r w:rsidRPr="00EF5A5F">
        <w:t>.</w:t>
      </w:r>
    </w:p>
    <w:p w:rsidR="00D810FD" w:rsidRDefault="00D810FD" w:rsidP="00137F6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810FD" w:rsidTr="00A26D57">
        <w:tc>
          <w:tcPr>
            <w:tcW w:w="8771" w:type="dxa"/>
            <w:tcBorders>
              <w:top w:val="single" w:sz="6" w:space="0" w:color="78A22F"/>
              <w:left w:val="nil"/>
              <w:bottom w:val="nil"/>
              <w:right w:val="nil"/>
            </w:tcBorders>
            <w:shd w:val="clear" w:color="auto" w:fill="auto"/>
          </w:tcPr>
          <w:p w:rsidR="00D810FD" w:rsidRPr="00176D3F" w:rsidRDefault="00D810FD" w:rsidP="00944A56">
            <w:pPr>
              <w:pStyle w:val="FigureTitle"/>
            </w:pPr>
            <w:r w:rsidRPr="00784A05">
              <w:rPr>
                <w:b w:val="0"/>
              </w:rPr>
              <w:t xml:space="preserve">Figure </w:t>
            </w:r>
            <w:r>
              <w:rPr>
                <w:b w:val="0"/>
              </w:rPr>
              <w:t>5.</w:t>
            </w:r>
            <w:r w:rsidR="00D80B1E">
              <w:rPr>
                <w:b w:val="0"/>
                <w:noProof/>
              </w:rPr>
              <w:t>22</w:t>
            </w:r>
            <w:r>
              <w:tab/>
            </w:r>
            <w:r w:rsidR="004F79FE" w:rsidRPr="00A26D57">
              <w:t>Proportion, by type of continuing institution, of Aboriginal and Torres Strait Islander government funded VET graduates who continued on to further study after completing a course, 2013</w:t>
            </w:r>
            <w:r w:rsidR="00944A56" w:rsidRPr="00A26D57">
              <w:rPr>
                <w:rStyle w:val="NoteLabel"/>
                <w:b/>
              </w:rPr>
              <w:t>a</w:t>
            </w:r>
            <w:r w:rsidR="00944A56" w:rsidRPr="00CC723C">
              <w:rPr>
                <w:rStyle w:val="NoteLabel"/>
                <w:b/>
              </w:rPr>
              <w:t>, b</w:t>
            </w:r>
          </w:p>
        </w:tc>
      </w:tr>
      <w:tr w:rsidR="00D810FD" w:rsidTr="00137F60">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D810FD" w:rsidTr="00D810FD">
              <w:tc>
                <w:tcPr>
                  <w:tcW w:w="5000" w:type="pct"/>
                  <w:tcBorders>
                    <w:top w:val="nil"/>
                    <w:bottom w:val="nil"/>
                  </w:tcBorders>
                </w:tcPr>
                <w:p w:rsidR="00D810FD" w:rsidRDefault="009F6491" w:rsidP="00137F60">
                  <w:pPr>
                    <w:pStyle w:val="Figure"/>
                    <w:spacing w:before="60" w:after="60"/>
                  </w:pPr>
                  <w:r>
                    <w:rPr>
                      <w:noProof/>
                    </w:rPr>
                    <w:drawing>
                      <wp:inline distT="0" distB="0" distL="0" distR="0">
                        <wp:extent cx="5391150" cy="2714625"/>
                        <wp:effectExtent l="0" t="0" r="0" b="9525"/>
                        <wp:docPr id="29" name="Picture 29" descr="Figure 5.22 Proportion, by type of continuing institution, of Aboriginal and Torres Strait Islander government funded VET grduates who continued on to further study after completing a course,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391150" cy="2714625"/>
                                </a:xfrm>
                                <a:prstGeom prst="rect">
                                  <a:avLst/>
                                </a:prstGeom>
                                <a:noFill/>
                                <a:ln>
                                  <a:noFill/>
                                </a:ln>
                              </pic:spPr>
                            </pic:pic>
                          </a:graphicData>
                        </a:graphic>
                      </wp:inline>
                    </w:drawing>
                  </w:r>
                </w:p>
              </w:tc>
            </w:tr>
          </w:tbl>
          <w:p w:rsidR="00D810FD" w:rsidRDefault="00D810FD" w:rsidP="00137F60">
            <w:pPr>
              <w:pStyle w:val="Figure"/>
            </w:pPr>
          </w:p>
        </w:tc>
      </w:tr>
      <w:tr w:rsidR="00D810FD" w:rsidRPr="00176D3F" w:rsidTr="00137F60">
        <w:tc>
          <w:tcPr>
            <w:tcW w:w="8771" w:type="dxa"/>
            <w:tcBorders>
              <w:top w:val="nil"/>
              <w:left w:val="nil"/>
              <w:bottom w:val="nil"/>
              <w:right w:val="nil"/>
            </w:tcBorders>
            <w:shd w:val="clear" w:color="auto" w:fill="auto"/>
          </w:tcPr>
          <w:p w:rsidR="00D810FD" w:rsidRPr="00176D3F" w:rsidRDefault="00D810FD" w:rsidP="00DC725E">
            <w:pPr>
              <w:pStyle w:val="Note"/>
            </w:pPr>
            <w:proofErr w:type="spellStart"/>
            <w:r w:rsidRPr="00171E10">
              <w:rPr>
                <w:rStyle w:val="NoteLabel"/>
              </w:rPr>
              <w:t>a</w:t>
            </w:r>
            <w:proofErr w:type="spellEnd"/>
            <w:r w:rsidRPr="00171E10">
              <w:t xml:space="preserve"> The data for graduates who continued at TAFE for Victoria, Queensland and the NT, at University for NSW, Queensland, SA and the NT, and for graduates at private provider or other registered provider for NSW, Victoria, Queensland and WA have relative standard errors greater than 25 per cent and should be used with caution. Some data for Victoria, WA, SA, Tasmania and the ACT are not published due to 5 or fewer responses, but are included in the Australia</w:t>
            </w:r>
            <w:r w:rsidR="00DC725E">
              <w:t>n total</w:t>
            </w:r>
            <w:r w:rsidRPr="00171E10">
              <w:t xml:space="preserve">. </w:t>
            </w:r>
            <w:r w:rsidRPr="00171E10">
              <w:rPr>
                <w:rStyle w:val="NoteLabel"/>
              </w:rPr>
              <w:t>b</w:t>
            </w:r>
            <w:r w:rsidRPr="00171E10">
              <w:t xml:space="preserve"> </w:t>
            </w:r>
            <w:r>
              <w:t>E</w:t>
            </w:r>
            <w:r w:rsidRPr="00171E10">
              <w:t>rror bars represent the 95 per cent confidence interval associated with each point estimate.</w:t>
            </w:r>
          </w:p>
        </w:tc>
      </w:tr>
      <w:tr w:rsidR="00D810FD" w:rsidRPr="00176D3F" w:rsidTr="00137F60">
        <w:tc>
          <w:tcPr>
            <w:tcW w:w="8771" w:type="dxa"/>
            <w:tcBorders>
              <w:top w:val="nil"/>
              <w:left w:val="nil"/>
              <w:bottom w:val="nil"/>
              <w:right w:val="nil"/>
            </w:tcBorders>
            <w:shd w:val="clear" w:color="auto" w:fill="auto"/>
          </w:tcPr>
          <w:p w:rsidR="00D810FD" w:rsidRPr="00176D3F" w:rsidRDefault="00D810FD" w:rsidP="00137F60">
            <w:pPr>
              <w:pStyle w:val="Source"/>
            </w:pPr>
            <w:r w:rsidRPr="00171E10">
              <w:rPr>
                <w:i/>
              </w:rPr>
              <w:t>Source</w:t>
            </w:r>
            <w:r w:rsidRPr="00171E10">
              <w:t xml:space="preserve">: NCVER (unpublished) </w:t>
            </w:r>
            <w:r w:rsidRPr="00171E10">
              <w:rPr>
                <w:i/>
              </w:rPr>
              <w:t>Student Outcomes Survey</w:t>
            </w:r>
            <w:r w:rsidRPr="00171E10">
              <w:t xml:space="preserve">; tables </w:t>
            </w:r>
            <w:proofErr w:type="spellStart"/>
            <w:r w:rsidRPr="00171E10">
              <w:t>5A.26</w:t>
            </w:r>
            <w:proofErr w:type="spellEnd"/>
            <w:r w:rsidRPr="00171E10">
              <w:t>.</w:t>
            </w:r>
          </w:p>
        </w:tc>
      </w:tr>
      <w:tr w:rsidR="00D810FD" w:rsidTr="00137F60">
        <w:tc>
          <w:tcPr>
            <w:tcW w:w="8771" w:type="dxa"/>
            <w:tcBorders>
              <w:top w:val="nil"/>
              <w:left w:val="nil"/>
              <w:bottom w:val="single" w:sz="6" w:space="0" w:color="78A22F"/>
              <w:right w:val="nil"/>
            </w:tcBorders>
            <w:shd w:val="clear" w:color="auto" w:fill="auto"/>
          </w:tcPr>
          <w:p w:rsidR="00D810FD" w:rsidRDefault="00D810FD" w:rsidP="00137F60">
            <w:pPr>
              <w:pStyle w:val="Figurespace"/>
            </w:pPr>
          </w:p>
        </w:tc>
      </w:tr>
      <w:tr w:rsidR="00D810FD" w:rsidRPr="000863A5" w:rsidTr="00137F60">
        <w:tc>
          <w:tcPr>
            <w:tcW w:w="8771" w:type="dxa"/>
            <w:tcBorders>
              <w:top w:val="single" w:sz="6" w:space="0" w:color="78A22F"/>
              <w:left w:val="nil"/>
              <w:bottom w:val="nil"/>
              <w:right w:val="nil"/>
            </w:tcBorders>
          </w:tcPr>
          <w:p w:rsidR="00D810FD" w:rsidRPr="00626D32" w:rsidRDefault="00D810FD" w:rsidP="00137F60">
            <w:pPr>
              <w:pStyle w:val="BoxSpaceBelow"/>
            </w:pPr>
          </w:p>
        </w:tc>
      </w:tr>
    </w:tbl>
    <w:p w:rsidR="00C57336" w:rsidRPr="00EF5A5F" w:rsidRDefault="004E3A2B" w:rsidP="00287B08">
      <w:pPr>
        <w:pStyle w:val="Heading6"/>
      </w:pPr>
      <w:r w:rsidRPr="00EF5A5F">
        <w:t xml:space="preserve">Student employment and further study outcomes — </w:t>
      </w:r>
      <w:r w:rsidR="008E6A37" w:rsidRPr="00EF5A5F">
        <w:t>t</w:t>
      </w:r>
      <w:r w:rsidR="00850378" w:rsidRPr="00EF5A5F">
        <w:t xml:space="preserve">he proportion of graduates employed after completing their course who were </w:t>
      </w:r>
      <w:r w:rsidR="000E6798" w:rsidRPr="00EF5A5F">
        <w:t>unemployed before the course</w:t>
      </w:r>
    </w:p>
    <w:p w:rsidR="00C57336" w:rsidRDefault="00C57336" w:rsidP="00070462">
      <w:pPr>
        <w:pStyle w:val="BodyText"/>
      </w:pPr>
      <w:r w:rsidRPr="009202F4">
        <w:t xml:space="preserve">Nationally, of the </w:t>
      </w:r>
      <w:r w:rsidR="009529D3" w:rsidRPr="009202F4">
        <w:t xml:space="preserve">government funded VET </w:t>
      </w:r>
      <w:r w:rsidRPr="009202F4">
        <w:t xml:space="preserve">graduates surveyed in </w:t>
      </w:r>
      <w:r w:rsidR="008C3331" w:rsidRPr="009202F4">
        <w:t>201</w:t>
      </w:r>
      <w:r w:rsidR="008224E4">
        <w:t>3</w:t>
      </w:r>
      <w:r w:rsidR="008C3331" w:rsidRPr="009202F4">
        <w:t xml:space="preserve"> </w:t>
      </w:r>
      <w:r w:rsidRPr="009202F4">
        <w:t>who we</w:t>
      </w:r>
      <w:r w:rsidR="006F6DDD" w:rsidRPr="009202F4">
        <w:t xml:space="preserve">re </w:t>
      </w:r>
      <w:r w:rsidR="00C038AD" w:rsidRPr="009202F4">
        <w:t>unemployed before the course</w:t>
      </w:r>
      <w:r w:rsidRPr="009202F4">
        <w:t xml:space="preserve">, </w:t>
      </w:r>
      <w:r w:rsidR="00F87EC2">
        <w:t>46.6</w:t>
      </w:r>
      <w:r w:rsidR="0096194E">
        <w:t xml:space="preserve"> </w:t>
      </w:r>
      <w:r w:rsidRPr="009202F4">
        <w:t>per</w:t>
      </w:r>
      <w:r w:rsidR="0096194E">
        <w:t xml:space="preserve"> </w:t>
      </w:r>
      <w:r w:rsidRPr="009202F4">
        <w:t>cent indicated they were employed after the course</w:t>
      </w:r>
      <w:r w:rsidR="00937F0F" w:rsidRPr="009202F4">
        <w:t xml:space="preserve">, </w:t>
      </w:r>
      <w:r w:rsidR="00F87EC2">
        <w:t>45.9</w:t>
      </w:r>
      <w:r w:rsidR="0096194E">
        <w:t xml:space="preserve"> </w:t>
      </w:r>
      <w:r w:rsidR="00937F0F" w:rsidRPr="009202F4">
        <w:t>per</w:t>
      </w:r>
      <w:r w:rsidR="0096194E">
        <w:t xml:space="preserve"> </w:t>
      </w:r>
      <w:r w:rsidR="00937F0F" w:rsidRPr="009202F4">
        <w:t xml:space="preserve">cent were unemployed and </w:t>
      </w:r>
      <w:r w:rsidR="00F87EC2">
        <w:t>7.4</w:t>
      </w:r>
      <w:r w:rsidR="0096194E">
        <w:t xml:space="preserve"> </w:t>
      </w:r>
      <w:r w:rsidRPr="009202F4">
        <w:t>per</w:t>
      </w:r>
      <w:r w:rsidR="0096194E">
        <w:t xml:space="preserve"> </w:t>
      </w:r>
      <w:r w:rsidRPr="009202F4">
        <w:t>cent were not in the labour force (figure</w:t>
      </w:r>
      <w:r w:rsidR="00C038AD" w:rsidRPr="009202F4">
        <w:t> </w:t>
      </w:r>
      <w:r w:rsidR="00442BBD" w:rsidRPr="009202F4">
        <w:t>5.23</w:t>
      </w:r>
      <w:r w:rsidRPr="009202F4">
        <w:t>).</w:t>
      </w:r>
    </w:p>
    <w:p w:rsidR="00137F60" w:rsidRDefault="00137F60" w:rsidP="00137F6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37F60" w:rsidTr="00137F60">
        <w:tc>
          <w:tcPr>
            <w:tcW w:w="8771" w:type="dxa"/>
            <w:tcBorders>
              <w:top w:val="single" w:sz="6" w:space="0" w:color="78A22F"/>
              <w:left w:val="nil"/>
              <w:bottom w:val="nil"/>
              <w:right w:val="nil"/>
            </w:tcBorders>
            <w:shd w:val="clear" w:color="auto" w:fill="auto"/>
          </w:tcPr>
          <w:p w:rsidR="00137F60" w:rsidRPr="00176D3F" w:rsidRDefault="00137F60" w:rsidP="008224E4">
            <w:pPr>
              <w:pStyle w:val="FigureTitle"/>
            </w:pPr>
            <w:r w:rsidRPr="00784A05">
              <w:rPr>
                <w:b w:val="0"/>
              </w:rPr>
              <w:t xml:space="preserve">Figure </w:t>
            </w:r>
            <w:r>
              <w:rPr>
                <w:b w:val="0"/>
              </w:rPr>
              <w:t>5.</w:t>
            </w:r>
            <w:r w:rsidR="00D80B1E">
              <w:rPr>
                <w:b w:val="0"/>
                <w:noProof/>
              </w:rPr>
              <w:t>23</w:t>
            </w:r>
            <w:r>
              <w:tab/>
            </w:r>
            <w:r w:rsidRPr="00CC723C">
              <w:t>Labour force status after the course of government funded VET graduates who were unemployed before the course, 201</w:t>
            </w:r>
            <w:r w:rsidR="008224E4">
              <w:t>3</w:t>
            </w:r>
            <w:r w:rsidRPr="00CC723C">
              <w:rPr>
                <w:rStyle w:val="NoteLabel"/>
                <w:b/>
              </w:rPr>
              <w:t>a</w:t>
            </w:r>
          </w:p>
        </w:tc>
      </w:tr>
      <w:tr w:rsidR="00137F60" w:rsidTr="00137F60">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137F60" w:rsidTr="00137F60">
              <w:tc>
                <w:tcPr>
                  <w:tcW w:w="5000" w:type="pct"/>
                  <w:tcBorders>
                    <w:top w:val="nil"/>
                    <w:bottom w:val="nil"/>
                  </w:tcBorders>
                </w:tcPr>
                <w:p w:rsidR="00137F60" w:rsidRDefault="009F6491" w:rsidP="00137F60">
                  <w:pPr>
                    <w:pStyle w:val="Figure"/>
                    <w:spacing w:before="60" w:after="60"/>
                  </w:pPr>
                  <w:r>
                    <w:rPr>
                      <w:noProof/>
                    </w:rPr>
                    <w:drawing>
                      <wp:inline distT="0" distB="0" distL="0" distR="0">
                        <wp:extent cx="5391150" cy="2714625"/>
                        <wp:effectExtent l="0" t="0" r="0" b="9525"/>
                        <wp:docPr id="30" name="Picture 30" descr="Figure 5.23 Labour force status after the course of government funded VET graduates who were unemployed before the course,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91150" cy="2714625"/>
                                </a:xfrm>
                                <a:prstGeom prst="rect">
                                  <a:avLst/>
                                </a:prstGeom>
                                <a:noFill/>
                                <a:ln>
                                  <a:noFill/>
                                </a:ln>
                              </pic:spPr>
                            </pic:pic>
                          </a:graphicData>
                        </a:graphic>
                      </wp:inline>
                    </w:drawing>
                  </w:r>
                </w:p>
              </w:tc>
            </w:tr>
          </w:tbl>
          <w:p w:rsidR="00137F60" w:rsidRDefault="00137F60" w:rsidP="00137F60">
            <w:pPr>
              <w:pStyle w:val="Figure"/>
            </w:pPr>
          </w:p>
        </w:tc>
      </w:tr>
      <w:tr w:rsidR="00137F60" w:rsidRPr="00176D3F" w:rsidTr="00137F60">
        <w:tc>
          <w:tcPr>
            <w:tcW w:w="8771" w:type="dxa"/>
            <w:tcBorders>
              <w:top w:val="nil"/>
              <w:left w:val="nil"/>
              <w:bottom w:val="nil"/>
              <w:right w:val="nil"/>
            </w:tcBorders>
            <w:shd w:val="clear" w:color="auto" w:fill="auto"/>
          </w:tcPr>
          <w:p w:rsidR="00137F60" w:rsidRPr="008C1DD2" w:rsidRDefault="00137F60" w:rsidP="00137F60">
            <w:pPr>
              <w:pStyle w:val="Note"/>
              <w:rPr>
                <w:rStyle w:val="NoteLabel"/>
              </w:rPr>
            </w:pPr>
            <w:proofErr w:type="spellStart"/>
            <w:r w:rsidRPr="008C1DD2">
              <w:t>NFI</w:t>
            </w:r>
            <w:proofErr w:type="spellEnd"/>
            <w:r w:rsidRPr="008C1DD2">
              <w:t xml:space="preserve"> = No further information</w:t>
            </w:r>
          </w:p>
          <w:p w:rsidR="00137F60" w:rsidRPr="00176D3F" w:rsidRDefault="00137F60" w:rsidP="00DC725E">
            <w:pPr>
              <w:pStyle w:val="Note"/>
            </w:pPr>
            <w:proofErr w:type="spellStart"/>
            <w:r w:rsidRPr="008C1DD2">
              <w:rPr>
                <w:rStyle w:val="NoteLabel"/>
              </w:rPr>
              <w:t>a</w:t>
            </w:r>
            <w:proofErr w:type="spellEnd"/>
            <w:r w:rsidRPr="008C1DD2">
              <w:t xml:space="preserve"> The 95 per cent confidence intervals for the percentage estimates are reported in table </w:t>
            </w:r>
            <w:proofErr w:type="spellStart"/>
            <w:r w:rsidRPr="008C1DD2">
              <w:t>5A.34</w:t>
            </w:r>
            <w:proofErr w:type="spellEnd"/>
            <w:r w:rsidRPr="008C1DD2">
              <w:t xml:space="preserve">. Not in the labour force estimates for Queensland, WA, Tasmania and the NT have relative standard errors greater than 25 per cent and </w:t>
            </w:r>
            <w:r w:rsidR="00DC725E">
              <w:t>should</w:t>
            </w:r>
            <w:r w:rsidRPr="008C1DD2">
              <w:t xml:space="preserve"> be used with caution. Not in the labour force estimates for the ACT are not published due to 5 or fewer responses, but are included in the Australia</w:t>
            </w:r>
            <w:r w:rsidR="00DC725E">
              <w:t>n total</w:t>
            </w:r>
            <w:r w:rsidRPr="008C1DD2">
              <w:t>.</w:t>
            </w:r>
          </w:p>
        </w:tc>
      </w:tr>
      <w:tr w:rsidR="00137F60" w:rsidRPr="00176D3F" w:rsidTr="00137F60">
        <w:tc>
          <w:tcPr>
            <w:tcW w:w="8771" w:type="dxa"/>
            <w:tcBorders>
              <w:top w:val="nil"/>
              <w:left w:val="nil"/>
              <w:bottom w:val="nil"/>
              <w:right w:val="nil"/>
            </w:tcBorders>
            <w:shd w:val="clear" w:color="auto" w:fill="auto"/>
          </w:tcPr>
          <w:p w:rsidR="00137F60" w:rsidRPr="00176D3F" w:rsidRDefault="00137F60" w:rsidP="00137F60">
            <w:pPr>
              <w:pStyle w:val="Source"/>
            </w:pPr>
            <w:r w:rsidRPr="008C1DD2">
              <w:rPr>
                <w:i/>
              </w:rPr>
              <w:t>Source</w:t>
            </w:r>
            <w:r w:rsidRPr="008C1DD2">
              <w:t xml:space="preserve">: NCVER (unpublished) </w:t>
            </w:r>
            <w:r w:rsidRPr="008C1DD2">
              <w:rPr>
                <w:i/>
              </w:rPr>
              <w:t>Student Outcomes Survey</w:t>
            </w:r>
            <w:r w:rsidRPr="008C1DD2">
              <w:t xml:space="preserve">; table </w:t>
            </w:r>
            <w:proofErr w:type="spellStart"/>
            <w:r w:rsidRPr="008C1DD2">
              <w:t>5A.34</w:t>
            </w:r>
            <w:proofErr w:type="spellEnd"/>
            <w:r w:rsidRPr="008C1DD2">
              <w:t>.</w:t>
            </w:r>
          </w:p>
        </w:tc>
      </w:tr>
      <w:tr w:rsidR="00137F60" w:rsidTr="00137F60">
        <w:tc>
          <w:tcPr>
            <w:tcW w:w="8771" w:type="dxa"/>
            <w:tcBorders>
              <w:top w:val="nil"/>
              <w:left w:val="nil"/>
              <w:bottom w:val="single" w:sz="6" w:space="0" w:color="78A22F"/>
              <w:right w:val="nil"/>
            </w:tcBorders>
            <w:shd w:val="clear" w:color="auto" w:fill="auto"/>
          </w:tcPr>
          <w:p w:rsidR="00137F60" w:rsidRDefault="00137F60" w:rsidP="00137F60">
            <w:pPr>
              <w:pStyle w:val="Figurespace"/>
            </w:pPr>
          </w:p>
        </w:tc>
      </w:tr>
      <w:tr w:rsidR="00137F60" w:rsidRPr="000863A5" w:rsidTr="00137F60">
        <w:tc>
          <w:tcPr>
            <w:tcW w:w="8771" w:type="dxa"/>
            <w:tcBorders>
              <w:top w:val="single" w:sz="6" w:space="0" w:color="78A22F"/>
              <w:left w:val="nil"/>
              <w:bottom w:val="nil"/>
              <w:right w:val="nil"/>
            </w:tcBorders>
          </w:tcPr>
          <w:p w:rsidR="00137F60" w:rsidRPr="00626D32" w:rsidRDefault="00137F60" w:rsidP="00137F60">
            <w:pPr>
              <w:pStyle w:val="BoxSpaceBelow"/>
            </w:pPr>
          </w:p>
        </w:tc>
      </w:tr>
    </w:tbl>
    <w:p w:rsidR="00C57336" w:rsidRDefault="00C57336" w:rsidP="00A26D57">
      <w:pPr>
        <w:pStyle w:val="BodyText"/>
        <w:spacing w:before="120"/>
      </w:pPr>
      <w:r w:rsidRPr="002D35E4">
        <w:t xml:space="preserve">Between </w:t>
      </w:r>
      <w:r w:rsidR="00DD3F45" w:rsidRPr="002D35E4">
        <w:t>200</w:t>
      </w:r>
      <w:r w:rsidR="008224E4">
        <w:t>9</w:t>
      </w:r>
      <w:r w:rsidR="00DD3F45" w:rsidRPr="002D35E4">
        <w:t xml:space="preserve"> </w:t>
      </w:r>
      <w:r w:rsidRPr="002D35E4">
        <w:t xml:space="preserve">and </w:t>
      </w:r>
      <w:r w:rsidR="00F2551D" w:rsidRPr="002D35E4">
        <w:t>201</w:t>
      </w:r>
      <w:r w:rsidR="008224E4">
        <w:t>3</w:t>
      </w:r>
      <w:r w:rsidRPr="002D35E4">
        <w:t xml:space="preserve">, the proportion of </w:t>
      </w:r>
      <w:r w:rsidR="00E7351A" w:rsidRPr="002D35E4">
        <w:t xml:space="preserve">all </w:t>
      </w:r>
      <w:r w:rsidR="00A85AD7" w:rsidRPr="002D35E4">
        <w:t xml:space="preserve">government funded VET </w:t>
      </w:r>
      <w:r w:rsidRPr="002D35E4">
        <w:t xml:space="preserve">graduates who </w:t>
      </w:r>
      <w:r w:rsidR="00C038AD" w:rsidRPr="002D35E4">
        <w:t>were unemployed before the</w:t>
      </w:r>
      <w:r w:rsidRPr="002D35E4">
        <w:t xml:space="preserve"> cour</w:t>
      </w:r>
      <w:r w:rsidR="006C7A3D" w:rsidRPr="002D35E4">
        <w:t xml:space="preserve">se </w:t>
      </w:r>
      <w:r w:rsidRPr="002D35E4">
        <w:t>and who became employed</w:t>
      </w:r>
      <w:r w:rsidR="00762061" w:rsidRPr="002D35E4">
        <w:t xml:space="preserve"> after the course </w:t>
      </w:r>
      <w:r w:rsidR="009852D1" w:rsidRPr="002D35E4">
        <w:t xml:space="preserve">decreased </w:t>
      </w:r>
      <w:r w:rsidR="00762061" w:rsidRPr="002D35E4">
        <w:t xml:space="preserve">by </w:t>
      </w:r>
      <w:r w:rsidR="00477437">
        <w:t xml:space="preserve">4.9 </w:t>
      </w:r>
      <w:r w:rsidRPr="002D35E4">
        <w:t xml:space="preserve">percentage points </w:t>
      </w:r>
      <w:r w:rsidR="00E7351A" w:rsidRPr="002D35E4">
        <w:t xml:space="preserve">to </w:t>
      </w:r>
      <w:r w:rsidR="00477437">
        <w:t xml:space="preserve">46.6 </w:t>
      </w:r>
      <w:r w:rsidR="00823EB8" w:rsidRPr="002D35E4">
        <w:t>per</w:t>
      </w:r>
      <w:r w:rsidR="00C35FAA" w:rsidRPr="002D35E4">
        <w:t xml:space="preserve"> </w:t>
      </w:r>
      <w:r w:rsidR="00823EB8" w:rsidRPr="002D35E4">
        <w:t>cent (figure</w:t>
      </w:r>
      <w:r w:rsidR="0096194E">
        <w:t xml:space="preserve"> </w:t>
      </w:r>
      <w:r w:rsidR="00442BBD" w:rsidRPr="002D35E4">
        <w:t>5.24</w:t>
      </w:r>
      <w:r w:rsidRPr="002D35E4">
        <w:t>).</w:t>
      </w:r>
      <w:r w:rsidR="00E7351A" w:rsidRPr="002D35E4">
        <w:t xml:space="preserve"> This compares with </w:t>
      </w:r>
      <w:r w:rsidR="00E7351A" w:rsidRPr="00A26D57">
        <w:t xml:space="preserve">a </w:t>
      </w:r>
      <w:r w:rsidR="00461DA8" w:rsidRPr="00A26D57">
        <w:t>de</w:t>
      </w:r>
      <w:r w:rsidR="00E7351A" w:rsidRPr="00A26D57">
        <w:t>crease</w:t>
      </w:r>
      <w:r w:rsidR="00E7351A" w:rsidRPr="002D35E4">
        <w:t xml:space="preserve"> of </w:t>
      </w:r>
      <w:r w:rsidR="00015651">
        <w:t>13.6</w:t>
      </w:r>
      <w:r w:rsidR="00477437">
        <w:t xml:space="preserve"> </w:t>
      </w:r>
      <w:r w:rsidR="00E7351A" w:rsidRPr="002D35E4">
        <w:t>percentage points over the same period for government funded</w:t>
      </w:r>
      <w:r w:rsidR="00804C04">
        <w:t xml:space="preserve"> Aboriginal and Torres Strait Islander </w:t>
      </w:r>
      <w:r w:rsidR="00E7351A" w:rsidRPr="002D35E4">
        <w:t>V</w:t>
      </w:r>
      <w:r w:rsidR="003844EB" w:rsidRPr="002D35E4">
        <w:t xml:space="preserve">ET graduates to </w:t>
      </w:r>
      <w:r w:rsidR="00477437">
        <w:t xml:space="preserve">39.1 </w:t>
      </w:r>
      <w:r w:rsidR="003844EB" w:rsidRPr="002D35E4">
        <w:t xml:space="preserve">per </w:t>
      </w:r>
      <w:r w:rsidR="00E7351A" w:rsidRPr="00EF5A5F">
        <w:t>cent (table</w:t>
      </w:r>
      <w:r w:rsidR="0096194E">
        <w:t xml:space="preserve"> </w:t>
      </w:r>
      <w:proofErr w:type="spellStart"/>
      <w:r w:rsidR="00E7351A" w:rsidRPr="00EF5A5F">
        <w:t>5A.</w:t>
      </w:r>
      <w:r w:rsidR="00F2551D">
        <w:t>35</w:t>
      </w:r>
      <w:proofErr w:type="spellEnd"/>
      <w:r w:rsidR="00E7351A" w:rsidRPr="00EF5A5F">
        <w:t>).</w:t>
      </w:r>
    </w:p>
    <w:p w:rsidR="002E576E" w:rsidRDefault="002E576E" w:rsidP="005F14B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E576E" w:rsidTr="005F14B9">
        <w:tc>
          <w:tcPr>
            <w:tcW w:w="8771" w:type="dxa"/>
            <w:tcBorders>
              <w:top w:val="single" w:sz="6" w:space="0" w:color="78A22F"/>
              <w:left w:val="nil"/>
              <w:bottom w:val="nil"/>
              <w:right w:val="nil"/>
            </w:tcBorders>
            <w:shd w:val="clear" w:color="auto" w:fill="auto"/>
          </w:tcPr>
          <w:p w:rsidR="002E576E" w:rsidRPr="00176D3F" w:rsidRDefault="002E576E" w:rsidP="002E576E">
            <w:pPr>
              <w:pStyle w:val="FigureTitle"/>
            </w:pPr>
            <w:r w:rsidRPr="00784A05">
              <w:rPr>
                <w:b w:val="0"/>
              </w:rPr>
              <w:t xml:space="preserve">Figure </w:t>
            </w:r>
            <w:r>
              <w:rPr>
                <w:b w:val="0"/>
              </w:rPr>
              <w:t>5.</w:t>
            </w:r>
            <w:r w:rsidR="00D80B1E">
              <w:rPr>
                <w:b w:val="0"/>
                <w:noProof/>
              </w:rPr>
              <w:t>24</w:t>
            </w:r>
            <w:r>
              <w:tab/>
            </w:r>
            <w:r w:rsidRPr="00782E96">
              <w:t>Proportion of government funded VET graduates who were unemployed prior to commencing a course and were employed after completing a course</w:t>
            </w:r>
            <w:r w:rsidRPr="00782E96">
              <w:rPr>
                <w:rStyle w:val="NoteLabel"/>
                <w:b/>
              </w:rPr>
              <w:t>a</w:t>
            </w:r>
          </w:p>
        </w:tc>
      </w:tr>
      <w:tr w:rsidR="002E576E" w:rsidTr="005F14B9">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2E576E" w:rsidTr="002E576E">
              <w:tc>
                <w:tcPr>
                  <w:tcW w:w="5000" w:type="pct"/>
                  <w:tcBorders>
                    <w:top w:val="nil"/>
                    <w:bottom w:val="nil"/>
                  </w:tcBorders>
                </w:tcPr>
                <w:p w:rsidR="002E576E" w:rsidRDefault="009F6491" w:rsidP="005F14B9">
                  <w:pPr>
                    <w:pStyle w:val="Figure"/>
                    <w:spacing w:before="60" w:after="60"/>
                  </w:pPr>
                  <w:r>
                    <w:rPr>
                      <w:noProof/>
                    </w:rPr>
                    <w:drawing>
                      <wp:inline distT="0" distB="0" distL="0" distR="0">
                        <wp:extent cx="5391150" cy="2714625"/>
                        <wp:effectExtent l="0" t="0" r="0" b="9525"/>
                        <wp:docPr id="31" name="Picture 31" descr="Figure 5.24 Proportion of government funded VET graduates who were unemployed prior to commencing a course and were employed after completing a cours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391150" cy="2714625"/>
                                </a:xfrm>
                                <a:prstGeom prst="rect">
                                  <a:avLst/>
                                </a:prstGeom>
                                <a:noFill/>
                                <a:ln>
                                  <a:noFill/>
                                </a:ln>
                              </pic:spPr>
                            </pic:pic>
                          </a:graphicData>
                        </a:graphic>
                      </wp:inline>
                    </w:drawing>
                  </w:r>
                </w:p>
              </w:tc>
            </w:tr>
          </w:tbl>
          <w:p w:rsidR="002E576E" w:rsidRDefault="002E576E" w:rsidP="005F14B9">
            <w:pPr>
              <w:pStyle w:val="Figure"/>
            </w:pPr>
          </w:p>
        </w:tc>
      </w:tr>
      <w:tr w:rsidR="002E576E" w:rsidRPr="00176D3F" w:rsidTr="005F14B9">
        <w:tc>
          <w:tcPr>
            <w:tcW w:w="8771" w:type="dxa"/>
            <w:tcBorders>
              <w:top w:val="nil"/>
              <w:left w:val="nil"/>
              <w:bottom w:val="nil"/>
              <w:right w:val="nil"/>
            </w:tcBorders>
            <w:shd w:val="clear" w:color="auto" w:fill="auto"/>
          </w:tcPr>
          <w:p w:rsidR="002E576E" w:rsidRPr="00176D3F" w:rsidRDefault="002E576E" w:rsidP="005F14B9">
            <w:pPr>
              <w:pStyle w:val="Note"/>
            </w:pPr>
            <w:proofErr w:type="spellStart"/>
            <w:r w:rsidRPr="008C1DD2">
              <w:rPr>
                <w:rStyle w:val="NoteLabel"/>
              </w:rPr>
              <w:t>a</w:t>
            </w:r>
            <w:proofErr w:type="spellEnd"/>
            <w:r w:rsidRPr="008C1DD2">
              <w:t xml:space="preserve"> </w:t>
            </w:r>
            <w:r>
              <w:t>E</w:t>
            </w:r>
            <w:r w:rsidRPr="00171E10">
              <w:t>rror bars represent the 95 per cent confidence interval associated with each point estimate.</w:t>
            </w:r>
          </w:p>
        </w:tc>
      </w:tr>
      <w:tr w:rsidR="002E576E" w:rsidRPr="00176D3F" w:rsidTr="005F14B9">
        <w:tc>
          <w:tcPr>
            <w:tcW w:w="8771" w:type="dxa"/>
            <w:tcBorders>
              <w:top w:val="nil"/>
              <w:left w:val="nil"/>
              <w:bottom w:val="nil"/>
              <w:right w:val="nil"/>
            </w:tcBorders>
            <w:shd w:val="clear" w:color="auto" w:fill="auto"/>
          </w:tcPr>
          <w:p w:rsidR="002E576E" w:rsidRPr="00176D3F" w:rsidRDefault="002E576E" w:rsidP="005F14B9">
            <w:pPr>
              <w:pStyle w:val="Source"/>
            </w:pPr>
            <w:r w:rsidRPr="008C1DD2">
              <w:rPr>
                <w:i/>
              </w:rPr>
              <w:t>Source</w:t>
            </w:r>
            <w:r w:rsidRPr="008C1DD2">
              <w:t xml:space="preserve">: NCVER (unpublished) </w:t>
            </w:r>
            <w:r w:rsidRPr="008C1DD2">
              <w:rPr>
                <w:i/>
              </w:rPr>
              <w:t>Student Outcomes Survey</w:t>
            </w:r>
            <w:r w:rsidRPr="008C1DD2">
              <w:t xml:space="preserve">; table </w:t>
            </w:r>
            <w:proofErr w:type="spellStart"/>
            <w:r w:rsidRPr="008C1DD2">
              <w:t>5A.34</w:t>
            </w:r>
            <w:proofErr w:type="spellEnd"/>
            <w:r w:rsidRPr="008C1DD2">
              <w:t>.</w:t>
            </w:r>
          </w:p>
        </w:tc>
      </w:tr>
      <w:tr w:rsidR="002E576E" w:rsidTr="005F14B9">
        <w:tc>
          <w:tcPr>
            <w:tcW w:w="8771" w:type="dxa"/>
            <w:tcBorders>
              <w:top w:val="nil"/>
              <w:left w:val="nil"/>
              <w:bottom w:val="single" w:sz="6" w:space="0" w:color="78A22F"/>
              <w:right w:val="nil"/>
            </w:tcBorders>
            <w:shd w:val="clear" w:color="auto" w:fill="auto"/>
          </w:tcPr>
          <w:p w:rsidR="002E576E" w:rsidRDefault="002E576E" w:rsidP="005F14B9">
            <w:pPr>
              <w:pStyle w:val="Figurespace"/>
            </w:pPr>
          </w:p>
        </w:tc>
      </w:tr>
      <w:tr w:rsidR="002E576E" w:rsidRPr="000863A5" w:rsidTr="005F14B9">
        <w:tc>
          <w:tcPr>
            <w:tcW w:w="8771" w:type="dxa"/>
            <w:tcBorders>
              <w:top w:val="single" w:sz="6" w:space="0" w:color="78A22F"/>
              <w:left w:val="nil"/>
              <w:bottom w:val="nil"/>
              <w:right w:val="nil"/>
            </w:tcBorders>
          </w:tcPr>
          <w:p w:rsidR="002E576E" w:rsidRPr="00626D32" w:rsidRDefault="002E576E" w:rsidP="005F14B9">
            <w:pPr>
              <w:pStyle w:val="BoxSpaceBelow"/>
            </w:pPr>
          </w:p>
        </w:tc>
      </w:tr>
    </w:tbl>
    <w:p w:rsidR="00691CEB" w:rsidRPr="00EF5A5F" w:rsidRDefault="00691CEB" w:rsidP="002D4F06">
      <w:pPr>
        <w:pStyle w:val="BodyText"/>
        <w:rPr>
          <w:b/>
          <w:noProof/>
        </w:rPr>
      </w:pPr>
      <w:r w:rsidRPr="00EF5A5F">
        <w:t xml:space="preserve">Additional information is provided in </w:t>
      </w:r>
      <w:r w:rsidR="00F2551D">
        <w:t>tables</w:t>
      </w:r>
      <w:r w:rsidR="00F2551D" w:rsidRPr="00EF5A5F">
        <w:t xml:space="preserve"> </w:t>
      </w:r>
      <w:proofErr w:type="spellStart"/>
      <w:r w:rsidRPr="00EF5A5F">
        <w:t>5A.</w:t>
      </w:r>
      <w:r w:rsidR="00F2551D">
        <w:t>36</w:t>
      </w:r>
      <w:proofErr w:type="spellEnd"/>
      <w:r w:rsidR="00015651">
        <w:t>–</w:t>
      </w:r>
      <w:r w:rsidRPr="00EF5A5F">
        <w:t>3</w:t>
      </w:r>
      <w:r w:rsidR="004320AC" w:rsidRPr="00EF5A5F">
        <w:t>7</w:t>
      </w:r>
      <w:r w:rsidRPr="00EF5A5F">
        <w:t xml:space="preserve"> on the labour force status of </w:t>
      </w:r>
      <w:r w:rsidR="00F2551D">
        <w:t>non</w:t>
      </w:r>
      <w:r w:rsidR="00DC725E">
        <w:noBreakHyphen/>
      </w:r>
      <w:r w:rsidR="00F2551D">
        <w:t xml:space="preserve">Indigenous graduates and of </w:t>
      </w:r>
      <w:r w:rsidRPr="00EF5A5F">
        <w:t>graduates who were employed prior to the course.</w:t>
      </w:r>
    </w:p>
    <w:p w:rsidR="00C50895" w:rsidRPr="00EF5A5F" w:rsidRDefault="00C50895" w:rsidP="00DA3292">
      <w:pPr>
        <w:pStyle w:val="Heading6"/>
      </w:pPr>
      <w:r w:rsidRPr="00EF5A5F">
        <w:t xml:space="preserve">Student employment and further study outcomes — </w:t>
      </w:r>
      <w:r w:rsidR="008E6A37" w:rsidRPr="00EF5A5F">
        <w:t>t</w:t>
      </w:r>
      <w:r w:rsidR="00AA0202" w:rsidRPr="00EF5A5F">
        <w:t xml:space="preserve">he proportion of graduates who improved their employment circumstances after completing their </w:t>
      </w:r>
      <w:r w:rsidR="0031432E" w:rsidRPr="00EF5A5F">
        <w:t>course</w:t>
      </w:r>
    </w:p>
    <w:p w:rsidR="003844EB" w:rsidRDefault="00F7334E" w:rsidP="000C682B">
      <w:pPr>
        <w:pStyle w:val="BodyText"/>
        <w:shd w:val="clear" w:color="auto" w:fill="FFFFFF" w:themeFill="background1"/>
      </w:pPr>
      <w:r w:rsidRPr="009626DB">
        <w:t xml:space="preserve">Nationally, </w:t>
      </w:r>
      <w:r w:rsidR="00917A82">
        <w:t>60.3</w:t>
      </w:r>
      <w:r w:rsidR="0096194E">
        <w:t xml:space="preserve"> </w:t>
      </w:r>
      <w:r w:rsidRPr="009626DB">
        <w:t xml:space="preserve">per cent of all </w:t>
      </w:r>
      <w:r w:rsidR="00A85AD7" w:rsidRPr="009626DB">
        <w:t xml:space="preserve">government funded VET </w:t>
      </w:r>
      <w:r w:rsidRPr="009626DB">
        <w:t xml:space="preserve">graduates in </w:t>
      </w:r>
      <w:r w:rsidR="008F6854" w:rsidRPr="009626DB">
        <w:t>201</w:t>
      </w:r>
      <w:r w:rsidR="008224E4">
        <w:t>3</w:t>
      </w:r>
      <w:r w:rsidR="008F6854" w:rsidRPr="009626DB">
        <w:t xml:space="preserve"> </w:t>
      </w:r>
      <w:r w:rsidRPr="009626DB">
        <w:t xml:space="preserve">indicated they had improved their employment circumstances after completing their course, </w:t>
      </w:r>
      <w:r w:rsidR="003B6341" w:rsidRPr="009626DB">
        <w:t>a decrease</w:t>
      </w:r>
      <w:r w:rsidRPr="009626DB">
        <w:t xml:space="preserve"> of </w:t>
      </w:r>
      <w:r w:rsidR="00917A82">
        <w:t xml:space="preserve">3.7 </w:t>
      </w:r>
      <w:r w:rsidRPr="009626DB">
        <w:t>percentage points f</w:t>
      </w:r>
      <w:r w:rsidR="0074294E" w:rsidRPr="009626DB">
        <w:t xml:space="preserve">rom </w:t>
      </w:r>
      <w:r w:rsidR="008F6854" w:rsidRPr="009626DB">
        <w:t>200</w:t>
      </w:r>
      <w:r w:rsidR="008224E4">
        <w:t>9</w:t>
      </w:r>
      <w:r w:rsidR="008F6854" w:rsidRPr="009626DB">
        <w:t xml:space="preserve"> </w:t>
      </w:r>
      <w:r w:rsidR="001E2C46" w:rsidRPr="00A405CB">
        <w:t>(figure</w:t>
      </w:r>
      <w:r w:rsidR="0096194E">
        <w:t xml:space="preserve"> </w:t>
      </w:r>
      <w:r w:rsidR="00442BBD">
        <w:t>5.25</w:t>
      </w:r>
      <w:r w:rsidR="00EE7596">
        <w:t xml:space="preserve">). </w:t>
      </w:r>
      <w:r w:rsidR="00EE7596" w:rsidRPr="000C682B">
        <w:rPr>
          <w:shd w:val="clear" w:color="auto" w:fill="FFFFFF" w:themeFill="background1"/>
        </w:rPr>
        <w:t xml:space="preserve">Data from 2005 are included in </w:t>
      </w:r>
      <w:r w:rsidR="004320AC" w:rsidRPr="000C682B">
        <w:rPr>
          <w:shd w:val="clear" w:color="auto" w:fill="FFFFFF" w:themeFill="background1"/>
        </w:rPr>
        <w:t>table</w:t>
      </w:r>
      <w:r w:rsidR="0096194E">
        <w:t xml:space="preserve"> </w:t>
      </w:r>
      <w:proofErr w:type="spellStart"/>
      <w:r w:rsidR="00DC1580" w:rsidRPr="00EF5A5F">
        <w:t>5A.</w:t>
      </w:r>
      <w:r w:rsidR="00EA43DE">
        <w:t>41</w:t>
      </w:r>
      <w:proofErr w:type="spellEnd"/>
      <w:r w:rsidR="0074294E" w:rsidRPr="00EF5A5F">
        <w:t>.</w:t>
      </w:r>
      <w:r w:rsidR="00691CEB" w:rsidRPr="00EF5A5F">
        <w:t xml:space="preserve"> </w:t>
      </w:r>
    </w:p>
    <w:p w:rsidR="002E576E" w:rsidRDefault="002E576E" w:rsidP="005F14B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E576E" w:rsidTr="005F14B9">
        <w:tc>
          <w:tcPr>
            <w:tcW w:w="8771" w:type="dxa"/>
            <w:tcBorders>
              <w:top w:val="single" w:sz="6" w:space="0" w:color="78A22F"/>
              <w:left w:val="nil"/>
              <w:bottom w:val="nil"/>
              <w:right w:val="nil"/>
            </w:tcBorders>
            <w:shd w:val="clear" w:color="auto" w:fill="auto"/>
          </w:tcPr>
          <w:p w:rsidR="002E576E" w:rsidRPr="00176D3F" w:rsidRDefault="002E576E" w:rsidP="002E576E">
            <w:pPr>
              <w:pStyle w:val="FigureTitle"/>
            </w:pPr>
            <w:r w:rsidRPr="00784A05">
              <w:rPr>
                <w:b w:val="0"/>
              </w:rPr>
              <w:t xml:space="preserve">Figure </w:t>
            </w:r>
            <w:r>
              <w:rPr>
                <w:b w:val="0"/>
              </w:rPr>
              <w:t>5.</w:t>
            </w:r>
            <w:r w:rsidR="00D80B1E">
              <w:rPr>
                <w:b w:val="0"/>
                <w:noProof/>
              </w:rPr>
              <w:t>25</w:t>
            </w:r>
            <w:r>
              <w:tab/>
            </w:r>
            <w:r w:rsidRPr="00CC723C">
              <w:t>Proportion of government funded VET graduates who improved their employment circumstances after training</w:t>
            </w:r>
            <w:r w:rsidRPr="00CC723C">
              <w:rPr>
                <w:rStyle w:val="NoteLabel"/>
                <w:b/>
              </w:rPr>
              <w:t>a</w:t>
            </w:r>
          </w:p>
        </w:tc>
      </w:tr>
      <w:tr w:rsidR="002E576E" w:rsidTr="005F14B9">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2E576E" w:rsidTr="002E576E">
              <w:tc>
                <w:tcPr>
                  <w:tcW w:w="5000" w:type="pct"/>
                  <w:tcBorders>
                    <w:top w:val="nil"/>
                    <w:bottom w:val="nil"/>
                  </w:tcBorders>
                </w:tcPr>
                <w:p w:rsidR="002E576E" w:rsidRDefault="009F6491" w:rsidP="005F14B9">
                  <w:pPr>
                    <w:pStyle w:val="Figure"/>
                    <w:spacing w:before="60" w:after="60"/>
                  </w:pPr>
                  <w:r>
                    <w:rPr>
                      <w:noProof/>
                    </w:rPr>
                    <w:drawing>
                      <wp:inline distT="0" distB="0" distL="0" distR="0">
                        <wp:extent cx="5391150" cy="2714625"/>
                        <wp:effectExtent l="0" t="0" r="0" b="9525"/>
                        <wp:docPr id="32" name="Picture 32" descr="Figure 5.25 Proportion of government funded VET graduates who improved their employment circumstances after training&#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391150" cy="2714625"/>
                                </a:xfrm>
                                <a:prstGeom prst="rect">
                                  <a:avLst/>
                                </a:prstGeom>
                                <a:noFill/>
                                <a:ln>
                                  <a:noFill/>
                                </a:ln>
                              </pic:spPr>
                            </pic:pic>
                          </a:graphicData>
                        </a:graphic>
                      </wp:inline>
                    </w:drawing>
                  </w:r>
                </w:p>
              </w:tc>
            </w:tr>
          </w:tbl>
          <w:p w:rsidR="002E576E" w:rsidRDefault="002E576E" w:rsidP="005F14B9">
            <w:pPr>
              <w:pStyle w:val="Figure"/>
            </w:pPr>
          </w:p>
        </w:tc>
      </w:tr>
      <w:tr w:rsidR="002E576E" w:rsidRPr="00176D3F" w:rsidTr="005F14B9">
        <w:tc>
          <w:tcPr>
            <w:tcW w:w="8771" w:type="dxa"/>
            <w:tcBorders>
              <w:top w:val="nil"/>
              <w:left w:val="nil"/>
              <w:bottom w:val="nil"/>
              <w:right w:val="nil"/>
            </w:tcBorders>
            <w:shd w:val="clear" w:color="auto" w:fill="auto"/>
          </w:tcPr>
          <w:p w:rsidR="002E576E" w:rsidRPr="00176D3F" w:rsidRDefault="002E576E" w:rsidP="005F14B9">
            <w:pPr>
              <w:pStyle w:val="Note"/>
            </w:pPr>
            <w:proofErr w:type="spellStart"/>
            <w:r w:rsidRPr="008C1DD2">
              <w:rPr>
                <w:rStyle w:val="NoteLabel"/>
              </w:rPr>
              <w:t>a</w:t>
            </w:r>
            <w:proofErr w:type="spellEnd"/>
            <w:r w:rsidRPr="008C1DD2">
              <w:t xml:space="preserve"> </w:t>
            </w:r>
            <w:r>
              <w:t>E</w:t>
            </w:r>
            <w:r w:rsidRPr="00171E10">
              <w:t>rror bars represent the 95 per cent confidence interval associated with each point estimate.</w:t>
            </w:r>
          </w:p>
        </w:tc>
      </w:tr>
      <w:tr w:rsidR="002E576E" w:rsidRPr="00176D3F" w:rsidTr="005F14B9">
        <w:tc>
          <w:tcPr>
            <w:tcW w:w="8771" w:type="dxa"/>
            <w:tcBorders>
              <w:top w:val="nil"/>
              <w:left w:val="nil"/>
              <w:bottom w:val="nil"/>
              <w:right w:val="nil"/>
            </w:tcBorders>
            <w:shd w:val="clear" w:color="auto" w:fill="auto"/>
          </w:tcPr>
          <w:p w:rsidR="002E576E" w:rsidRPr="00176D3F" w:rsidRDefault="002E576E" w:rsidP="005F14B9">
            <w:pPr>
              <w:pStyle w:val="Source"/>
            </w:pPr>
            <w:r w:rsidRPr="008C1DD2">
              <w:rPr>
                <w:i/>
              </w:rPr>
              <w:t>Source</w:t>
            </w:r>
            <w:r w:rsidRPr="008C1DD2">
              <w:t xml:space="preserve">: NCVER (unpublished) </w:t>
            </w:r>
            <w:r w:rsidRPr="008C1DD2">
              <w:rPr>
                <w:i/>
              </w:rPr>
              <w:t>Student Outcomes Survey</w:t>
            </w:r>
            <w:r w:rsidRPr="008C1DD2">
              <w:t xml:space="preserve">; table </w:t>
            </w:r>
            <w:proofErr w:type="spellStart"/>
            <w:r w:rsidRPr="008C1DD2">
              <w:t>5A.41</w:t>
            </w:r>
            <w:proofErr w:type="spellEnd"/>
            <w:r w:rsidRPr="008C1DD2">
              <w:t>.</w:t>
            </w:r>
          </w:p>
        </w:tc>
      </w:tr>
      <w:tr w:rsidR="002E576E" w:rsidTr="005F14B9">
        <w:tc>
          <w:tcPr>
            <w:tcW w:w="8771" w:type="dxa"/>
            <w:tcBorders>
              <w:top w:val="nil"/>
              <w:left w:val="nil"/>
              <w:bottom w:val="single" w:sz="6" w:space="0" w:color="78A22F"/>
              <w:right w:val="nil"/>
            </w:tcBorders>
            <w:shd w:val="clear" w:color="auto" w:fill="auto"/>
          </w:tcPr>
          <w:p w:rsidR="002E576E" w:rsidRDefault="002E576E" w:rsidP="005F14B9">
            <w:pPr>
              <w:pStyle w:val="Figurespace"/>
            </w:pPr>
          </w:p>
        </w:tc>
      </w:tr>
      <w:tr w:rsidR="002E576E" w:rsidRPr="000863A5" w:rsidTr="005F14B9">
        <w:tc>
          <w:tcPr>
            <w:tcW w:w="8771" w:type="dxa"/>
            <w:tcBorders>
              <w:top w:val="single" w:sz="6" w:space="0" w:color="78A22F"/>
              <w:left w:val="nil"/>
              <w:bottom w:val="nil"/>
              <w:right w:val="nil"/>
            </w:tcBorders>
          </w:tcPr>
          <w:p w:rsidR="002E576E" w:rsidRPr="00626D32" w:rsidRDefault="002E576E" w:rsidP="005F14B9">
            <w:pPr>
              <w:pStyle w:val="BoxSpaceBelow"/>
            </w:pPr>
          </w:p>
        </w:tc>
      </w:tr>
    </w:tbl>
    <w:p w:rsidR="005E66AD" w:rsidRPr="00EF5A5F" w:rsidRDefault="00886495" w:rsidP="005E66AD">
      <w:pPr>
        <w:pStyle w:val="BodyText"/>
      </w:pPr>
      <w:r>
        <w:t>N</w:t>
      </w:r>
      <w:r w:rsidRPr="00EF5A5F">
        <w:t>ationally</w:t>
      </w:r>
      <w:r>
        <w:t xml:space="preserve">, </w:t>
      </w:r>
      <w:r w:rsidR="00DC725E">
        <w:t xml:space="preserve">for </w:t>
      </w:r>
      <w:r>
        <w:t>g</w:t>
      </w:r>
      <w:r w:rsidR="00A85AD7" w:rsidRPr="00EF5A5F">
        <w:t xml:space="preserve">overnment funded VET </w:t>
      </w:r>
      <w:r w:rsidR="005E66AD" w:rsidRPr="00EF5A5F">
        <w:t xml:space="preserve">graduates in </w:t>
      </w:r>
      <w:r w:rsidR="008F6854">
        <w:t>201</w:t>
      </w:r>
      <w:r w:rsidR="008224E4">
        <w:t>3</w:t>
      </w:r>
      <w:r w:rsidR="005E66AD" w:rsidRPr="00EF5A5F">
        <w:t>:</w:t>
      </w:r>
    </w:p>
    <w:p w:rsidR="0049364E" w:rsidRPr="009626DB" w:rsidRDefault="00477437" w:rsidP="0049364E">
      <w:pPr>
        <w:pStyle w:val="ListBullet"/>
      </w:pPr>
      <w:r>
        <w:t xml:space="preserve">12.4 </w:t>
      </w:r>
      <w:r w:rsidR="00234BF4" w:rsidRPr="009626DB">
        <w:t xml:space="preserve">per </w:t>
      </w:r>
      <w:r w:rsidR="00D02D51" w:rsidRPr="009626DB">
        <w:t xml:space="preserve">cent </w:t>
      </w:r>
      <w:r w:rsidR="00FF205D" w:rsidRPr="009626DB">
        <w:t xml:space="preserve">changed from </w:t>
      </w:r>
      <w:r w:rsidR="00DC725E">
        <w:t>‘</w:t>
      </w:r>
      <w:r w:rsidR="00FF205D" w:rsidRPr="009626DB">
        <w:t>not employed</w:t>
      </w:r>
      <w:r w:rsidR="00DC725E">
        <w:t>’</w:t>
      </w:r>
      <w:r w:rsidR="00FF205D" w:rsidRPr="009626DB">
        <w:t xml:space="preserve"> before training to </w:t>
      </w:r>
      <w:r w:rsidR="00DC725E">
        <w:t>‘</w:t>
      </w:r>
      <w:r w:rsidR="00FF205D" w:rsidRPr="009626DB">
        <w:t>employed</w:t>
      </w:r>
      <w:r w:rsidR="00DC725E">
        <w:t>’</w:t>
      </w:r>
      <w:r w:rsidR="00FF205D" w:rsidRPr="009626DB">
        <w:t xml:space="preserve"> after </w:t>
      </w:r>
      <w:r w:rsidR="009470A0" w:rsidRPr="009626DB">
        <w:t xml:space="preserve">completing their </w:t>
      </w:r>
      <w:r w:rsidR="00FF205D" w:rsidRPr="009626DB">
        <w:t>training</w:t>
      </w:r>
    </w:p>
    <w:p w:rsidR="0049364E" w:rsidRPr="009626DB" w:rsidRDefault="00477437" w:rsidP="0049364E">
      <w:pPr>
        <w:pStyle w:val="ListBullet"/>
      </w:pPr>
      <w:r>
        <w:t xml:space="preserve">10.9 per </w:t>
      </w:r>
      <w:r w:rsidR="00D02D51" w:rsidRPr="009626DB">
        <w:t xml:space="preserve">cent were </w:t>
      </w:r>
      <w:r w:rsidR="00FF205D" w:rsidRPr="009626DB">
        <w:t xml:space="preserve">employed at a higher skill level after </w:t>
      </w:r>
      <w:r w:rsidR="009470A0" w:rsidRPr="009626DB">
        <w:t xml:space="preserve">completing their </w:t>
      </w:r>
      <w:r w:rsidR="00FF205D" w:rsidRPr="009626DB">
        <w:t>training</w:t>
      </w:r>
    </w:p>
    <w:p w:rsidR="0049364E" w:rsidRPr="009626DB" w:rsidRDefault="00477437" w:rsidP="00F971E0">
      <w:pPr>
        <w:pStyle w:val="ListBullet"/>
      </w:pPr>
      <w:r>
        <w:t xml:space="preserve">56.8 </w:t>
      </w:r>
      <w:r w:rsidR="00234BF4" w:rsidRPr="009626DB">
        <w:t xml:space="preserve">per </w:t>
      </w:r>
      <w:r w:rsidR="00D02D51" w:rsidRPr="009626DB">
        <w:t xml:space="preserve">cent </w:t>
      </w:r>
      <w:r w:rsidR="00FD4995" w:rsidRPr="009626DB">
        <w:t xml:space="preserve">received a </w:t>
      </w:r>
      <w:r w:rsidR="00CF0AA1" w:rsidRPr="009626DB">
        <w:t>job</w:t>
      </w:r>
      <w:r w:rsidR="00290FE2">
        <w:t xml:space="preserve"> </w:t>
      </w:r>
      <w:r w:rsidR="00FD4995" w:rsidRPr="009626DB">
        <w:t>related benefit after completing their training</w:t>
      </w:r>
      <w:r w:rsidR="0049364E" w:rsidRPr="009626DB">
        <w:t xml:space="preserve"> (table </w:t>
      </w:r>
      <w:proofErr w:type="spellStart"/>
      <w:r w:rsidR="0049364E" w:rsidRPr="009626DB">
        <w:t>5A.</w:t>
      </w:r>
      <w:r w:rsidR="008F6854" w:rsidRPr="009626DB">
        <w:t>45</w:t>
      </w:r>
      <w:proofErr w:type="spellEnd"/>
      <w:r w:rsidR="0049364E" w:rsidRPr="009626DB">
        <w:t>)</w:t>
      </w:r>
      <w:r w:rsidR="00FD4995" w:rsidRPr="009626DB">
        <w:t>.</w:t>
      </w:r>
    </w:p>
    <w:p w:rsidR="00DC725E" w:rsidRDefault="00DC725E" w:rsidP="00A26D57">
      <w:pPr>
        <w:pStyle w:val="BodyText"/>
      </w:pPr>
      <w:r w:rsidRPr="002C1271">
        <w:t xml:space="preserve">Nationally, </w:t>
      </w:r>
      <w:r>
        <w:t>55.9</w:t>
      </w:r>
      <w:r w:rsidRPr="008224E4">
        <w:rPr>
          <w:color w:val="FF0000"/>
        </w:rPr>
        <w:t xml:space="preserve"> </w:t>
      </w:r>
      <w:r w:rsidRPr="002C1271">
        <w:t>per cent of all government funded</w:t>
      </w:r>
      <w:r>
        <w:t xml:space="preserve"> Aboriginal and Torres Strait Islander </w:t>
      </w:r>
      <w:r w:rsidRPr="002C1271">
        <w:t>VET graduates in 201</w:t>
      </w:r>
      <w:r>
        <w:t>3</w:t>
      </w:r>
      <w:r w:rsidRPr="002C1271">
        <w:t xml:space="preserve"> indicated they had improved their employment circumstances after completing their course </w:t>
      </w:r>
      <w:r w:rsidRPr="002C1271">
        <w:sym w:font="Symbol" w:char="F0BE"/>
      </w:r>
      <w:r w:rsidRPr="002C1271">
        <w:t xml:space="preserve"> a decrease of </w:t>
      </w:r>
      <w:r>
        <w:t xml:space="preserve">7.5 </w:t>
      </w:r>
      <w:r w:rsidRPr="002C1271">
        <w:t>percentage points from 2008 (table</w:t>
      </w:r>
      <w:r>
        <w:t xml:space="preserve"> </w:t>
      </w:r>
      <w:proofErr w:type="spellStart"/>
      <w:r w:rsidRPr="002C1271">
        <w:t>5A.43</w:t>
      </w:r>
      <w:proofErr w:type="spellEnd"/>
      <w:r w:rsidRPr="002C1271">
        <w:t xml:space="preserve">) </w:t>
      </w:r>
      <w:r w:rsidRPr="002C1271">
        <w:sym w:font="Symbol" w:char="F0BE"/>
      </w:r>
      <w:r w:rsidRPr="002C1271">
        <w:t xml:space="preserve"> compared with </w:t>
      </w:r>
      <w:r>
        <w:t xml:space="preserve">60.5 </w:t>
      </w:r>
      <w:r w:rsidRPr="002C1271">
        <w:t xml:space="preserve">per cent of government funded non-Indigenous VET graduates and </w:t>
      </w:r>
      <w:r>
        <w:t xml:space="preserve">60.3 </w:t>
      </w:r>
      <w:r w:rsidRPr="002C1271">
        <w:t xml:space="preserve">per cent of all government </w:t>
      </w:r>
      <w:r w:rsidRPr="00EF5A5F">
        <w:t xml:space="preserve">funded VET graduates in </w:t>
      </w:r>
      <w:r w:rsidRPr="00A26D57">
        <w:t>201</w:t>
      </w:r>
      <w:r w:rsidR="00290FE2" w:rsidRPr="00A26D57">
        <w:t>3</w:t>
      </w:r>
      <w:r w:rsidRPr="00EF5A5F">
        <w:t xml:space="preserve"> (figure</w:t>
      </w:r>
      <w:r>
        <w:t xml:space="preserve"> 5.26</w:t>
      </w:r>
      <w:r w:rsidRPr="00EF5A5F">
        <w:t xml:space="preserve">). </w:t>
      </w:r>
    </w:p>
    <w:p w:rsidR="00FF205D" w:rsidRPr="009626DB" w:rsidRDefault="00140228" w:rsidP="00A26D57">
      <w:pPr>
        <w:pStyle w:val="BodyText"/>
      </w:pPr>
      <w:r w:rsidRPr="00EF5A5F">
        <w:t>Table</w:t>
      </w:r>
      <w:r w:rsidR="0096194E">
        <w:t xml:space="preserve"> </w:t>
      </w:r>
      <w:proofErr w:type="spellStart"/>
      <w:r w:rsidRPr="00EF5A5F">
        <w:t>5A.</w:t>
      </w:r>
      <w:r w:rsidR="008F6854">
        <w:t>42</w:t>
      </w:r>
      <w:proofErr w:type="spellEnd"/>
      <w:r w:rsidR="008F6854" w:rsidRPr="00EF5A5F">
        <w:t xml:space="preserve"> </w:t>
      </w:r>
      <w:r w:rsidRPr="00EF5A5F">
        <w:t>includes national data for graduates who sp</w:t>
      </w:r>
      <w:r w:rsidR="00C379FE" w:rsidRPr="00EF5A5F">
        <w:t>eak</w:t>
      </w:r>
      <w:r w:rsidRPr="00EF5A5F">
        <w:t xml:space="preserve"> a language other than English at home, graduates with disability, and graduates from remote and very remote areas. Of these groups, </w:t>
      </w:r>
      <w:r w:rsidR="00A85AD7" w:rsidRPr="00EF5A5F">
        <w:t xml:space="preserve">government funded VET </w:t>
      </w:r>
      <w:r w:rsidRPr="00EF5A5F">
        <w:t xml:space="preserve">graduates who reported disability were the least likely to indicate that they had improved employment circumstances </w:t>
      </w:r>
      <w:r w:rsidR="00234BF4" w:rsidRPr="00EF5A5F">
        <w:t xml:space="preserve">in </w:t>
      </w:r>
      <w:r w:rsidR="008F6854" w:rsidRPr="00A26D57">
        <w:t>201</w:t>
      </w:r>
      <w:r w:rsidR="00290FE2" w:rsidRPr="00A26D57">
        <w:t>3</w:t>
      </w:r>
      <w:r w:rsidR="008F6854" w:rsidRPr="009626DB">
        <w:t xml:space="preserve"> </w:t>
      </w:r>
      <w:r w:rsidRPr="009626DB">
        <w:t>(</w:t>
      </w:r>
      <w:r w:rsidR="00477437">
        <w:t>42.3 </w:t>
      </w:r>
      <w:r w:rsidR="00234BF4" w:rsidRPr="009626DB">
        <w:t>per</w:t>
      </w:r>
      <w:r w:rsidR="00477437">
        <w:t> </w:t>
      </w:r>
      <w:r w:rsidRPr="009626DB">
        <w:t>cent).</w:t>
      </w:r>
    </w:p>
    <w:p w:rsidR="002E576E" w:rsidRDefault="002E576E" w:rsidP="005F14B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E576E" w:rsidTr="005F14B9">
        <w:tc>
          <w:tcPr>
            <w:tcW w:w="8771" w:type="dxa"/>
            <w:tcBorders>
              <w:top w:val="single" w:sz="6" w:space="0" w:color="78A22F"/>
              <w:left w:val="nil"/>
              <w:bottom w:val="nil"/>
              <w:right w:val="nil"/>
            </w:tcBorders>
            <w:shd w:val="clear" w:color="auto" w:fill="auto"/>
          </w:tcPr>
          <w:p w:rsidR="002E576E" w:rsidRPr="00176D3F" w:rsidRDefault="002E576E" w:rsidP="002312FF">
            <w:pPr>
              <w:pStyle w:val="FigureTitle"/>
            </w:pPr>
            <w:r w:rsidRPr="00784A05">
              <w:rPr>
                <w:b w:val="0"/>
              </w:rPr>
              <w:t xml:space="preserve">Figure </w:t>
            </w:r>
            <w:r>
              <w:rPr>
                <w:b w:val="0"/>
              </w:rPr>
              <w:t>5.</w:t>
            </w:r>
            <w:r w:rsidR="00D80B1E">
              <w:rPr>
                <w:b w:val="0"/>
                <w:noProof/>
              </w:rPr>
              <w:t>26</w:t>
            </w:r>
            <w:r>
              <w:tab/>
            </w:r>
            <w:r w:rsidRPr="00CC723C">
              <w:t>Proportion of government funded VET graduates who improved their employment circumstances after training, by</w:t>
            </w:r>
            <w:r w:rsidR="00804C04">
              <w:t xml:space="preserve"> </w:t>
            </w:r>
            <w:r w:rsidR="002312FF">
              <w:t>Indigenous</w:t>
            </w:r>
            <w:r w:rsidR="00804C04">
              <w:t xml:space="preserve"> </w:t>
            </w:r>
            <w:r w:rsidRPr="00CC723C">
              <w:t>status</w:t>
            </w:r>
            <w:r w:rsidRPr="00CC723C">
              <w:rPr>
                <w:rStyle w:val="NoteLabel"/>
                <w:b/>
              </w:rPr>
              <w:t>a</w:t>
            </w:r>
          </w:p>
        </w:tc>
      </w:tr>
      <w:tr w:rsidR="002E576E" w:rsidTr="005F14B9">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2E576E" w:rsidTr="002E576E">
              <w:tc>
                <w:tcPr>
                  <w:tcW w:w="5000" w:type="pct"/>
                  <w:tcBorders>
                    <w:top w:val="nil"/>
                    <w:bottom w:val="nil"/>
                  </w:tcBorders>
                </w:tcPr>
                <w:p w:rsidR="002E576E" w:rsidRDefault="009F6491" w:rsidP="005F14B9">
                  <w:pPr>
                    <w:pStyle w:val="Figure"/>
                    <w:spacing w:before="60" w:after="60"/>
                  </w:pPr>
                  <w:r>
                    <w:rPr>
                      <w:noProof/>
                    </w:rPr>
                    <w:drawing>
                      <wp:inline distT="0" distB="0" distL="0" distR="0">
                        <wp:extent cx="5391150" cy="2714625"/>
                        <wp:effectExtent l="0" t="0" r="0" b="9525"/>
                        <wp:docPr id="33" name="Picture 33" descr="Figure 5.26 Proportion of government funded VET graduates who improved their employment circumstances after training, by Indigenous statu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391150" cy="2714625"/>
                                </a:xfrm>
                                <a:prstGeom prst="rect">
                                  <a:avLst/>
                                </a:prstGeom>
                                <a:noFill/>
                                <a:ln>
                                  <a:noFill/>
                                </a:ln>
                              </pic:spPr>
                            </pic:pic>
                          </a:graphicData>
                        </a:graphic>
                      </wp:inline>
                    </w:drawing>
                  </w:r>
                </w:p>
              </w:tc>
            </w:tr>
          </w:tbl>
          <w:p w:rsidR="002E576E" w:rsidRDefault="002E576E" w:rsidP="005F14B9">
            <w:pPr>
              <w:pStyle w:val="Figure"/>
            </w:pPr>
          </w:p>
        </w:tc>
      </w:tr>
      <w:tr w:rsidR="002E576E" w:rsidRPr="00176D3F" w:rsidTr="005F14B9">
        <w:tc>
          <w:tcPr>
            <w:tcW w:w="8771" w:type="dxa"/>
            <w:tcBorders>
              <w:top w:val="nil"/>
              <w:left w:val="nil"/>
              <w:bottom w:val="nil"/>
              <w:right w:val="nil"/>
            </w:tcBorders>
            <w:shd w:val="clear" w:color="auto" w:fill="auto"/>
          </w:tcPr>
          <w:p w:rsidR="002E576E" w:rsidRPr="00176D3F" w:rsidRDefault="002E576E" w:rsidP="005F14B9">
            <w:pPr>
              <w:pStyle w:val="Note"/>
            </w:pPr>
            <w:proofErr w:type="spellStart"/>
            <w:r w:rsidRPr="008C1DD2">
              <w:rPr>
                <w:rStyle w:val="NoteLabel"/>
              </w:rPr>
              <w:t>a</w:t>
            </w:r>
            <w:proofErr w:type="spellEnd"/>
            <w:r w:rsidRPr="008C1DD2">
              <w:t xml:space="preserve"> </w:t>
            </w:r>
            <w:r>
              <w:t>E</w:t>
            </w:r>
            <w:r w:rsidRPr="00171E10">
              <w:t>rror bars represent the 95 per cent confidence interval associated with each point estimate.</w:t>
            </w:r>
          </w:p>
        </w:tc>
      </w:tr>
      <w:tr w:rsidR="002E576E" w:rsidRPr="00176D3F" w:rsidTr="005F14B9">
        <w:tc>
          <w:tcPr>
            <w:tcW w:w="8771" w:type="dxa"/>
            <w:tcBorders>
              <w:top w:val="nil"/>
              <w:left w:val="nil"/>
              <w:bottom w:val="nil"/>
              <w:right w:val="nil"/>
            </w:tcBorders>
            <w:shd w:val="clear" w:color="auto" w:fill="auto"/>
          </w:tcPr>
          <w:p w:rsidR="002E576E" w:rsidRPr="00176D3F" w:rsidRDefault="002E576E" w:rsidP="00B361B4">
            <w:pPr>
              <w:pStyle w:val="Source"/>
            </w:pPr>
            <w:r w:rsidRPr="008C1DD2">
              <w:rPr>
                <w:i/>
              </w:rPr>
              <w:t>Source</w:t>
            </w:r>
            <w:r w:rsidRPr="008C1DD2">
              <w:t xml:space="preserve">: NCVER (unpublished) </w:t>
            </w:r>
            <w:r w:rsidRPr="008C1DD2">
              <w:rPr>
                <w:i/>
              </w:rPr>
              <w:t>Student Outcomes Survey</w:t>
            </w:r>
            <w:r w:rsidRPr="008C1DD2">
              <w:t xml:space="preserve">; tables </w:t>
            </w:r>
            <w:proofErr w:type="spellStart"/>
            <w:r w:rsidRPr="008C1DD2">
              <w:t>5A.41</w:t>
            </w:r>
            <w:proofErr w:type="spellEnd"/>
            <w:r w:rsidRPr="008C1DD2">
              <w:t xml:space="preserve"> and </w:t>
            </w:r>
            <w:proofErr w:type="spellStart"/>
            <w:r w:rsidRPr="008C1DD2">
              <w:t>5A.43</w:t>
            </w:r>
            <w:proofErr w:type="spellEnd"/>
            <w:r w:rsidR="00B361B4">
              <w:t>–</w:t>
            </w:r>
            <w:r w:rsidRPr="008C1DD2">
              <w:t>44.</w:t>
            </w:r>
          </w:p>
        </w:tc>
      </w:tr>
      <w:tr w:rsidR="002E576E" w:rsidTr="005F14B9">
        <w:tc>
          <w:tcPr>
            <w:tcW w:w="8771" w:type="dxa"/>
            <w:tcBorders>
              <w:top w:val="nil"/>
              <w:left w:val="nil"/>
              <w:bottom w:val="single" w:sz="6" w:space="0" w:color="78A22F"/>
              <w:right w:val="nil"/>
            </w:tcBorders>
            <w:shd w:val="clear" w:color="auto" w:fill="auto"/>
          </w:tcPr>
          <w:p w:rsidR="002E576E" w:rsidRDefault="002E576E" w:rsidP="005F14B9">
            <w:pPr>
              <w:pStyle w:val="Figurespace"/>
            </w:pPr>
          </w:p>
        </w:tc>
      </w:tr>
      <w:tr w:rsidR="002E576E" w:rsidRPr="000863A5" w:rsidTr="005F14B9">
        <w:tc>
          <w:tcPr>
            <w:tcW w:w="8771" w:type="dxa"/>
            <w:tcBorders>
              <w:top w:val="single" w:sz="6" w:space="0" w:color="78A22F"/>
              <w:left w:val="nil"/>
              <w:bottom w:val="nil"/>
              <w:right w:val="nil"/>
            </w:tcBorders>
          </w:tcPr>
          <w:p w:rsidR="002E576E" w:rsidRPr="00626D32" w:rsidRDefault="002E576E" w:rsidP="005F14B9">
            <w:pPr>
              <w:pStyle w:val="BoxSpaceBelow"/>
            </w:pPr>
          </w:p>
        </w:tc>
      </w:tr>
    </w:tbl>
    <w:p w:rsidR="005F6456" w:rsidRPr="009145AF" w:rsidRDefault="00F154AC" w:rsidP="0003308F">
      <w:pPr>
        <w:pStyle w:val="BodyText"/>
      </w:pPr>
      <w:r>
        <w:t>N</w:t>
      </w:r>
      <w:r w:rsidRPr="009145AF">
        <w:t xml:space="preserve">ationally </w:t>
      </w:r>
      <w:r>
        <w:t>for g</w:t>
      </w:r>
      <w:r w:rsidR="00A85AD7" w:rsidRPr="009145AF">
        <w:t>overnment funded</w:t>
      </w:r>
      <w:r w:rsidR="00804C04">
        <w:t xml:space="preserve"> Aboriginal and Torres Strait Islander </w:t>
      </w:r>
      <w:r w:rsidR="00A85AD7" w:rsidRPr="009145AF">
        <w:t xml:space="preserve">VET </w:t>
      </w:r>
      <w:r w:rsidR="005F6456" w:rsidRPr="009145AF">
        <w:t xml:space="preserve">graduates in </w:t>
      </w:r>
      <w:r w:rsidR="008F6854" w:rsidRPr="009145AF">
        <w:t>20</w:t>
      </w:r>
      <w:r w:rsidR="002F1248">
        <w:t>13</w:t>
      </w:r>
      <w:r w:rsidR="005F6456" w:rsidRPr="009145AF">
        <w:t>:</w:t>
      </w:r>
    </w:p>
    <w:p w:rsidR="005F6456" w:rsidRPr="009145AF" w:rsidRDefault="00C045A0" w:rsidP="0003308F">
      <w:pPr>
        <w:pStyle w:val="ListBullet"/>
      </w:pPr>
      <w:r>
        <w:t xml:space="preserve">14.8 </w:t>
      </w:r>
      <w:r w:rsidR="005F6456" w:rsidRPr="009145AF">
        <w:t>per</w:t>
      </w:r>
      <w:r w:rsidR="0096194E">
        <w:t xml:space="preserve"> </w:t>
      </w:r>
      <w:r w:rsidR="005F6456" w:rsidRPr="009145AF">
        <w:t xml:space="preserve">cent changed from </w:t>
      </w:r>
      <w:r w:rsidR="00F154AC">
        <w:t>‘</w:t>
      </w:r>
      <w:r w:rsidR="005F6456" w:rsidRPr="009145AF">
        <w:t>not employed</w:t>
      </w:r>
      <w:r w:rsidR="00F154AC">
        <w:t>’</w:t>
      </w:r>
      <w:r w:rsidR="005F6456" w:rsidRPr="009145AF">
        <w:t xml:space="preserve"> before training to </w:t>
      </w:r>
      <w:r w:rsidR="00F154AC">
        <w:t>‘</w:t>
      </w:r>
      <w:r w:rsidR="005F6456" w:rsidRPr="009145AF">
        <w:t>employed</w:t>
      </w:r>
      <w:r w:rsidR="00F154AC">
        <w:t>’</w:t>
      </w:r>
      <w:r w:rsidR="005F6456" w:rsidRPr="009145AF">
        <w:t xml:space="preserve"> after </w:t>
      </w:r>
      <w:r w:rsidR="009470A0" w:rsidRPr="009626DB">
        <w:t xml:space="preserve">completing their </w:t>
      </w:r>
      <w:r w:rsidR="005F6456" w:rsidRPr="009145AF">
        <w:t>training</w:t>
      </w:r>
    </w:p>
    <w:p w:rsidR="005F6456" w:rsidRPr="009145AF" w:rsidRDefault="00C045A0" w:rsidP="0003308F">
      <w:pPr>
        <w:pStyle w:val="ListBullet"/>
      </w:pPr>
      <w:r>
        <w:t>8.0</w:t>
      </w:r>
      <w:r w:rsidR="0096194E">
        <w:t xml:space="preserve"> </w:t>
      </w:r>
      <w:r w:rsidR="005F6456" w:rsidRPr="009145AF">
        <w:t>per</w:t>
      </w:r>
      <w:r w:rsidR="0096194E">
        <w:t xml:space="preserve"> </w:t>
      </w:r>
      <w:r w:rsidR="005F6456" w:rsidRPr="009145AF">
        <w:t xml:space="preserve">cent were employed at a higher skill level after </w:t>
      </w:r>
      <w:r w:rsidR="009470A0" w:rsidRPr="009626DB">
        <w:t xml:space="preserve">completing their </w:t>
      </w:r>
      <w:r w:rsidR="005F6456" w:rsidRPr="009145AF">
        <w:t>training</w:t>
      </w:r>
    </w:p>
    <w:p w:rsidR="00DD1E0F" w:rsidRPr="009145AF" w:rsidRDefault="00C045A0" w:rsidP="0095094B">
      <w:pPr>
        <w:pStyle w:val="ListBullet"/>
      </w:pPr>
      <w:r>
        <w:t>53.0</w:t>
      </w:r>
      <w:r w:rsidR="0096194E">
        <w:t xml:space="preserve"> </w:t>
      </w:r>
      <w:r w:rsidR="005F6456" w:rsidRPr="009145AF">
        <w:t>per</w:t>
      </w:r>
      <w:r w:rsidR="0096194E">
        <w:t xml:space="preserve"> </w:t>
      </w:r>
      <w:r w:rsidR="005F6456" w:rsidRPr="009145AF">
        <w:t xml:space="preserve">cent received a </w:t>
      </w:r>
      <w:r w:rsidR="00CF0AA1" w:rsidRPr="009145AF">
        <w:t>job</w:t>
      </w:r>
      <w:r w:rsidR="005F6456" w:rsidRPr="009145AF">
        <w:t>-related benefit after completing their training (table </w:t>
      </w:r>
      <w:proofErr w:type="spellStart"/>
      <w:r w:rsidR="005F6456" w:rsidRPr="009145AF">
        <w:t>5A.</w:t>
      </w:r>
      <w:r w:rsidR="008F6854" w:rsidRPr="009145AF">
        <w:t>45</w:t>
      </w:r>
      <w:proofErr w:type="spellEnd"/>
      <w:r w:rsidR="005F6456" w:rsidRPr="009145AF">
        <w:t>).</w:t>
      </w:r>
    </w:p>
    <w:p w:rsidR="00F154AC" w:rsidRPr="007A3E9E" w:rsidRDefault="00F154AC" w:rsidP="00F154AC">
      <w:pPr>
        <w:pStyle w:val="BodyText"/>
      </w:pPr>
      <w:r w:rsidRPr="007A3E9E">
        <w:t>Nationally in 201</w:t>
      </w:r>
      <w:r>
        <w:t>3</w:t>
      </w:r>
      <w:r w:rsidRPr="007A3E9E">
        <w:t xml:space="preserve">, </w:t>
      </w:r>
      <w:r>
        <w:t xml:space="preserve">62.2 </w:t>
      </w:r>
      <w:r w:rsidRPr="007A3E9E">
        <w:t xml:space="preserve">per cent of government funded VET graduates with a diploma or above indicated they had improved their employment circumstances after completing their course (figure 5.27). </w:t>
      </w:r>
    </w:p>
    <w:p w:rsidR="00B32342" w:rsidRDefault="00080748" w:rsidP="00B32342">
      <w:pPr>
        <w:pStyle w:val="BodyText"/>
        <w:rPr>
          <w:noProof/>
        </w:rPr>
      </w:pPr>
      <w:r>
        <w:rPr>
          <w:noProof/>
        </w:rPr>
        <w:t xml:space="preserve">Data </w:t>
      </w:r>
      <w:r w:rsidRPr="00EF5A5F">
        <w:rPr>
          <w:noProof/>
        </w:rPr>
        <w:t xml:space="preserve">on the percentage of </w:t>
      </w:r>
      <w:r>
        <w:rPr>
          <w:noProof/>
        </w:rPr>
        <w:t xml:space="preserve">all </w:t>
      </w:r>
      <w:r w:rsidRPr="00EF5A5F">
        <w:rPr>
          <w:noProof/>
        </w:rPr>
        <w:t xml:space="preserve">graduates </w:t>
      </w:r>
      <w:r>
        <w:rPr>
          <w:noProof/>
        </w:rPr>
        <w:t>aged 20</w:t>
      </w:r>
      <w:r w:rsidR="00F154AC">
        <w:t>–</w:t>
      </w:r>
      <w:r w:rsidRPr="008360A2">
        <w:t>64</w:t>
      </w:r>
      <w:r>
        <w:t xml:space="preserve"> years </w:t>
      </w:r>
      <w:r w:rsidRPr="00EF5A5F">
        <w:rPr>
          <w:noProof/>
        </w:rPr>
        <w:t xml:space="preserve">who improved their employment circumstances after completing their training, </w:t>
      </w:r>
      <w:r>
        <w:rPr>
          <w:noProof/>
        </w:rPr>
        <w:t>by geolocation are included in table 5A.46.</w:t>
      </w:r>
      <w:r w:rsidR="00F154AC">
        <w:rPr>
          <w:noProof/>
        </w:rPr>
        <w:t xml:space="preserve"> Data on </w:t>
      </w:r>
      <w:r w:rsidR="00F154AC" w:rsidRPr="00EF5A5F">
        <w:rPr>
          <w:noProof/>
        </w:rPr>
        <w:t xml:space="preserve">the percentage of graduates </w:t>
      </w:r>
      <w:r w:rsidR="00F154AC">
        <w:rPr>
          <w:noProof/>
        </w:rPr>
        <w:t>aged 20</w:t>
      </w:r>
      <w:r w:rsidR="00F154AC">
        <w:t>–</w:t>
      </w:r>
      <w:r w:rsidR="00F154AC" w:rsidRPr="008360A2">
        <w:t>64</w:t>
      </w:r>
      <w:r w:rsidR="00F154AC">
        <w:t xml:space="preserve"> years </w:t>
      </w:r>
      <w:r w:rsidR="00F154AC" w:rsidRPr="00EF5A5F">
        <w:rPr>
          <w:noProof/>
        </w:rPr>
        <w:t>who improved their employment circumstances after completing their training, by</w:t>
      </w:r>
      <w:r w:rsidR="00F154AC">
        <w:rPr>
          <w:noProof/>
        </w:rPr>
        <w:t xml:space="preserve"> </w:t>
      </w:r>
      <w:r w:rsidR="00287099">
        <w:rPr>
          <w:noProof/>
        </w:rPr>
        <w:t>Indigenous</w:t>
      </w:r>
      <w:r w:rsidR="00F154AC">
        <w:rPr>
          <w:noProof/>
        </w:rPr>
        <w:t xml:space="preserve"> </w:t>
      </w:r>
      <w:r w:rsidR="00F154AC" w:rsidRPr="00EF5A5F">
        <w:rPr>
          <w:noProof/>
        </w:rPr>
        <w:t>status</w:t>
      </w:r>
      <w:r w:rsidR="00F154AC">
        <w:rPr>
          <w:noProof/>
        </w:rPr>
        <w:t xml:space="preserve"> are included in </w:t>
      </w:r>
      <w:r w:rsidR="00E67DE4" w:rsidRPr="00EF5A5F">
        <w:rPr>
          <w:noProof/>
        </w:rPr>
        <w:t>Table 5A.</w:t>
      </w:r>
      <w:r w:rsidR="008F6854">
        <w:rPr>
          <w:noProof/>
        </w:rPr>
        <w:t>4</w:t>
      </w:r>
      <w:r w:rsidR="00915131">
        <w:rPr>
          <w:noProof/>
        </w:rPr>
        <w:t>7</w:t>
      </w:r>
      <w:r w:rsidR="009E2158" w:rsidRPr="00EF5A5F">
        <w:rPr>
          <w:noProof/>
        </w:rPr>
        <w:t>.</w:t>
      </w:r>
      <w:r w:rsidR="00D92527">
        <w:rPr>
          <w:noProof/>
        </w:rPr>
        <w:t xml:space="preserve"> </w:t>
      </w:r>
      <w:r w:rsidR="00B32342" w:rsidRPr="007A3E9E">
        <w:rPr>
          <w:noProof/>
        </w:rPr>
        <w:t>Tabl</w:t>
      </w:r>
      <w:r w:rsidR="00D92527">
        <w:rPr>
          <w:noProof/>
        </w:rPr>
        <w:t>e </w:t>
      </w:r>
      <w:r w:rsidR="00B32342" w:rsidRPr="007A3E9E">
        <w:rPr>
          <w:noProof/>
        </w:rPr>
        <w:t>5A.4</w:t>
      </w:r>
      <w:r w:rsidR="00915131">
        <w:rPr>
          <w:noProof/>
        </w:rPr>
        <w:t>9</w:t>
      </w:r>
      <w:r w:rsidR="00B32342" w:rsidRPr="007A3E9E">
        <w:rPr>
          <w:noProof/>
        </w:rPr>
        <w:t xml:space="preserve"> provides information on the percentage of graduates aged 20</w:t>
      </w:r>
      <w:r w:rsidR="009935F9">
        <w:t>–</w:t>
      </w:r>
      <w:r w:rsidR="00B32342" w:rsidRPr="007A3E9E">
        <w:t xml:space="preserve">64 years </w:t>
      </w:r>
      <w:r w:rsidR="00B32342" w:rsidRPr="007A3E9E">
        <w:rPr>
          <w:noProof/>
        </w:rPr>
        <w:t>who improved their employment circumstances after completing their training, by certificate level.</w:t>
      </w:r>
    </w:p>
    <w:p w:rsidR="002E576E" w:rsidRDefault="002E576E" w:rsidP="005F14B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E576E" w:rsidTr="005F14B9">
        <w:tc>
          <w:tcPr>
            <w:tcW w:w="8771" w:type="dxa"/>
            <w:tcBorders>
              <w:top w:val="single" w:sz="6" w:space="0" w:color="78A22F"/>
              <w:left w:val="nil"/>
              <w:bottom w:val="nil"/>
              <w:right w:val="nil"/>
            </w:tcBorders>
            <w:shd w:val="clear" w:color="auto" w:fill="auto"/>
          </w:tcPr>
          <w:p w:rsidR="002E576E" w:rsidRPr="00176D3F" w:rsidRDefault="002E576E" w:rsidP="002F1248">
            <w:pPr>
              <w:pStyle w:val="FigureTitle"/>
            </w:pPr>
            <w:r w:rsidRPr="00784A05">
              <w:rPr>
                <w:b w:val="0"/>
              </w:rPr>
              <w:t xml:space="preserve">Figure </w:t>
            </w:r>
            <w:r>
              <w:rPr>
                <w:b w:val="0"/>
              </w:rPr>
              <w:t>5.</w:t>
            </w:r>
            <w:r w:rsidR="00D80B1E">
              <w:rPr>
                <w:b w:val="0"/>
                <w:noProof/>
              </w:rPr>
              <w:t>27</w:t>
            </w:r>
            <w:r>
              <w:tab/>
            </w:r>
            <w:r w:rsidRPr="00D577B1">
              <w:t>Proportion of government funded VET graduates who improved their employment circumstances after training, by certificate level</w:t>
            </w:r>
            <w:r>
              <w:t>,</w:t>
            </w:r>
            <w:r w:rsidRPr="00D577B1">
              <w:rPr>
                <w:rStyle w:val="NoteLabel"/>
                <w:b/>
              </w:rPr>
              <w:t xml:space="preserve"> </w:t>
            </w:r>
            <w:r w:rsidRPr="009470A0">
              <w:t>201</w:t>
            </w:r>
            <w:r w:rsidR="002F1248">
              <w:t>3</w:t>
            </w:r>
            <w:r w:rsidRPr="009470A0">
              <w:rPr>
                <w:rStyle w:val="NoteLabel"/>
                <w:b/>
              </w:rPr>
              <w:t>a</w:t>
            </w:r>
          </w:p>
        </w:tc>
      </w:tr>
      <w:tr w:rsidR="002E576E" w:rsidTr="005F14B9">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2E576E" w:rsidTr="002E576E">
              <w:tc>
                <w:tcPr>
                  <w:tcW w:w="5000" w:type="pct"/>
                  <w:tcBorders>
                    <w:top w:val="nil"/>
                    <w:bottom w:val="nil"/>
                  </w:tcBorders>
                </w:tcPr>
                <w:p w:rsidR="002E576E" w:rsidRDefault="009F6491" w:rsidP="005F14B9">
                  <w:pPr>
                    <w:pStyle w:val="Figure"/>
                    <w:spacing w:before="60" w:after="60"/>
                  </w:pPr>
                  <w:r>
                    <w:rPr>
                      <w:noProof/>
                    </w:rPr>
                    <w:drawing>
                      <wp:inline distT="0" distB="0" distL="0" distR="0">
                        <wp:extent cx="5391150" cy="2705100"/>
                        <wp:effectExtent l="0" t="0" r="0" b="0"/>
                        <wp:docPr id="34" name="Picture 34" descr="Figure 5.27 Proportion of government funded VET graduates who improved their employment circumstances after training, by certificate level, 20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391150" cy="2705100"/>
                                </a:xfrm>
                                <a:prstGeom prst="rect">
                                  <a:avLst/>
                                </a:prstGeom>
                                <a:noFill/>
                                <a:ln>
                                  <a:noFill/>
                                </a:ln>
                              </pic:spPr>
                            </pic:pic>
                          </a:graphicData>
                        </a:graphic>
                      </wp:inline>
                    </w:drawing>
                  </w:r>
                </w:p>
              </w:tc>
            </w:tr>
          </w:tbl>
          <w:p w:rsidR="002E576E" w:rsidRDefault="002E576E" w:rsidP="005F14B9">
            <w:pPr>
              <w:pStyle w:val="Figure"/>
            </w:pPr>
          </w:p>
        </w:tc>
      </w:tr>
      <w:tr w:rsidR="002E576E" w:rsidRPr="00176D3F" w:rsidTr="005F14B9">
        <w:tc>
          <w:tcPr>
            <w:tcW w:w="8771" w:type="dxa"/>
            <w:tcBorders>
              <w:top w:val="nil"/>
              <w:left w:val="nil"/>
              <w:bottom w:val="nil"/>
              <w:right w:val="nil"/>
            </w:tcBorders>
            <w:shd w:val="clear" w:color="auto" w:fill="auto"/>
          </w:tcPr>
          <w:p w:rsidR="002E576E" w:rsidRPr="00176D3F" w:rsidRDefault="002E576E" w:rsidP="005F14B9">
            <w:pPr>
              <w:pStyle w:val="Note"/>
            </w:pPr>
            <w:proofErr w:type="spellStart"/>
            <w:r w:rsidRPr="007A3E9E">
              <w:rPr>
                <w:rStyle w:val="NoteLabel"/>
              </w:rPr>
              <w:t>a</w:t>
            </w:r>
            <w:proofErr w:type="spellEnd"/>
            <w:r w:rsidRPr="007A3E9E">
              <w:t xml:space="preserve"> </w:t>
            </w:r>
            <w:r>
              <w:t>E</w:t>
            </w:r>
            <w:r w:rsidRPr="00171E10">
              <w:t>rror bars represent the 95 per cent confidence interval associated with each point estimate.</w:t>
            </w:r>
          </w:p>
        </w:tc>
      </w:tr>
      <w:tr w:rsidR="002E576E" w:rsidRPr="00176D3F" w:rsidTr="005F14B9">
        <w:tc>
          <w:tcPr>
            <w:tcW w:w="8771" w:type="dxa"/>
            <w:tcBorders>
              <w:top w:val="nil"/>
              <w:left w:val="nil"/>
              <w:bottom w:val="nil"/>
              <w:right w:val="nil"/>
            </w:tcBorders>
            <w:shd w:val="clear" w:color="auto" w:fill="auto"/>
          </w:tcPr>
          <w:p w:rsidR="002E576E" w:rsidRPr="00176D3F" w:rsidRDefault="002E576E" w:rsidP="00915131">
            <w:pPr>
              <w:pStyle w:val="Source"/>
            </w:pPr>
            <w:r w:rsidRPr="007A3E9E">
              <w:rPr>
                <w:i/>
              </w:rPr>
              <w:t>Source</w:t>
            </w:r>
            <w:r w:rsidRPr="007A3E9E">
              <w:t xml:space="preserve">: NCVER (unpublished) </w:t>
            </w:r>
            <w:r w:rsidRPr="007A3E9E">
              <w:rPr>
                <w:i/>
              </w:rPr>
              <w:t>Student Outcomes Survey</w:t>
            </w:r>
            <w:r w:rsidRPr="007A3E9E">
              <w:t xml:space="preserve">; table </w:t>
            </w:r>
            <w:proofErr w:type="spellStart"/>
            <w:r w:rsidRPr="007A3E9E">
              <w:t>5A.</w:t>
            </w:r>
            <w:r w:rsidR="00B361B4">
              <w:t>47</w:t>
            </w:r>
            <w:proofErr w:type="spellEnd"/>
            <w:r w:rsidR="00B361B4">
              <w:t>–</w:t>
            </w:r>
            <w:r w:rsidRPr="007A3E9E">
              <w:t>4</w:t>
            </w:r>
            <w:r w:rsidR="00915131">
              <w:t>8</w:t>
            </w:r>
            <w:r w:rsidRPr="007A3E9E">
              <w:t>.</w:t>
            </w:r>
          </w:p>
        </w:tc>
      </w:tr>
      <w:tr w:rsidR="002E576E" w:rsidTr="005F14B9">
        <w:tc>
          <w:tcPr>
            <w:tcW w:w="8771" w:type="dxa"/>
            <w:tcBorders>
              <w:top w:val="nil"/>
              <w:left w:val="nil"/>
              <w:bottom w:val="single" w:sz="6" w:space="0" w:color="78A22F"/>
              <w:right w:val="nil"/>
            </w:tcBorders>
            <w:shd w:val="clear" w:color="auto" w:fill="auto"/>
          </w:tcPr>
          <w:p w:rsidR="002E576E" w:rsidRDefault="002E576E" w:rsidP="005F14B9">
            <w:pPr>
              <w:pStyle w:val="Figurespace"/>
            </w:pPr>
          </w:p>
        </w:tc>
      </w:tr>
      <w:tr w:rsidR="002E576E" w:rsidRPr="000863A5" w:rsidTr="005F14B9">
        <w:tc>
          <w:tcPr>
            <w:tcW w:w="8771" w:type="dxa"/>
            <w:tcBorders>
              <w:top w:val="single" w:sz="6" w:space="0" w:color="78A22F"/>
              <w:left w:val="nil"/>
              <w:bottom w:val="nil"/>
              <w:right w:val="nil"/>
            </w:tcBorders>
          </w:tcPr>
          <w:p w:rsidR="002E576E" w:rsidRPr="00626D32" w:rsidRDefault="002E576E" w:rsidP="005F14B9">
            <w:pPr>
              <w:pStyle w:val="BoxSpaceBelow"/>
            </w:pPr>
          </w:p>
        </w:tc>
      </w:tr>
    </w:tbl>
    <w:p w:rsidR="00C57336" w:rsidRPr="00EF5A5F" w:rsidRDefault="004E3A2B" w:rsidP="00DA3292">
      <w:pPr>
        <w:pStyle w:val="Heading6"/>
      </w:pPr>
      <w:r w:rsidRPr="00EF5A5F">
        <w:t xml:space="preserve">Student employment and further study outcomes — </w:t>
      </w:r>
      <w:r w:rsidR="008E6A37" w:rsidRPr="00EF5A5F">
        <w:t>t</w:t>
      </w:r>
      <w:r w:rsidR="00AA0202" w:rsidRPr="00EF5A5F">
        <w:t xml:space="preserve">he </w:t>
      </w:r>
      <w:r w:rsidR="00DD7252" w:rsidRPr="00EF5A5F">
        <w:t xml:space="preserve">proportion of graduates who undertook their course for employment-related reasons and were employed after completing their course, who reported at least one </w:t>
      </w:r>
      <w:r w:rsidR="00CF0AA1" w:rsidRPr="00EF5A5F">
        <w:t>job</w:t>
      </w:r>
      <w:r w:rsidR="00DD7252" w:rsidRPr="00EF5A5F">
        <w:t>-related benefit from completing the course</w:t>
      </w:r>
    </w:p>
    <w:p w:rsidR="00834E2E" w:rsidRDefault="004C658E" w:rsidP="00801675">
      <w:pPr>
        <w:pStyle w:val="BodyText"/>
      </w:pPr>
      <w:r w:rsidRPr="00EF5A5F">
        <w:t xml:space="preserve">Nationally in </w:t>
      </w:r>
      <w:r w:rsidR="008F6854">
        <w:t>201</w:t>
      </w:r>
      <w:r w:rsidR="002F1248">
        <w:t>3</w:t>
      </w:r>
      <w:r w:rsidRPr="00EF5A5F">
        <w:t xml:space="preserve">, of </w:t>
      </w:r>
      <w:r w:rsidR="00633884" w:rsidRPr="00EF5A5F">
        <w:t>all</w:t>
      </w:r>
      <w:r w:rsidRPr="00EF5A5F">
        <w:t xml:space="preserve"> </w:t>
      </w:r>
      <w:r w:rsidR="00421314" w:rsidRPr="00EF5A5F">
        <w:t xml:space="preserve">government funded VET </w:t>
      </w:r>
      <w:r w:rsidRPr="00EF5A5F">
        <w:t>graduates who were employed after their training and undertook their course for employment related reasons</w:t>
      </w:r>
      <w:r w:rsidR="00C57336" w:rsidRPr="00EF5A5F">
        <w:t xml:space="preserve">, </w:t>
      </w:r>
      <w:r w:rsidR="00593642">
        <w:t>76.3</w:t>
      </w:r>
      <w:r w:rsidR="0096194E">
        <w:t xml:space="preserve"> </w:t>
      </w:r>
      <w:r w:rsidR="00C57336" w:rsidRPr="009145AF">
        <w:t>per</w:t>
      </w:r>
      <w:r w:rsidR="0096194E">
        <w:t xml:space="preserve"> </w:t>
      </w:r>
      <w:r w:rsidR="00C57336" w:rsidRPr="009145AF">
        <w:t xml:space="preserve">cent indicated they had gained at least one </w:t>
      </w:r>
      <w:r w:rsidR="00CF0AA1" w:rsidRPr="009145AF">
        <w:t>job</w:t>
      </w:r>
      <w:r w:rsidR="00C57336" w:rsidRPr="009145AF">
        <w:t>-related benefit from completing the course (figure</w:t>
      </w:r>
      <w:r w:rsidR="0096194E">
        <w:t xml:space="preserve"> </w:t>
      </w:r>
      <w:r w:rsidR="00442BBD" w:rsidRPr="009145AF">
        <w:t>5.2</w:t>
      </w:r>
      <w:r w:rsidR="00D768C4">
        <w:t>8</w:t>
      </w:r>
      <w:r w:rsidR="00CF4FD5" w:rsidRPr="009145AF">
        <w:t>).</w:t>
      </w:r>
      <w:r w:rsidR="00D437C8" w:rsidRPr="009145AF">
        <w:t xml:space="preserve"> This compares with </w:t>
      </w:r>
      <w:r w:rsidR="00593642">
        <w:t>81.6</w:t>
      </w:r>
      <w:r w:rsidR="0096194E">
        <w:t xml:space="preserve"> </w:t>
      </w:r>
      <w:r w:rsidR="00D437C8" w:rsidRPr="009145AF">
        <w:t>per</w:t>
      </w:r>
      <w:r w:rsidR="0096194E">
        <w:t xml:space="preserve"> </w:t>
      </w:r>
      <w:r w:rsidR="00D437C8" w:rsidRPr="009145AF">
        <w:t>cent for government funded</w:t>
      </w:r>
      <w:r w:rsidR="00804C04">
        <w:t xml:space="preserve"> Aboriginal and Torres Strait Islander </w:t>
      </w:r>
      <w:r w:rsidR="00D437C8" w:rsidRPr="009145AF">
        <w:t xml:space="preserve">VET graduates (table </w:t>
      </w:r>
      <w:proofErr w:type="spellStart"/>
      <w:r w:rsidR="00D437C8" w:rsidRPr="009145AF">
        <w:t>5A.</w:t>
      </w:r>
      <w:r w:rsidR="008F6854" w:rsidRPr="009145AF">
        <w:t>40</w:t>
      </w:r>
      <w:proofErr w:type="spellEnd"/>
      <w:r w:rsidR="00D437C8" w:rsidRPr="009145AF">
        <w:t xml:space="preserve">). </w:t>
      </w:r>
    </w:p>
    <w:p w:rsidR="00B24610" w:rsidRDefault="00B24610" w:rsidP="005F14B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24610" w:rsidTr="005F14B9">
        <w:tc>
          <w:tcPr>
            <w:tcW w:w="8771" w:type="dxa"/>
            <w:tcBorders>
              <w:top w:val="single" w:sz="6" w:space="0" w:color="78A22F"/>
              <w:left w:val="nil"/>
              <w:bottom w:val="nil"/>
              <w:right w:val="nil"/>
            </w:tcBorders>
            <w:shd w:val="clear" w:color="auto" w:fill="auto"/>
          </w:tcPr>
          <w:p w:rsidR="00B24610" w:rsidRPr="00176D3F" w:rsidRDefault="00B24610" w:rsidP="002F1248">
            <w:pPr>
              <w:pStyle w:val="FigureTitle"/>
            </w:pPr>
            <w:r w:rsidRPr="00784A05">
              <w:rPr>
                <w:b w:val="0"/>
              </w:rPr>
              <w:t xml:space="preserve">Figure </w:t>
            </w:r>
            <w:r>
              <w:rPr>
                <w:b w:val="0"/>
              </w:rPr>
              <w:t>5.</w:t>
            </w:r>
            <w:r w:rsidR="00D80B1E">
              <w:rPr>
                <w:b w:val="0"/>
                <w:noProof/>
              </w:rPr>
              <w:t>28</w:t>
            </w:r>
            <w:r>
              <w:tab/>
            </w:r>
            <w:r w:rsidRPr="00CC723C">
              <w:t>Proportion of government funded VET graduates who undertook their course for employment</w:t>
            </w:r>
            <w:r w:rsidRPr="00CC723C">
              <w:noBreakHyphen/>
              <w:t>related reasons and who received at least one job-related benefit from completing the course, 201</w:t>
            </w:r>
            <w:r w:rsidR="002F1248">
              <w:t>3</w:t>
            </w:r>
            <w:r w:rsidRPr="00CC723C">
              <w:rPr>
                <w:rStyle w:val="NoteLabel"/>
                <w:b/>
              </w:rPr>
              <w:t>a</w:t>
            </w:r>
          </w:p>
        </w:tc>
      </w:tr>
      <w:tr w:rsidR="00B24610" w:rsidTr="005F14B9">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B24610" w:rsidTr="00B24610">
              <w:tc>
                <w:tcPr>
                  <w:tcW w:w="5000" w:type="pct"/>
                  <w:tcBorders>
                    <w:top w:val="nil"/>
                    <w:bottom w:val="nil"/>
                  </w:tcBorders>
                </w:tcPr>
                <w:p w:rsidR="00B24610" w:rsidRDefault="009F6491" w:rsidP="005F14B9">
                  <w:pPr>
                    <w:pStyle w:val="Figure"/>
                    <w:spacing w:before="60" w:after="60"/>
                  </w:pPr>
                  <w:r>
                    <w:rPr>
                      <w:noProof/>
                    </w:rPr>
                    <w:drawing>
                      <wp:inline distT="0" distB="0" distL="0" distR="0">
                        <wp:extent cx="5391150" cy="2705100"/>
                        <wp:effectExtent l="0" t="0" r="0" b="0"/>
                        <wp:docPr id="35" name="Picture 35" descr="Figure 5.28 Proportion of government funded VET graduates who undertook their course for employment related reasons and who received at least one job-related benefit from completing the course, 20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391150" cy="2705100"/>
                                </a:xfrm>
                                <a:prstGeom prst="rect">
                                  <a:avLst/>
                                </a:prstGeom>
                                <a:noFill/>
                                <a:ln>
                                  <a:noFill/>
                                </a:ln>
                              </pic:spPr>
                            </pic:pic>
                          </a:graphicData>
                        </a:graphic>
                      </wp:inline>
                    </w:drawing>
                  </w:r>
                </w:p>
              </w:tc>
            </w:tr>
          </w:tbl>
          <w:p w:rsidR="00B24610" w:rsidRDefault="00B24610" w:rsidP="005F14B9">
            <w:pPr>
              <w:pStyle w:val="Figure"/>
            </w:pPr>
          </w:p>
        </w:tc>
      </w:tr>
      <w:tr w:rsidR="00B24610" w:rsidRPr="00176D3F" w:rsidTr="005F14B9">
        <w:tc>
          <w:tcPr>
            <w:tcW w:w="8771" w:type="dxa"/>
            <w:tcBorders>
              <w:top w:val="nil"/>
              <w:left w:val="nil"/>
              <w:bottom w:val="nil"/>
              <w:right w:val="nil"/>
            </w:tcBorders>
            <w:shd w:val="clear" w:color="auto" w:fill="auto"/>
          </w:tcPr>
          <w:p w:rsidR="00B24610" w:rsidRPr="00176D3F" w:rsidRDefault="00B24610" w:rsidP="005F14B9">
            <w:pPr>
              <w:pStyle w:val="Note"/>
            </w:pPr>
            <w:proofErr w:type="spellStart"/>
            <w:r w:rsidRPr="008C1DD2">
              <w:rPr>
                <w:rStyle w:val="NoteLabel"/>
              </w:rPr>
              <w:t>a</w:t>
            </w:r>
            <w:proofErr w:type="spellEnd"/>
            <w:r w:rsidRPr="008C1DD2">
              <w:t xml:space="preserve"> </w:t>
            </w:r>
            <w:r>
              <w:t>E</w:t>
            </w:r>
            <w:r w:rsidRPr="00171E10">
              <w:t>rror bars represent the 95 per cent confidence interval associated with each point estimate.</w:t>
            </w:r>
          </w:p>
        </w:tc>
      </w:tr>
      <w:tr w:rsidR="00B24610" w:rsidRPr="00176D3F" w:rsidTr="005F14B9">
        <w:tc>
          <w:tcPr>
            <w:tcW w:w="8771" w:type="dxa"/>
            <w:tcBorders>
              <w:top w:val="nil"/>
              <w:left w:val="nil"/>
              <w:bottom w:val="nil"/>
              <w:right w:val="nil"/>
            </w:tcBorders>
            <w:shd w:val="clear" w:color="auto" w:fill="auto"/>
          </w:tcPr>
          <w:p w:rsidR="00B24610" w:rsidRPr="00176D3F" w:rsidRDefault="00B24610" w:rsidP="005F14B9">
            <w:pPr>
              <w:pStyle w:val="Source"/>
            </w:pPr>
            <w:r w:rsidRPr="008C1DD2">
              <w:rPr>
                <w:i/>
              </w:rPr>
              <w:t>Source</w:t>
            </w:r>
            <w:r w:rsidRPr="008C1DD2">
              <w:t xml:space="preserve">: NCVER (unpublished) </w:t>
            </w:r>
            <w:r w:rsidRPr="008C1DD2">
              <w:rPr>
                <w:i/>
              </w:rPr>
              <w:t>Student Outcomes Survey</w:t>
            </w:r>
            <w:r w:rsidRPr="008C1DD2">
              <w:t xml:space="preserve">; table </w:t>
            </w:r>
            <w:proofErr w:type="spellStart"/>
            <w:r w:rsidRPr="008C1DD2">
              <w:t>5A.39</w:t>
            </w:r>
            <w:proofErr w:type="spellEnd"/>
            <w:r w:rsidRPr="008C1DD2">
              <w:t>.</w:t>
            </w:r>
          </w:p>
        </w:tc>
      </w:tr>
      <w:tr w:rsidR="00B24610" w:rsidTr="005F14B9">
        <w:tc>
          <w:tcPr>
            <w:tcW w:w="8771" w:type="dxa"/>
            <w:tcBorders>
              <w:top w:val="nil"/>
              <w:left w:val="nil"/>
              <w:bottom w:val="single" w:sz="6" w:space="0" w:color="78A22F"/>
              <w:right w:val="nil"/>
            </w:tcBorders>
            <w:shd w:val="clear" w:color="auto" w:fill="auto"/>
          </w:tcPr>
          <w:p w:rsidR="00B24610" w:rsidRDefault="00B24610" w:rsidP="005F14B9">
            <w:pPr>
              <w:pStyle w:val="Figurespace"/>
            </w:pPr>
          </w:p>
        </w:tc>
      </w:tr>
      <w:tr w:rsidR="00B24610" w:rsidRPr="000863A5" w:rsidTr="005F14B9">
        <w:tc>
          <w:tcPr>
            <w:tcW w:w="8771" w:type="dxa"/>
            <w:tcBorders>
              <w:top w:val="single" w:sz="6" w:space="0" w:color="78A22F"/>
              <w:left w:val="nil"/>
              <w:bottom w:val="nil"/>
              <w:right w:val="nil"/>
            </w:tcBorders>
          </w:tcPr>
          <w:p w:rsidR="00B24610" w:rsidRPr="00626D32" w:rsidRDefault="00B24610" w:rsidP="005F14B9">
            <w:pPr>
              <w:pStyle w:val="BoxSpaceBelow"/>
            </w:pPr>
          </w:p>
        </w:tc>
      </w:tr>
    </w:tbl>
    <w:p w:rsidR="00CF4FD5" w:rsidRPr="009145AF" w:rsidRDefault="00EA0531" w:rsidP="00CF4FD5">
      <w:pPr>
        <w:pStyle w:val="BodyText"/>
      </w:pPr>
      <w:r w:rsidRPr="009145AF">
        <w:t xml:space="preserve">Individual graduates could receive more than one benefit. </w:t>
      </w:r>
      <w:r w:rsidR="00CF4FD5" w:rsidRPr="009145AF">
        <w:t>The benefits reported by graduates included</w:t>
      </w:r>
      <w:r w:rsidR="00C379FE" w:rsidRPr="009145AF">
        <w:t xml:space="preserve"> that they had</w:t>
      </w:r>
      <w:r w:rsidR="00CF4FD5" w:rsidRPr="009145AF">
        <w:t>:</w:t>
      </w:r>
    </w:p>
    <w:p w:rsidR="00CF4FD5" w:rsidRPr="009145AF" w:rsidRDefault="00CF4FD5" w:rsidP="004E4135">
      <w:pPr>
        <w:pStyle w:val="ListBullet"/>
        <w:spacing w:before="80"/>
      </w:pPr>
      <w:r w:rsidRPr="009145AF">
        <w:t xml:space="preserve">obtained a job </w:t>
      </w:r>
      <w:r w:rsidR="00593642">
        <w:t>(30.3</w:t>
      </w:r>
      <w:r w:rsidR="0096194E">
        <w:t xml:space="preserve"> </w:t>
      </w:r>
      <w:r w:rsidRPr="009145AF">
        <w:t>per</w:t>
      </w:r>
      <w:r w:rsidR="0096194E">
        <w:t xml:space="preserve"> </w:t>
      </w:r>
      <w:r w:rsidRPr="009145AF">
        <w:t>cent)</w:t>
      </w:r>
    </w:p>
    <w:p w:rsidR="00CF4FD5" w:rsidRPr="009145AF" w:rsidRDefault="00CF4FD5" w:rsidP="004E4135">
      <w:pPr>
        <w:pStyle w:val="ListBullet"/>
        <w:spacing w:before="80"/>
      </w:pPr>
      <w:r w:rsidRPr="009145AF">
        <w:t>achieved an increase in earnings (</w:t>
      </w:r>
      <w:r w:rsidR="00593642">
        <w:t>24.5</w:t>
      </w:r>
      <w:r w:rsidR="0096194E">
        <w:t xml:space="preserve"> </w:t>
      </w:r>
      <w:r w:rsidR="002B1145" w:rsidRPr="009145AF">
        <w:t>per</w:t>
      </w:r>
      <w:r w:rsidR="0096194E">
        <w:t xml:space="preserve"> </w:t>
      </w:r>
      <w:r w:rsidR="002B1145" w:rsidRPr="009145AF">
        <w:t>cent</w:t>
      </w:r>
      <w:r w:rsidRPr="009145AF">
        <w:t>)</w:t>
      </w:r>
    </w:p>
    <w:p w:rsidR="00CF4FD5" w:rsidRPr="009145AF" w:rsidRDefault="00CF4FD5" w:rsidP="004E4135">
      <w:pPr>
        <w:pStyle w:val="ListBullet"/>
        <w:spacing w:before="80"/>
      </w:pPr>
      <w:r w:rsidRPr="009145AF">
        <w:t>achieved a promotion or an increased status at work (</w:t>
      </w:r>
      <w:r w:rsidR="00593642">
        <w:t>33.2</w:t>
      </w:r>
      <w:r w:rsidR="0096194E">
        <w:t xml:space="preserve"> </w:t>
      </w:r>
      <w:r w:rsidR="002B1145" w:rsidRPr="009145AF">
        <w:t>per</w:t>
      </w:r>
      <w:r w:rsidR="0096194E">
        <w:t xml:space="preserve"> </w:t>
      </w:r>
      <w:r w:rsidR="002B1145" w:rsidRPr="009145AF">
        <w:t>cent</w:t>
      </w:r>
      <w:r w:rsidRPr="009145AF">
        <w:t>)</w:t>
      </w:r>
    </w:p>
    <w:p w:rsidR="00CF4FD5" w:rsidRPr="009145AF" w:rsidRDefault="00CF4FD5" w:rsidP="004E4135">
      <w:pPr>
        <w:pStyle w:val="ListBullet"/>
        <w:spacing w:before="80"/>
      </w:pPr>
      <w:r w:rsidRPr="009145AF">
        <w:t xml:space="preserve">a change of job or </w:t>
      </w:r>
      <w:r w:rsidR="00F47E39" w:rsidRPr="009145AF">
        <w:t xml:space="preserve">a </w:t>
      </w:r>
      <w:r w:rsidRPr="009145AF">
        <w:t>new job (</w:t>
      </w:r>
      <w:r w:rsidR="00593642">
        <w:t>17.7</w:t>
      </w:r>
      <w:r w:rsidR="0096194E">
        <w:t xml:space="preserve"> </w:t>
      </w:r>
      <w:r w:rsidR="002B1145" w:rsidRPr="009145AF">
        <w:t>per</w:t>
      </w:r>
      <w:r w:rsidR="0096194E">
        <w:t xml:space="preserve"> </w:t>
      </w:r>
      <w:r w:rsidR="002B1145" w:rsidRPr="009145AF">
        <w:t>cent</w:t>
      </w:r>
      <w:r w:rsidRPr="009145AF">
        <w:t>)</w:t>
      </w:r>
    </w:p>
    <w:p w:rsidR="00CF4FD5" w:rsidRPr="00EF5A5F" w:rsidRDefault="00CF4FD5" w:rsidP="004E4135">
      <w:pPr>
        <w:pStyle w:val="ListBullet"/>
        <w:spacing w:before="80"/>
      </w:pPr>
      <w:r w:rsidRPr="009145AF">
        <w:t>gain</w:t>
      </w:r>
      <w:r w:rsidR="00C379FE" w:rsidRPr="009145AF">
        <w:t xml:space="preserve">ed </w:t>
      </w:r>
      <w:r w:rsidRPr="009145AF">
        <w:t>the ability to start their own business (</w:t>
      </w:r>
      <w:r w:rsidR="00593642">
        <w:t>7.6</w:t>
      </w:r>
      <w:r w:rsidR="0096194E">
        <w:t xml:space="preserve"> </w:t>
      </w:r>
      <w:r w:rsidR="002B1145" w:rsidRPr="009145AF">
        <w:t>per</w:t>
      </w:r>
      <w:r w:rsidR="0096194E">
        <w:t xml:space="preserve"> </w:t>
      </w:r>
      <w:r w:rsidR="002B1145" w:rsidRPr="009145AF">
        <w:t>cent</w:t>
      </w:r>
      <w:r w:rsidRPr="009145AF">
        <w:t xml:space="preserve">) </w:t>
      </w:r>
      <w:r w:rsidRPr="00EF5A5F">
        <w:t xml:space="preserve">(table </w:t>
      </w:r>
      <w:proofErr w:type="spellStart"/>
      <w:r w:rsidRPr="00EF5A5F">
        <w:t>5A.</w:t>
      </w:r>
      <w:r w:rsidR="00645205">
        <w:t>39</w:t>
      </w:r>
      <w:proofErr w:type="spellEnd"/>
      <w:r w:rsidRPr="00EF5A5F">
        <w:t>).</w:t>
      </w:r>
    </w:p>
    <w:p w:rsidR="00C57336" w:rsidRPr="00EF5A5F" w:rsidRDefault="001A32C2" w:rsidP="00F461CA">
      <w:pPr>
        <w:pStyle w:val="BodyText"/>
      </w:pPr>
      <w:r w:rsidRPr="00F461CA">
        <w:t xml:space="preserve">Attachment </w:t>
      </w:r>
      <w:r w:rsidR="004320AC" w:rsidRPr="00F461CA">
        <w:t xml:space="preserve">table </w:t>
      </w:r>
      <w:proofErr w:type="spellStart"/>
      <w:r w:rsidRPr="00F461CA">
        <w:t>5A.</w:t>
      </w:r>
      <w:r w:rsidR="00645205" w:rsidRPr="00F461CA">
        <w:t>38</w:t>
      </w:r>
      <w:proofErr w:type="spellEnd"/>
      <w:r w:rsidR="00645205" w:rsidRPr="00F461CA">
        <w:t xml:space="preserve"> </w:t>
      </w:r>
      <w:r w:rsidRPr="00F461CA">
        <w:t xml:space="preserve">provides information </w:t>
      </w:r>
      <w:r w:rsidR="00C379FE" w:rsidRPr="00F461CA">
        <w:t>on</w:t>
      </w:r>
      <w:r w:rsidRPr="00F461CA">
        <w:t xml:space="preserve"> </w:t>
      </w:r>
      <w:r w:rsidR="007D7B77" w:rsidRPr="00F461CA">
        <w:t xml:space="preserve">the reported relevance to the main job, for those </w:t>
      </w:r>
      <w:r w:rsidRPr="00F461CA">
        <w:t xml:space="preserve">graduates who </w:t>
      </w:r>
      <w:r w:rsidR="00A23B67" w:rsidRPr="00F461CA">
        <w:t xml:space="preserve">were employed after completing their course and </w:t>
      </w:r>
      <w:r w:rsidRPr="00F461CA">
        <w:t>undertook their course for employment related reasons</w:t>
      </w:r>
      <w:r w:rsidR="007D7B77" w:rsidRPr="00F461CA">
        <w:t>.</w:t>
      </w:r>
      <w:r w:rsidR="00F461CA" w:rsidRPr="00F461CA">
        <w:t xml:space="preserve"> </w:t>
      </w:r>
      <w:r w:rsidR="00C57336" w:rsidRPr="00F461CA">
        <w:t xml:space="preserve">Further information on VET employment </w:t>
      </w:r>
      <w:r w:rsidR="006F6DDD" w:rsidRPr="00F461CA">
        <w:t xml:space="preserve">outcomes is available from the </w:t>
      </w:r>
      <w:r w:rsidR="00C57336" w:rsidRPr="00F461CA">
        <w:t xml:space="preserve">Down </w:t>
      </w:r>
      <w:r w:rsidR="006F6DDD" w:rsidRPr="00F461CA">
        <w:t>the Track</w:t>
      </w:r>
      <w:r w:rsidR="00C57336" w:rsidRPr="00F461CA">
        <w:t xml:space="preserve"> survey of long term VET outcomes for 15</w:t>
      </w:r>
      <w:r w:rsidR="00B361B4">
        <w:noBreakHyphen/>
      </w:r>
      <w:r w:rsidR="00C57336" w:rsidRPr="00F461CA">
        <w:t xml:space="preserve">24 year olds, </w:t>
      </w:r>
      <w:r w:rsidR="00D02C1D" w:rsidRPr="00F461CA">
        <w:t xml:space="preserve">which is </w:t>
      </w:r>
      <w:r w:rsidR="00DD3F7A" w:rsidRPr="00F461CA">
        <w:t>referred to</w:t>
      </w:r>
      <w:r w:rsidR="00823EB8" w:rsidRPr="00F461CA">
        <w:t xml:space="preserve"> in the 2006 </w:t>
      </w:r>
      <w:r w:rsidR="00EA0531" w:rsidRPr="00F461CA">
        <w:t xml:space="preserve">Report (SCRGSP </w:t>
      </w:r>
      <w:r w:rsidR="00C57336" w:rsidRPr="00F461CA">
        <w:t>2006, box 4.13) and</w:t>
      </w:r>
      <w:r w:rsidR="00DD3F7A" w:rsidRPr="00F461CA">
        <w:t xml:space="preserve"> is available in</w:t>
      </w:r>
      <w:r w:rsidR="00C57336" w:rsidRPr="00F461CA">
        <w:t xml:space="preserve"> </w:t>
      </w:r>
      <w:r w:rsidR="00C57336" w:rsidRPr="00F461CA">
        <w:rPr>
          <w:i/>
        </w:rPr>
        <w:t>Down the track: TAFE outcomes for young</w:t>
      </w:r>
      <w:r w:rsidR="00C57336" w:rsidRPr="00EF5A5F">
        <w:rPr>
          <w:i/>
        </w:rPr>
        <w:t xml:space="preserve"> people two years on</w:t>
      </w:r>
      <w:r w:rsidR="00C57336" w:rsidRPr="00EF5A5F">
        <w:t xml:space="preserve"> (</w:t>
      </w:r>
      <w:r w:rsidR="00B24610">
        <w:t>NCVER </w:t>
      </w:r>
      <w:r w:rsidR="00C57336" w:rsidRPr="00EF5A5F">
        <w:t>2006).</w:t>
      </w:r>
    </w:p>
    <w:p w:rsidR="00C57336" w:rsidRPr="00F461CA" w:rsidRDefault="00C57336" w:rsidP="00F461CA">
      <w:pPr>
        <w:pStyle w:val="Heading5"/>
        <w:spacing w:before="360"/>
      </w:pPr>
      <w:r w:rsidRPr="00F461CA">
        <w:t>Student achievement in VET</w:t>
      </w:r>
    </w:p>
    <w:p w:rsidR="000E398B" w:rsidRDefault="002A1C67" w:rsidP="00F971E0">
      <w:pPr>
        <w:pStyle w:val="BodyText"/>
      </w:pPr>
      <w:r w:rsidRPr="00EF5A5F">
        <w:t xml:space="preserve">‘Student achievement in VET’ is an indicator of </w:t>
      </w:r>
      <w:r w:rsidR="00CE0D1B" w:rsidRPr="00EF5A5F">
        <w:t>governments’ objective for students to achieve</w:t>
      </w:r>
      <w:r w:rsidRPr="00EF5A5F">
        <w:t xml:space="preserve"> success in VET </w:t>
      </w:r>
      <w:r w:rsidR="00E872B2" w:rsidRPr="00EF5A5F">
        <w:t xml:space="preserve">(box </w:t>
      </w:r>
      <w:r w:rsidR="00442BBD">
        <w:t>5.13</w:t>
      </w:r>
      <w:r w:rsidR="00E872B2" w:rsidRPr="00EF5A5F">
        <w:t>)</w:t>
      </w:r>
      <w:r w:rsidRPr="00EF5A5F">
        <w:t>.</w:t>
      </w:r>
    </w:p>
    <w:p w:rsidR="00B24610" w:rsidRDefault="00B2461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24610" w:rsidTr="005F14B9">
        <w:tc>
          <w:tcPr>
            <w:tcW w:w="8771" w:type="dxa"/>
            <w:tcBorders>
              <w:top w:val="single" w:sz="6" w:space="0" w:color="78A22F"/>
              <w:left w:val="nil"/>
              <w:bottom w:val="nil"/>
              <w:right w:val="nil"/>
            </w:tcBorders>
            <w:shd w:val="clear" w:color="auto" w:fill="F2F2F2" w:themeFill="background1" w:themeFillShade="F2"/>
          </w:tcPr>
          <w:p w:rsidR="00B24610" w:rsidRDefault="00B24610" w:rsidP="00B24610">
            <w:pPr>
              <w:pStyle w:val="BoxTitle"/>
            </w:pPr>
            <w:r>
              <w:rPr>
                <w:b w:val="0"/>
              </w:rPr>
              <w:t>Box 5.</w:t>
            </w:r>
            <w:r w:rsidR="00D80B1E">
              <w:rPr>
                <w:b w:val="0"/>
                <w:noProof/>
              </w:rPr>
              <w:t>13</w:t>
            </w:r>
            <w:r>
              <w:tab/>
            </w:r>
            <w:r w:rsidRPr="00EF5A5F">
              <w:t>Student achievement in VET</w:t>
            </w:r>
          </w:p>
        </w:tc>
      </w:tr>
      <w:tr w:rsidR="00B24610" w:rsidTr="005F14B9">
        <w:trPr>
          <w:cantSplit/>
        </w:trPr>
        <w:tc>
          <w:tcPr>
            <w:tcW w:w="8771" w:type="dxa"/>
            <w:tcBorders>
              <w:top w:val="nil"/>
              <w:left w:val="nil"/>
              <w:bottom w:val="nil"/>
              <w:right w:val="nil"/>
            </w:tcBorders>
            <w:shd w:val="clear" w:color="auto" w:fill="F2F2F2" w:themeFill="background1" w:themeFillShade="F2"/>
          </w:tcPr>
          <w:p w:rsidR="00B24610" w:rsidRPr="00EF5A5F" w:rsidRDefault="00B24610" w:rsidP="005F14B9">
            <w:pPr>
              <w:pStyle w:val="Box"/>
              <w:spacing w:before="80"/>
            </w:pPr>
            <w:r w:rsidRPr="00EF5A5F">
              <w:t xml:space="preserve">‘Student achievement in VET’ is defined by </w:t>
            </w:r>
            <w:r>
              <w:t>three</w:t>
            </w:r>
            <w:r w:rsidRPr="00EF5A5F">
              <w:t xml:space="preserve"> measures:</w:t>
            </w:r>
          </w:p>
          <w:p w:rsidR="00B24610" w:rsidRPr="003D5EF9" w:rsidRDefault="00B24610" w:rsidP="005F14B9">
            <w:pPr>
              <w:pStyle w:val="BoxListBullet"/>
            </w:pPr>
            <w:r w:rsidRPr="006B72E7">
              <w:t>‘</w:t>
            </w:r>
            <w:r w:rsidRPr="003D5EF9">
              <w:t xml:space="preserve">Load pass rate’ is the ratio of hours attributed to students who gained competencies/passed assessment in an assessable module or unit of competency to all hours of students who were assessed and either passed, failed or withdrew. The calculation is based on the annual hours for each assessable module or unit of competency and includes competencies achieved/units passed through </w:t>
            </w:r>
            <w:proofErr w:type="spellStart"/>
            <w:r w:rsidRPr="003D5EF9">
              <w:t>RPL</w:t>
            </w:r>
            <w:proofErr w:type="spellEnd"/>
            <w:r w:rsidRPr="003D5EF9">
              <w:t>.</w:t>
            </w:r>
          </w:p>
          <w:p w:rsidR="00B24610" w:rsidRPr="003D5EF9" w:rsidRDefault="00B24610" w:rsidP="005F14B9">
            <w:pPr>
              <w:pStyle w:val="BoxListBullet"/>
            </w:pPr>
            <w:r w:rsidRPr="003D5EF9">
              <w:t>‘Proportion of graduates with improved education/training status after training’ is the number of VET qualifications completed by students who have completed a course at a higher education level than their previous highest education level a</w:t>
            </w:r>
            <w:r w:rsidR="00C9627C">
              <w:t xml:space="preserve">chieved (based on </w:t>
            </w:r>
            <w:proofErr w:type="spellStart"/>
            <w:r w:rsidR="00C9627C">
              <w:t>AQF</w:t>
            </w:r>
            <w:proofErr w:type="spellEnd"/>
            <w:r w:rsidR="00C9627C">
              <w:t>), divided</w:t>
            </w:r>
            <w:r w:rsidRPr="003D5EF9">
              <w:t xml:space="preserve"> by the number of VET course enrolments. </w:t>
            </w:r>
          </w:p>
          <w:p w:rsidR="002258A5" w:rsidRDefault="002258A5" w:rsidP="005F14B9">
            <w:pPr>
              <w:pStyle w:val="BoxListBullet"/>
            </w:pPr>
            <w:r>
              <w:t>‘Estimated qualification completion rate</w:t>
            </w:r>
            <w:r w:rsidR="00B24610" w:rsidRPr="003D5EF9">
              <w:t xml:space="preserve">’ is the number of VET students in a given year who commenced a course and eventually completed </w:t>
            </w:r>
            <w:r w:rsidR="00B24610" w:rsidRPr="002258A5">
              <w:t>their course, expressed as a proportion of all course commencing enrolments in that year</w:t>
            </w:r>
            <w:r>
              <w:t xml:space="preserve">. Qualifications at </w:t>
            </w:r>
            <w:proofErr w:type="spellStart"/>
            <w:r w:rsidR="008912AD">
              <w:t>AQF</w:t>
            </w:r>
            <w:proofErr w:type="spellEnd"/>
            <w:r w:rsidR="008912AD">
              <w:t xml:space="preserve"> C</w:t>
            </w:r>
            <w:r>
              <w:t>ertificate 1 and above are included</w:t>
            </w:r>
            <w:r w:rsidR="00E7163B">
              <w:t>. T</w:t>
            </w:r>
            <w:r w:rsidRPr="002258A5">
              <w:t>he subject load pass rates for students commencing in that year are also included</w:t>
            </w:r>
            <w:r w:rsidR="00E7163B">
              <w:t xml:space="preserve"> —</w:t>
            </w:r>
            <w:r w:rsidRPr="002258A5">
              <w:t xml:space="preserve"> while not all courses are completed</w:t>
            </w:r>
            <w:r>
              <w:t>,</w:t>
            </w:r>
            <w:r w:rsidRPr="002258A5">
              <w:t xml:space="preserve"> subject completions are also valuable.</w:t>
            </w:r>
            <w:r>
              <w:t xml:space="preserve"> More detail on the estimation method is included in box 5.14.</w:t>
            </w:r>
          </w:p>
          <w:p w:rsidR="00B24610" w:rsidRPr="003D5EF9" w:rsidRDefault="00B24610" w:rsidP="005F14B9">
            <w:pPr>
              <w:pStyle w:val="Box"/>
              <w:spacing w:before="80"/>
            </w:pPr>
            <w:r>
              <w:t>For ‘load pass rate’ and ‘p</w:t>
            </w:r>
            <w:r w:rsidRPr="003D5EF9">
              <w:t>roportion of graduates with improved education/training status after training’</w:t>
            </w:r>
            <w:r>
              <w:t>, d</w:t>
            </w:r>
            <w:r w:rsidRPr="003D5EF9">
              <w:t>ata are provided for VET target groups (students with disability, students speaking a language other than English at home, students from remote and very remote areas and</w:t>
            </w:r>
            <w:r w:rsidR="00804C04">
              <w:t xml:space="preserve"> Aboriginal and Torres Strait Islander </w:t>
            </w:r>
            <w:r w:rsidRPr="003D5EF9">
              <w:t xml:space="preserve">students). Achievement by VET target groups can also indicate the equity of outcomes for these groups. </w:t>
            </w:r>
          </w:p>
          <w:p w:rsidR="00B24610" w:rsidRPr="003D5EF9" w:rsidRDefault="00B24610" w:rsidP="005F14B9">
            <w:pPr>
              <w:pStyle w:val="Box"/>
              <w:spacing w:before="80"/>
            </w:pPr>
            <w:r w:rsidRPr="003D5EF9">
              <w:t xml:space="preserve">High or increasing load pass rates and </w:t>
            </w:r>
            <w:r w:rsidR="002258A5">
              <w:t>proportions</w:t>
            </w:r>
            <w:r w:rsidRPr="003D5EF9">
              <w:t xml:space="preserve"> of students who commenced and completed indicate that student achievement is high or improving, which is desirable. The rates for target groups, relative to those for the general student population, indicate whether students from target groups are as successful as other students. Care needs to be taken in comparing data across jurisdictions because average module durations vary across jurisdictions. </w:t>
            </w:r>
          </w:p>
          <w:p w:rsidR="00B24610" w:rsidRPr="003D5EF9" w:rsidRDefault="00B24610" w:rsidP="005F14B9">
            <w:pPr>
              <w:pStyle w:val="Box"/>
              <w:spacing w:before="80"/>
            </w:pPr>
            <w:r w:rsidRPr="003D5EF9">
              <w:t xml:space="preserve">Changes in the proportion of graduates with improved education/training status after </w:t>
            </w:r>
            <w:r w:rsidRPr="00B24610">
              <w:t>training may be affected by relatively large changes in enrolments, due to the time lag between course enrolment (the denominator) and qualification completion (the numerator used for deriving the proportion). Care therefore needs to be taken when interpreting changes over time in the proportion</w:t>
            </w:r>
            <w:r w:rsidRPr="003D5EF9">
              <w:t xml:space="preserve"> of graduates with improved education/training status after training.</w:t>
            </w:r>
          </w:p>
          <w:p w:rsidR="00B24610" w:rsidRDefault="00B24610" w:rsidP="005F14B9">
            <w:pPr>
              <w:pStyle w:val="Box"/>
              <w:spacing w:before="80"/>
            </w:pPr>
            <w:r>
              <w:t xml:space="preserve">Data reported for these measures are </w:t>
            </w:r>
          </w:p>
          <w:p w:rsidR="00B24610" w:rsidRPr="009470A0" w:rsidRDefault="00B24610" w:rsidP="005F14B9">
            <w:pPr>
              <w:pStyle w:val="BoxListBullet"/>
            </w:pPr>
            <w:r w:rsidRPr="009470A0">
              <w:t>comparable (subject to caveats) across jurisdictions and over time</w:t>
            </w:r>
          </w:p>
          <w:p w:rsidR="00B24610" w:rsidRPr="003D5EF9" w:rsidRDefault="00B24610" w:rsidP="005F14B9">
            <w:pPr>
              <w:pStyle w:val="BoxListBullet"/>
              <w:rPr>
                <w:b/>
              </w:rPr>
            </w:pPr>
            <w:r w:rsidRPr="009470A0">
              <w:t xml:space="preserve">complete for the current reporting period (subject to caveats). All required 2012 </w:t>
            </w:r>
            <w:r>
              <w:t xml:space="preserve">and 2013 </w:t>
            </w:r>
            <w:r w:rsidRPr="009470A0">
              <w:t>data are available for all jurisdictions providing the service.</w:t>
            </w:r>
          </w:p>
          <w:p w:rsidR="00B24610" w:rsidRPr="00EF5A5F" w:rsidRDefault="00B24610" w:rsidP="00915131">
            <w:pPr>
              <w:pStyle w:val="Box"/>
              <w:spacing w:before="80"/>
              <w:rPr>
                <w:b/>
              </w:rPr>
            </w:pPr>
            <w:r w:rsidRPr="00EF5A5F">
              <w:t xml:space="preserve">Data quality information for this indicator </w:t>
            </w:r>
            <w:r w:rsidR="006E0D24">
              <w:t>is at www.pc.gov.au/</w:t>
            </w:r>
            <w:proofErr w:type="spellStart"/>
            <w:r w:rsidRPr="00EF5A5F">
              <w:t>rogs</w:t>
            </w:r>
            <w:proofErr w:type="spellEnd"/>
            <w:r w:rsidRPr="00EF5A5F">
              <w:t>/201</w:t>
            </w:r>
            <w:r w:rsidR="00915131">
              <w:t>5</w:t>
            </w:r>
            <w:r w:rsidRPr="00EF5A5F">
              <w:t>.</w:t>
            </w:r>
          </w:p>
        </w:tc>
      </w:tr>
      <w:tr w:rsidR="00B24610" w:rsidTr="005F14B9">
        <w:trPr>
          <w:cantSplit/>
        </w:trPr>
        <w:tc>
          <w:tcPr>
            <w:tcW w:w="8771" w:type="dxa"/>
            <w:tcBorders>
              <w:top w:val="nil"/>
              <w:left w:val="nil"/>
              <w:bottom w:val="single" w:sz="6" w:space="0" w:color="78A22F"/>
              <w:right w:val="nil"/>
            </w:tcBorders>
            <w:shd w:val="clear" w:color="auto" w:fill="F2F2F2" w:themeFill="background1" w:themeFillShade="F2"/>
          </w:tcPr>
          <w:p w:rsidR="00B24610" w:rsidRDefault="00B24610">
            <w:pPr>
              <w:pStyle w:val="Box"/>
              <w:spacing w:before="0" w:line="120" w:lineRule="exact"/>
            </w:pPr>
          </w:p>
        </w:tc>
      </w:tr>
      <w:tr w:rsidR="00B24610" w:rsidRPr="000863A5" w:rsidTr="005F14B9">
        <w:tc>
          <w:tcPr>
            <w:tcW w:w="8771" w:type="dxa"/>
            <w:tcBorders>
              <w:top w:val="single" w:sz="6" w:space="0" w:color="78A22F"/>
              <w:left w:val="nil"/>
              <w:bottom w:val="nil"/>
              <w:right w:val="nil"/>
            </w:tcBorders>
          </w:tcPr>
          <w:p w:rsidR="00B24610" w:rsidRPr="00626D32" w:rsidRDefault="00B24610" w:rsidP="005F14B9">
            <w:pPr>
              <w:pStyle w:val="BoxSpaceBelow"/>
            </w:pPr>
          </w:p>
        </w:tc>
      </w:tr>
    </w:tbl>
    <w:p w:rsidR="00C57336" w:rsidRPr="00444A60" w:rsidRDefault="004E3A2B" w:rsidP="00DA3292">
      <w:pPr>
        <w:pStyle w:val="Heading6"/>
      </w:pPr>
      <w:r w:rsidRPr="00444A60">
        <w:t xml:space="preserve">Student achievement in VET — </w:t>
      </w:r>
      <w:r w:rsidR="006F0209" w:rsidRPr="00444A60">
        <w:t>l</w:t>
      </w:r>
      <w:r w:rsidR="00C57336" w:rsidRPr="00444A60">
        <w:t>oad pass rate</w:t>
      </w:r>
    </w:p>
    <w:p w:rsidR="00C57336" w:rsidRDefault="00C57336" w:rsidP="0095094B">
      <w:pPr>
        <w:pStyle w:val="BodyText"/>
      </w:pPr>
      <w:r w:rsidRPr="00EF5A5F">
        <w:t xml:space="preserve">In </w:t>
      </w:r>
      <w:r w:rsidR="009B4861">
        <w:t>201</w:t>
      </w:r>
      <w:r w:rsidR="00787A27">
        <w:t>3</w:t>
      </w:r>
      <w:r w:rsidRPr="00EF5A5F">
        <w:t>, the load pass rate for all gov</w:t>
      </w:r>
      <w:r w:rsidR="00DB5BBC" w:rsidRPr="00EF5A5F">
        <w:t xml:space="preserve">ernment funded </w:t>
      </w:r>
      <w:r w:rsidR="00DB5BBC" w:rsidRPr="009145AF">
        <w:t xml:space="preserve">students was </w:t>
      </w:r>
      <w:r w:rsidR="00DD675A">
        <w:t xml:space="preserve">82.9 </w:t>
      </w:r>
      <w:r w:rsidRPr="009145AF">
        <w:t xml:space="preserve">per cent, </w:t>
      </w:r>
      <w:r w:rsidR="009145AF">
        <w:t>lower than the</w:t>
      </w:r>
      <w:r w:rsidRPr="009145AF">
        <w:t xml:space="preserve"> load pass rates for students from remote and very remote areas (</w:t>
      </w:r>
      <w:r w:rsidR="00DD675A">
        <w:t>85.0</w:t>
      </w:r>
      <w:r w:rsidR="0096194E">
        <w:t xml:space="preserve"> </w:t>
      </w:r>
      <w:r w:rsidRPr="009145AF">
        <w:t>per</w:t>
      </w:r>
      <w:r w:rsidR="0096194E">
        <w:t xml:space="preserve"> </w:t>
      </w:r>
      <w:r w:rsidRPr="009145AF">
        <w:t>cent). The load pass rates for</w:t>
      </w:r>
      <w:r w:rsidR="00804C04">
        <w:t xml:space="preserve"> Aboriginal and Torres Strait Islander </w:t>
      </w:r>
      <w:r w:rsidR="009E3901" w:rsidRPr="009145AF">
        <w:t>students (</w:t>
      </w:r>
      <w:r w:rsidR="00DD675A">
        <w:t>74.1</w:t>
      </w:r>
      <w:r w:rsidR="009E3901" w:rsidRPr="009145AF">
        <w:t xml:space="preserve"> per cent), </w:t>
      </w:r>
      <w:r w:rsidRPr="009145AF">
        <w:t>st</w:t>
      </w:r>
      <w:r w:rsidR="00CE7775" w:rsidRPr="009145AF">
        <w:t xml:space="preserve">udents </w:t>
      </w:r>
      <w:r w:rsidR="00C379FE" w:rsidRPr="009145AF">
        <w:t>with</w:t>
      </w:r>
      <w:r w:rsidR="00CE7775" w:rsidRPr="009145AF">
        <w:t xml:space="preserve"> disability (</w:t>
      </w:r>
      <w:r w:rsidR="00DD675A">
        <w:t xml:space="preserve">74.0 </w:t>
      </w:r>
      <w:r w:rsidRPr="009145AF">
        <w:t xml:space="preserve">per cent) and students speaking a language </w:t>
      </w:r>
      <w:r w:rsidR="00D141F2" w:rsidRPr="009145AF">
        <w:t>other than English at home (</w:t>
      </w:r>
      <w:r w:rsidR="00DD675A">
        <w:t xml:space="preserve">79.0 </w:t>
      </w:r>
      <w:r w:rsidRPr="009145AF">
        <w:t xml:space="preserve">per cent) were </w:t>
      </w:r>
      <w:r w:rsidRPr="00EF5A5F">
        <w:t xml:space="preserve">lower than for all students (figure </w:t>
      </w:r>
      <w:r w:rsidR="00442BBD">
        <w:t>5.2</w:t>
      </w:r>
      <w:r w:rsidR="00D768C4">
        <w:t>9</w:t>
      </w:r>
      <w:r w:rsidRPr="00EF5A5F">
        <w:t xml:space="preserve">). </w:t>
      </w:r>
    </w:p>
    <w:p w:rsidR="00715ADD" w:rsidRDefault="00715ADD" w:rsidP="005F14B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15ADD" w:rsidTr="005F14B9">
        <w:tc>
          <w:tcPr>
            <w:tcW w:w="8771" w:type="dxa"/>
            <w:tcBorders>
              <w:top w:val="single" w:sz="6" w:space="0" w:color="78A22F"/>
              <w:left w:val="nil"/>
              <w:bottom w:val="nil"/>
              <w:right w:val="nil"/>
            </w:tcBorders>
            <w:shd w:val="clear" w:color="auto" w:fill="auto"/>
          </w:tcPr>
          <w:p w:rsidR="00715ADD" w:rsidRPr="00176D3F" w:rsidRDefault="00715ADD" w:rsidP="00787A27">
            <w:pPr>
              <w:pStyle w:val="FigureTitle"/>
            </w:pPr>
            <w:r w:rsidRPr="00784A05">
              <w:rPr>
                <w:b w:val="0"/>
              </w:rPr>
              <w:t xml:space="preserve">Figure </w:t>
            </w:r>
            <w:r>
              <w:rPr>
                <w:b w:val="0"/>
              </w:rPr>
              <w:t>5.</w:t>
            </w:r>
            <w:r w:rsidR="00D80B1E">
              <w:rPr>
                <w:b w:val="0"/>
                <w:noProof/>
              </w:rPr>
              <w:t>29</w:t>
            </w:r>
            <w:r>
              <w:tab/>
            </w:r>
            <w:r w:rsidRPr="00263BA3">
              <w:t>Load pass rates, by target group, 201</w:t>
            </w:r>
            <w:r w:rsidR="00787A27">
              <w:t>3</w:t>
            </w:r>
            <w:r w:rsidRPr="00263BA3">
              <w:rPr>
                <w:rStyle w:val="NoteLabel"/>
                <w:b/>
              </w:rPr>
              <w:t>a, b, c, d</w:t>
            </w:r>
          </w:p>
        </w:tc>
      </w:tr>
      <w:tr w:rsidR="00715ADD" w:rsidTr="005F14B9">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715ADD" w:rsidTr="00715ADD">
              <w:tc>
                <w:tcPr>
                  <w:tcW w:w="5000" w:type="pct"/>
                  <w:tcBorders>
                    <w:top w:val="nil"/>
                    <w:bottom w:val="nil"/>
                  </w:tcBorders>
                </w:tcPr>
                <w:p w:rsidR="00715ADD" w:rsidRDefault="009F6491" w:rsidP="005F14B9">
                  <w:pPr>
                    <w:pStyle w:val="Figure"/>
                    <w:spacing w:before="60" w:after="60"/>
                  </w:pPr>
                  <w:r>
                    <w:rPr>
                      <w:noProof/>
                    </w:rPr>
                    <w:drawing>
                      <wp:inline distT="0" distB="0" distL="0" distR="0">
                        <wp:extent cx="5391150" cy="2714625"/>
                        <wp:effectExtent l="0" t="0" r="0" b="9525"/>
                        <wp:docPr id="36" name="Picture 36" descr="Figure 5.29 Load pass rates, by target group,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391150" cy="2714625"/>
                                </a:xfrm>
                                <a:prstGeom prst="rect">
                                  <a:avLst/>
                                </a:prstGeom>
                                <a:noFill/>
                                <a:ln>
                                  <a:noFill/>
                                </a:ln>
                              </pic:spPr>
                            </pic:pic>
                          </a:graphicData>
                        </a:graphic>
                      </wp:inline>
                    </w:drawing>
                  </w:r>
                </w:p>
              </w:tc>
            </w:tr>
          </w:tbl>
          <w:p w:rsidR="00715ADD" w:rsidRDefault="00715ADD" w:rsidP="005F14B9">
            <w:pPr>
              <w:pStyle w:val="Figure"/>
            </w:pPr>
          </w:p>
        </w:tc>
      </w:tr>
      <w:tr w:rsidR="00715ADD" w:rsidRPr="00176D3F" w:rsidTr="005F14B9">
        <w:tc>
          <w:tcPr>
            <w:tcW w:w="8771" w:type="dxa"/>
            <w:tcBorders>
              <w:top w:val="nil"/>
              <w:left w:val="nil"/>
              <w:bottom w:val="nil"/>
              <w:right w:val="nil"/>
            </w:tcBorders>
            <w:shd w:val="clear" w:color="auto" w:fill="auto"/>
          </w:tcPr>
          <w:p w:rsidR="00715ADD" w:rsidRPr="00176D3F" w:rsidRDefault="00715ADD" w:rsidP="00E7163B">
            <w:pPr>
              <w:pStyle w:val="Note"/>
            </w:pPr>
            <w:r w:rsidRPr="008C1DD2">
              <w:rPr>
                <w:rStyle w:val="NoteLabel"/>
              </w:rPr>
              <w:t>a</w:t>
            </w:r>
            <w:r w:rsidRPr="008C1DD2">
              <w:t xml:space="preserve"> Data are for government funded hours. </w:t>
            </w:r>
            <w:r w:rsidRPr="008C1DD2">
              <w:rPr>
                <w:rStyle w:val="NoteLabel"/>
              </w:rPr>
              <w:t>b</w:t>
            </w:r>
            <w:r w:rsidRPr="008C1DD2">
              <w:t xml:space="preserve"> People with disability are defined as those who self-identify on enrolment forms that they have disability, impairment or a long-term condition. </w:t>
            </w:r>
            <w:r w:rsidRPr="008C1DD2">
              <w:rPr>
                <w:rStyle w:val="NoteLabel"/>
              </w:rPr>
              <w:t>c</w:t>
            </w:r>
            <w:r w:rsidRPr="008C1DD2">
              <w:t xml:space="preserve"> Care </w:t>
            </w:r>
            <w:r w:rsidR="00E7163B">
              <w:t>should</w:t>
            </w:r>
            <w:r w:rsidRPr="008C1DD2">
              <w:t xml:space="preserve"> be taken in comparing load pass rates for students reporting disability, students speaking a language other than English at home and for</w:t>
            </w:r>
            <w:r w:rsidR="00804C04">
              <w:t xml:space="preserve"> Aboriginal and Torres Strait Islander </w:t>
            </w:r>
            <w:r w:rsidRPr="008C1DD2">
              <w:t xml:space="preserve">students because the non-identification rates for these groups are high. </w:t>
            </w:r>
            <w:r w:rsidRPr="008C1DD2">
              <w:rPr>
                <w:rStyle w:val="NoteLabel"/>
              </w:rPr>
              <w:t>d</w:t>
            </w:r>
            <w:r w:rsidRPr="008C1DD2">
              <w:t xml:space="preserve"> There are no very remote areas in Victoria and no remote or very remote areas in the ACT. The remote data for Victoria and the ACT are for students from remote areas throughout Australia studying in these jurisdictions.</w:t>
            </w:r>
          </w:p>
        </w:tc>
      </w:tr>
      <w:tr w:rsidR="00715ADD" w:rsidRPr="00176D3F" w:rsidTr="005F14B9">
        <w:tc>
          <w:tcPr>
            <w:tcW w:w="8771" w:type="dxa"/>
            <w:tcBorders>
              <w:top w:val="nil"/>
              <w:left w:val="nil"/>
              <w:bottom w:val="nil"/>
              <w:right w:val="nil"/>
            </w:tcBorders>
            <w:shd w:val="clear" w:color="auto" w:fill="auto"/>
          </w:tcPr>
          <w:p w:rsidR="00715ADD" w:rsidRPr="00176D3F" w:rsidRDefault="00715ADD" w:rsidP="00915131">
            <w:pPr>
              <w:pStyle w:val="Source"/>
            </w:pPr>
            <w:r w:rsidRPr="008C1DD2">
              <w:rPr>
                <w:i/>
              </w:rPr>
              <w:t>Source</w:t>
            </w:r>
            <w:r w:rsidRPr="008C1DD2">
              <w:t xml:space="preserve">: NCVER (unpublished) National VET provider collection; tables </w:t>
            </w:r>
            <w:proofErr w:type="spellStart"/>
            <w:r w:rsidRPr="008C1DD2">
              <w:t>5A.</w:t>
            </w:r>
            <w:r w:rsidR="00915131">
              <w:t>50</w:t>
            </w:r>
            <w:proofErr w:type="spellEnd"/>
            <w:r w:rsidRPr="008C1DD2">
              <w:t>–5</w:t>
            </w:r>
            <w:r w:rsidR="00915131">
              <w:t>3</w:t>
            </w:r>
            <w:r w:rsidRPr="008C1DD2">
              <w:t>.</w:t>
            </w:r>
          </w:p>
        </w:tc>
      </w:tr>
      <w:tr w:rsidR="00715ADD" w:rsidTr="005F14B9">
        <w:tc>
          <w:tcPr>
            <w:tcW w:w="8771" w:type="dxa"/>
            <w:tcBorders>
              <w:top w:val="nil"/>
              <w:left w:val="nil"/>
              <w:bottom w:val="single" w:sz="6" w:space="0" w:color="78A22F"/>
              <w:right w:val="nil"/>
            </w:tcBorders>
            <w:shd w:val="clear" w:color="auto" w:fill="auto"/>
          </w:tcPr>
          <w:p w:rsidR="00715ADD" w:rsidRDefault="00715ADD" w:rsidP="005F14B9">
            <w:pPr>
              <w:pStyle w:val="Figurespace"/>
            </w:pPr>
          </w:p>
        </w:tc>
      </w:tr>
      <w:tr w:rsidR="00715ADD" w:rsidRPr="000863A5" w:rsidTr="005F14B9">
        <w:tc>
          <w:tcPr>
            <w:tcW w:w="8771" w:type="dxa"/>
            <w:tcBorders>
              <w:top w:val="single" w:sz="6" w:space="0" w:color="78A22F"/>
              <w:left w:val="nil"/>
              <w:bottom w:val="nil"/>
              <w:right w:val="nil"/>
            </w:tcBorders>
          </w:tcPr>
          <w:p w:rsidR="00715ADD" w:rsidRPr="00626D32" w:rsidRDefault="00715ADD" w:rsidP="005F14B9">
            <w:pPr>
              <w:pStyle w:val="BoxSpaceBelow"/>
            </w:pPr>
          </w:p>
        </w:tc>
      </w:tr>
    </w:tbl>
    <w:p w:rsidR="00C57336" w:rsidRPr="002F72A4" w:rsidRDefault="00C57336" w:rsidP="00A405CB">
      <w:pPr>
        <w:pStyle w:val="BodyText"/>
        <w:spacing w:before="120"/>
      </w:pPr>
      <w:r w:rsidRPr="002F72A4">
        <w:t xml:space="preserve">Nationally, between </w:t>
      </w:r>
      <w:r w:rsidR="00C56880" w:rsidRPr="002F72A4">
        <w:t>200</w:t>
      </w:r>
      <w:r w:rsidR="00787A27">
        <w:t>9</w:t>
      </w:r>
      <w:r w:rsidR="00C56880" w:rsidRPr="002F72A4">
        <w:t xml:space="preserve"> </w:t>
      </w:r>
      <w:r w:rsidRPr="002F72A4">
        <w:t xml:space="preserve">and </w:t>
      </w:r>
      <w:r w:rsidR="00C56880" w:rsidRPr="002F72A4">
        <w:t>201</w:t>
      </w:r>
      <w:r w:rsidR="00787A27">
        <w:t>3</w:t>
      </w:r>
      <w:r w:rsidRPr="002F72A4">
        <w:t>, load pass rates increased for</w:t>
      </w:r>
      <w:r w:rsidR="00594E0D" w:rsidRPr="002F72A4">
        <w:t xml:space="preserve"> all students by </w:t>
      </w:r>
      <w:r w:rsidR="00DD675A">
        <w:t>3.1 </w:t>
      </w:r>
      <w:r w:rsidR="00594E0D" w:rsidRPr="002F72A4">
        <w:t xml:space="preserve">percentage points to </w:t>
      </w:r>
      <w:r w:rsidR="00DD675A">
        <w:t>82.9 </w:t>
      </w:r>
      <w:r w:rsidR="00594E0D" w:rsidRPr="002F72A4">
        <w:t>per cent (table</w:t>
      </w:r>
      <w:r w:rsidR="0096194E">
        <w:t xml:space="preserve"> </w:t>
      </w:r>
      <w:proofErr w:type="spellStart"/>
      <w:r w:rsidR="00594E0D" w:rsidRPr="002F72A4">
        <w:t>5A.</w:t>
      </w:r>
      <w:r w:rsidR="00915131">
        <w:t>50</w:t>
      </w:r>
      <w:proofErr w:type="spellEnd"/>
      <w:r w:rsidR="00594E0D" w:rsidRPr="002F72A4">
        <w:t>)</w:t>
      </w:r>
      <w:r w:rsidR="00376947" w:rsidRPr="002F72A4">
        <w:t xml:space="preserve"> and for</w:t>
      </w:r>
      <w:r w:rsidRPr="002F72A4">
        <w:t>:</w:t>
      </w:r>
      <w:r w:rsidR="006057CC" w:rsidRPr="002F72A4">
        <w:t xml:space="preserve"> </w:t>
      </w:r>
    </w:p>
    <w:p w:rsidR="00D57753" w:rsidRPr="002F72A4" w:rsidRDefault="00D57753" w:rsidP="00A405CB">
      <w:pPr>
        <w:pStyle w:val="ListBullet"/>
      </w:pPr>
      <w:r w:rsidRPr="002F72A4">
        <w:t xml:space="preserve">students with disability by </w:t>
      </w:r>
      <w:r w:rsidR="00DD675A">
        <w:t xml:space="preserve">3.4 </w:t>
      </w:r>
      <w:r w:rsidRPr="002F72A4">
        <w:t xml:space="preserve">percentage points to </w:t>
      </w:r>
      <w:r w:rsidR="00DD675A">
        <w:t>74.0</w:t>
      </w:r>
      <w:r w:rsidR="0096194E">
        <w:t xml:space="preserve"> </w:t>
      </w:r>
      <w:r w:rsidRPr="002F72A4">
        <w:t>per</w:t>
      </w:r>
      <w:r w:rsidR="0096194E">
        <w:t xml:space="preserve"> </w:t>
      </w:r>
      <w:r w:rsidRPr="002F72A4">
        <w:t>cent (table</w:t>
      </w:r>
      <w:r w:rsidR="0096194E">
        <w:t xml:space="preserve"> </w:t>
      </w:r>
      <w:proofErr w:type="spellStart"/>
      <w:r w:rsidRPr="002F72A4">
        <w:t>5A.</w:t>
      </w:r>
      <w:r w:rsidR="000100D1">
        <w:t>5</w:t>
      </w:r>
      <w:r w:rsidR="00915131">
        <w:t>2</w:t>
      </w:r>
      <w:proofErr w:type="spellEnd"/>
      <w:r w:rsidRPr="002F72A4">
        <w:t>)</w:t>
      </w:r>
    </w:p>
    <w:p w:rsidR="00D57753" w:rsidRPr="002F72A4" w:rsidRDefault="00D57753" w:rsidP="00A405CB">
      <w:pPr>
        <w:pStyle w:val="ListBullet"/>
      </w:pPr>
      <w:r w:rsidRPr="002F72A4">
        <w:t xml:space="preserve">students speaking a language other than English at home by </w:t>
      </w:r>
      <w:r w:rsidR="00DD675A">
        <w:t xml:space="preserve">6.0 </w:t>
      </w:r>
      <w:r w:rsidRPr="002F72A4">
        <w:t xml:space="preserve">percentage points to </w:t>
      </w:r>
      <w:r w:rsidR="00DD675A">
        <w:t>79.0</w:t>
      </w:r>
      <w:r w:rsidR="0096194E">
        <w:t xml:space="preserve"> </w:t>
      </w:r>
      <w:r w:rsidRPr="002F72A4">
        <w:t>per</w:t>
      </w:r>
      <w:r w:rsidR="0096194E">
        <w:t xml:space="preserve"> </w:t>
      </w:r>
      <w:r w:rsidRPr="002F72A4">
        <w:t xml:space="preserve">cent (table </w:t>
      </w:r>
      <w:proofErr w:type="spellStart"/>
      <w:r w:rsidRPr="002F72A4">
        <w:t>5A.</w:t>
      </w:r>
      <w:r w:rsidR="00C56880" w:rsidRPr="002F72A4">
        <w:t>5</w:t>
      </w:r>
      <w:r w:rsidR="00915131">
        <w:t>3</w:t>
      </w:r>
      <w:proofErr w:type="spellEnd"/>
      <w:r w:rsidRPr="002F72A4">
        <w:t>)</w:t>
      </w:r>
    </w:p>
    <w:p w:rsidR="00D57753" w:rsidRPr="002F72A4" w:rsidRDefault="00D57753" w:rsidP="00A405CB">
      <w:pPr>
        <w:pStyle w:val="ListBullet"/>
      </w:pPr>
      <w:r w:rsidRPr="002F72A4">
        <w:t xml:space="preserve">students from remote and very remote areas by </w:t>
      </w:r>
      <w:r w:rsidR="00DD675A">
        <w:t xml:space="preserve">2.1 </w:t>
      </w:r>
      <w:r w:rsidR="000928EA" w:rsidRPr="002F72A4">
        <w:t xml:space="preserve">percentage points </w:t>
      </w:r>
      <w:r w:rsidRPr="002F72A4">
        <w:t xml:space="preserve">to </w:t>
      </w:r>
      <w:r w:rsidR="00DD675A">
        <w:t>85.0</w:t>
      </w:r>
      <w:r w:rsidR="0096194E">
        <w:t xml:space="preserve"> </w:t>
      </w:r>
      <w:r w:rsidRPr="002F72A4">
        <w:t>per</w:t>
      </w:r>
      <w:r w:rsidR="0096194E">
        <w:t xml:space="preserve"> </w:t>
      </w:r>
      <w:r w:rsidRPr="002F72A4">
        <w:t xml:space="preserve">cent (table </w:t>
      </w:r>
      <w:proofErr w:type="spellStart"/>
      <w:r w:rsidRPr="002F72A4">
        <w:t>5A.</w:t>
      </w:r>
      <w:r w:rsidR="000100D1">
        <w:t>5</w:t>
      </w:r>
      <w:r w:rsidR="00915131">
        <w:t>1</w:t>
      </w:r>
      <w:proofErr w:type="spellEnd"/>
      <w:r w:rsidRPr="002F72A4">
        <w:t>)</w:t>
      </w:r>
    </w:p>
    <w:p w:rsidR="00B61A03" w:rsidRPr="002F72A4" w:rsidRDefault="009604DC" w:rsidP="00A405CB">
      <w:pPr>
        <w:pStyle w:val="ListBullet"/>
      </w:pPr>
      <w:r>
        <w:t>Aboriginal and Torres Strait Islander</w:t>
      </w:r>
      <w:r w:rsidR="00B61A03" w:rsidRPr="002F72A4">
        <w:t xml:space="preserve"> students </w:t>
      </w:r>
      <w:r w:rsidR="007C0214" w:rsidRPr="002F72A4">
        <w:t xml:space="preserve">by </w:t>
      </w:r>
      <w:r w:rsidR="00DD675A">
        <w:t xml:space="preserve">3.8 </w:t>
      </w:r>
      <w:r w:rsidR="00B61A03" w:rsidRPr="002F72A4">
        <w:t xml:space="preserve">percentage points to </w:t>
      </w:r>
      <w:r w:rsidR="00DD675A">
        <w:t>74.1</w:t>
      </w:r>
      <w:r w:rsidR="0096194E">
        <w:t xml:space="preserve"> </w:t>
      </w:r>
      <w:r w:rsidR="00B61A03" w:rsidRPr="002F72A4">
        <w:t>per</w:t>
      </w:r>
      <w:r w:rsidR="0096194E">
        <w:t xml:space="preserve"> </w:t>
      </w:r>
      <w:r w:rsidR="00B61A03" w:rsidRPr="002F72A4">
        <w:t>cent (</w:t>
      </w:r>
      <w:r w:rsidR="00816EB7" w:rsidRPr="002F72A4">
        <w:t>table</w:t>
      </w:r>
      <w:r w:rsidR="0096194E">
        <w:t xml:space="preserve"> </w:t>
      </w:r>
      <w:proofErr w:type="spellStart"/>
      <w:r w:rsidR="00816EB7" w:rsidRPr="002F72A4">
        <w:t>5A.</w:t>
      </w:r>
      <w:r w:rsidR="00915131">
        <w:t>50</w:t>
      </w:r>
      <w:proofErr w:type="spellEnd"/>
      <w:r w:rsidR="00B61A03" w:rsidRPr="002F72A4">
        <w:t>)</w:t>
      </w:r>
      <w:r w:rsidR="006E4FC2" w:rsidRPr="002F72A4">
        <w:t>.</w:t>
      </w:r>
    </w:p>
    <w:p w:rsidR="007839E4" w:rsidRDefault="00594E0D" w:rsidP="00F80F44">
      <w:pPr>
        <w:pStyle w:val="BodyText"/>
      </w:pPr>
      <w:r w:rsidRPr="002F72A4">
        <w:t xml:space="preserve">In </w:t>
      </w:r>
      <w:r w:rsidR="00C56880" w:rsidRPr="002F72A4">
        <w:t>201</w:t>
      </w:r>
      <w:r w:rsidR="00787A27">
        <w:t>3</w:t>
      </w:r>
      <w:r w:rsidR="00FE42EC">
        <w:t xml:space="preserve">, </w:t>
      </w:r>
      <w:r w:rsidRPr="002F72A4">
        <w:t>national</w:t>
      </w:r>
      <w:r w:rsidR="00FE42EC">
        <w:t>ly, the</w:t>
      </w:r>
      <w:r w:rsidRPr="002F72A4">
        <w:t xml:space="preserve"> load pass rate for</w:t>
      </w:r>
      <w:r w:rsidR="00804C04">
        <w:t xml:space="preserve"> Aboriginal and Torres Strait Islander </w:t>
      </w:r>
      <w:r w:rsidRPr="002F72A4">
        <w:t>students (</w:t>
      </w:r>
      <w:r w:rsidR="00DD675A">
        <w:t>74.1</w:t>
      </w:r>
      <w:r w:rsidR="0096194E">
        <w:t xml:space="preserve"> </w:t>
      </w:r>
      <w:r w:rsidRPr="002F72A4">
        <w:t>per</w:t>
      </w:r>
      <w:r w:rsidR="0096194E">
        <w:t xml:space="preserve"> </w:t>
      </w:r>
      <w:r w:rsidRPr="002F72A4">
        <w:t xml:space="preserve">cent) was lower than the </w:t>
      </w:r>
      <w:r w:rsidR="006E4FC2" w:rsidRPr="002F72A4">
        <w:t xml:space="preserve">load pass rate </w:t>
      </w:r>
      <w:r w:rsidRPr="002F72A4">
        <w:t>for non-Indigenous students (</w:t>
      </w:r>
      <w:r w:rsidR="00DD675A">
        <w:t>83.2 </w:t>
      </w:r>
      <w:r w:rsidRPr="002F72A4">
        <w:t>per cent)</w:t>
      </w:r>
      <w:r w:rsidR="006E4FC2" w:rsidRPr="002F72A4">
        <w:t xml:space="preserve"> and for all students</w:t>
      </w:r>
      <w:r w:rsidRPr="002F72A4">
        <w:t xml:space="preserve"> </w:t>
      </w:r>
      <w:r w:rsidR="007013E1" w:rsidRPr="002F72A4">
        <w:t>(</w:t>
      </w:r>
      <w:r w:rsidR="00DD675A">
        <w:t xml:space="preserve">82.9 </w:t>
      </w:r>
      <w:r w:rsidR="007013E1" w:rsidRPr="002F72A4">
        <w:t>per</w:t>
      </w:r>
      <w:r w:rsidR="0096194E">
        <w:t xml:space="preserve"> </w:t>
      </w:r>
      <w:r w:rsidR="007013E1" w:rsidRPr="002F72A4">
        <w:t xml:space="preserve">cent) </w:t>
      </w:r>
      <w:r w:rsidRPr="002F72A4">
        <w:t>(figure</w:t>
      </w:r>
      <w:r w:rsidR="0096194E">
        <w:t xml:space="preserve"> </w:t>
      </w:r>
      <w:r w:rsidR="00566F23" w:rsidRPr="002F72A4">
        <w:t>5.</w:t>
      </w:r>
      <w:r w:rsidR="00D768C4">
        <w:t>30</w:t>
      </w:r>
      <w:r w:rsidRPr="002F72A4">
        <w:t xml:space="preserve">). </w:t>
      </w:r>
    </w:p>
    <w:p w:rsidR="00715ADD" w:rsidRDefault="00715ADD" w:rsidP="005F14B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15ADD" w:rsidTr="005F14B9">
        <w:tc>
          <w:tcPr>
            <w:tcW w:w="8771" w:type="dxa"/>
            <w:tcBorders>
              <w:top w:val="single" w:sz="6" w:space="0" w:color="78A22F"/>
              <w:left w:val="nil"/>
              <w:bottom w:val="nil"/>
              <w:right w:val="nil"/>
            </w:tcBorders>
            <w:shd w:val="clear" w:color="auto" w:fill="auto"/>
          </w:tcPr>
          <w:p w:rsidR="00715ADD" w:rsidRPr="00176D3F" w:rsidRDefault="00715ADD" w:rsidP="002312FF">
            <w:pPr>
              <w:pStyle w:val="FigureTitle"/>
            </w:pPr>
            <w:r w:rsidRPr="00784A05">
              <w:rPr>
                <w:b w:val="0"/>
              </w:rPr>
              <w:t xml:space="preserve">Figure </w:t>
            </w:r>
            <w:r>
              <w:rPr>
                <w:b w:val="0"/>
              </w:rPr>
              <w:t>5.</w:t>
            </w:r>
            <w:r w:rsidR="00D80B1E">
              <w:rPr>
                <w:b w:val="0"/>
                <w:noProof/>
              </w:rPr>
              <w:t>30</w:t>
            </w:r>
            <w:r>
              <w:tab/>
            </w:r>
            <w:r w:rsidRPr="00263BA3">
              <w:t>Load pass rate, by</w:t>
            </w:r>
            <w:r w:rsidR="00804C04">
              <w:t xml:space="preserve"> </w:t>
            </w:r>
            <w:r w:rsidR="002312FF">
              <w:t xml:space="preserve">Indigenous </w:t>
            </w:r>
            <w:r w:rsidRPr="00263BA3">
              <w:t>status 201</w:t>
            </w:r>
            <w:r w:rsidR="00787A27">
              <w:t>3</w:t>
            </w:r>
            <w:r w:rsidRPr="00263BA3">
              <w:rPr>
                <w:rStyle w:val="NoteLabel"/>
                <w:b/>
              </w:rPr>
              <w:t>a, b</w:t>
            </w:r>
          </w:p>
        </w:tc>
      </w:tr>
      <w:tr w:rsidR="00715ADD" w:rsidTr="005F14B9">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715ADD" w:rsidTr="00715ADD">
              <w:tc>
                <w:tcPr>
                  <w:tcW w:w="5000" w:type="pct"/>
                  <w:tcBorders>
                    <w:top w:val="nil"/>
                    <w:bottom w:val="nil"/>
                  </w:tcBorders>
                </w:tcPr>
                <w:p w:rsidR="00715ADD" w:rsidRDefault="009F6491" w:rsidP="005F14B9">
                  <w:pPr>
                    <w:pStyle w:val="Figure"/>
                    <w:spacing w:before="60" w:after="60"/>
                  </w:pPr>
                  <w:r>
                    <w:rPr>
                      <w:noProof/>
                    </w:rPr>
                    <w:drawing>
                      <wp:inline distT="0" distB="0" distL="0" distR="0">
                        <wp:extent cx="5391150" cy="2705100"/>
                        <wp:effectExtent l="0" t="0" r="0" b="0"/>
                        <wp:docPr id="37" name="Picture 37" descr="Figure 5.30 Load pass rate, by Indigenous status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391150" cy="2705100"/>
                                </a:xfrm>
                                <a:prstGeom prst="rect">
                                  <a:avLst/>
                                </a:prstGeom>
                                <a:noFill/>
                                <a:ln>
                                  <a:noFill/>
                                </a:ln>
                              </pic:spPr>
                            </pic:pic>
                          </a:graphicData>
                        </a:graphic>
                      </wp:inline>
                    </w:drawing>
                  </w:r>
                </w:p>
              </w:tc>
            </w:tr>
          </w:tbl>
          <w:p w:rsidR="00715ADD" w:rsidRDefault="00715ADD" w:rsidP="005F14B9">
            <w:pPr>
              <w:pStyle w:val="Figure"/>
            </w:pPr>
          </w:p>
        </w:tc>
      </w:tr>
      <w:tr w:rsidR="00715ADD" w:rsidRPr="00176D3F" w:rsidTr="005F14B9">
        <w:tc>
          <w:tcPr>
            <w:tcW w:w="8771" w:type="dxa"/>
            <w:tcBorders>
              <w:top w:val="nil"/>
              <w:left w:val="nil"/>
              <w:bottom w:val="nil"/>
              <w:right w:val="nil"/>
            </w:tcBorders>
            <w:shd w:val="clear" w:color="auto" w:fill="auto"/>
          </w:tcPr>
          <w:p w:rsidR="00715ADD" w:rsidRPr="00176D3F" w:rsidRDefault="00715ADD" w:rsidP="00BA7089">
            <w:pPr>
              <w:pStyle w:val="Note"/>
            </w:pPr>
            <w:r w:rsidRPr="008C1DD2">
              <w:rPr>
                <w:rStyle w:val="NoteLabel"/>
              </w:rPr>
              <w:t>a</w:t>
            </w:r>
            <w:r w:rsidRPr="008C1DD2">
              <w:t xml:space="preserve"> Data are for government funded hours. </w:t>
            </w:r>
            <w:r w:rsidRPr="008C1DD2">
              <w:rPr>
                <w:rStyle w:val="NoteLabel"/>
              </w:rPr>
              <w:t>b</w:t>
            </w:r>
            <w:r w:rsidR="00804C04">
              <w:t xml:space="preserve"> Aboriginal and Torres Strait Islander </w:t>
            </w:r>
            <w:r w:rsidRPr="008C1DD2">
              <w:t>students are defined as those who self-identify on enrolment forms that they are of Aboriginal and/or To</w:t>
            </w:r>
            <w:r w:rsidR="00E7163B">
              <w:t>rres Strait Islander background</w:t>
            </w:r>
            <w:r w:rsidRPr="008C1DD2">
              <w:t xml:space="preserve">. Care </w:t>
            </w:r>
            <w:r w:rsidR="00E7163B">
              <w:t>should</w:t>
            </w:r>
            <w:r w:rsidRPr="008C1DD2">
              <w:t xml:space="preserve"> be taken in comparing rates for</w:t>
            </w:r>
            <w:r w:rsidR="00804C04">
              <w:t xml:space="preserve"> Aboriginal and Torres Strait Islander </w:t>
            </w:r>
            <w:r w:rsidRPr="008C1DD2">
              <w:t>and non</w:t>
            </w:r>
            <w:r w:rsidR="00E7163B">
              <w:noBreakHyphen/>
            </w:r>
            <w:r w:rsidRPr="008C1DD2">
              <w:t>Indigenous students</w:t>
            </w:r>
            <w:r w:rsidR="00E7163B">
              <w:t xml:space="preserve"> as non-identification rates can be high</w:t>
            </w:r>
            <w:r w:rsidRPr="008C1DD2">
              <w:t>.</w:t>
            </w:r>
          </w:p>
        </w:tc>
      </w:tr>
      <w:tr w:rsidR="00715ADD" w:rsidRPr="00176D3F" w:rsidTr="005F14B9">
        <w:tc>
          <w:tcPr>
            <w:tcW w:w="8771" w:type="dxa"/>
            <w:tcBorders>
              <w:top w:val="nil"/>
              <w:left w:val="nil"/>
              <w:bottom w:val="nil"/>
              <w:right w:val="nil"/>
            </w:tcBorders>
            <w:shd w:val="clear" w:color="auto" w:fill="auto"/>
          </w:tcPr>
          <w:p w:rsidR="00715ADD" w:rsidRPr="00176D3F" w:rsidRDefault="00715ADD" w:rsidP="00915131">
            <w:pPr>
              <w:pStyle w:val="Source"/>
            </w:pPr>
            <w:r w:rsidRPr="008C1DD2">
              <w:rPr>
                <w:i/>
              </w:rPr>
              <w:t>Source</w:t>
            </w:r>
            <w:r w:rsidRPr="008C1DD2">
              <w:t xml:space="preserve">: NCVER (unpublished) National VET provider collection; table </w:t>
            </w:r>
            <w:proofErr w:type="spellStart"/>
            <w:r w:rsidRPr="008C1DD2">
              <w:t>5A.</w:t>
            </w:r>
            <w:r w:rsidR="00915131">
              <w:t>50</w:t>
            </w:r>
            <w:proofErr w:type="spellEnd"/>
            <w:r w:rsidRPr="008C1DD2">
              <w:t>.</w:t>
            </w:r>
          </w:p>
        </w:tc>
      </w:tr>
      <w:tr w:rsidR="00715ADD" w:rsidTr="005F14B9">
        <w:tc>
          <w:tcPr>
            <w:tcW w:w="8771" w:type="dxa"/>
            <w:tcBorders>
              <w:top w:val="nil"/>
              <w:left w:val="nil"/>
              <w:bottom w:val="single" w:sz="6" w:space="0" w:color="78A22F"/>
              <w:right w:val="nil"/>
            </w:tcBorders>
            <w:shd w:val="clear" w:color="auto" w:fill="auto"/>
          </w:tcPr>
          <w:p w:rsidR="00715ADD" w:rsidRDefault="00715ADD" w:rsidP="005F14B9">
            <w:pPr>
              <w:pStyle w:val="Figurespace"/>
            </w:pPr>
          </w:p>
        </w:tc>
      </w:tr>
      <w:tr w:rsidR="00715ADD" w:rsidRPr="000863A5" w:rsidTr="005F14B9">
        <w:tc>
          <w:tcPr>
            <w:tcW w:w="8771" w:type="dxa"/>
            <w:tcBorders>
              <w:top w:val="single" w:sz="6" w:space="0" w:color="78A22F"/>
              <w:left w:val="nil"/>
              <w:bottom w:val="nil"/>
              <w:right w:val="nil"/>
            </w:tcBorders>
          </w:tcPr>
          <w:p w:rsidR="00715ADD" w:rsidRPr="00626D32" w:rsidRDefault="00715ADD" w:rsidP="005F14B9">
            <w:pPr>
              <w:pStyle w:val="BoxSpaceBelow"/>
            </w:pPr>
          </w:p>
        </w:tc>
      </w:tr>
    </w:tbl>
    <w:p w:rsidR="006B27A5" w:rsidRPr="00996E6F" w:rsidRDefault="006B27A5" w:rsidP="00996E6F">
      <w:pPr>
        <w:pStyle w:val="BodyText"/>
      </w:pPr>
      <w:r w:rsidRPr="00996E6F">
        <w:t>Load pass rates for</w:t>
      </w:r>
      <w:r w:rsidR="00804C04" w:rsidRPr="00996E6F">
        <w:t xml:space="preserve"> Aboriginal and Torres Strait Islander </w:t>
      </w:r>
      <w:r w:rsidRPr="00996E6F">
        <w:t>students increased by</w:t>
      </w:r>
      <w:r w:rsidR="0044196E" w:rsidRPr="00996E6F">
        <w:t xml:space="preserve"> 10.2</w:t>
      </w:r>
      <w:r w:rsidR="0096194E" w:rsidRPr="00996E6F">
        <w:t> </w:t>
      </w:r>
      <w:r w:rsidRPr="00996E6F">
        <w:t>percentage points nationally between 200</w:t>
      </w:r>
      <w:r w:rsidR="00787A27" w:rsidRPr="00996E6F">
        <w:t>4</w:t>
      </w:r>
      <w:r w:rsidRPr="00996E6F">
        <w:t xml:space="preserve"> and </w:t>
      </w:r>
      <w:r w:rsidR="00435AD1" w:rsidRPr="00996E6F">
        <w:t>201</w:t>
      </w:r>
      <w:r w:rsidR="00787A27" w:rsidRPr="00996E6F">
        <w:t>3</w:t>
      </w:r>
      <w:r w:rsidR="00C35FAA" w:rsidRPr="00996E6F">
        <w:t>,</w:t>
      </w:r>
      <w:r w:rsidRPr="00996E6F">
        <w:t xml:space="preserve"> to</w:t>
      </w:r>
      <w:r w:rsidR="00474C01" w:rsidRPr="00996E6F">
        <w:t xml:space="preserve"> </w:t>
      </w:r>
      <w:r w:rsidR="0044196E" w:rsidRPr="00996E6F">
        <w:t>74.1</w:t>
      </w:r>
      <w:r w:rsidR="0096194E" w:rsidRPr="00996E6F">
        <w:t xml:space="preserve"> </w:t>
      </w:r>
      <w:r w:rsidRPr="00996E6F">
        <w:t>per</w:t>
      </w:r>
      <w:r w:rsidR="0096194E" w:rsidRPr="00996E6F">
        <w:t xml:space="preserve"> </w:t>
      </w:r>
      <w:r w:rsidRPr="00996E6F">
        <w:t>cent. This compares with an increase</w:t>
      </w:r>
      <w:r w:rsidR="00766B52" w:rsidRPr="00996E6F">
        <w:t xml:space="preserve"> </w:t>
      </w:r>
      <w:r w:rsidRPr="00996E6F">
        <w:t xml:space="preserve">of </w:t>
      </w:r>
      <w:r w:rsidR="0044196E" w:rsidRPr="00996E6F">
        <w:t xml:space="preserve">5.3 </w:t>
      </w:r>
      <w:r w:rsidRPr="00996E6F">
        <w:t>percentage points</w:t>
      </w:r>
      <w:r w:rsidR="00766B52" w:rsidRPr="00996E6F">
        <w:t xml:space="preserve"> </w:t>
      </w:r>
      <w:r w:rsidRPr="00996E6F">
        <w:t>over the same period for non</w:t>
      </w:r>
      <w:r w:rsidRPr="00996E6F">
        <w:noBreakHyphen/>
        <w:t xml:space="preserve">Indigenous students (to </w:t>
      </w:r>
      <w:r w:rsidR="0044196E" w:rsidRPr="00996E6F">
        <w:t>83.2</w:t>
      </w:r>
      <w:r w:rsidR="0096194E" w:rsidRPr="00996E6F">
        <w:t xml:space="preserve"> </w:t>
      </w:r>
      <w:r w:rsidRPr="00996E6F">
        <w:t>per</w:t>
      </w:r>
      <w:r w:rsidR="0096194E" w:rsidRPr="00996E6F">
        <w:t xml:space="preserve"> </w:t>
      </w:r>
      <w:r w:rsidRPr="00996E6F">
        <w:t>cent</w:t>
      </w:r>
      <w:r w:rsidR="00C35FAA" w:rsidRPr="00996E6F">
        <w:t xml:space="preserve"> in </w:t>
      </w:r>
      <w:r w:rsidR="00435AD1" w:rsidRPr="00996E6F">
        <w:t>201</w:t>
      </w:r>
      <w:r w:rsidR="0044196E" w:rsidRPr="00996E6F">
        <w:t>3</w:t>
      </w:r>
      <w:r w:rsidR="00766B52" w:rsidRPr="00996E6F">
        <w:t xml:space="preserve">) </w:t>
      </w:r>
      <w:r w:rsidR="007839E4" w:rsidRPr="00996E6F">
        <w:t>and an increase of</w:t>
      </w:r>
      <w:r w:rsidR="0044196E" w:rsidRPr="00996E6F">
        <w:t xml:space="preserve"> 5.6 </w:t>
      </w:r>
      <w:r w:rsidR="007839E4" w:rsidRPr="00996E6F">
        <w:t>percentage points over the same period for all students (to</w:t>
      </w:r>
      <w:r w:rsidR="0044196E" w:rsidRPr="00996E6F">
        <w:t xml:space="preserve"> 82.9 </w:t>
      </w:r>
      <w:r w:rsidR="007839E4" w:rsidRPr="00996E6F">
        <w:t>per</w:t>
      </w:r>
      <w:r w:rsidR="0096194E" w:rsidRPr="00996E6F">
        <w:t xml:space="preserve"> </w:t>
      </w:r>
      <w:r w:rsidR="007839E4" w:rsidRPr="00996E6F">
        <w:t xml:space="preserve">cent) </w:t>
      </w:r>
      <w:r w:rsidR="00766B52" w:rsidRPr="00996E6F">
        <w:t xml:space="preserve">(table </w:t>
      </w:r>
      <w:proofErr w:type="spellStart"/>
      <w:r w:rsidR="00766B52" w:rsidRPr="00996E6F">
        <w:t>5A.</w:t>
      </w:r>
      <w:r w:rsidR="00915131" w:rsidRPr="00996E6F">
        <w:t>50</w:t>
      </w:r>
      <w:proofErr w:type="spellEnd"/>
      <w:r w:rsidR="00766B52" w:rsidRPr="00996E6F">
        <w:t>).</w:t>
      </w:r>
    </w:p>
    <w:p w:rsidR="00E73103" w:rsidRDefault="00E73103" w:rsidP="00DA3292">
      <w:pPr>
        <w:pStyle w:val="Heading6"/>
      </w:pPr>
      <w:r w:rsidRPr="00EA02CF">
        <w:t xml:space="preserve">Student achievement in VET — </w:t>
      </w:r>
      <w:r w:rsidR="00816EB7">
        <w:t>p</w:t>
      </w:r>
      <w:r w:rsidRPr="00EA02CF">
        <w:t>roportion of graduates with improved education/training status after training</w:t>
      </w:r>
    </w:p>
    <w:p w:rsidR="00CA7BC4" w:rsidRPr="00996E6F" w:rsidRDefault="005923C8" w:rsidP="00996E6F">
      <w:pPr>
        <w:pStyle w:val="BodyText"/>
      </w:pPr>
      <w:r w:rsidRPr="00996E6F">
        <w:t xml:space="preserve">Students who completed </w:t>
      </w:r>
      <w:r w:rsidR="00290FE2" w:rsidRPr="00996E6F">
        <w:t xml:space="preserve">a </w:t>
      </w:r>
      <w:r w:rsidRPr="00996E6F">
        <w:t>q</w:t>
      </w:r>
      <w:r w:rsidR="00CA7BC4" w:rsidRPr="00996E6F">
        <w:t>ualification in 201</w:t>
      </w:r>
      <w:r w:rsidR="00787A27" w:rsidRPr="00996E6F">
        <w:t>2</w:t>
      </w:r>
      <w:r w:rsidR="00CA7BC4" w:rsidRPr="00996E6F">
        <w:t xml:space="preserve"> </w:t>
      </w:r>
      <w:r w:rsidRPr="00996E6F">
        <w:t>and had</w:t>
      </w:r>
      <w:r w:rsidR="00CA7BC4" w:rsidRPr="00996E6F">
        <w:t xml:space="preserve"> improved education/training </w:t>
      </w:r>
      <w:r w:rsidR="00816EB7" w:rsidRPr="00996E6F">
        <w:t>status after training</w:t>
      </w:r>
      <w:r w:rsidRPr="00996E6F">
        <w:t xml:space="preserve"> (higher than their previous qualification)</w:t>
      </w:r>
      <w:r w:rsidR="00816EB7" w:rsidRPr="00996E6F">
        <w:t>, as a per</w:t>
      </w:r>
      <w:r w:rsidR="00CA7BC4" w:rsidRPr="00996E6F">
        <w:t>cent</w:t>
      </w:r>
      <w:r w:rsidR="00816EB7" w:rsidRPr="00996E6F">
        <w:t>age</w:t>
      </w:r>
      <w:r w:rsidR="00CA7BC4" w:rsidRPr="00996E6F">
        <w:t xml:space="preserve"> of course enrolments by students in 201</w:t>
      </w:r>
      <w:r w:rsidR="00787A27" w:rsidRPr="00996E6F">
        <w:t>2</w:t>
      </w:r>
      <w:r w:rsidR="00CA7BC4" w:rsidRPr="00996E6F">
        <w:t xml:space="preserve">, was </w:t>
      </w:r>
      <w:r w:rsidR="00913681" w:rsidRPr="00996E6F">
        <w:t>18.0</w:t>
      </w:r>
      <w:r w:rsidR="0096194E" w:rsidRPr="00996E6F">
        <w:t xml:space="preserve"> </w:t>
      </w:r>
      <w:r w:rsidR="00CA7BC4" w:rsidRPr="00996E6F">
        <w:t>per</w:t>
      </w:r>
      <w:r w:rsidR="0096194E" w:rsidRPr="00996E6F">
        <w:t xml:space="preserve"> </w:t>
      </w:r>
      <w:r w:rsidR="00CA7BC4" w:rsidRPr="00996E6F">
        <w:t>cent.</w:t>
      </w:r>
      <w:r w:rsidR="00915737" w:rsidRPr="00996E6F">
        <w:t xml:space="preserve"> This increased from </w:t>
      </w:r>
      <w:r w:rsidR="00913681" w:rsidRPr="00996E6F">
        <w:t>13.6</w:t>
      </w:r>
      <w:r w:rsidR="0096194E" w:rsidRPr="00996E6F">
        <w:t xml:space="preserve"> per </w:t>
      </w:r>
      <w:r w:rsidR="00915737" w:rsidRPr="00996E6F">
        <w:t>cent in 200</w:t>
      </w:r>
      <w:r w:rsidR="00A043C2" w:rsidRPr="00996E6F">
        <w:t>8</w:t>
      </w:r>
      <w:r w:rsidR="00915737" w:rsidRPr="00996E6F">
        <w:t xml:space="preserve">, representing an increase of </w:t>
      </w:r>
      <w:r w:rsidR="00913681" w:rsidRPr="00996E6F">
        <w:t>4.4</w:t>
      </w:r>
      <w:r w:rsidR="0096194E" w:rsidRPr="00996E6F">
        <w:t xml:space="preserve"> </w:t>
      </w:r>
      <w:r w:rsidR="00915737" w:rsidRPr="00996E6F">
        <w:t>percentage points over the period (figure </w:t>
      </w:r>
      <w:r w:rsidR="00566F23" w:rsidRPr="00996E6F">
        <w:t>5.3</w:t>
      </w:r>
      <w:r w:rsidR="00D768C4" w:rsidRPr="00996E6F">
        <w:t>1</w:t>
      </w:r>
      <w:r w:rsidR="00915737" w:rsidRPr="00996E6F">
        <w:t>).</w:t>
      </w:r>
    </w:p>
    <w:p w:rsidR="00715ADD" w:rsidRDefault="00715ADD" w:rsidP="005F14B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15ADD" w:rsidTr="005F14B9">
        <w:tc>
          <w:tcPr>
            <w:tcW w:w="8771" w:type="dxa"/>
            <w:tcBorders>
              <w:top w:val="single" w:sz="6" w:space="0" w:color="78A22F"/>
              <w:left w:val="nil"/>
              <w:bottom w:val="nil"/>
              <w:right w:val="nil"/>
            </w:tcBorders>
            <w:shd w:val="clear" w:color="auto" w:fill="auto"/>
          </w:tcPr>
          <w:p w:rsidR="00715ADD" w:rsidRPr="00176D3F" w:rsidRDefault="00715ADD" w:rsidP="00715ADD">
            <w:pPr>
              <w:pStyle w:val="FigureTitle"/>
            </w:pPr>
            <w:r w:rsidRPr="00784A05">
              <w:rPr>
                <w:b w:val="0"/>
              </w:rPr>
              <w:t xml:space="preserve">Figure </w:t>
            </w:r>
            <w:r>
              <w:rPr>
                <w:b w:val="0"/>
              </w:rPr>
              <w:t>5.</w:t>
            </w:r>
            <w:r w:rsidR="00D80B1E">
              <w:rPr>
                <w:b w:val="0"/>
                <w:noProof/>
              </w:rPr>
              <w:t>31</w:t>
            </w:r>
            <w:r>
              <w:tab/>
            </w:r>
            <w:r w:rsidRPr="0073220E">
              <w:t>Qualifications completed by students with improved education/training status after training, as a percentage of course enrolments</w:t>
            </w:r>
            <w:r w:rsidRPr="0073220E">
              <w:rPr>
                <w:rStyle w:val="NoteLabel"/>
                <w:b/>
              </w:rPr>
              <w:t>a, b</w:t>
            </w:r>
          </w:p>
        </w:tc>
      </w:tr>
      <w:tr w:rsidR="00715ADD" w:rsidTr="005F14B9">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715ADD" w:rsidTr="00715ADD">
              <w:tc>
                <w:tcPr>
                  <w:tcW w:w="5000" w:type="pct"/>
                  <w:tcBorders>
                    <w:top w:val="nil"/>
                    <w:bottom w:val="nil"/>
                  </w:tcBorders>
                </w:tcPr>
                <w:p w:rsidR="00715ADD" w:rsidRDefault="009F6491" w:rsidP="00715ADD">
                  <w:pPr>
                    <w:pStyle w:val="Figure"/>
                    <w:spacing w:before="60" w:after="60"/>
                  </w:pPr>
                  <w:r>
                    <w:rPr>
                      <w:noProof/>
                    </w:rPr>
                    <w:drawing>
                      <wp:inline distT="0" distB="0" distL="0" distR="0">
                        <wp:extent cx="5391150" cy="2876550"/>
                        <wp:effectExtent l="0" t="0" r="0" b="0"/>
                        <wp:docPr id="38" name="Picture 38" descr="Figure 5.31 Qualifications completed by students with improved education/training status after training, as a percentage of course enrolment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391150" cy="2876550"/>
                                </a:xfrm>
                                <a:prstGeom prst="rect">
                                  <a:avLst/>
                                </a:prstGeom>
                                <a:noFill/>
                                <a:ln>
                                  <a:noFill/>
                                </a:ln>
                              </pic:spPr>
                            </pic:pic>
                          </a:graphicData>
                        </a:graphic>
                      </wp:inline>
                    </w:drawing>
                  </w:r>
                </w:p>
              </w:tc>
            </w:tr>
          </w:tbl>
          <w:p w:rsidR="00715ADD" w:rsidRDefault="00715ADD" w:rsidP="005F14B9">
            <w:pPr>
              <w:pStyle w:val="Figure"/>
            </w:pPr>
          </w:p>
        </w:tc>
      </w:tr>
      <w:tr w:rsidR="00715ADD" w:rsidRPr="00176D3F" w:rsidTr="005F14B9">
        <w:tc>
          <w:tcPr>
            <w:tcW w:w="8771" w:type="dxa"/>
            <w:tcBorders>
              <w:top w:val="nil"/>
              <w:left w:val="nil"/>
              <w:bottom w:val="nil"/>
              <w:right w:val="nil"/>
            </w:tcBorders>
            <w:shd w:val="clear" w:color="auto" w:fill="auto"/>
          </w:tcPr>
          <w:p w:rsidR="00715ADD" w:rsidRPr="00176D3F" w:rsidRDefault="00715ADD" w:rsidP="00715ADD">
            <w:pPr>
              <w:pStyle w:val="Note"/>
            </w:pPr>
            <w:r w:rsidRPr="008C1DD2">
              <w:rPr>
                <w:rStyle w:val="NoteLabel"/>
              </w:rPr>
              <w:t>a</w:t>
            </w:r>
            <w:r w:rsidRPr="008C1DD2">
              <w:t xml:space="preserve"> Qualifications completed includes courses accredited or approved by a local State/Territory authority, and represents students eligible to be awarded a qualification. </w:t>
            </w:r>
            <w:r w:rsidRPr="008C1DD2">
              <w:rPr>
                <w:rStyle w:val="NoteLabel"/>
              </w:rPr>
              <w:t>b</w:t>
            </w:r>
            <w:r w:rsidRPr="008C1DD2">
              <w:t xml:space="preserve"> The number of qualifications completed includes both government funded and non-government funded VET students. </w:t>
            </w:r>
          </w:p>
        </w:tc>
      </w:tr>
      <w:tr w:rsidR="00715ADD" w:rsidRPr="00176D3F" w:rsidTr="005F14B9">
        <w:tc>
          <w:tcPr>
            <w:tcW w:w="8771" w:type="dxa"/>
            <w:tcBorders>
              <w:top w:val="nil"/>
              <w:left w:val="nil"/>
              <w:bottom w:val="nil"/>
              <w:right w:val="nil"/>
            </w:tcBorders>
            <w:shd w:val="clear" w:color="auto" w:fill="auto"/>
          </w:tcPr>
          <w:p w:rsidR="00715ADD" w:rsidRPr="00176D3F" w:rsidRDefault="00715ADD" w:rsidP="00915131">
            <w:pPr>
              <w:pStyle w:val="Source"/>
            </w:pPr>
            <w:r w:rsidRPr="008C1DD2">
              <w:rPr>
                <w:i/>
              </w:rPr>
              <w:t>Source</w:t>
            </w:r>
            <w:r w:rsidRPr="008C1DD2">
              <w:t xml:space="preserve">: NCVER (unpublished) National VET provider collection; table </w:t>
            </w:r>
            <w:proofErr w:type="spellStart"/>
            <w:r w:rsidRPr="008C1DD2">
              <w:t>5A.5</w:t>
            </w:r>
            <w:r w:rsidR="002F0DE3">
              <w:t>4</w:t>
            </w:r>
            <w:proofErr w:type="spellEnd"/>
            <w:r w:rsidR="002F0DE3">
              <w:t>.</w:t>
            </w:r>
          </w:p>
        </w:tc>
      </w:tr>
      <w:tr w:rsidR="00715ADD" w:rsidTr="005F14B9">
        <w:tc>
          <w:tcPr>
            <w:tcW w:w="8771" w:type="dxa"/>
            <w:tcBorders>
              <w:top w:val="nil"/>
              <w:left w:val="nil"/>
              <w:bottom w:val="single" w:sz="6" w:space="0" w:color="78A22F"/>
              <w:right w:val="nil"/>
            </w:tcBorders>
            <w:shd w:val="clear" w:color="auto" w:fill="auto"/>
          </w:tcPr>
          <w:p w:rsidR="00715ADD" w:rsidRDefault="00715ADD" w:rsidP="005F14B9">
            <w:pPr>
              <w:pStyle w:val="Figurespace"/>
            </w:pPr>
          </w:p>
        </w:tc>
      </w:tr>
      <w:tr w:rsidR="00715ADD" w:rsidRPr="000863A5" w:rsidTr="005F14B9">
        <w:tc>
          <w:tcPr>
            <w:tcW w:w="8771" w:type="dxa"/>
            <w:tcBorders>
              <w:top w:val="single" w:sz="6" w:space="0" w:color="78A22F"/>
              <w:left w:val="nil"/>
              <w:bottom w:val="nil"/>
              <w:right w:val="nil"/>
            </w:tcBorders>
          </w:tcPr>
          <w:p w:rsidR="00715ADD" w:rsidRPr="00626D32" w:rsidRDefault="00715ADD" w:rsidP="005F14B9">
            <w:pPr>
              <w:pStyle w:val="BoxSpaceBelow"/>
            </w:pPr>
          </w:p>
        </w:tc>
      </w:tr>
    </w:tbl>
    <w:p w:rsidR="00915737" w:rsidRDefault="00915737" w:rsidP="00067E5B">
      <w:pPr>
        <w:pStyle w:val="BodyText"/>
      </w:pPr>
      <w:r w:rsidRPr="00EA02CF">
        <w:t xml:space="preserve">Qualification </w:t>
      </w:r>
      <w:r w:rsidRPr="002F72A4">
        <w:t>completions in 201</w:t>
      </w:r>
      <w:r w:rsidR="00787A27">
        <w:t>2</w:t>
      </w:r>
      <w:r w:rsidRPr="002F72A4">
        <w:t xml:space="preserve"> by</w:t>
      </w:r>
      <w:r w:rsidR="00804C04">
        <w:t xml:space="preserve"> Aboriginal and Torres Strait Islander </w:t>
      </w:r>
      <w:r w:rsidRPr="002F72A4">
        <w:t xml:space="preserve">students with improved education/training status after training, as a </w:t>
      </w:r>
      <w:r w:rsidR="00816EB7" w:rsidRPr="002F72A4">
        <w:t xml:space="preserve">percentage </w:t>
      </w:r>
      <w:r w:rsidRPr="002F72A4">
        <w:t>of course enrolments by</w:t>
      </w:r>
      <w:r w:rsidR="00804C04">
        <w:t xml:space="preserve"> Aboriginal and Torres Strait Islander </w:t>
      </w:r>
      <w:r w:rsidRPr="002F72A4">
        <w:t>students in 201</w:t>
      </w:r>
      <w:r w:rsidR="00787A27">
        <w:t>2</w:t>
      </w:r>
      <w:r w:rsidRPr="002F72A4">
        <w:t xml:space="preserve">, was </w:t>
      </w:r>
      <w:r w:rsidR="00023CAF">
        <w:t xml:space="preserve">13.4 </w:t>
      </w:r>
      <w:r w:rsidRPr="002F72A4">
        <w:t>per cent (figure</w:t>
      </w:r>
      <w:r w:rsidR="0096194E">
        <w:t xml:space="preserve"> </w:t>
      </w:r>
      <w:r w:rsidR="00566F23" w:rsidRPr="002F72A4">
        <w:t>5.3</w:t>
      </w:r>
      <w:r w:rsidR="002F0DE3">
        <w:t>2</w:t>
      </w:r>
      <w:r w:rsidRPr="002F72A4">
        <w:t xml:space="preserve">) </w:t>
      </w:r>
      <w:r w:rsidRPr="002F72A4">
        <w:sym w:font="Symbol" w:char="F0BE"/>
      </w:r>
      <w:r w:rsidR="00745030" w:rsidRPr="002F72A4">
        <w:t xml:space="preserve"> an increase of </w:t>
      </w:r>
      <w:r w:rsidR="00023CAF">
        <w:t>3.2</w:t>
      </w:r>
      <w:r w:rsidR="0096194E">
        <w:t xml:space="preserve"> </w:t>
      </w:r>
      <w:r w:rsidRPr="002F72A4">
        <w:t xml:space="preserve">percentage points from </w:t>
      </w:r>
      <w:r w:rsidR="00023CAF">
        <w:t xml:space="preserve">10.2 </w:t>
      </w:r>
      <w:r w:rsidRPr="002F72A4">
        <w:t xml:space="preserve">per cent in </w:t>
      </w:r>
      <w:r w:rsidR="00023CAF">
        <w:t xml:space="preserve">2008 </w:t>
      </w:r>
      <w:r w:rsidRPr="002F72A4">
        <w:t xml:space="preserve">(table </w:t>
      </w:r>
      <w:proofErr w:type="spellStart"/>
      <w:r w:rsidRPr="002F72A4">
        <w:t>5A.5</w:t>
      </w:r>
      <w:r w:rsidR="00915131">
        <w:t>4</w:t>
      </w:r>
      <w:proofErr w:type="spellEnd"/>
      <w:r w:rsidRPr="002F72A4">
        <w:t xml:space="preserve">). This </w:t>
      </w:r>
      <w:r w:rsidR="00023CAF">
        <w:t xml:space="preserve">compares </w:t>
      </w:r>
      <w:r w:rsidRPr="002F72A4">
        <w:t xml:space="preserve">to </w:t>
      </w:r>
      <w:r w:rsidR="00023CAF">
        <w:t>an</w:t>
      </w:r>
      <w:r w:rsidRPr="002F72A4">
        <w:t xml:space="preserve"> increase </w:t>
      </w:r>
      <w:r w:rsidR="00023CAF">
        <w:t>of</w:t>
      </w:r>
      <w:r w:rsidRPr="002F72A4">
        <w:t xml:space="preserve"> </w:t>
      </w:r>
      <w:r w:rsidR="00023CAF">
        <w:t>4.1</w:t>
      </w:r>
      <w:r w:rsidR="0096194E">
        <w:t xml:space="preserve"> </w:t>
      </w:r>
      <w:r w:rsidRPr="002F72A4">
        <w:t xml:space="preserve">percentage points for non-Indigenous students between </w:t>
      </w:r>
      <w:r w:rsidR="00023CAF">
        <w:t>2008</w:t>
      </w:r>
      <w:r w:rsidRPr="002F72A4">
        <w:t xml:space="preserve"> (</w:t>
      </w:r>
      <w:r w:rsidR="00023CAF">
        <w:t>14.3</w:t>
      </w:r>
      <w:r w:rsidR="0096194E">
        <w:t xml:space="preserve"> </w:t>
      </w:r>
      <w:r w:rsidRPr="002F72A4">
        <w:t>per</w:t>
      </w:r>
      <w:r w:rsidR="0096194E">
        <w:t xml:space="preserve"> </w:t>
      </w:r>
      <w:r w:rsidRPr="002F72A4">
        <w:t>cent) and 201</w:t>
      </w:r>
      <w:r w:rsidR="00787A27">
        <w:t>2</w:t>
      </w:r>
      <w:r w:rsidRPr="002F72A4">
        <w:t xml:space="preserve"> (</w:t>
      </w:r>
      <w:r w:rsidR="00023CAF">
        <w:t xml:space="preserve">18.4 </w:t>
      </w:r>
      <w:r w:rsidRPr="002F72A4">
        <w:t xml:space="preserve">per cent) (table </w:t>
      </w:r>
      <w:proofErr w:type="spellStart"/>
      <w:r w:rsidRPr="002F72A4">
        <w:t>5A.5</w:t>
      </w:r>
      <w:r w:rsidR="00915131">
        <w:t>4</w:t>
      </w:r>
      <w:proofErr w:type="spellEnd"/>
      <w:r w:rsidRPr="002F72A4">
        <w:t>)</w:t>
      </w:r>
      <w:r w:rsidR="00537AB7" w:rsidRPr="002F72A4">
        <w:t>.</w:t>
      </w:r>
    </w:p>
    <w:p w:rsidR="00715ADD" w:rsidRDefault="00715ADD" w:rsidP="005F14B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15ADD" w:rsidTr="005F14B9">
        <w:tc>
          <w:tcPr>
            <w:tcW w:w="8771" w:type="dxa"/>
            <w:tcBorders>
              <w:top w:val="single" w:sz="6" w:space="0" w:color="78A22F"/>
              <w:left w:val="nil"/>
              <w:bottom w:val="nil"/>
              <w:right w:val="nil"/>
            </w:tcBorders>
            <w:shd w:val="clear" w:color="auto" w:fill="auto"/>
          </w:tcPr>
          <w:p w:rsidR="00715ADD" w:rsidRPr="00176D3F" w:rsidRDefault="00715ADD" w:rsidP="002312FF">
            <w:pPr>
              <w:pStyle w:val="FigureTitle"/>
            </w:pPr>
            <w:r w:rsidRPr="00784A05">
              <w:rPr>
                <w:b w:val="0"/>
              </w:rPr>
              <w:t xml:space="preserve">Figure </w:t>
            </w:r>
            <w:r>
              <w:rPr>
                <w:b w:val="0"/>
              </w:rPr>
              <w:t>5.</w:t>
            </w:r>
            <w:r w:rsidR="00D80B1E">
              <w:rPr>
                <w:b w:val="0"/>
                <w:noProof/>
              </w:rPr>
              <w:t>32</w:t>
            </w:r>
            <w:r>
              <w:tab/>
            </w:r>
            <w:r w:rsidRPr="0073220E">
              <w:t>Qualifications completed by students with improved education/training status after training, as a percentage of course enrolments, by</w:t>
            </w:r>
            <w:r w:rsidR="00804C04">
              <w:t xml:space="preserve"> </w:t>
            </w:r>
            <w:r w:rsidR="002312FF">
              <w:t xml:space="preserve">Indigenous </w:t>
            </w:r>
            <w:r w:rsidRPr="0073220E">
              <w:t>status 201</w:t>
            </w:r>
            <w:r w:rsidR="00787A27">
              <w:t>2</w:t>
            </w:r>
            <w:r w:rsidRPr="0073220E">
              <w:rPr>
                <w:rStyle w:val="NoteLabel"/>
                <w:b/>
              </w:rPr>
              <w:t>a, b</w:t>
            </w:r>
          </w:p>
        </w:tc>
      </w:tr>
      <w:tr w:rsidR="00715ADD" w:rsidTr="005F14B9">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715ADD" w:rsidTr="00715ADD">
              <w:tc>
                <w:tcPr>
                  <w:tcW w:w="5000" w:type="pct"/>
                  <w:tcBorders>
                    <w:top w:val="nil"/>
                    <w:bottom w:val="nil"/>
                  </w:tcBorders>
                </w:tcPr>
                <w:p w:rsidR="00715ADD" w:rsidRDefault="009F6491" w:rsidP="005F14B9">
                  <w:pPr>
                    <w:pStyle w:val="Figure"/>
                    <w:spacing w:before="60" w:after="60"/>
                  </w:pPr>
                  <w:r>
                    <w:rPr>
                      <w:noProof/>
                    </w:rPr>
                    <w:drawing>
                      <wp:inline distT="0" distB="0" distL="0" distR="0">
                        <wp:extent cx="5391150" cy="2714625"/>
                        <wp:effectExtent l="0" t="0" r="0" b="9525"/>
                        <wp:docPr id="39" name="Picture 39" descr="Figure 5.32 Qualifications completed by students with improved education/training status after training, as a percentage of course enrolments, by Indigenous status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391150" cy="2714625"/>
                                </a:xfrm>
                                <a:prstGeom prst="rect">
                                  <a:avLst/>
                                </a:prstGeom>
                                <a:noFill/>
                                <a:ln>
                                  <a:noFill/>
                                </a:ln>
                              </pic:spPr>
                            </pic:pic>
                          </a:graphicData>
                        </a:graphic>
                      </wp:inline>
                    </w:drawing>
                  </w:r>
                </w:p>
              </w:tc>
            </w:tr>
          </w:tbl>
          <w:p w:rsidR="00715ADD" w:rsidRDefault="00715ADD" w:rsidP="005F14B9">
            <w:pPr>
              <w:pStyle w:val="Figure"/>
            </w:pPr>
          </w:p>
        </w:tc>
      </w:tr>
      <w:tr w:rsidR="00715ADD" w:rsidRPr="00176D3F" w:rsidTr="005F14B9">
        <w:tc>
          <w:tcPr>
            <w:tcW w:w="8771" w:type="dxa"/>
            <w:tcBorders>
              <w:top w:val="nil"/>
              <w:left w:val="nil"/>
              <w:bottom w:val="nil"/>
              <w:right w:val="nil"/>
            </w:tcBorders>
            <w:shd w:val="clear" w:color="auto" w:fill="auto"/>
          </w:tcPr>
          <w:p w:rsidR="00715ADD" w:rsidRPr="00176D3F" w:rsidRDefault="00715ADD" w:rsidP="005F14B9">
            <w:pPr>
              <w:pStyle w:val="Note"/>
            </w:pPr>
            <w:r w:rsidRPr="008C1DD2">
              <w:rPr>
                <w:rStyle w:val="NoteLabel"/>
              </w:rPr>
              <w:t>a</w:t>
            </w:r>
            <w:r w:rsidRPr="008C1DD2">
              <w:t xml:space="preserve"> Qualifications completed includes courses accredited or approved by a local State/Territory authority, and represents students eligible to be awarded a qualification. </w:t>
            </w:r>
            <w:r w:rsidRPr="008C1DD2">
              <w:rPr>
                <w:rStyle w:val="NoteLabel"/>
              </w:rPr>
              <w:t>b</w:t>
            </w:r>
            <w:r w:rsidRPr="008C1DD2">
              <w:t xml:space="preserve"> The number of qualifications completed includes both government funded and non-government funded VET students.</w:t>
            </w:r>
          </w:p>
        </w:tc>
      </w:tr>
      <w:tr w:rsidR="00715ADD" w:rsidRPr="00176D3F" w:rsidTr="005F14B9">
        <w:tc>
          <w:tcPr>
            <w:tcW w:w="8771" w:type="dxa"/>
            <w:tcBorders>
              <w:top w:val="nil"/>
              <w:left w:val="nil"/>
              <w:bottom w:val="nil"/>
              <w:right w:val="nil"/>
            </w:tcBorders>
            <w:shd w:val="clear" w:color="auto" w:fill="auto"/>
          </w:tcPr>
          <w:p w:rsidR="00715ADD" w:rsidRPr="00176D3F" w:rsidRDefault="00715ADD" w:rsidP="00915131">
            <w:pPr>
              <w:pStyle w:val="Source"/>
            </w:pPr>
            <w:r w:rsidRPr="008C1DD2">
              <w:rPr>
                <w:i/>
              </w:rPr>
              <w:t>Source</w:t>
            </w:r>
            <w:r w:rsidRPr="008C1DD2">
              <w:t xml:space="preserve">: NCVER (unpublished) National VET provider collection; table </w:t>
            </w:r>
            <w:proofErr w:type="spellStart"/>
            <w:r w:rsidRPr="008C1DD2">
              <w:t>5A.5</w:t>
            </w:r>
            <w:r w:rsidR="00915131">
              <w:t>4</w:t>
            </w:r>
            <w:proofErr w:type="spellEnd"/>
            <w:r w:rsidRPr="008C1DD2">
              <w:t>.</w:t>
            </w:r>
          </w:p>
        </w:tc>
      </w:tr>
      <w:tr w:rsidR="00715ADD" w:rsidTr="005F14B9">
        <w:tc>
          <w:tcPr>
            <w:tcW w:w="8771" w:type="dxa"/>
            <w:tcBorders>
              <w:top w:val="nil"/>
              <w:left w:val="nil"/>
              <w:bottom w:val="single" w:sz="6" w:space="0" w:color="78A22F"/>
              <w:right w:val="nil"/>
            </w:tcBorders>
            <w:shd w:val="clear" w:color="auto" w:fill="auto"/>
          </w:tcPr>
          <w:p w:rsidR="00715ADD" w:rsidRDefault="00715ADD" w:rsidP="005F14B9">
            <w:pPr>
              <w:pStyle w:val="Figurespace"/>
            </w:pPr>
          </w:p>
        </w:tc>
      </w:tr>
      <w:tr w:rsidR="00715ADD" w:rsidRPr="000863A5" w:rsidTr="005F14B9">
        <w:tc>
          <w:tcPr>
            <w:tcW w:w="8771" w:type="dxa"/>
            <w:tcBorders>
              <w:top w:val="single" w:sz="6" w:space="0" w:color="78A22F"/>
              <w:left w:val="nil"/>
              <w:bottom w:val="nil"/>
              <w:right w:val="nil"/>
            </w:tcBorders>
          </w:tcPr>
          <w:p w:rsidR="00715ADD" w:rsidRPr="00626D32" w:rsidRDefault="00715ADD" w:rsidP="005F14B9">
            <w:pPr>
              <w:pStyle w:val="BoxSpaceBelow"/>
            </w:pPr>
          </w:p>
        </w:tc>
      </w:tr>
    </w:tbl>
    <w:p w:rsidR="007544EF" w:rsidRPr="00A15A09" w:rsidRDefault="007544EF" w:rsidP="00067E5B">
      <w:pPr>
        <w:pStyle w:val="BodyText"/>
      </w:pPr>
      <w:r w:rsidRPr="00A15A09">
        <w:t>Qualification completions in 201</w:t>
      </w:r>
      <w:r w:rsidR="00787A27">
        <w:t>2</w:t>
      </w:r>
      <w:r w:rsidRPr="00A15A09">
        <w:t xml:space="preserve"> by students from remote and very remote areas with improved education/training status after training, as a </w:t>
      </w:r>
      <w:r w:rsidR="004F4659" w:rsidRPr="00A15A09">
        <w:t xml:space="preserve">percentage </w:t>
      </w:r>
      <w:r w:rsidRPr="00A15A09">
        <w:t>of course enrolments by those students in 201</w:t>
      </w:r>
      <w:r w:rsidR="00A04235">
        <w:t>2</w:t>
      </w:r>
      <w:r w:rsidRPr="00A15A09">
        <w:t xml:space="preserve">, was </w:t>
      </w:r>
      <w:r w:rsidR="00023CAF">
        <w:t xml:space="preserve">12.4 </w:t>
      </w:r>
      <w:r w:rsidRPr="00A15A09">
        <w:t>per cent</w:t>
      </w:r>
      <w:r w:rsidR="00C73089" w:rsidRPr="00A15A09">
        <w:t xml:space="preserve">. This represents an </w:t>
      </w:r>
      <w:r w:rsidRPr="00A15A09">
        <w:t xml:space="preserve">increase of </w:t>
      </w:r>
      <w:r w:rsidR="00023CAF">
        <w:t xml:space="preserve">1.8 </w:t>
      </w:r>
      <w:r w:rsidRPr="00A15A09">
        <w:t xml:space="preserve">percentage points from </w:t>
      </w:r>
      <w:r w:rsidR="00023CAF">
        <w:t xml:space="preserve">10.6 </w:t>
      </w:r>
      <w:r w:rsidRPr="00A15A09">
        <w:t xml:space="preserve">per cent in </w:t>
      </w:r>
      <w:r w:rsidR="00023CAF">
        <w:t xml:space="preserve">2008 </w:t>
      </w:r>
      <w:r w:rsidR="00C73089" w:rsidRPr="00A15A09">
        <w:sym w:font="Symbol" w:char="F0BE"/>
      </w:r>
      <w:r w:rsidR="00C73089" w:rsidRPr="00A15A09">
        <w:t xml:space="preserve"> </w:t>
      </w:r>
      <w:r w:rsidR="00A15A09" w:rsidRPr="00A15A09">
        <w:t>lower than</w:t>
      </w:r>
      <w:r w:rsidRPr="00A15A09">
        <w:t xml:space="preserve"> the </w:t>
      </w:r>
      <w:r w:rsidR="00347B09">
        <w:t>4.4</w:t>
      </w:r>
      <w:r w:rsidR="0096194E">
        <w:t xml:space="preserve"> </w:t>
      </w:r>
      <w:r w:rsidRPr="00A15A09">
        <w:t xml:space="preserve">percentage points </w:t>
      </w:r>
      <w:r w:rsidR="00C73089" w:rsidRPr="00A15A09">
        <w:t xml:space="preserve">increase </w:t>
      </w:r>
      <w:r w:rsidRPr="00A15A09">
        <w:t xml:space="preserve">for all students (table </w:t>
      </w:r>
      <w:proofErr w:type="spellStart"/>
      <w:r w:rsidRPr="00A15A09">
        <w:t>5A.5</w:t>
      </w:r>
      <w:r w:rsidR="00915131">
        <w:t>6</w:t>
      </w:r>
      <w:proofErr w:type="spellEnd"/>
      <w:r w:rsidRPr="00A15A09">
        <w:t>).</w:t>
      </w:r>
    </w:p>
    <w:p w:rsidR="005C2351" w:rsidRDefault="00A95881" w:rsidP="00067E5B">
      <w:pPr>
        <w:pStyle w:val="BodyText"/>
      </w:pPr>
      <w:r w:rsidRPr="00EA02CF">
        <w:t xml:space="preserve">Tables </w:t>
      </w:r>
      <w:proofErr w:type="spellStart"/>
      <w:r w:rsidRPr="00EA02CF">
        <w:t>5A.</w:t>
      </w:r>
      <w:r w:rsidR="00457990" w:rsidRPr="00EA02CF">
        <w:t>5</w:t>
      </w:r>
      <w:r w:rsidR="00915131">
        <w:t>5</w:t>
      </w:r>
      <w:proofErr w:type="spellEnd"/>
      <w:r w:rsidR="00E67B19" w:rsidRPr="00EA02CF">
        <w:t xml:space="preserve"> and </w:t>
      </w:r>
      <w:proofErr w:type="spellStart"/>
      <w:r w:rsidR="00E67B19" w:rsidRPr="00EA02CF">
        <w:t>5A.</w:t>
      </w:r>
      <w:r w:rsidR="00457990" w:rsidRPr="00EA02CF">
        <w:t>5</w:t>
      </w:r>
      <w:r w:rsidR="00915131">
        <w:t>7</w:t>
      </w:r>
      <w:proofErr w:type="spellEnd"/>
      <w:r w:rsidRPr="00EA02CF">
        <w:t xml:space="preserve"> provide additional information </w:t>
      </w:r>
      <w:r w:rsidR="005233A9">
        <w:t>on completions</w:t>
      </w:r>
      <w:r w:rsidRPr="00EA02CF">
        <w:t xml:space="preserve"> for students aged 20</w:t>
      </w:r>
      <w:r w:rsidR="00657E4A">
        <w:t>–</w:t>
      </w:r>
      <w:r w:rsidRPr="00EA02CF">
        <w:t>64 years.</w:t>
      </w:r>
    </w:p>
    <w:p w:rsidR="00B32342" w:rsidRDefault="00B32342" w:rsidP="00A15A09">
      <w:pPr>
        <w:pStyle w:val="BodyText"/>
      </w:pPr>
      <w:r w:rsidRPr="007E62CD">
        <w:t>Nationally in 201</w:t>
      </w:r>
      <w:r w:rsidR="00A04235">
        <w:t>2</w:t>
      </w:r>
      <w:r w:rsidRPr="007E62CD">
        <w:t>, the proportion of VET qualifications completed by all students at a higher education level than their previous highest education level (</w:t>
      </w:r>
      <w:proofErr w:type="spellStart"/>
      <w:r w:rsidRPr="007E62CD">
        <w:t>AQF</w:t>
      </w:r>
      <w:proofErr w:type="spellEnd"/>
      <w:r w:rsidRPr="007E62CD">
        <w:t xml:space="preserve"> Certificate III or above only) was </w:t>
      </w:r>
      <w:r w:rsidR="00347B09">
        <w:t xml:space="preserve">20.9 </w:t>
      </w:r>
      <w:r w:rsidRPr="007E62CD">
        <w:t xml:space="preserve">per cent (table </w:t>
      </w:r>
      <w:proofErr w:type="spellStart"/>
      <w:r w:rsidRPr="007E62CD">
        <w:t>5A.</w:t>
      </w:r>
      <w:r w:rsidR="000100D1" w:rsidRPr="007E62CD">
        <w:t>5</w:t>
      </w:r>
      <w:r w:rsidR="00915131">
        <w:t>8</w:t>
      </w:r>
      <w:proofErr w:type="spellEnd"/>
      <w:r w:rsidRPr="007E62CD">
        <w:t xml:space="preserve">). Table </w:t>
      </w:r>
      <w:proofErr w:type="spellStart"/>
      <w:r w:rsidRPr="007E62CD">
        <w:t>5A.</w:t>
      </w:r>
      <w:r w:rsidR="000100D1" w:rsidRPr="007E62CD">
        <w:t>5</w:t>
      </w:r>
      <w:r w:rsidR="00915131">
        <w:t>9</w:t>
      </w:r>
      <w:proofErr w:type="spellEnd"/>
      <w:r w:rsidRPr="007E62CD">
        <w:t xml:space="preserve"> provides additional information for this measure for students aged 20</w:t>
      </w:r>
      <w:r w:rsidR="005233A9">
        <w:t>–</w:t>
      </w:r>
      <w:r w:rsidRPr="007E62CD">
        <w:t>64 years.</w:t>
      </w:r>
    </w:p>
    <w:p w:rsidR="0037378A" w:rsidRPr="00444A60" w:rsidRDefault="0037378A" w:rsidP="00DA3292">
      <w:pPr>
        <w:pStyle w:val="Heading6"/>
      </w:pPr>
      <w:r w:rsidRPr="00444A60">
        <w:t xml:space="preserve">Student achievement in VET — </w:t>
      </w:r>
      <w:r w:rsidR="00312291">
        <w:t xml:space="preserve">Estimated </w:t>
      </w:r>
      <w:r w:rsidR="00083161">
        <w:t xml:space="preserve">qualification </w:t>
      </w:r>
      <w:r w:rsidR="0090067F">
        <w:t xml:space="preserve">completion rate and subject </w:t>
      </w:r>
      <w:r w:rsidR="00312291">
        <w:t>pass rate</w:t>
      </w:r>
    </w:p>
    <w:p w:rsidR="00083161" w:rsidRPr="00444A60" w:rsidRDefault="00083161" w:rsidP="00A26D57">
      <w:pPr>
        <w:pStyle w:val="BodyText"/>
      </w:pPr>
      <w:r>
        <w:t xml:space="preserve">The estimated </w:t>
      </w:r>
      <w:r w:rsidRPr="00083161">
        <w:t xml:space="preserve">qualification completion </w:t>
      </w:r>
      <w:r>
        <w:t xml:space="preserve">rate </w:t>
      </w:r>
      <w:r w:rsidRPr="00312291">
        <w:t xml:space="preserve">is an estimate </w:t>
      </w:r>
      <w:r w:rsidR="00290FE2" w:rsidRPr="00290FE2">
        <w:t xml:space="preserve">of the percentage of all </w:t>
      </w:r>
      <w:r w:rsidR="00290FE2" w:rsidRPr="00A26D57">
        <w:t>VET qualifications (both government and non-government funded)</w:t>
      </w:r>
      <w:r w:rsidR="00290FE2" w:rsidRPr="00290FE2">
        <w:t xml:space="preserve"> at Certificate I and above</w:t>
      </w:r>
      <w:r w:rsidR="00290FE2">
        <w:t xml:space="preserve"> </w:t>
      </w:r>
      <w:r w:rsidRPr="00312291">
        <w:t>commenced in a particular year of interest that will eventually be completed</w:t>
      </w:r>
      <w:r>
        <w:t>. The methodology is described in box 5.14.</w:t>
      </w:r>
    </w:p>
    <w:p w:rsidR="00312291" w:rsidRDefault="0031229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12291" w:rsidTr="00312291">
        <w:tc>
          <w:tcPr>
            <w:tcW w:w="8771" w:type="dxa"/>
            <w:tcBorders>
              <w:top w:val="single" w:sz="6" w:space="0" w:color="78A22F"/>
              <w:left w:val="nil"/>
              <w:bottom w:val="nil"/>
              <w:right w:val="nil"/>
            </w:tcBorders>
            <w:shd w:val="clear" w:color="auto" w:fill="F2F2F2"/>
          </w:tcPr>
          <w:p w:rsidR="00312291" w:rsidRDefault="00312291">
            <w:pPr>
              <w:pStyle w:val="BoxTitle"/>
            </w:pPr>
            <w:r>
              <w:rPr>
                <w:b w:val="0"/>
              </w:rPr>
              <w:t>Box 5.</w:t>
            </w:r>
            <w:r w:rsidR="00D80B1E">
              <w:rPr>
                <w:b w:val="0"/>
                <w:noProof/>
              </w:rPr>
              <w:t>14</w:t>
            </w:r>
            <w:r>
              <w:tab/>
            </w:r>
            <w:r w:rsidRPr="00312291">
              <w:rPr>
                <w:bCs/>
              </w:rPr>
              <w:t>Estimated qualification completion rate</w:t>
            </w:r>
          </w:p>
        </w:tc>
      </w:tr>
      <w:tr w:rsidR="00312291" w:rsidTr="00312291">
        <w:trPr>
          <w:cantSplit/>
        </w:trPr>
        <w:tc>
          <w:tcPr>
            <w:tcW w:w="8771" w:type="dxa"/>
            <w:tcBorders>
              <w:top w:val="nil"/>
              <w:left w:val="nil"/>
              <w:bottom w:val="nil"/>
              <w:right w:val="nil"/>
            </w:tcBorders>
            <w:shd w:val="clear" w:color="auto" w:fill="F2F2F2"/>
          </w:tcPr>
          <w:p w:rsidR="00312291" w:rsidRPr="00312291" w:rsidRDefault="00312291" w:rsidP="00312291">
            <w:pPr>
              <w:pStyle w:val="Box"/>
            </w:pPr>
            <w:r w:rsidRPr="00312291">
              <w:t>The methodology used to derive th</w:t>
            </w:r>
            <w:r w:rsidR="00657E4A">
              <w:t>e</w:t>
            </w:r>
            <w:r w:rsidRPr="00312291">
              <w:t xml:space="preserve"> estimate</w:t>
            </w:r>
            <w:r w:rsidR="00083161">
              <w:t>d</w:t>
            </w:r>
            <w:r w:rsidRPr="00312291">
              <w:t xml:space="preserve"> </w:t>
            </w:r>
            <w:r w:rsidR="00083161" w:rsidRPr="00083161">
              <w:rPr>
                <w:bCs/>
              </w:rPr>
              <w:t>qualification completion rate</w:t>
            </w:r>
            <w:r w:rsidR="00083161" w:rsidRPr="00083161">
              <w:t xml:space="preserve"> </w:t>
            </w:r>
            <w:r w:rsidRPr="00312291">
              <w:t>involves creating a longitudinal dataset of VET qualification enrolments over a three-year period (from one year before the commencing year under consideration to one year after). Students and the qualifications they enrolled in are matched to compl</w:t>
            </w:r>
            <w:r w:rsidR="00657E4A">
              <w:t>etions via a unique identifier</w:t>
            </w:r>
            <w:r w:rsidRPr="00312291">
              <w:t xml:space="preserve"> and the qualification record identifier. For each unique VET qualification enrolment in the longitudinal dataset, variables are set up to indicate the year in which the qualification was commenced, the years in which it had a continuing enrolment, and the year in which it was completed (if it was completed). These indicator variables are then used to determine the probabilities of a qualification enrolment moving from a commencing or continuing status in one year to a completed or dropped-out status in the next. Using these probabilities, the techniques of absorbing Markov chain theory are applied to calculate the completion rate of commencing qualification enrolments in each year.</w:t>
            </w:r>
          </w:p>
          <w:p w:rsidR="00312291" w:rsidRDefault="00312291" w:rsidP="00657E4A">
            <w:pPr>
              <w:pStyle w:val="Box"/>
            </w:pPr>
            <w:r w:rsidRPr="00312291">
              <w:t xml:space="preserve">Estimated qualification completion rates </w:t>
            </w:r>
            <w:r w:rsidR="00657E4A">
              <w:t>should</w:t>
            </w:r>
            <w:r w:rsidRPr="00312291">
              <w:t xml:space="preserve"> be interpreted with caution due to data collection and methodological issues in tracking students and the qualifications they enrol in across different years of the National VET Provider Collection. </w:t>
            </w:r>
            <w:r w:rsidR="00657E4A">
              <w:t>In addition,</w:t>
            </w:r>
            <w:r w:rsidRPr="00312291">
              <w:t xml:space="preserve"> not all students intend to complete an entire qualification but </w:t>
            </w:r>
            <w:r w:rsidR="00657E4A">
              <w:t>may</w:t>
            </w:r>
            <w:r w:rsidRPr="00312291">
              <w:t xml:space="preserve"> only wish to complete specific modules or units of competency. The reporting of these students varies across states and territories. In some jurisdictions, students wishing to only complete a specific component of a qualification are required to enrol in that qualification for data collection purposes, whereas in other jurisdictions they are not.</w:t>
            </w:r>
            <w:r>
              <w:t xml:space="preserve"> </w:t>
            </w:r>
          </w:p>
        </w:tc>
      </w:tr>
      <w:tr w:rsidR="00312291" w:rsidTr="00312291">
        <w:trPr>
          <w:cantSplit/>
        </w:trPr>
        <w:tc>
          <w:tcPr>
            <w:tcW w:w="8771" w:type="dxa"/>
            <w:tcBorders>
              <w:top w:val="nil"/>
              <w:left w:val="nil"/>
              <w:bottom w:val="single" w:sz="6" w:space="0" w:color="78A22F"/>
              <w:right w:val="nil"/>
            </w:tcBorders>
            <w:shd w:val="clear" w:color="auto" w:fill="F2F2F2"/>
          </w:tcPr>
          <w:p w:rsidR="00312291" w:rsidRDefault="00312291">
            <w:pPr>
              <w:pStyle w:val="Box"/>
              <w:spacing w:before="0" w:line="120" w:lineRule="exact"/>
            </w:pPr>
          </w:p>
        </w:tc>
      </w:tr>
      <w:tr w:rsidR="00312291" w:rsidRPr="000863A5" w:rsidTr="00312291">
        <w:tc>
          <w:tcPr>
            <w:tcW w:w="8771" w:type="dxa"/>
            <w:tcBorders>
              <w:top w:val="single" w:sz="6" w:space="0" w:color="78A22F"/>
              <w:left w:val="nil"/>
              <w:bottom w:val="nil"/>
              <w:right w:val="nil"/>
            </w:tcBorders>
          </w:tcPr>
          <w:p w:rsidR="00312291" w:rsidRPr="00626D32" w:rsidRDefault="00312291" w:rsidP="00312291">
            <w:pPr>
              <w:pStyle w:val="BoxSpaceBelow"/>
            </w:pPr>
          </w:p>
        </w:tc>
      </w:tr>
    </w:tbl>
    <w:p w:rsidR="0037378A" w:rsidRDefault="0037378A" w:rsidP="00083161">
      <w:pPr>
        <w:pStyle w:val="BodyText"/>
        <w:shd w:val="clear" w:color="auto" w:fill="FFFFFF" w:themeFill="background1"/>
      </w:pPr>
      <w:r>
        <w:t>For students who commenced in 2012,</w:t>
      </w:r>
      <w:r w:rsidRPr="00EF5A5F">
        <w:t xml:space="preserve"> </w:t>
      </w:r>
      <w:r>
        <w:t xml:space="preserve">the estimated qualification completion rate was 35.8 per cent nationally, compared to </w:t>
      </w:r>
      <w:r w:rsidR="00312291">
        <w:t>28.9</w:t>
      </w:r>
      <w:r>
        <w:t xml:space="preserve"> per cent for students who commenced their qualification in 200</w:t>
      </w:r>
      <w:r w:rsidR="002258A5">
        <w:t>8</w:t>
      </w:r>
      <w:r w:rsidR="00312291">
        <w:t>. These rates varied across states and territories</w:t>
      </w:r>
      <w:r>
        <w:t xml:space="preserve"> (figure 5.33). </w:t>
      </w:r>
    </w:p>
    <w:p w:rsidR="0037378A" w:rsidRDefault="0037378A" w:rsidP="0008316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7378A" w:rsidTr="00083161">
        <w:tc>
          <w:tcPr>
            <w:tcW w:w="8771" w:type="dxa"/>
            <w:tcBorders>
              <w:top w:val="single" w:sz="6" w:space="0" w:color="78A22F"/>
              <w:left w:val="nil"/>
              <w:bottom w:val="nil"/>
              <w:right w:val="nil"/>
            </w:tcBorders>
            <w:shd w:val="clear" w:color="auto" w:fill="FFFFFF" w:themeFill="background1"/>
          </w:tcPr>
          <w:p w:rsidR="0037378A" w:rsidRPr="00176D3F" w:rsidRDefault="0037378A" w:rsidP="00083161">
            <w:pPr>
              <w:pStyle w:val="FigureTitle"/>
            </w:pPr>
            <w:r w:rsidRPr="00083161">
              <w:rPr>
                <w:b w:val="0"/>
              </w:rPr>
              <w:t>Figure 5.</w:t>
            </w:r>
            <w:r w:rsidR="00D80B1E">
              <w:rPr>
                <w:b w:val="0"/>
                <w:noProof/>
              </w:rPr>
              <w:t>33</w:t>
            </w:r>
            <w:r w:rsidRPr="00083161">
              <w:tab/>
              <w:t>Estimated completion rates for qualifications at certificate I and above, commencing 20</w:t>
            </w:r>
            <w:r w:rsidR="002258A5" w:rsidRPr="00083161">
              <w:t>08</w:t>
            </w:r>
            <w:r w:rsidRPr="00083161">
              <w:t>–12</w:t>
            </w:r>
            <w:r w:rsidR="0004313A">
              <w:rPr>
                <w:rStyle w:val="NoteLabel"/>
                <w:b/>
              </w:rPr>
              <w:t>a, b</w:t>
            </w:r>
          </w:p>
        </w:tc>
      </w:tr>
      <w:tr w:rsidR="0037378A" w:rsidTr="00A26D57">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37378A" w:rsidTr="00312291">
              <w:tc>
                <w:tcPr>
                  <w:tcW w:w="5000" w:type="pct"/>
                  <w:tcBorders>
                    <w:top w:val="nil"/>
                    <w:bottom w:val="nil"/>
                  </w:tcBorders>
                </w:tcPr>
                <w:p w:rsidR="0037378A" w:rsidRDefault="009F6491" w:rsidP="00083161">
                  <w:pPr>
                    <w:pStyle w:val="Figure"/>
                    <w:spacing w:before="60" w:after="60"/>
                  </w:pPr>
                  <w:r>
                    <w:rPr>
                      <w:noProof/>
                    </w:rPr>
                    <w:drawing>
                      <wp:inline distT="0" distB="0" distL="0" distR="0">
                        <wp:extent cx="5391150" cy="2876550"/>
                        <wp:effectExtent l="0" t="0" r="0" b="0"/>
                        <wp:docPr id="40" name="Picture 40" descr="Figure 5.33 Estimated completion rates for qualifications at certificate I and above, commencing 2008–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391150" cy="2876550"/>
                                </a:xfrm>
                                <a:prstGeom prst="rect">
                                  <a:avLst/>
                                </a:prstGeom>
                                <a:noFill/>
                                <a:ln>
                                  <a:noFill/>
                                </a:ln>
                              </pic:spPr>
                            </pic:pic>
                          </a:graphicData>
                        </a:graphic>
                      </wp:inline>
                    </w:drawing>
                  </w:r>
                </w:p>
              </w:tc>
            </w:tr>
          </w:tbl>
          <w:p w:rsidR="0037378A" w:rsidRDefault="0037378A" w:rsidP="00083161">
            <w:pPr>
              <w:pStyle w:val="Figure"/>
            </w:pPr>
          </w:p>
        </w:tc>
      </w:tr>
      <w:tr w:rsidR="0037378A" w:rsidRPr="00176D3F" w:rsidTr="00A26D57">
        <w:tc>
          <w:tcPr>
            <w:tcW w:w="8771" w:type="dxa"/>
            <w:tcBorders>
              <w:top w:val="nil"/>
              <w:left w:val="nil"/>
              <w:bottom w:val="nil"/>
              <w:right w:val="nil"/>
            </w:tcBorders>
            <w:shd w:val="clear" w:color="auto" w:fill="auto"/>
          </w:tcPr>
          <w:p w:rsidR="0037378A" w:rsidRPr="00176D3F" w:rsidRDefault="0037378A" w:rsidP="0004313A">
            <w:pPr>
              <w:pStyle w:val="Note"/>
            </w:pPr>
            <w:proofErr w:type="spellStart"/>
            <w:r>
              <w:rPr>
                <w:rStyle w:val="NoteLabel"/>
              </w:rPr>
              <w:t>a</w:t>
            </w:r>
            <w:proofErr w:type="spellEnd"/>
            <w:r>
              <w:t xml:space="preserve"> The estimated qualification completion rates for all years are computed using data from the National VET Provider Collection. The estimated rates may change slightly from the rates published in the previous year due to the reporting of additional qualification/course completions for previous years in the current collection. </w:t>
            </w:r>
            <w:r>
              <w:rPr>
                <w:rStyle w:val="NoteLabel"/>
              </w:rPr>
              <w:t>b </w:t>
            </w:r>
            <w:r w:rsidR="00595DB1" w:rsidRPr="00595DB1">
              <w:t>T</w:t>
            </w:r>
            <w:r>
              <w:t xml:space="preserve">he relatively large decrease in completion rates for the </w:t>
            </w:r>
            <w:r w:rsidR="009F14D3">
              <w:t>ACT</w:t>
            </w:r>
            <w:r>
              <w:t xml:space="preserve"> in 2012 is due to changes in the name encryption of some students across collection years, leading to a mismatch betwe</w:t>
            </w:r>
            <w:r w:rsidR="0004313A">
              <w:t>en completions and enrolments.</w:t>
            </w:r>
          </w:p>
        </w:tc>
      </w:tr>
      <w:tr w:rsidR="0037378A" w:rsidRPr="00176D3F" w:rsidTr="00312291">
        <w:tc>
          <w:tcPr>
            <w:tcW w:w="8771" w:type="dxa"/>
            <w:tcBorders>
              <w:top w:val="nil"/>
              <w:left w:val="nil"/>
              <w:bottom w:val="nil"/>
              <w:right w:val="nil"/>
            </w:tcBorders>
            <w:shd w:val="clear" w:color="auto" w:fill="auto"/>
          </w:tcPr>
          <w:p w:rsidR="0037378A" w:rsidRPr="00176D3F" w:rsidRDefault="0037378A" w:rsidP="00083161">
            <w:pPr>
              <w:pStyle w:val="Source"/>
            </w:pPr>
            <w:r>
              <w:rPr>
                <w:i/>
              </w:rPr>
              <w:t>Source</w:t>
            </w:r>
            <w:r w:rsidRPr="00167F06">
              <w:t xml:space="preserve">: </w:t>
            </w:r>
            <w:r w:rsidRPr="00E956B8">
              <w:t xml:space="preserve">NCVER (2014), </w:t>
            </w:r>
            <w:r w:rsidRPr="00653D2F">
              <w:rPr>
                <w:i/>
              </w:rPr>
              <w:t xml:space="preserve">Australian Vocational Education and Training Statistics: The Likelihood of Completing a VET Qualification, </w:t>
            </w:r>
            <w:r>
              <w:t xml:space="preserve">Adelaide; table </w:t>
            </w:r>
            <w:proofErr w:type="spellStart"/>
            <w:r>
              <w:t>5A.60</w:t>
            </w:r>
            <w:proofErr w:type="spellEnd"/>
            <w:r w:rsidR="002F0DE3">
              <w:t>.</w:t>
            </w:r>
          </w:p>
        </w:tc>
      </w:tr>
      <w:tr w:rsidR="0037378A" w:rsidTr="00312291">
        <w:tc>
          <w:tcPr>
            <w:tcW w:w="8771" w:type="dxa"/>
            <w:tcBorders>
              <w:top w:val="nil"/>
              <w:left w:val="nil"/>
              <w:bottom w:val="single" w:sz="6" w:space="0" w:color="78A22F"/>
              <w:right w:val="nil"/>
            </w:tcBorders>
            <w:shd w:val="clear" w:color="auto" w:fill="auto"/>
          </w:tcPr>
          <w:p w:rsidR="0037378A" w:rsidRDefault="0037378A" w:rsidP="00083161">
            <w:pPr>
              <w:pStyle w:val="Figurespace"/>
            </w:pPr>
          </w:p>
        </w:tc>
      </w:tr>
      <w:tr w:rsidR="0037378A" w:rsidRPr="000863A5" w:rsidTr="00312291">
        <w:tc>
          <w:tcPr>
            <w:tcW w:w="8771" w:type="dxa"/>
            <w:tcBorders>
              <w:top w:val="single" w:sz="6" w:space="0" w:color="78A22F"/>
              <w:left w:val="nil"/>
              <w:bottom w:val="nil"/>
              <w:right w:val="nil"/>
            </w:tcBorders>
          </w:tcPr>
          <w:p w:rsidR="0037378A" w:rsidRPr="00626D32" w:rsidRDefault="0037378A" w:rsidP="00083161">
            <w:pPr>
              <w:pStyle w:val="BoxSpaceBelow"/>
            </w:pPr>
          </w:p>
        </w:tc>
      </w:tr>
    </w:tbl>
    <w:p w:rsidR="0037378A" w:rsidRDefault="0037378A" w:rsidP="00A26D57">
      <w:pPr>
        <w:pStyle w:val="BodyText"/>
      </w:pPr>
      <w:r>
        <w:t>For students who commenced in 2012,</w:t>
      </w:r>
      <w:r w:rsidRPr="00EF5A5F">
        <w:t xml:space="preserve"> </w:t>
      </w:r>
      <w:r>
        <w:t>the subject load pass rate was 83.1 per cent nationally compared to 80.</w:t>
      </w:r>
      <w:r w:rsidR="002258A5">
        <w:t>4</w:t>
      </w:r>
      <w:r>
        <w:t xml:space="preserve"> per cent for students who commenced their qualification in 200</w:t>
      </w:r>
      <w:r w:rsidR="002258A5">
        <w:t>8</w:t>
      </w:r>
      <w:r>
        <w:t xml:space="preserve"> (figure 5.34).</w:t>
      </w:r>
    </w:p>
    <w:p w:rsidR="0037378A" w:rsidRDefault="0037378A" w:rsidP="0008316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7378A" w:rsidRPr="002258A5" w:rsidTr="00A26D57">
        <w:tc>
          <w:tcPr>
            <w:tcW w:w="8771" w:type="dxa"/>
            <w:tcBorders>
              <w:top w:val="single" w:sz="6" w:space="0" w:color="78A22F"/>
              <w:left w:val="nil"/>
              <w:bottom w:val="nil"/>
              <w:right w:val="nil"/>
            </w:tcBorders>
            <w:shd w:val="clear" w:color="auto" w:fill="auto"/>
          </w:tcPr>
          <w:p w:rsidR="0037378A" w:rsidRPr="002258A5" w:rsidRDefault="0037378A" w:rsidP="00290FE2">
            <w:pPr>
              <w:pStyle w:val="FigureTitle"/>
            </w:pPr>
            <w:r w:rsidRPr="002258A5">
              <w:rPr>
                <w:b w:val="0"/>
              </w:rPr>
              <w:t>Figure 5.</w:t>
            </w:r>
            <w:r w:rsidR="00D80B1E">
              <w:rPr>
                <w:b w:val="0"/>
                <w:noProof/>
              </w:rPr>
              <w:t>34</w:t>
            </w:r>
            <w:r w:rsidRPr="002258A5">
              <w:tab/>
            </w:r>
            <w:r w:rsidR="00290FE2">
              <w:t>L</w:t>
            </w:r>
            <w:r w:rsidRPr="002258A5">
              <w:t>oad pass rates for qualifications at certificate I and above, commencing 2008–12</w:t>
            </w:r>
          </w:p>
        </w:tc>
      </w:tr>
      <w:tr w:rsidR="0037378A" w:rsidRPr="00083161" w:rsidTr="00A26D57">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37378A" w:rsidRPr="00083161" w:rsidTr="00312291">
              <w:tc>
                <w:tcPr>
                  <w:tcW w:w="5000" w:type="pct"/>
                  <w:tcBorders>
                    <w:top w:val="nil"/>
                    <w:bottom w:val="nil"/>
                  </w:tcBorders>
                </w:tcPr>
                <w:p w:rsidR="0037378A" w:rsidRPr="00083161" w:rsidRDefault="009F6491" w:rsidP="008912AD">
                  <w:pPr>
                    <w:pStyle w:val="Figure"/>
                    <w:shd w:val="clear" w:color="auto" w:fill="FFFFFF" w:themeFill="background1"/>
                    <w:spacing w:before="60" w:after="60"/>
                  </w:pPr>
                  <w:r>
                    <w:rPr>
                      <w:noProof/>
                    </w:rPr>
                    <w:drawing>
                      <wp:inline distT="0" distB="0" distL="0" distR="0">
                        <wp:extent cx="5391150" cy="2876550"/>
                        <wp:effectExtent l="0" t="0" r="0" b="0"/>
                        <wp:docPr id="41" name="Picture 41" descr="Figure 5.34 Load pass rates for qualifications at certificate I and above, commencing 2008–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391150" cy="2876550"/>
                                </a:xfrm>
                                <a:prstGeom prst="rect">
                                  <a:avLst/>
                                </a:prstGeom>
                                <a:noFill/>
                                <a:ln>
                                  <a:noFill/>
                                </a:ln>
                              </pic:spPr>
                            </pic:pic>
                          </a:graphicData>
                        </a:graphic>
                      </wp:inline>
                    </w:drawing>
                  </w:r>
                </w:p>
              </w:tc>
            </w:tr>
          </w:tbl>
          <w:p w:rsidR="0037378A" w:rsidRPr="00083161" w:rsidRDefault="0037378A" w:rsidP="008912AD">
            <w:pPr>
              <w:pStyle w:val="Figure"/>
              <w:shd w:val="clear" w:color="auto" w:fill="FFFFFF" w:themeFill="background1"/>
            </w:pPr>
          </w:p>
        </w:tc>
      </w:tr>
      <w:tr w:rsidR="0037378A" w:rsidRPr="00083161" w:rsidTr="00A26D57">
        <w:tc>
          <w:tcPr>
            <w:tcW w:w="8771" w:type="dxa"/>
            <w:tcBorders>
              <w:top w:val="nil"/>
              <w:left w:val="nil"/>
              <w:bottom w:val="nil"/>
              <w:right w:val="nil"/>
            </w:tcBorders>
            <w:shd w:val="clear" w:color="auto" w:fill="FFFFFF" w:themeFill="background1"/>
          </w:tcPr>
          <w:p w:rsidR="0037378A" w:rsidRPr="00083161" w:rsidRDefault="0037378A" w:rsidP="008912AD">
            <w:pPr>
              <w:pStyle w:val="Source"/>
              <w:shd w:val="clear" w:color="auto" w:fill="FFFFFF" w:themeFill="background1"/>
            </w:pPr>
            <w:r w:rsidRPr="00083161">
              <w:rPr>
                <w:i/>
              </w:rPr>
              <w:t>Source</w:t>
            </w:r>
            <w:r w:rsidRPr="00083161">
              <w:t xml:space="preserve">: NCVER (2014), </w:t>
            </w:r>
            <w:r w:rsidRPr="00083161">
              <w:rPr>
                <w:i/>
              </w:rPr>
              <w:t xml:space="preserve">Australian Vocational Education and Training Statistics: The Likelihood of Completing a VET Qualification, </w:t>
            </w:r>
            <w:r w:rsidRPr="00083161">
              <w:t xml:space="preserve">Adelaide; table </w:t>
            </w:r>
            <w:proofErr w:type="spellStart"/>
            <w:r w:rsidRPr="00083161">
              <w:t>5A.60</w:t>
            </w:r>
            <w:proofErr w:type="spellEnd"/>
            <w:r w:rsidR="002F0DE3">
              <w:t>.</w:t>
            </w:r>
          </w:p>
        </w:tc>
      </w:tr>
      <w:tr w:rsidR="0037378A" w:rsidRPr="00083161" w:rsidTr="00083161">
        <w:tc>
          <w:tcPr>
            <w:tcW w:w="8771" w:type="dxa"/>
            <w:tcBorders>
              <w:top w:val="nil"/>
              <w:left w:val="nil"/>
              <w:bottom w:val="single" w:sz="6" w:space="0" w:color="78A22F"/>
              <w:right w:val="nil"/>
            </w:tcBorders>
            <w:shd w:val="clear" w:color="auto" w:fill="auto"/>
          </w:tcPr>
          <w:p w:rsidR="0037378A" w:rsidRPr="00083161" w:rsidRDefault="0037378A" w:rsidP="008912AD">
            <w:pPr>
              <w:pStyle w:val="Figurespace"/>
              <w:shd w:val="clear" w:color="auto" w:fill="FFFFFF" w:themeFill="background1"/>
            </w:pPr>
          </w:p>
        </w:tc>
      </w:tr>
      <w:tr w:rsidR="0037378A" w:rsidRPr="00083161" w:rsidTr="00083161">
        <w:tc>
          <w:tcPr>
            <w:tcW w:w="8771" w:type="dxa"/>
            <w:tcBorders>
              <w:top w:val="single" w:sz="6" w:space="0" w:color="78A22F"/>
              <w:left w:val="nil"/>
              <w:bottom w:val="nil"/>
              <w:right w:val="nil"/>
            </w:tcBorders>
            <w:shd w:val="clear" w:color="auto" w:fill="auto"/>
          </w:tcPr>
          <w:p w:rsidR="0037378A" w:rsidRPr="00083161" w:rsidRDefault="0037378A" w:rsidP="008912AD">
            <w:pPr>
              <w:pStyle w:val="BoxSpaceBelow"/>
              <w:shd w:val="clear" w:color="auto" w:fill="FFFFFF" w:themeFill="background1"/>
            </w:pPr>
          </w:p>
        </w:tc>
      </w:tr>
    </w:tbl>
    <w:p w:rsidR="00C57336" w:rsidRPr="00EF5A5F" w:rsidRDefault="00C57336" w:rsidP="008912AD">
      <w:pPr>
        <w:pStyle w:val="Heading5"/>
        <w:shd w:val="clear" w:color="auto" w:fill="FFFFFF" w:themeFill="background1"/>
      </w:pPr>
      <w:r w:rsidRPr="00083161">
        <w:t>Student satisfaction with VET</w:t>
      </w:r>
    </w:p>
    <w:p w:rsidR="00C57336" w:rsidRDefault="002F5888" w:rsidP="008912AD">
      <w:pPr>
        <w:pStyle w:val="BodyText"/>
        <w:shd w:val="clear" w:color="auto" w:fill="FFFFFF" w:themeFill="background1"/>
      </w:pPr>
      <w:r w:rsidRPr="00EF5A5F">
        <w:t xml:space="preserve">‘Student satisfaction with VET’ is an indicator of </w:t>
      </w:r>
      <w:r w:rsidR="00206448" w:rsidRPr="00EF5A5F">
        <w:t xml:space="preserve">governments’ objective of enabling </w:t>
      </w:r>
      <w:r w:rsidRPr="00EF5A5F">
        <w:t>students’ satisfact</w:t>
      </w:r>
      <w:r w:rsidR="00206448" w:rsidRPr="00EF5A5F">
        <w:t>ion with their training program</w:t>
      </w:r>
      <w:r w:rsidRPr="00EF5A5F">
        <w:t xml:space="preserve"> </w:t>
      </w:r>
      <w:r w:rsidR="00B51DE7" w:rsidRPr="00EF5A5F">
        <w:t xml:space="preserve">(box </w:t>
      </w:r>
      <w:r w:rsidR="00442BBD">
        <w:t>5.1</w:t>
      </w:r>
      <w:r w:rsidR="002F0DE3">
        <w:t>5</w:t>
      </w:r>
      <w:r w:rsidR="00B51DE7" w:rsidRPr="00EF5A5F">
        <w:t xml:space="preserve">). </w:t>
      </w:r>
    </w:p>
    <w:p w:rsidR="00D75F1A" w:rsidRDefault="00D75F1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75F1A" w:rsidTr="005F14B9">
        <w:tc>
          <w:tcPr>
            <w:tcW w:w="8771" w:type="dxa"/>
            <w:tcBorders>
              <w:top w:val="single" w:sz="6" w:space="0" w:color="78A22F"/>
              <w:left w:val="nil"/>
              <w:bottom w:val="nil"/>
              <w:right w:val="nil"/>
            </w:tcBorders>
            <w:shd w:val="clear" w:color="auto" w:fill="F2F2F2" w:themeFill="background1" w:themeFillShade="F2"/>
          </w:tcPr>
          <w:p w:rsidR="00D75F1A" w:rsidRDefault="00D75F1A" w:rsidP="00D75F1A">
            <w:pPr>
              <w:pStyle w:val="BoxTitle"/>
            </w:pPr>
            <w:r>
              <w:rPr>
                <w:b w:val="0"/>
              </w:rPr>
              <w:t>Box 5.</w:t>
            </w:r>
            <w:r w:rsidR="00D80B1E">
              <w:rPr>
                <w:b w:val="0"/>
                <w:noProof/>
              </w:rPr>
              <w:t>15</w:t>
            </w:r>
            <w:r>
              <w:tab/>
            </w:r>
            <w:r w:rsidRPr="00EF5A5F">
              <w:t>Student satisfaction with VET</w:t>
            </w:r>
          </w:p>
        </w:tc>
      </w:tr>
      <w:tr w:rsidR="00D75F1A" w:rsidTr="005F14B9">
        <w:trPr>
          <w:cantSplit/>
        </w:trPr>
        <w:tc>
          <w:tcPr>
            <w:tcW w:w="8771" w:type="dxa"/>
            <w:tcBorders>
              <w:top w:val="nil"/>
              <w:left w:val="nil"/>
              <w:bottom w:val="nil"/>
              <w:right w:val="nil"/>
            </w:tcBorders>
            <w:shd w:val="clear" w:color="auto" w:fill="F2F2F2" w:themeFill="background1" w:themeFillShade="F2"/>
          </w:tcPr>
          <w:p w:rsidR="00D75F1A" w:rsidRPr="00EF5A5F" w:rsidRDefault="00D75F1A" w:rsidP="005F14B9">
            <w:pPr>
              <w:pStyle w:val="Box"/>
            </w:pPr>
            <w:r w:rsidRPr="00EF5A5F">
              <w:t xml:space="preserve">‘Student satisfaction with VET’ </w:t>
            </w:r>
            <w:r>
              <w:t>has</w:t>
            </w:r>
            <w:r w:rsidRPr="00EF5A5F">
              <w:t xml:space="preserve"> two measures:</w:t>
            </w:r>
          </w:p>
          <w:p w:rsidR="00D75F1A" w:rsidRPr="00EF5A5F" w:rsidRDefault="00D75F1A" w:rsidP="005F14B9">
            <w:pPr>
              <w:pStyle w:val="BoxListBullet"/>
            </w:pPr>
            <w:r w:rsidRPr="00EF5A5F">
              <w:t>‘proportion of students who achieve their main</w:t>
            </w:r>
            <w:r>
              <w:t xml:space="preserve"> reason for doing a VET course’, </w:t>
            </w:r>
            <w:r w:rsidRPr="00EF5A5F">
              <w:t xml:space="preserve">defined as the proportion of graduates who </w:t>
            </w:r>
            <w:r w:rsidRPr="00D75F1A">
              <w:t>indicate through the Student Outcomes Survey that they achieved or partly achieved their main reason</w:t>
            </w:r>
            <w:r w:rsidRPr="00EF5A5F">
              <w:t xml:space="preserve"> for doing the course</w:t>
            </w:r>
          </w:p>
          <w:p w:rsidR="00D75F1A" w:rsidRPr="00EF5A5F" w:rsidRDefault="00D75F1A" w:rsidP="005F14B9">
            <w:pPr>
              <w:pStyle w:val="BoxListBullet"/>
            </w:pPr>
            <w:r w:rsidRPr="00EF5A5F">
              <w:t>‘proportion of students who were satisfied with the quality of their completed VET course’</w:t>
            </w:r>
            <w:r>
              <w:t>,</w:t>
            </w:r>
            <w:r w:rsidRPr="00EF5A5F">
              <w:t xml:space="preserve"> defined as the proportion of graduates who </w:t>
            </w:r>
            <w:r w:rsidRPr="00D75F1A">
              <w:t xml:space="preserve">indicate through the Student Outcomes Survey that they were satisfied or very satisfied with their VET training program. </w:t>
            </w:r>
            <w:r w:rsidR="00A62584">
              <w:t xml:space="preserve">This measure is </w:t>
            </w:r>
            <w:r w:rsidRPr="00D75F1A">
              <w:t>also reported according to the students’ identified purpose of study (employment related, further study and/or developmental).</w:t>
            </w:r>
          </w:p>
          <w:p w:rsidR="00D75F1A" w:rsidRPr="00EF5A5F" w:rsidRDefault="00D75F1A" w:rsidP="005F14B9">
            <w:pPr>
              <w:pStyle w:val="Box"/>
            </w:pPr>
            <w:r w:rsidRPr="00EF5A5F">
              <w:t>Satisfaction with VET by target groups (students with disability, students speaking a language other than English at home, students from remote and very remote areas and</w:t>
            </w:r>
            <w:r w:rsidR="00804C04">
              <w:t xml:space="preserve"> Aboriginal and Torres Strait Islander </w:t>
            </w:r>
            <w:r w:rsidRPr="00EF5A5F">
              <w:t>students) can also indicate the equity of outcomes for these groups.</w:t>
            </w:r>
          </w:p>
          <w:p w:rsidR="00D75F1A" w:rsidRPr="00EF5A5F" w:rsidRDefault="00D75F1A" w:rsidP="005F14B9">
            <w:pPr>
              <w:pStyle w:val="Box"/>
            </w:pPr>
            <w:r w:rsidRPr="00EF5A5F">
              <w:t xml:space="preserve">A high or increasing percentage of perceived satisfaction is desirable. </w:t>
            </w:r>
          </w:p>
          <w:p w:rsidR="00D75F1A" w:rsidRDefault="00D75F1A" w:rsidP="005F14B9">
            <w:pPr>
              <w:pStyle w:val="Box"/>
            </w:pPr>
            <w:r>
              <w:t xml:space="preserve">Data </w:t>
            </w:r>
            <w:r w:rsidR="0011740F">
              <w:t>reported for these measures are:</w:t>
            </w:r>
          </w:p>
          <w:p w:rsidR="00D75F1A" w:rsidRDefault="00D75F1A" w:rsidP="005F14B9">
            <w:pPr>
              <w:pStyle w:val="BoxListBullet"/>
            </w:pPr>
            <w:r>
              <w:t>comparable (subject to caveats) across jurisdictions and over time</w:t>
            </w:r>
          </w:p>
          <w:p w:rsidR="00D75F1A" w:rsidRDefault="00D75F1A" w:rsidP="005F14B9">
            <w:pPr>
              <w:pStyle w:val="BoxListBullet"/>
            </w:pPr>
            <w:r>
              <w:t>complete for the current reporting period (subject to caveats). All required 201</w:t>
            </w:r>
            <w:r w:rsidR="00A04235">
              <w:t>3</w:t>
            </w:r>
            <w:r>
              <w:t xml:space="preserve"> data are available for all jurisdictions providing the service.</w:t>
            </w:r>
          </w:p>
          <w:p w:rsidR="00D75F1A" w:rsidRPr="00EF5A5F" w:rsidRDefault="00D75F1A" w:rsidP="00A04235">
            <w:pPr>
              <w:pStyle w:val="Box"/>
            </w:pPr>
            <w:r w:rsidRPr="00EF5A5F">
              <w:t xml:space="preserve">Data quality information for this indicator </w:t>
            </w:r>
            <w:r w:rsidR="006E0D24">
              <w:t>is at www.pc.gov.au/</w:t>
            </w:r>
            <w:proofErr w:type="spellStart"/>
            <w:r w:rsidRPr="00EF5A5F">
              <w:t>rogs</w:t>
            </w:r>
            <w:proofErr w:type="spellEnd"/>
            <w:r w:rsidRPr="00EF5A5F">
              <w:t>/</w:t>
            </w:r>
            <w:r>
              <w:t>201</w:t>
            </w:r>
            <w:r w:rsidR="00A04235">
              <w:t>5</w:t>
            </w:r>
            <w:r w:rsidRPr="00EF5A5F">
              <w:t>.</w:t>
            </w:r>
          </w:p>
        </w:tc>
      </w:tr>
      <w:tr w:rsidR="00D75F1A" w:rsidTr="005F14B9">
        <w:trPr>
          <w:cantSplit/>
        </w:trPr>
        <w:tc>
          <w:tcPr>
            <w:tcW w:w="8771" w:type="dxa"/>
            <w:tcBorders>
              <w:top w:val="nil"/>
              <w:left w:val="nil"/>
              <w:bottom w:val="single" w:sz="6" w:space="0" w:color="78A22F"/>
              <w:right w:val="nil"/>
            </w:tcBorders>
            <w:shd w:val="clear" w:color="auto" w:fill="F2F2F2" w:themeFill="background1" w:themeFillShade="F2"/>
          </w:tcPr>
          <w:p w:rsidR="00D75F1A" w:rsidRDefault="00D75F1A">
            <w:pPr>
              <w:pStyle w:val="Box"/>
              <w:spacing w:before="0" w:line="120" w:lineRule="exact"/>
            </w:pPr>
          </w:p>
        </w:tc>
      </w:tr>
      <w:tr w:rsidR="00D75F1A" w:rsidRPr="000863A5" w:rsidTr="005F14B9">
        <w:tc>
          <w:tcPr>
            <w:tcW w:w="8771" w:type="dxa"/>
            <w:tcBorders>
              <w:top w:val="single" w:sz="6" w:space="0" w:color="78A22F"/>
              <w:left w:val="nil"/>
              <w:bottom w:val="nil"/>
              <w:right w:val="nil"/>
            </w:tcBorders>
          </w:tcPr>
          <w:p w:rsidR="00D75F1A" w:rsidRPr="00626D32" w:rsidRDefault="00D75F1A" w:rsidP="005F14B9">
            <w:pPr>
              <w:pStyle w:val="BoxSpaceBelow"/>
            </w:pPr>
          </w:p>
        </w:tc>
      </w:tr>
    </w:tbl>
    <w:p w:rsidR="00C57336" w:rsidRPr="006B78DE" w:rsidRDefault="004E3A2B" w:rsidP="00DA3292">
      <w:pPr>
        <w:pStyle w:val="Heading6"/>
      </w:pPr>
      <w:r w:rsidRPr="006B78DE">
        <w:t xml:space="preserve">Student satisfaction with VET — </w:t>
      </w:r>
      <w:r w:rsidR="00C837BF" w:rsidRPr="006B78DE">
        <w:t>s</w:t>
      </w:r>
      <w:r w:rsidR="00C57336" w:rsidRPr="006B78DE">
        <w:t>tudents who achieve their main reason for doing a course</w:t>
      </w:r>
    </w:p>
    <w:p w:rsidR="00C57336" w:rsidRDefault="00C57336" w:rsidP="00D46353">
      <w:pPr>
        <w:pStyle w:val="BodyText"/>
      </w:pPr>
      <w:r w:rsidRPr="00A15A09">
        <w:t xml:space="preserve">In </w:t>
      </w:r>
      <w:r w:rsidR="00EB7654" w:rsidRPr="00A15A09">
        <w:t>201</w:t>
      </w:r>
      <w:r w:rsidR="00A04235">
        <w:t>3</w:t>
      </w:r>
      <w:r w:rsidRPr="00A15A09">
        <w:t xml:space="preserve">, </w:t>
      </w:r>
      <w:r w:rsidR="00347B09">
        <w:t>83.0</w:t>
      </w:r>
      <w:r w:rsidR="0096194E">
        <w:t xml:space="preserve"> </w:t>
      </w:r>
      <w:r w:rsidRPr="00A15A09">
        <w:t>per</w:t>
      </w:r>
      <w:r w:rsidR="0096194E">
        <w:t xml:space="preserve"> </w:t>
      </w:r>
      <w:r w:rsidRPr="00A15A09">
        <w:t xml:space="preserve">cent of </w:t>
      </w:r>
      <w:r w:rsidR="00A85AD7" w:rsidRPr="00A15A09">
        <w:t xml:space="preserve">government funded VET </w:t>
      </w:r>
      <w:r w:rsidRPr="00A15A09">
        <w:t xml:space="preserve">graduates nationally indicated that their course helped </w:t>
      </w:r>
      <w:r w:rsidR="00EA0531" w:rsidRPr="00A15A09">
        <w:t>(</w:t>
      </w:r>
      <w:r w:rsidR="00347B09">
        <w:t>68.</w:t>
      </w:r>
      <w:r w:rsidR="00744681">
        <w:t>6</w:t>
      </w:r>
      <w:r w:rsidR="0096194E">
        <w:t xml:space="preserve"> </w:t>
      </w:r>
      <w:r w:rsidR="00EA0531" w:rsidRPr="00A15A09">
        <w:t>per</w:t>
      </w:r>
      <w:r w:rsidR="0096194E">
        <w:t xml:space="preserve"> </w:t>
      </w:r>
      <w:r w:rsidR="00EA0531" w:rsidRPr="00A15A09">
        <w:t xml:space="preserve">cent) </w:t>
      </w:r>
      <w:r w:rsidRPr="00A15A09">
        <w:t xml:space="preserve">or partly helped </w:t>
      </w:r>
      <w:r w:rsidR="00EA0531" w:rsidRPr="00A15A09">
        <w:t>(</w:t>
      </w:r>
      <w:r w:rsidR="00347B09">
        <w:t>14.4</w:t>
      </w:r>
      <w:r w:rsidR="0096194E">
        <w:t xml:space="preserve"> </w:t>
      </w:r>
      <w:r w:rsidR="00EA0531" w:rsidRPr="00A15A09">
        <w:t>per</w:t>
      </w:r>
      <w:r w:rsidR="0096194E">
        <w:t xml:space="preserve"> </w:t>
      </w:r>
      <w:r w:rsidR="00EA0531" w:rsidRPr="00A15A09">
        <w:t xml:space="preserve">cent) </w:t>
      </w:r>
      <w:r w:rsidRPr="00A15A09">
        <w:t xml:space="preserve">them achieve their main reason for doing the course — </w:t>
      </w:r>
      <w:r w:rsidR="00B202F1" w:rsidRPr="00A15A09">
        <w:t>compared</w:t>
      </w:r>
      <w:r w:rsidRPr="00A15A09">
        <w:t xml:space="preserve"> </w:t>
      </w:r>
      <w:r w:rsidR="00B202F1" w:rsidRPr="00A15A09">
        <w:t xml:space="preserve">with </w:t>
      </w:r>
      <w:r w:rsidR="00347B09">
        <w:t>85.7</w:t>
      </w:r>
      <w:r w:rsidR="0096194E">
        <w:t xml:space="preserve"> </w:t>
      </w:r>
      <w:r w:rsidRPr="00A15A09">
        <w:t>pe</w:t>
      </w:r>
      <w:r w:rsidR="00C020A2" w:rsidRPr="00A15A09">
        <w:t>r</w:t>
      </w:r>
      <w:r w:rsidR="0096194E">
        <w:t xml:space="preserve"> </w:t>
      </w:r>
      <w:r w:rsidR="00C020A2" w:rsidRPr="00A15A09">
        <w:t xml:space="preserve">cent in </w:t>
      </w:r>
      <w:r w:rsidR="00EB7654" w:rsidRPr="00A15A09">
        <w:t>200</w:t>
      </w:r>
      <w:r w:rsidR="00A04235">
        <w:t>9</w:t>
      </w:r>
      <w:r w:rsidR="00233108">
        <w:t xml:space="preserve">. </w:t>
      </w:r>
      <w:r w:rsidRPr="00A15A09">
        <w:t xml:space="preserve">Of </w:t>
      </w:r>
      <w:r w:rsidR="00A62584">
        <w:t>government funded</w:t>
      </w:r>
      <w:r w:rsidRPr="00A15A09">
        <w:t xml:space="preserve"> graduates in </w:t>
      </w:r>
      <w:r w:rsidR="00EB7654" w:rsidRPr="00A15A09">
        <w:t>201</w:t>
      </w:r>
      <w:r w:rsidR="00A04235">
        <w:t>3</w:t>
      </w:r>
      <w:r w:rsidRPr="00A15A09">
        <w:t xml:space="preserve">, </w:t>
      </w:r>
      <w:r w:rsidR="00347B09">
        <w:t>7.9</w:t>
      </w:r>
      <w:r w:rsidR="0096194E">
        <w:t xml:space="preserve"> </w:t>
      </w:r>
      <w:r w:rsidRPr="00A15A09">
        <w:t>per</w:t>
      </w:r>
      <w:r w:rsidR="0096194E">
        <w:t xml:space="preserve"> </w:t>
      </w:r>
      <w:r w:rsidRPr="00A15A09">
        <w:t>cent indicated their course did not help them achieve the main reason they</w:t>
      </w:r>
      <w:r w:rsidR="00516781" w:rsidRPr="00A15A09">
        <w:t xml:space="preserve"> did the course, compared with </w:t>
      </w:r>
      <w:r w:rsidR="00347B09">
        <w:t>5.4 p</w:t>
      </w:r>
      <w:r w:rsidRPr="00A15A09">
        <w:t xml:space="preserve">er cent in </w:t>
      </w:r>
      <w:r w:rsidR="00EB7654" w:rsidRPr="00A15A09">
        <w:t>200</w:t>
      </w:r>
      <w:r w:rsidR="00A04235">
        <w:t>9</w:t>
      </w:r>
      <w:r w:rsidR="00EB7654" w:rsidRPr="00A15A09">
        <w:t xml:space="preserve"> </w:t>
      </w:r>
      <w:r w:rsidRPr="00A15A09">
        <w:t xml:space="preserve">(table </w:t>
      </w:r>
      <w:proofErr w:type="spellStart"/>
      <w:r w:rsidR="00C020A2" w:rsidRPr="00A15A09">
        <w:t>5</w:t>
      </w:r>
      <w:r w:rsidRPr="00A15A09">
        <w:t>A.</w:t>
      </w:r>
      <w:r w:rsidR="00915131">
        <w:t>61</w:t>
      </w:r>
      <w:proofErr w:type="spellEnd"/>
      <w:r w:rsidR="00915131">
        <w:t xml:space="preserve"> and</w:t>
      </w:r>
      <w:r w:rsidRPr="00A15A09">
        <w:t xml:space="preserve"> figure</w:t>
      </w:r>
      <w:r w:rsidR="00915131">
        <w:t> </w:t>
      </w:r>
      <w:r w:rsidR="00566F23" w:rsidRPr="00A15A09">
        <w:t>5.3</w:t>
      </w:r>
      <w:r w:rsidR="00A62584">
        <w:t>5</w:t>
      </w:r>
      <w:r w:rsidRPr="00A15A09">
        <w:t>).</w:t>
      </w:r>
    </w:p>
    <w:p w:rsidR="005F14B9" w:rsidRDefault="005F14B9" w:rsidP="005F14B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F14B9" w:rsidTr="005F14B9">
        <w:tc>
          <w:tcPr>
            <w:tcW w:w="8771" w:type="dxa"/>
            <w:tcBorders>
              <w:top w:val="single" w:sz="6" w:space="0" w:color="78A22F"/>
              <w:left w:val="nil"/>
              <w:bottom w:val="nil"/>
              <w:right w:val="nil"/>
            </w:tcBorders>
            <w:shd w:val="clear" w:color="auto" w:fill="auto"/>
          </w:tcPr>
          <w:p w:rsidR="005F14B9" w:rsidRPr="00176D3F" w:rsidRDefault="005F14B9" w:rsidP="00A04235">
            <w:pPr>
              <w:pStyle w:val="FigureTitle"/>
            </w:pPr>
            <w:r w:rsidRPr="00784A05">
              <w:rPr>
                <w:b w:val="0"/>
              </w:rPr>
              <w:t xml:space="preserve">Figure </w:t>
            </w:r>
            <w:r>
              <w:rPr>
                <w:b w:val="0"/>
              </w:rPr>
              <w:t>5.</w:t>
            </w:r>
            <w:r w:rsidR="00D80B1E">
              <w:rPr>
                <w:b w:val="0"/>
                <w:noProof/>
              </w:rPr>
              <w:t>35</w:t>
            </w:r>
            <w:r>
              <w:tab/>
            </w:r>
            <w:r w:rsidRPr="00263BA3">
              <w:t>Proportion of government funded VET graduates who achieved their main reason for doing the course, 201</w:t>
            </w:r>
            <w:r w:rsidR="00A04235">
              <w:t>3</w:t>
            </w:r>
            <w:r w:rsidRPr="00263BA3">
              <w:rPr>
                <w:rStyle w:val="NoteLabel"/>
                <w:b/>
              </w:rPr>
              <w:t>a</w:t>
            </w:r>
          </w:p>
        </w:tc>
      </w:tr>
      <w:tr w:rsidR="005F14B9" w:rsidTr="005F14B9">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5F14B9" w:rsidTr="005F14B9">
              <w:tc>
                <w:tcPr>
                  <w:tcW w:w="5000" w:type="pct"/>
                  <w:tcBorders>
                    <w:top w:val="nil"/>
                    <w:bottom w:val="nil"/>
                  </w:tcBorders>
                </w:tcPr>
                <w:p w:rsidR="005F14B9" w:rsidRDefault="003004EB" w:rsidP="005F14B9">
                  <w:pPr>
                    <w:pStyle w:val="Figure"/>
                    <w:spacing w:before="60" w:after="60"/>
                  </w:pPr>
                  <w:r>
                    <w:rPr>
                      <w:noProof/>
                    </w:rPr>
                    <w:drawing>
                      <wp:inline distT="0" distB="0" distL="0" distR="0">
                        <wp:extent cx="5391150" cy="2686050"/>
                        <wp:effectExtent l="0" t="0" r="0" b="0"/>
                        <wp:docPr id="42" name="Picture 42" descr="Figure 5.35 Proportion of government funded VET graduates who achieved their main reason for doing the course, 20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5F14B9" w:rsidRDefault="005F14B9" w:rsidP="005F14B9">
            <w:pPr>
              <w:pStyle w:val="Figure"/>
            </w:pPr>
          </w:p>
        </w:tc>
      </w:tr>
      <w:tr w:rsidR="005F14B9" w:rsidRPr="00176D3F" w:rsidTr="005F14B9">
        <w:tc>
          <w:tcPr>
            <w:tcW w:w="8771" w:type="dxa"/>
            <w:tcBorders>
              <w:top w:val="nil"/>
              <w:left w:val="nil"/>
              <w:bottom w:val="nil"/>
              <w:right w:val="nil"/>
            </w:tcBorders>
            <w:shd w:val="clear" w:color="auto" w:fill="auto"/>
          </w:tcPr>
          <w:p w:rsidR="005F14B9" w:rsidRPr="00176D3F" w:rsidRDefault="005F14B9" w:rsidP="00744681">
            <w:pPr>
              <w:pStyle w:val="Note"/>
            </w:pPr>
            <w:proofErr w:type="spellStart"/>
            <w:r w:rsidRPr="008C1DD2">
              <w:rPr>
                <w:rStyle w:val="NoteLabel"/>
              </w:rPr>
              <w:t>a</w:t>
            </w:r>
            <w:proofErr w:type="spellEnd"/>
            <w:r w:rsidRPr="008C1DD2">
              <w:sym w:font="Symbol" w:char="F020"/>
            </w:r>
            <w:r w:rsidRPr="008C1DD2">
              <w:t xml:space="preserve"> The 95 per cent confidence intervals for the percentage estimates are reported in table </w:t>
            </w:r>
            <w:proofErr w:type="spellStart"/>
            <w:r w:rsidRPr="008C1DD2">
              <w:t>5A.</w:t>
            </w:r>
            <w:r w:rsidR="00744681">
              <w:t>61</w:t>
            </w:r>
            <w:proofErr w:type="spellEnd"/>
            <w:r w:rsidRPr="008C1DD2">
              <w:t>.</w:t>
            </w:r>
          </w:p>
        </w:tc>
      </w:tr>
      <w:tr w:rsidR="005F14B9" w:rsidRPr="00176D3F" w:rsidTr="005F14B9">
        <w:tc>
          <w:tcPr>
            <w:tcW w:w="8771" w:type="dxa"/>
            <w:tcBorders>
              <w:top w:val="nil"/>
              <w:left w:val="nil"/>
              <w:bottom w:val="nil"/>
              <w:right w:val="nil"/>
            </w:tcBorders>
            <w:shd w:val="clear" w:color="auto" w:fill="auto"/>
          </w:tcPr>
          <w:p w:rsidR="005F14B9" w:rsidRPr="00176D3F" w:rsidRDefault="005F14B9" w:rsidP="00915131">
            <w:pPr>
              <w:pStyle w:val="Source"/>
            </w:pPr>
            <w:r w:rsidRPr="008C1DD2">
              <w:rPr>
                <w:i/>
              </w:rPr>
              <w:t>Source</w:t>
            </w:r>
            <w:r w:rsidRPr="008C1DD2">
              <w:t xml:space="preserve">: NCVER (unpublished) </w:t>
            </w:r>
            <w:r w:rsidRPr="008C1DD2">
              <w:rPr>
                <w:i/>
              </w:rPr>
              <w:t>Student Outcomes Survey</w:t>
            </w:r>
            <w:r w:rsidRPr="008C1DD2">
              <w:t xml:space="preserve">; table </w:t>
            </w:r>
            <w:proofErr w:type="spellStart"/>
            <w:r w:rsidRPr="008C1DD2">
              <w:t>5A.</w:t>
            </w:r>
            <w:r w:rsidR="00915131">
              <w:t>61</w:t>
            </w:r>
            <w:proofErr w:type="spellEnd"/>
            <w:r w:rsidRPr="008C1DD2">
              <w:t>.</w:t>
            </w:r>
          </w:p>
        </w:tc>
      </w:tr>
      <w:tr w:rsidR="005F14B9" w:rsidTr="005F14B9">
        <w:tc>
          <w:tcPr>
            <w:tcW w:w="8771" w:type="dxa"/>
            <w:tcBorders>
              <w:top w:val="nil"/>
              <w:left w:val="nil"/>
              <w:bottom w:val="single" w:sz="6" w:space="0" w:color="78A22F"/>
              <w:right w:val="nil"/>
            </w:tcBorders>
            <w:shd w:val="clear" w:color="auto" w:fill="auto"/>
          </w:tcPr>
          <w:p w:rsidR="005F14B9" w:rsidRDefault="005F14B9" w:rsidP="005F14B9">
            <w:pPr>
              <w:pStyle w:val="Figurespace"/>
            </w:pPr>
          </w:p>
        </w:tc>
      </w:tr>
      <w:tr w:rsidR="005F14B9" w:rsidRPr="000863A5" w:rsidTr="005F14B9">
        <w:tc>
          <w:tcPr>
            <w:tcW w:w="8771" w:type="dxa"/>
            <w:tcBorders>
              <w:top w:val="single" w:sz="6" w:space="0" w:color="78A22F"/>
              <w:left w:val="nil"/>
              <w:bottom w:val="nil"/>
              <w:right w:val="nil"/>
            </w:tcBorders>
          </w:tcPr>
          <w:p w:rsidR="005F14B9" w:rsidRPr="00626D32" w:rsidRDefault="005F14B9" w:rsidP="005F14B9">
            <w:pPr>
              <w:pStyle w:val="BoxSpaceBelow"/>
            </w:pPr>
          </w:p>
        </w:tc>
      </w:tr>
    </w:tbl>
    <w:p w:rsidR="00745030" w:rsidRDefault="00823EB8" w:rsidP="00E82609">
      <w:pPr>
        <w:pStyle w:val="BodyText"/>
      </w:pPr>
      <w:r w:rsidRPr="00EF5A5F">
        <w:t>Nationally</w:t>
      </w:r>
      <w:r w:rsidR="003A22B1" w:rsidRPr="00EF5A5F">
        <w:t xml:space="preserve"> in </w:t>
      </w:r>
      <w:r w:rsidR="00EB7654">
        <w:t>201</w:t>
      </w:r>
      <w:r w:rsidR="00A04235">
        <w:t>3</w:t>
      </w:r>
      <w:r w:rsidRPr="00EF5A5F">
        <w:t xml:space="preserve">, of the target groups, </w:t>
      </w:r>
      <w:r w:rsidR="0056321C" w:rsidRPr="00EF5A5F">
        <w:t>graduates</w:t>
      </w:r>
      <w:r w:rsidRPr="00EF5A5F">
        <w:t xml:space="preserve"> </w:t>
      </w:r>
      <w:r w:rsidR="00940471" w:rsidRPr="00EF5A5F">
        <w:t xml:space="preserve">from remote and very </w:t>
      </w:r>
      <w:r w:rsidR="00F4463B" w:rsidRPr="00EF5A5F">
        <w:t>remote</w:t>
      </w:r>
      <w:r w:rsidR="00940471" w:rsidRPr="00EF5A5F">
        <w:t xml:space="preserve"> areas </w:t>
      </w:r>
      <w:r w:rsidRPr="00EF5A5F">
        <w:t xml:space="preserve">were the most likely to indicate that the course helped them achieve their main reason for doing the </w:t>
      </w:r>
      <w:r w:rsidRPr="00A15A09">
        <w:t>course (</w:t>
      </w:r>
      <w:r w:rsidR="00347B09">
        <w:t>81.1</w:t>
      </w:r>
      <w:r w:rsidR="001812D4">
        <w:t xml:space="preserve"> </w:t>
      </w:r>
      <w:r w:rsidRPr="00A15A09">
        <w:t>per</w:t>
      </w:r>
      <w:r w:rsidR="001812D4">
        <w:t xml:space="preserve"> </w:t>
      </w:r>
      <w:r w:rsidRPr="00A15A09">
        <w:t xml:space="preserve">cent), while </w:t>
      </w:r>
      <w:r w:rsidRPr="00EF5A5F">
        <w:t xml:space="preserve">graduates reporting disability were the least likely to do </w:t>
      </w:r>
      <w:r w:rsidRPr="00A15A09">
        <w:t>so (</w:t>
      </w:r>
      <w:r w:rsidR="00347B09">
        <w:t>54.9</w:t>
      </w:r>
      <w:r w:rsidR="001812D4">
        <w:t xml:space="preserve"> </w:t>
      </w:r>
      <w:r w:rsidRPr="00A15A09">
        <w:t>per</w:t>
      </w:r>
      <w:r w:rsidR="001812D4">
        <w:t xml:space="preserve"> </w:t>
      </w:r>
      <w:r w:rsidRPr="00A15A09">
        <w:t>cent)</w:t>
      </w:r>
      <w:r w:rsidR="00822B73" w:rsidRPr="00A15A09">
        <w:t>.</w:t>
      </w:r>
      <w:r w:rsidR="00745030" w:rsidRPr="00A15A09">
        <w:t xml:space="preserve"> </w:t>
      </w:r>
      <w:r w:rsidR="00822B73" w:rsidRPr="00A15A09">
        <w:t>A</w:t>
      </w:r>
      <w:r w:rsidR="00461DA8">
        <w:t>mongst</w:t>
      </w:r>
      <w:r w:rsidR="00822B73" w:rsidRPr="00A15A09">
        <w:t xml:space="preserve"> </w:t>
      </w:r>
      <w:r w:rsidR="00804C04">
        <w:t xml:space="preserve">Aboriginal and Torres Strait Islander </w:t>
      </w:r>
      <w:r w:rsidR="00822B73" w:rsidRPr="00EA02CF">
        <w:t>graduates</w:t>
      </w:r>
      <w:r w:rsidR="00461DA8">
        <w:t>,</w:t>
      </w:r>
      <w:r w:rsidR="00822B73" w:rsidRPr="00EA02CF">
        <w:t xml:space="preserve"> </w:t>
      </w:r>
      <w:r w:rsidR="00461DA8">
        <w:t xml:space="preserve">74.2 </w:t>
      </w:r>
      <w:r w:rsidR="00461DA8" w:rsidRPr="00A15A09">
        <w:t>per</w:t>
      </w:r>
      <w:r w:rsidR="00461DA8">
        <w:t xml:space="preserve"> cent </w:t>
      </w:r>
      <w:r w:rsidR="00822B73" w:rsidRPr="00EA02CF">
        <w:t>indicated that the course helped them achieve their main reason for doing the course</w:t>
      </w:r>
      <w:r w:rsidR="00C379FE" w:rsidRPr="00EF5A5F">
        <w:t xml:space="preserve"> (figure</w:t>
      </w:r>
      <w:r w:rsidR="001812D4">
        <w:t xml:space="preserve"> </w:t>
      </w:r>
      <w:r w:rsidR="00566F23">
        <w:t>5.3</w:t>
      </w:r>
      <w:r w:rsidR="00A62584">
        <w:t>6</w:t>
      </w:r>
      <w:r w:rsidR="00C379FE" w:rsidRPr="00EF5A5F">
        <w:t>)</w:t>
      </w:r>
      <w:r w:rsidR="004B357D" w:rsidRPr="00EF5A5F">
        <w:t>.</w:t>
      </w:r>
      <w:r w:rsidR="00EA02CF">
        <w:t xml:space="preserve"> </w:t>
      </w:r>
    </w:p>
    <w:p w:rsidR="005F14B9" w:rsidRDefault="005F14B9" w:rsidP="005F14B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F14B9" w:rsidTr="005F14B9">
        <w:tc>
          <w:tcPr>
            <w:tcW w:w="8771" w:type="dxa"/>
            <w:tcBorders>
              <w:top w:val="single" w:sz="6" w:space="0" w:color="78A22F"/>
              <w:left w:val="nil"/>
              <w:bottom w:val="nil"/>
              <w:right w:val="nil"/>
            </w:tcBorders>
            <w:shd w:val="clear" w:color="auto" w:fill="auto"/>
          </w:tcPr>
          <w:p w:rsidR="005F14B9" w:rsidRPr="00176D3F" w:rsidRDefault="005F14B9" w:rsidP="00A04235">
            <w:pPr>
              <w:pStyle w:val="FigureTitle"/>
            </w:pPr>
            <w:r w:rsidRPr="00784A05">
              <w:rPr>
                <w:b w:val="0"/>
              </w:rPr>
              <w:t xml:space="preserve">Figure </w:t>
            </w:r>
            <w:r>
              <w:rPr>
                <w:b w:val="0"/>
              </w:rPr>
              <w:t>5.</w:t>
            </w:r>
            <w:r w:rsidR="00D80B1E">
              <w:rPr>
                <w:b w:val="0"/>
                <w:noProof/>
              </w:rPr>
              <w:t>36</w:t>
            </w:r>
            <w:r>
              <w:tab/>
            </w:r>
            <w:r w:rsidRPr="00612A90">
              <w:t>Proportion of government funded VET graduates who achieved their main reason for doing the course, by target group, 201</w:t>
            </w:r>
            <w:r w:rsidR="00A04235">
              <w:t>3</w:t>
            </w:r>
            <w:r w:rsidRPr="00612A90">
              <w:rPr>
                <w:rStyle w:val="NoteLabel"/>
                <w:b/>
              </w:rPr>
              <w:t>a, b, c</w:t>
            </w:r>
          </w:p>
        </w:tc>
      </w:tr>
      <w:tr w:rsidR="005F14B9" w:rsidTr="005F14B9">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5F14B9" w:rsidTr="00382FC5">
              <w:tc>
                <w:tcPr>
                  <w:tcW w:w="5000" w:type="pct"/>
                  <w:tcBorders>
                    <w:top w:val="nil"/>
                    <w:bottom w:val="nil"/>
                  </w:tcBorders>
                </w:tcPr>
                <w:p w:rsidR="005F14B9" w:rsidRDefault="003004EB" w:rsidP="005F14B9">
                  <w:pPr>
                    <w:pStyle w:val="Figure"/>
                    <w:spacing w:before="60" w:after="60"/>
                  </w:pPr>
                  <w:r>
                    <w:rPr>
                      <w:noProof/>
                    </w:rPr>
                    <w:drawing>
                      <wp:inline distT="0" distB="0" distL="0" distR="0">
                        <wp:extent cx="5391150" cy="2714625"/>
                        <wp:effectExtent l="0" t="0" r="0" b="9525"/>
                        <wp:docPr id="43" name="Picture 43" descr="Figure 5.36 Proportion of government funded VET graduates who achieved their main reason for doing the course, by target group,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391150" cy="2714625"/>
                                </a:xfrm>
                                <a:prstGeom prst="rect">
                                  <a:avLst/>
                                </a:prstGeom>
                                <a:noFill/>
                                <a:ln>
                                  <a:noFill/>
                                </a:ln>
                              </pic:spPr>
                            </pic:pic>
                          </a:graphicData>
                        </a:graphic>
                      </wp:inline>
                    </w:drawing>
                  </w:r>
                </w:p>
              </w:tc>
            </w:tr>
          </w:tbl>
          <w:p w:rsidR="005F14B9" w:rsidRDefault="005F14B9" w:rsidP="005F14B9">
            <w:pPr>
              <w:pStyle w:val="Figure"/>
            </w:pPr>
          </w:p>
        </w:tc>
      </w:tr>
      <w:tr w:rsidR="005F14B9" w:rsidRPr="00176D3F" w:rsidTr="005F14B9">
        <w:tc>
          <w:tcPr>
            <w:tcW w:w="8771" w:type="dxa"/>
            <w:tcBorders>
              <w:top w:val="nil"/>
              <w:left w:val="nil"/>
              <w:bottom w:val="nil"/>
              <w:right w:val="nil"/>
            </w:tcBorders>
            <w:shd w:val="clear" w:color="auto" w:fill="auto"/>
          </w:tcPr>
          <w:p w:rsidR="005F14B9" w:rsidRPr="00176D3F" w:rsidRDefault="00C12AD2" w:rsidP="0074038A">
            <w:pPr>
              <w:pStyle w:val="Note"/>
            </w:pPr>
            <w:r w:rsidRPr="008C1DD2">
              <w:rPr>
                <w:rStyle w:val="NoteLabel"/>
              </w:rPr>
              <w:t>a</w:t>
            </w:r>
            <w:r w:rsidRPr="008C1DD2">
              <w:t xml:space="preserve"> Students reported as having disability are defined as those who self-identify that they have disability, impairment or a long-term condition. Disabilities include hearing/deaf, physical, intellectual, learning, mental illness, acquired brain impairment, vision, medical condition and other unspecified disabilities.</w:t>
            </w:r>
            <w:r w:rsidRPr="008C1DD2">
              <w:rPr>
                <w:rStyle w:val="NoteLabel"/>
              </w:rPr>
              <w:t xml:space="preserve"> b</w:t>
            </w:r>
            <w:r w:rsidR="00A62584">
              <w:t> </w:t>
            </w:r>
            <w:r w:rsidR="00A74E92" w:rsidRPr="00A74E92">
              <w:t>There are no very remote areas in Victoria and no remote or very remote areas in the ACT. The remote data for Victoria include students from remote areas throughout Australia studying in Victoria (there are no remote data for the ACT).</w:t>
            </w:r>
            <w:r w:rsidR="0074038A">
              <w:rPr>
                <w:rStyle w:val="NoteLabel"/>
              </w:rPr>
              <w:t>c</w:t>
            </w:r>
            <w:r w:rsidRPr="008C1DD2">
              <w:t xml:space="preserve"> </w:t>
            </w:r>
            <w:r>
              <w:t>E</w:t>
            </w:r>
            <w:r w:rsidRPr="00171E10">
              <w:t>rror bars represent the 95 per cent confidence interval associated with each point estimate.</w:t>
            </w:r>
          </w:p>
        </w:tc>
      </w:tr>
      <w:tr w:rsidR="005F14B9" w:rsidRPr="00176D3F" w:rsidTr="005F14B9">
        <w:tc>
          <w:tcPr>
            <w:tcW w:w="8771" w:type="dxa"/>
            <w:tcBorders>
              <w:top w:val="nil"/>
              <w:left w:val="nil"/>
              <w:bottom w:val="nil"/>
              <w:right w:val="nil"/>
            </w:tcBorders>
            <w:shd w:val="clear" w:color="auto" w:fill="auto"/>
          </w:tcPr>
          <w:p w:rsidR="005F14B9" w:rsidRPr="00176D3F" w:rsidRDefault="00C12AD2" w:rsidP="00915131">
            <w:pPr>
              <w:pStyle w:val="Source"/>
            </w:pPr>
            <w:r w:rsidRPr="008C1DD2">
              <w:rPr>
                <w:i/>
              </w:rPr>
              <w:t>Source</w:t>
            </w:r>
            <w:r w:rsidRPr="008C1DD2">
              <w:t xml:space="preserve">: NCVER (unpublished) </w:t>
            </w:r>
            <w:r w:rsidRPr="008C1DD2">
              <w:rPr>
                <w:i/>
              </w:rPr>
              <w:t>Student Outcomes Survey</w:t>
            </w:r>
            <w:r w:rsidRPr="008C1DD2">
              <w:t xml:space="preserve">; tables </w:t>
            </w:r>
            <w:proofErr w:type="spellStart"/>
            <w:r w:rsidRPr="008C1DD2">
              <w:t>5A.</w:t>
            </w:r>
            <w:r w:rsidR="00915131">
              <w:t>61</w:t>
            </w:r>
            <w:proofErr w:type="spellEnd"/>
            <w:r w:rsidRPr="008C1DD2">
              <w:t>–</w:t>
            </w:r>
            <w:r>
              <w:t>6</w:t>
            </w:r>
            <w:r w:rsidR="00915131">
              <w:t>2</w:t>
            </w:r>
            <w:r w:rsidRPr="008C1DD2">
              <w:t xml:space="preserve"> and </w:t>
            </w:r>
            <w:proofErr w:type="spellStart"/>
            <w:r w:rsidRPr="008C1DD2">
              <w:t>5A.6</w:t>
            </w:r>
            <w:r w:rsidR="00915131">
              <w:t>7</w:t>
            </w:r>
            <w:proofErr w:type="spellEnd"/>
            <w:r w:rsidRPr="008C1DD2">
              <w:t>–6</w:t>
            </w:r>
            <w:r w:rsidR="00915131">
              <w:t>9</w:t>
            </w:r>
            <w:r w:rsidRPr="008C1DD2">
              <w:t>.</w:t>
            </w:r>
          </w:p>
        </w:tc>
      </w:tr>
      <w:tr w:rsidR="005F14B9" w:rsidTr="005F14B9">
        <w:tc>
          <w:tcPr>
            <w:tcW w:w="8771" w:type="dxa"/>
            <w:tcBorders>
              <w:top w:val="nil"/>
              <w:left w:val="nil"/>
              <w:bottom w:val="single" w:sz="6" w:space="0" w:color="78A22F"/>
              <w:right w:val="nil"/>
            </w:tcBorders>
            <w:shd w:val="clear" w:color="auto" w:fill="auto"/>
          </w:tcPr>
          <w:p w:rsidR="005F14B9" w:rsidRDefault="005F14B9" w:rsidP="005F14B9">
            <w:pPr>
              <w:pStyle w:val="Figurespace"/>
            </w:pPr>
          </w:p>
        </w:tc>
      </w:tr>
      <w:tr w:rsidR="005F14B9" w:rsidRPr="000863A5" w:rsidTr="005F14B9">
        <w:tc>
          <w:tcPr>
            <w:tcW w:w="8771" w:type="dxa"/>
            <w:tcBorders>
              <w:top w:val="single" w:sz="6" w:space="0" w:color="78A22F"/>
              <w:left w:val="nil"/>
              <w:bottom w:val="nil"/>
              <w:right w:val="nil"/>
            </w:tcBorders>
          </w:tcPr>
          <w:p w:rsidR="005F14B9" w:rsidRPr="00626D32" w:rsidRDefault="005F14B9" w:rsidP="005F14B9">
            <w:pPr>
              <w:pStyle w:val="BoxSpaceBelow"/>
            </w:pPr>
          </w:p>
        </w:tc>
      </w:tr>
    </w:tbl>
    <w:p w:rsidR="00CA12E6" w:rsidRPr="00EF5A5F" w:rsidRDefault="00CA12E6" w:rsidP="0012147B">
      <w:pPr>
        <w:pStyle w:val="BodyText"/>
        <w:rPr>
          <w:b/>
          <w:noProof/>
        </w:rPr>
      </w:pPr>
      <w:r w:rsidRPr="00EF5A5F">
        <w:rPr>
          <w:noProof/>
        </w:rPr>
        <w:t>Table</w:t>
      </w:r>
      <w:r w:rsidR="00E7521A" w:rsidRPr="00EF5A5F">
        <w:rPr>
          <w:noProof/>
        </w:rPr>
        <w:t>s</w:t>
      </w:r>
      <w:r w:rsidRPr="00EF5A5F">
        <w:rPr>
          <w:noProof/>
        </w:rPr>
        <w:t xml:space="preserve"> </w:t>
      </w:r>
      <w:r w:rsidR="00807E6E" w:rsidRPr="00EF5A5F">
        <w:rPr>
          <w:noProof/>
        </w:rPr>
        <w:t>5A.</w:t>
      </w:r>
      <w:r w:rsidR="000100D1">
        <w:rPr>
          <w:noProof/>
        </w:rPr>
        <w:t>6</w:t>
      </w:r>
      <w:r w:rsidR="00915131">
        <w:rPr>
          <w:noProof/>
        </w:rPr>
        <w:t>3</w:t>
      </w:r>
      <w:r w:rsidR="00822B73" w:rsidRPr="00EF5A5F">
        <w:rPr>
          <w:noProof/>
        </w:rPr>
        <w:t>–</w:t>
      </w:r>
      <w:r w:rsidR="00822B73">
        <w:rPr>
          <w:noProof/>
        </w:rPr>
        <w:t>6</w:t>
      </w:r>
      <w:r w:rsidR="00915131">
        <w:rPr>
          <w:noProof/>
        </w:rPr>
        <w:t>5</w:t>
      </w:r>
      <w:r w:rsidR="00807E6E" w:rsidRPr="00EF5A5F">
        <w:rPr>
          <w:noProof/>
        </w:rPr>
        <w:t xml:space="preserve"> </w:t>
      </w:r>
      <w:r w:rsidRPr="00EF5A5F">
        <w:rPr>
          <w:noProof/>
        </w:rPr>
        <w:t xml:space="preserve">provide additional information on </w:t>
      </w:r>
      <w:r w:rsidR="003A6FD1" w:rsidRPr="00EF5A5F">
        <w:rPr>
          <w:noProof/>
        </w:rPr>
        <w:t xml:space="preserve">whether the course helped </w:t>
      </w:r>
      <w:r w:rsidR="00807E6E" w:rsidRPr="00EF5A5F">
        <w:rPr>
          <w:noProof/>
        </w:rPr>
        <w:t>non</w:t>
      </w:r>
      <w:r w:rsidR="00A64F4F" w:rsidRPr="00EF5A5F">
        <w:rPr>
          <w:noProof/>
        </w:rPr>
        <w:noBreakHyphen/>
      </w:r>
      <w:r w:rsidR="00807E6E" w:rsidRPr="00EF5A5F">
        <w:rPr>
          <w:noProof/>
        </w:rPr>
        <w:t xml:space="preserve">Indigenous </w:t>
      </w:r>
      <w:r w:rsidR="003A6FD1" w:rsidRPr="00EF5A5F">
        <w:rPr>
          <w:noProof/>
        </w:rPr>
        <w:t>graduates</w:t>
      </w:r>
      <w:r w:rsidR="00B42540" w:rsidRPr="00EF5A5F">
        <w:rPr>
          <w:noProof/>
        </w:rPr>
        <w:t>, g</w:t>
      </w:r>
      <w:r w:rsidR="00807E6E" w:rsidRPr="00EF5A5F">
        <w:rPr>
          <w:noProof/>
        </w:rPr>
        <w:t>raduates</w:t>
      </w:r>
      <w:r w:rsidR="003A6FD1" w:rsidRPr="00EF5A5F">
        <w:rPr>
          <w:noProof/>
        </w:rPr>
        <w:t xml:space="preserve"> from major cities, </w:t>
      </w:r>
      <w:r w:rsidR="00F80F44" w:rsidRPr="00EF5A5F">
        <w:rPr>
          <w:noProof/>
        </w:rPr>
        <w:t xml:space="preserve">from </w:t>
      </w:r>
      <w:r w:rsidR="003A6FD1" w:rsidRPr="00EF5A5F">
        <w:rPr>
          <w:noProof/>
        </w:rPr>
        <w:t xml:space="preserve">inner regional areas and </w:t>
      </w:r>
      <w:r w:rsidR="00F80F44" w:rsidRPr="00EF5A5F">
        <w:rPr>
          <w:noProof/>
        </w:rPr>
        <w:t xml:space="preserve">from </w:t>
      </w:r>
      <w:r w:rsidR="003A6FD1" w:rsidRPr="00EF5A5F">
        <w:rPr>
          <w:noProof/>
        </w:rPr>
        <w:t>outer regional areas</w:t>
      </w:r>
      <w:r w:rsidR="00F80F44" w:rsidRPr="00EF5A5F">
        <w:rPr>
          <w:noProof/>
        </w:rPr>
        <w:t>,</w:t>
      </w:r>
      <w:r w:rsidR="003A6FD1" w:rsidRPr="00EF5A5F">
        <w:rPr>
          <w:noProof/>
        </w:rPr>
        <w:t xml:space="preserve"> achieve their main reason for undertaking training.</w:t>
      </w:r>
    </w:p>
    <w:p w:rsidR="00C57336" w:rsidRPr="00EF5A5F" w:rsidRDefault="004E3A2B" w:rsidP="00DA3292">
      <w:pPr>
        <w:pStyle w:val="Heading6"/>
      </w:pPr>
      <w:r w:rsidRPr="00EF5A5F">
        <w:t xml:space="preserve">Student satisfaction with VET — </w:t>
      </w:r>
      <w:r w:rsidR="00C837BF" w:rsidRPr="00EF5A5F">
        <w:t>s</w:t>
      </w:r>
      <w:r w:rsidR="00C57336" w:rsidRPr="00EF5A5F">
        <w:t xml:space="preserve">tudents who were satisfied with the quality of their completed training </w:t>
      </w:r>
    </w:p>
    <w:p w:rsidR="006D3A8A" w:rsidRPr="00A15A09" w:rsidRDefault="00C57336" w:rsidP="0014685B">
      <w:pPr>
        <w:pStyle w:val="BodyText"/>
      </w:pPr>
      <w:r w:rsidRPr="00A15A09">
        <w:t xml:space="preserve">In </w:t>
      </w:r>
      <w:r w:rsidR="00822B73" w:rsidRPr="00A15A09">
        <w:t>201</w:t>
      </w:r>
      <w:r w:rsidR="00A04235">
        <w:t>3</w:t>
      </w:r>
      <w:r w:rsidRPr="00A15A09">
        <w:t xml:space="preserve">, </w:t>
      </w:r>
      <w:r w:rsidR="00347B09">
        <w:t>87.5</w:t>
      </w:r>
      <w:r w:rsidR="001812D4">
        <w:t xml:space="preserve"> </w:t>
      </w:r>
      <w:r w:rsidRPr="00A15A09">
        <w:t>per</w:t>
      </w:r>
      <w:r w:rsidR="001812D4">
        <w:t xml:space="preserve"> </w:t>
      </w:r>
      <w:r w:rsidRPr="00A15A09">
        <w:t xml:space="preserve">cent of </w:t>
      </w:r>
      <w:r w:rsidR="00772CC0" w:rsidRPr="00A15A09">
        <w:t xml:space="preserve">all </w:t>
      </w:r>
      <w:r w:rsidR="00A85AD7" w:rsidRPr="00A15A09">
        <w:t xml:space="preserve">government funded VET </w:t>
      </w:r>
      <w:r w:rsidRPr="00A15A09">
        <w:t>graduates nationally indicated that they were satisfied with the quality of t</w:t>
      </w:r>
      <w:r w:rsidR="00C020A2" w:rsidRPr="00A15A09">
        <w:t>heir completed training</w:t>
      </w:r>
      <w:r w:rsidR="001D0328" w:rsidRPr="00A15A09">
        <w:t xml:space="preserve">, representing an increase of </w:t>
      </w:r>
      <w:r w:rsidR="002312FF">
        <w:t>0.8</w:t>
      </w:r>
      <w:r w:rsidR="001812D4">
        <w:t xml:space="preserve"> </w:t>
      </w:r>
      <w:r w:rsidR="001D0328" w:rsidRPr="00A15A09">
        <w:t xml:space="preserve">percentage points from </w:t>
      </w:r>
      <w:r w:rsidR="002312FF">
        <w:t xml:space="preserve">2005 </w:t>
      </w:r>
      <w:r w:rsidR="005D20B0" w:rsidRPr="00A15A09">
        <w:t>(</w:t>
      </w:r>
      <w:r w:rsidR="004B357D" w:rsidRPr="00A15A09">
        <w:t>table</w:t>
      </w:r>
      <w:r w:rsidR="001812D4">
        <w:t xml:space="preserve"> </w:t>
      </w:r>
      <w:proofErr w:type="spellStart"/>
      <w:r w:rsidR="004434F7" w:rsidRPr="00A15A09">
        <w:t>5A.</w:t>
      </w:r>
      <w:r w:rsidR="00915131">
        <w:t>70</w:t>
      </w:r>
      <w:proofErr w:type="spellEnd"/>
      <w:r w:rsidR="004434F7" w:rsidRPr="00A15A09">
        <w:t>)</w:t>
      </w:r>
      <w:r w:rsidR="005D20B0" w:rsidRPr="00A15A09">
        <w:t>.</w:t>
      </w:r>
    </w:p>
    <w:p w:rsidR="005D20B0" w:rsidRPr="00EF5A5F" w:rsidRDefault="004434F7" w:rsidP="00817E3B">
      <w:pPr>
        <w:pStyle w:val="BodyText"/>
      </w:pPr>
      <w:r w:rsidRPr="00EF5A5F">
        <w:t>The satisfaction level</w:t>
      </w:r>
      <w:r w:rsidR="004B357D" w:rsidRPr="00EF5A5F">
        <w:t>s</w:t>
      </w:r>
      <w:r w:rsidRPr="00EF5A5F">
        <w:t xml:space="preserve"> across target groups </w:t>
      </w:r>
      <w:r w:rsidR="001D0328" w:rsidRPr="00EF5A5F">
        <w:t xml:space="preserve">in </w:t>
      </w:r>
      <w:r w:rsidR="00822B73">
        <w:t>201</w:t>
      </w:r>
      <w:r w:rsidR="00A04235">
        <w:t>3</w:t>
      </w:r>
      <w:r w:rsidR="00822B73" w:rsidRPr="00EF5A5F">
        <w:t xml:space="preserve"> </w:t>
      </w:r>
      <w:r w:rsidRPr="00EF5A5F">
        <w:t xml:space="preserve">were </w:t>
      </w:r>
      <w:r w:rsidR="001D0328" w:rsidRPr="00EF5A5F">
        <w:t>as follows</w:t>
      </w:r>
      <w:r w:rsidR="005D20B0" w:rsidRPr="00EF5A5F">
        <w:t>:</w:t>
      </w:r>
      <w:r w:rsidR="009E4E7B" w:rsidRPr="00EF5A5F">
        <w:t xml:space="preserve"> </w:t>
      </w:r>
    </w:p>
    <w:p w:rsidR="00817E3B" w:rsidRPr="003A425B" w:rsidRDefault="00817E3B" w:rsidP="0012147B">
      <w:pPr>
        <w:pStyle w:val="ListBullet"/>
      </w:pPr>
      <w:r w:rsidRPr="00EF5A5F">
        <w:t xml:space="preserve">graduates with </w:t>
      </w:r>
      <w:r w:rsidRPr="003A425B">
        <w:t>disability (</w:t>
      </w:r>
      <w:r w:rsidR="002312FF">
        <w:t>84.9</w:t>
      </w:r>
      <w:r w:rsidR="001812D4">
        <w:t xml:space="preserve"> </w:t>
      </w:r>
      <w:r w:rsidRPr="003A425B">
        <w:t>per</w:t>
      </w:r>
      <w:r w:rsidR="001812D4">
        <w:t xml:space="preserve"> </w:t>
      </w:r>
      <w:r w:rsidRPr="003A425B">
        <w:t>cent)</w:t>
      </w:r>
    </w:p>
    <w:p w:rsidR="005D20B0" w:rsidRPr="003A425B" w:rsidRDefault="005D20B0" w:rsidP="007A6A41">
      <w:pPr>
        <w:pStyle w:val="ListBullet"/>
      </w:pPr>
      <w:r w:rsidRPr="003A425B">
        <w:t>graduates speaking a language other than English at home (</w:t>
      </w:r>
      <w:r w:rsidR="002312FF">
        <w:t>87.9</w:t>
      </w:r>
      <w:r w:rsidR="001812D4">
        <w:t xml:space="preserve"> </w:t>
      </w:r>
      <w:r w:rsidRPr="003A425B">
        <w:t>per</w:t>
      </w:r>
      <w:r w:rsidR="001812D4">
        <w:t xml:space="preserve"> </w:t>
      </w:r>
      <w:r w:rsidRPr="003A425B">
        <w:t>cent)</w:t>
      </w:r>
    </w:p>
    <w:p w:rsidR="005D20B0" w:rsidRPr="003A425B" w:rsidRDefault="005D20B0" w:rsidP="00F80F44">
      <w:pPr>
        <w:pStyle w:val="ListBullet"/>
      </w:pPr>
      <w:r w:rsidRPr="003A425B">
        <w:t>graduates from remote and very remote areas (</w:t>
      </w:r>
      <w:r w:rsidR="002312FF">
        <w:t>90.3</w:t>
      </w:r>
      <w:r w:rsidR="001812D4">
        <w:t xml:space="preserve"> </w:t>
      </w:r>
      <w:r w:rsidRPr="003A425B">
        <w:t>per</w:t>
      </w:r>
      <w:r w:rsidR="001812D4">
        <w:t xml:space="preserve"> </w:t>
      </w:r>
      <w:r w:rsidRPr="003A425B">
        <w:t>cent)</w:t>
      </w:r>
    </w:p>
    <w:p w:rsidR="005D20B0" w:rsidRDefault="009604DC" w:rsidP="00F80F44">
      <w:pPr>
        <w:pStyle w:val="ListBullet"/>
      </w:pPr>
      <w:r>
        <w:t xml:space="preserve">Aboriginal and Torres Strait Islander </w:t>
      </w:r>
      <w:r w:rsidR="005D20B0" w:rsidRPr="003A425B">
        <w:t>graduates (</w:t>
      </w:r>
      <w:r w:rsidR="002312FF">
        <w:t>91.3</w:t>
      </w:r>
      <w:r w:rsidR="001812D4">
        <w:t xml:space="preserve"> </w:t>
      </w:r>
      <w:r w:rsidR="005D20B0" w:rsidRPr="003A425B">
        <w:t>per</w:t>
      </w:r>
      <w:r w:rsidR="001812D4">
        <w:t xml:space="preserve"> </w:t>
      </w:r>
      <w:r w:rsidR="005D20B0" w:rsidRPr="003A425B">
        <w:t xml:space="preserve">cent) (figure </w:t>
      </w:r>
      <w:r w:rsidR="00566F23" w:rsidRPr="003A425B">
        <w:t>5.3</w:t>
      </w:r>
      <w:r w:rsidR="00A62584">
        <w:t>7</w:t>
      </w:r>
      <w:r w:rsidR="005D20B0" w:rsidRPr="003A425B">
        <w:t>).</w:t>
      </w:r>
    </w:p>
    <w:p w:rsidR="00C12AD2" w:rsidRDefault="00C12AD2" w:rsidP="00804C0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12AD2" w:rsidTr="00804C04">
        <w:tc>
          <w:tcPr>
            <w:tcW w:w="8771" w:type="dxa"/>
            <w:tcBorders>
              <w:top w:val="single" w:sz="6" w:space="0" w:color="78A22F"/>
              <w:left w:val="nil"/>
              <w:bottom w:val="nil"/>
              <w:right w:val="nil"/>
            </w:tcBorders>
            <w:shd w:val="clear" w:color="auto" w:fill="auto"/>
          </w:tcPr>
          <w:p w:rsidR="00C12AD2" w:rsidRPr="00176D3F" w:rsidRDefault="00C12AD2" w:rsidP="00A04235">
            <w:pPr>
              <w:pStyle w:val="FigureTitle"/>
            </w:pPr>
            <w:r w:rsidRPr="00784A05">
              <w:rPr>
                <w:b w:val="0"/>
              </w:rPr>
              <w:t xml:space="preserve">Figure </w:t>
            </w:r>
            <w:r>
              <w:rPr>
                <w:b w:val="0"/>
              </w:rPr>
              <w:t>5.</w:t>
            </w:r>
            <w:r w:rsidR="00D80B1E">
              <w:rPr>
                <w:b w:val="0"/>
                <w:noProof/>
              </w:rPr>
              <w:t>37</w:t>
            </w:r>
            <w:r>
              <w:tab/>
            </w:r>
            <w:r w:rsidRPr="00612A90">
              <w:t>Proportion of government funded VET graduates who were satisfied with the quality of their completed course, by target group, 201</w:t>
            </w:r>
            <w:r w:rsidR="00A04235">
              <w:t>3</w:t>
            </w:r>
            <w:r w:rsidRPr="00612A90">
              <w:rPr>
                <w:rStyle w:val="NoteLabel"/>
                <w:b/>
              </w:rPr>
              <w:t>a, b, c, d</w:t>
            </w:r>
          </w:p>
        </w:tc>
      </w:tr>
      <w:tr w:rsidR="00C12AD2" w:rsidTr="00804C04">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C12AD2" w:rsidTr="00C12AD2">
              <w:tc>
                <w:tcPr>
                  <w:tcW w:w="5000" w:type="pct"/>
                  <w:tcBorders>
                    <w:top w:val="nil"/>
                    <w:bottom w:val="nil"/>
                  </w:tcBorders>
                </w:tcPr>
                <w:p w:rsidR="00C12AD2" w:rsidRDefault="003004EB" w:rsidP="00804C04">
                  <w:pPr>
                    <w:pStyle w:val="Figure"/>
                    <w:spacing w:before="60" w:after="60"/>
                  </w:pPr>
                  <w:r>
                    <w:rPr>
                      <w:noProof/>
                    </w:rPr>
                    <w:drawing>
                      <wp:inline distT="0" distB="0" distL="0" distR="0">
                        <wp:extent cx="5391150" cy="2714625"/>
                        <wp:effectExtent l="0" t="0" r="0" b="9525"/>
                        <wp:docPr id="44" name="Picture 44" descr="Figure 5.37 Proportion of government funded VET graduates who were satisfied with the quality of their completed course, by target group, 20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391150" cy="2714625"/>
                                </a:xfrm>
                                <a:prstGeom prst="rect">
                                  <a:avLst/>
                                </a:prstGeom>
                                <a:noFill/>
                                <a:ln>
                                  <a:noFill/>
                                </a:ln>
                              </pic:spPr>
                            </pic:pic>
                          </a:graphicData>
                        </a:graphic>
                      </wp:inline>
                    </w:drawing>
                  </w:r>
                </w:p>
              </w:tc>
            </w:tr>
          </w:tbl>
          <w:p w:rsidR="00C12AD2" w:rsidRDefault="00C12AD2" w:rsidP="00804C04">
            <w:pPr>
              <w:pStyle w:val="Figure"/>
            </w:pPr>
          </w:p>
        </w:tc>
      </w:tr>
      <w:tr w:rsidR="00C12AD2" w:rsidRPr="00176D3F" w:rsidTr="00804C04">
        <w:tc>
          <w:tcPr>
            <w:tcW w:w="8771" w:type="dxa"/>
            <w:tcBorders>
              <w:top w:val="nil"/>
              <w:left w:val="nil"/>
              <w:bottom w:val="nil"/>
              <w:right w:val="nil"/>
            </w:tcBorders>
            <w:shd w:val="clear" w:color="auto" w:fill="auto"/>
          </w:tcPr>
          <w:p w:rsidR="00C12AD2" w:rsidRPr="00176D3F" w:rsidRDefault="00C12AD2" w:rsidP="00804C04">
            <w:pPr>
              <w:pStyle w:val="Note"/>
            </w:pPr>
            <w:r w:rsidRPr="008C1DD2">
              <w:rPr>
                <w:rStyle w:val="NoteLabel"/>
              </w:rPr>
              <w:t>a</w:t>
            </w:r>
            <w:r w:rsidRPr="008C1DD2">
              <w:t xml:space="preserve"> Satisfaction with overall quality of training was rated as satisfied or very satisfied (4 or 5 on a 5 point scale). </w:t>
            </w:r>
            <w:r w:rsidRPr="008C1DD2">
              <w:rPr>
                <w:rStyle w:val="NoteLabel"/>
              </w:rPr>
              <w:t>b</w:t>
            </w:r>
            <w:r w:rsidRPr="008C1DD2">
              <w:t xml:space="preserve"> There are no very remote areas in Victoria and no remote or very remote areas in the ACT. The remote data for Victoria include students from remote areas throughout Australia studying in Victoria (there are no remote data for the ACT). </w:t>
            </w:r>
            <w:r w:rsidRPr="008C1DD2">
              <w:rPr>
                <w:rStyle w:val="NoteLabel"/>
              </w:rPr>
              <w:t>c</w:t>
            </w:r>
            <w:r w:rsidRPr="008C1DD2">
              <w:t xml:space="preserve"> </w:t>
            </w:r>
            <w:r>
              <w:t>E</w:t>
            </w:r>
            <w:r w:rsidRPr="00171E10">
              <w:t>rror bars represent the 95 per cent confidence interval associated with each point estimate.</w:t>
            </w:r>
            <w:r>
              <w:t xml:space="preserve"> </w:t>
            </w:r>
            <w:r w:rsidRPr="008C1DD2">
              <w:rPr>
                <w:rStyle w:val="NoteLabel"/>
              </w:rPr>
              <w:t>d</w:t>
            </w:r>
            <w:r w:rsidRPr="008C1DD2">
              <w:t> Students reported as having disability are defined as those who self-identify that they have disability, and impairment or a long-term condition. Disabilities include hearing/deaf, physical, intellectual, learning, mental illness, acquired brain impairment, vision, medical condition and other unspecified disabilities.</w:t>
            </w:r>
          </w:p>
        </w:tc>
      </w:tr>
      <w:tr w:rsidR="00C12AD2" w:rsidRPr="00176D3F" w:rsidTr="00804C04">
        <w:tc>
          <w:tcPr>
            <w:tcW w:w="8771" w:type="dxa"/>
            <w:tcBorders>
              <w:top w:val="nil"/>
              <w:left w:val="nil"/>
              <w:bottom w:val="nil"/>
              <w:right w:val="nil"/>
            </w:tcBorders>
            <w:shd w:val="clear" w:color="auto" w:fill="auto"/>
          </w:tcPr>
          <w:p w:rsidR="00C12AD2" w:rsidRPr="00176D3F" w:rsidRDefault="00C12AD2" w:rsidP="00915131">
            <w:pPr>
              <w:pStyle w:val="Source"/>
            </w:pPr>
            <w:r w:rsidRPr="008C1DD2">
              <w:rPr>
                <w:i/>
              </w:rPr>
              <w:t>Source</w:t>
            </w:r>
            <w:r w:rsidRPr="008C1DD2">
              <w:t xml:space="preserve">: NCVER (unpublished) </w:t>
            </w:r>
            <w:r w:rsidRPr="008C1DD2">
              <w:rPr>
                <w:i/>
              </w:rPr>
              <w:t>Student Outcomes Survey</w:t>
            </w:r>
            <w:r w:rsidRPr="008C1DD2">
              <w:t xml:space="preserve">; tables </w:t>
            </w:r>
            <w:proofErr w:type="spellStart"/>
            <w:r w:rsidRPr="008C1DD2">
              <w:t>5A.</w:t>
            </w:r>
            <w:r w:rsidR="00915131">
              <w:t>70</w:t>
            </w:r>
            <w:proofErr w:type="spellEnd"/>
            <w:r w:rsidRPr="008C1DD2">
              <w:t>–</w:t>
            </w:r>
            <w:r w:rsidR="00915131">
              <w:t>71</w:t>
            </w:r>
            <w:r w:rsidRPr="008C1DD2">
              <w:t xml:space="preserve"> and </w:t>
            </w:r>
            <w:proofErr w:type="spellStart"/>
            <w:r w:rsidRPr="008C1DD2">
              <w:t>5A.7</w:t>
            </w:r>
            <w:r w:rsidR="00915131">
              <w:t>6</w:t>
            </w:r>
            <w:proofErr w:type="spellEnd"/>
            <w:r w:rsidRPr="008C1DD2">
              <w:t>–7</w:t>
            </w:r>
            <w:r w:rsidR="00915131">
              <w:t>8</w:t>
            </w:r>
            <w:r w:rsidRPr="008C1DD2">
              <w:t>.</w:t>
            </w:r>
          </w:p>
        </w:tc>
      </w:tr>
      <w:tr w:rsidR="00C12AD2" w:rsidTr="00804C04">
        <w:tc>
          <w:tcPr>
            <w:tcW w:w="8771" w:type="dxa"/>
            <w:tcBorders>
              <w:top w:val="nil"/>
              <w:left w:val="nil"/>
              <w:bottom w:val="single" w:sz="6" w:space="0" w:color="78A22F"/>
              <w:right w:val="nil"/>
            </w:tcBorders>
            <w:shd w:val="clear" w:color="auto" w:fill="auto"/>
          </w:tcPr>
          <w:p w:rsidR="00C12AD2" w:rsidRDefault="00C12AD2" w:rsidP="00804C04">
            <w:pPr>
              <w:pStyle w:val="Figurespace"/>
            </w:pPr>
          </w:p>
        </w:tc>
      </w:tr>
      <w:tr w:rsidR="00C12AD2" w:rsidRPr="000863A5" w:rsidTr="00804C04">
        <w:tc>
          <w:tcPr>
            <w:tcW w:w="8771" w:type="dxa"/>
            <w:tcBorders>
              <w:top w:val="single" w:sz="6" w:space="0" w:color="78A22F"/>
              <w:left w:val="nil"/>
              <w:bottom w:val="nil"/>
              <w:right w:val="nil"/>
            </w:tcBorders>
          </w:tcPr>
          <w:p w:rsidR="00C12AD2" w:rsidRPr="00626D32" w:rsidRDefault="00C12AD2" w:rsidP="00804C04">
            <w:pPr>
              <w:pStyle w:val="BoxSpaceBelow"/>
            </w:pPr>
          </w:p>
        </w:tc>
      </w:tr>
    </w:tbl>
    <w:p w:rsidR="005D20B0" w:rsidRPr="00233108" w:rsidRDefault="00F62431" w:rsidP="00A26D57">
      <w:pPr>
        <w:pStyle w:val="BodyText"/>
      </w:pPr>
      <w:r w:rsidRPr="00E735EE">
        <w:t xml:space="preserve">Nationally in </w:t>
      </w:r>
      <w:r w:rsidR="00822B73" w:rsidRPr="00E735EE">
        <w:t>201</w:t>
      </w:r>
      <w:r w:rsidR="00A04235">
        <w:t>3</w:t>
      </w:r>
      <w:r w:rsidRPr="00E735EE">
        <w:t xml:space="preserve">, </w:t>
      </w:r>
      <w:r w:rsidR="00AD2A4A">
        <w:t>91.3</w:t>
      </w:r>
      <w:r w:rsidR="001812D4">
        <w:t xml:space="preserve"> </w:t>
      </w:r>
      <w:r w:rsidR="00DC3260" w:rsidRPr="00E735EE">
        <w:t>per</w:t>
      </w:r>
      <w:r w:rsidR="001812D4">
        <w:t xml:space="preserve"> </w:t>
      </w:r>
      <w:r w:rsidR="00DC3260" w:rsidRPr="00E735EE">
        <w:t>cent of</w:t>
      </w:r>
      <w:r w:rsidR="00804C04">
        <w:t xml:space="preserve"> Aboriginal and Torres Strait Islander </w:t>
      </w:r>
      <w:r w:rsidR="005D20B0" w:rsidRPr="00E735EE">
        <w:t xml:space="preserve">graduates indicated that they were satisfied </w:t>
      </w:r>
      <w:r w:rsidR="002F62AC" w:rsidRPr="00E735EE">
        <w:t xml:space="preserve">— </w:t>
      </w:r>
      <w:r w:rsidR="00DC3260" w:rsidRPr="00E735EE">
        <w:t xml:space="preserve">an increase </w:t>
      </w:r>
      <w:r w:rsidR="00DC3260" w:rsidRPr="00A26D57">
        <w:t xml:space="preserve">of </w:t>
      </w:r>
      <w:r w:rsidR="00233108" w:rsidRPr="00A26D57">
        <w:t xml:space="preserve">2.7 percentage points from 2009 </w:t>
      </w:r>
      <w:r w:rsidR="00996E6F" w:rsidRPr="00A26D57">
        <w:t>and</w:t>
      </w:r>
      <w:r w:rsidR="00996E6F" w:rsidRPr="00233108">
        <w:t xml:space="preserve"> </w:t>
      </w:r>
      <w:r w:rsidR="00AD2A4A" w:rsidRPr="00233108">
        <w:t>8.5</w:t>
      </w:r>
      <w:r w:rsidR="00DC3260" w:rsidRPr="00233108">
        <w:t xml:space="preserve"> percentage points from</w:t>
      </w:r>
      <w:r w:rsidR="00996E6F" w:rsidRPr="00233108">
        <w:t xml:space="preserve"> </w:t>
      </w:r>
      <w:r w:rsidR="00AD2A4A" w:rsidRPr="00233108">
        <w:t xml:space="preserve">2005 </w:t>
      </w:r>
      <w:r w:rsidR="00DC3260" w:rsidRPr="00233108">
        <w:t>(table </w:t>
      </w:r>
      <w:proofErr w:type="spellStart"/>
      <w:r w:rsidR="00DC3260" w:rsidRPr="00233108">
        <w:t>5A.</w:t>
      </w:r>
      <w:r w:rsidR="00915131" w:rsidRPr="00233108">
        <w:t>71</w:t>
      </w:r>
      <w:proofErr w:type="spellEnd"/>
      <w:r w:rsidR="00DC3260" w:rsidRPr="00233108">
        <w:t xml:space="preserve">) </w:t>
      </w:r>
      <w:r w:rsidR="002F62AC" w:rsidRPr="00233108">
        <w:t>—</w:t>
      </w:r>
      <w:r w:rsidR="00DC3260" w:rsidRPr="00233108">
        <w:t xml:space="preserve"> compared with </w:t>
      </w:r>
      <w:r w:rsidR="00AD2A4A" w:rsidRPr="00233108">
        <w:t>87.4</w:t>
      </w:r>
      <w:r w:rsidR="001812D4" w:rsidRPr="00233108">
        <w:t xml:space="preserve"> </w:t>
      </w:r>
      <w:r w:rsidR="00DC3260" w:rsidRPr="00233108">
        <w:t>per</w:t>
      </w:r>
      <w:r w:rsidR="001812D4" w:rsidRPr="00233108">
        <w:t xml:space="preserve"> </w:t>
      </w:r>
      <w:r w:rsidR="00DC3260" w:rsidRPr="00233108">
        <w:t xml:space="preserve">cent </w:t>
      </w:r>
      <w:r w:rsidR="005D20B0" w:rsidRPr="00233108">
        <w:t xml:space="preserve">of </w:t>
      </w:r>
      <w:r w:rsidR="005D20B0" w:rsidRPr="00E735EE">
        <w:t>non</w:t>
      </w:r>
      <w:r w:rsidR="00BA7089">
        <w:noBreakHyphen/>
      </w:r>
      <w:r w:rsidR="005D20B0" w:rsidRPr="00E735EE">
        <w:t xml:space="preserve">Indigenous graduates </w:t>
      </w:r>
      <w:r w:rsidRPr="00E735EE">
        <w:t xml:space="preserve">and </w:t>
      </w:r>
      <w:r w:rsidR="00AD2A4A">
        <w:t>87.5 </w:t>
      </w:r>
      <w:r w:rsidR="00DC3260" w:rsidRPr="00E735EE">
        <w:t xml:space="preserve">per cent </w:t>
      </w:r>
      <w:r w:rsidRPr="00E735EE">
        <w:t xml:space="preserve">of all graduates </w:t>
      </w:r>
      <w:r w:rsidR="00DC3260" w:rsidRPr="00E735EE">
        <w:t xml:space="preserve">in </w:t>
      </w:r>
      <w:r w:rsidR="00BE4F0A" w:rsidRPr="00E735EE">
        <w:t>201</w:t>
      </w:r>
      <w:r w:rsidR="00A04235">
        <w:t>3</w:t>
      </w:r>
      <w:r w:rsidR="00BE4F0A" w:rsidRPr="00E735EE">
        <w:t xml:space="preserve"> </w:t>
      </w:r>
      <w:r w:rsidR="002F3C15" w:rsidRPr="00E735EE">
        <w:t>(</w:t>
      </w:r>
      <w:r w:rsidR="002F3C15" w:rsidRPr="00233108">
        <w:t>figure</w:t>
      </w:r>
      <w:r w:rsidR="001812D4" w:rsidRPr="00233108">
        <w:t xml:space="preserve"> </w:t>
      </w:r>
      <w:r w:rsidR="00566F23" w:rsidRPr="00233108">
        <w:t>5.3</w:t>
      </w:r>
      <w:r w:rsidR="00A62584" w:rsidRPr="00233108">
        <w:t>8</w:t>
      </w:r>
      <w:r w:rsidR="00233108" w:rsidRPr="00233108">
        <w:t>).</w:t>
      </w:r>
    </w:p>
    <w:p w:rsidR="00C12AD2" w:rsidRDefault="00C12AD2" w:rsidP="00804C0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12AD2" w:rsidTr="00804C04">
        <w:tc>
          <w:tcPr>
            <w:tcW w:w="8771" w:type="dxa"/>
            <w:tcBorders>
              <w:top w:val="single" w:sz="6" w:space="0" w:color="78A22F"/>
              <w:left w:val="nil"/>
              <w:bottom w:val="nil"/>
              <w:right w:val="nil"/>
            </w:tcBorders>
            <w:shd w:val="clear" w:color="auto" w:fill="auto"/>
          </w:tcPr>
          <w:p w:rsidR="00C12AD2" w:rsidRPr="00176D3F" w:rsidRDefault="00C12AD2" w:rsidP="00287099">
            <w:pPr>
              <w:pStyle w:val="FigureTitle"/>
            </w:pPr>
            <w:r w:rsidRPr="00784A05">
              <w:rPr>
                <w:b w:val="0"/>
              </w:rPr>
              <w:t xml:space="preserve">Figure </w:t>
            </w:r>
            <w:r>
              <w:rPr>
                <w:b w:val="0"/>
              </w:rPr>
              <w:t>5.</w:t>
            </w:r>
            <w:r w:rsidR="00D80B1E">
              <w:rPr>
                <w:b w:val="0"/>
                <w:noProof/>
              </w:rPr>
              <w:t>38</w:t>
            </w:r>
            <w:r>
              <w:tab/>
            </w:r>
            <w:r w:rsidRPr="006C44D6">
              <w:t>Proportion of government funded VET graduates who were satisfied with the quality of their completed course, by</w:t>
            </w:r>
            <w:r w:rsidR="00804C04">
              <w:t xml:space="preserve"> </w:t>
            </w:r>
            <w:r w:rsidR="00287099">
              <w:t>Indigenous</w:t>
            </w:r>
            <w:r w:rsidR="00804C04">
              <w:t xml:space="preserve"> </w:t>
            </w:r>
            <w:r w:rsidRPr="006C44D6">
              <w:t>status, 201</w:t>
            </w:r>
            <w:r w:rsidR="00A04235">
              <w:t>3</w:t>
            </w:r>
            <w:r w:rsidRPr="006C44D6">
              <w:rPr>
                <w:rStyle w:val="NoteLabel"/>
                <w:b/>
              </w:rPr>
              <w:t>a, b</w:t>
            </w:r>
          </w:p>
        </w:tc>
      </w:tr>
      <w:tr w:rsidR="00C12AD2" w:rsidTr="00804C04">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C12AD2" w:rsidTr="00C12AD2">
              <w:tc>
                <w:tcPr>
                  <w:tcW w:w="5000" w:type="pct"/>
                  <w:tcBorders>
                    <w:top w:val="nil"/>
                    <w:bottom w:val="nil"/>
                  </w:tcBorders>
                </w:tcPr>
                <w:p w:rsidR="00C12AD2" w:rsidRDefault="003004EB" w:rsidP="00804C04">
                  <w:pPr>
                    <w:pStyle w:val="Figure"/>
                    <w:spacing w:before="60" w:after="60"/>
                  </w:pPr>
                  <w:r>
                    <w:rPr>
                      <w:noProof/>
                    </w:rPr>
                    <w:drawing>
                      <wp:inline distT="0" distB="0" distL="0" distR="0">
                        <wp:extent cx="5391150" cy="2714625"/>
                        <wp:effectExtent l="0" t="0" r="0" b="9525"/>
                        <wp:docPr id="45" name="Picture 45" descr="Figure 5.38 Proportion of government funded VET graduates who were satisfied with the quality of their completed course, by Aboriginal and Torres Strait Islander status, 20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391150" cy="2714625"/>
                                </a:xfrm>
                                <a:prstGeom prst="rect">
                                  <a:avLst/>
                                </a:prstGeom>
                                <a:noFill/>
                                <a:ln>
                                  <a:noFill/>
                                </a:ln>
                              </pic:spPr>
                            </pic:pic>
                          </a:graphicData>
                        </a:graphic>
                      </wp:inline>
                    </w:drawing>
                  </w:r>
                </w:p>
              </w:tc>
            </w:tr>
          </w:tbl>
          <w:p w:rsidR="00C12AD2" w:rsidRDefault="00C12AD2" w:rsidP="00804C04">
            <w:pPr>
              <w:pStyle w:val="Figure"/>
            </w:pPr>
          </w:p>
        </w:tc>
      </w:tr>
      <w:tr w:rsidR="00C12AD2" w:rsidRPr="00176D3F" w:rsidTr="00804C04">
        <w:tc>
          <w:tcPr>
            <w:tcW w:w="8771" w:type="dxa"/>
            <w:tcBorders>
              <w:top w:val="nil"/>
              <w:left w:val="nil"/>
              <w:bottom w:val="nil"/>
              <w:right w:val="nil"/>
            </w:tcBorders>
            <w:shd w:val="clear" w:color="auto" w:fill="auto"/>
          </w:tcPr>
          <w:p w:rsidR="00C12AD2" w:rsidRPr="00176D3F" w:rsidRDefault="00C12AD2" w:rsidP="00804C04">
            <w:pPr>
              <w:pStyle w:val="Note"/>
            </w:pPr>
            <w:r w:rsidRPr="008C1DD2">
              <w:rPr>
                <w:rStyle w:val="NoteLabel"/>
              </w:rPr>
              <w:t>a</w:t>
            </w:r>
            <w:r w:rsidRPr="008C1DD2">
              <w:t xml:space="preserve"> Satisfaction with overall quality of training was rated as satisfied or very satisfied (4 or 5 on a 5 point scale). </w:t>
            </w:r>
            <w:r w:rsidRPr="008C1DD2">
              <w:rPr>
                <w:rStyle w:val="NoteLabel"/>
              </w:rPr>
              <w:t xml:space="preserve">b </w:t>
            </w:r>
            <w:r>
              <w:t>E</w:t>
            </w:r>
            <w:r w:rsidRPr="00171E10">
              <w:t>rror bars represent the 95 per cent confidence interval associated with each point estimate.</w:t>
            </w:r>
          </w:p>
        </w:tc>
      </w:tr>
      <w:tr w:rsidR="00C12AD2" w:rsidRPr="00176D3F" w:rsidTr="00804C04">
        <w:tc>
          <w:tcPr>
            <w:tcW w:w="8771" w:type="dxa"/>
            <w:tcBorders>
              <w:top w:val="nil"/>
              <w:left w:val="nil"/>
              <w:bottom w:val="nil"/>
              <w:right w:val="nil"/>
            </w:tcBorders>
            <w:shd w:val="clear" w:color="auto" w:fill="auto"/>
          </w:tcPr>
          <w:p w:rsidR="00C12AD2" w:rsidRPr="00176D3F" w:rsidRDefault="00C12AD2" w:rsidP="00915131">
            <w:pPr>
              <w:pStyle w:val="Source"/>
            </w:pPr>
            <w:r w:rsidRPr="008C1DD2">
              <w:rPr>
                <w:i/>
              </w:rPr>
              <w:t>Source</w:t>
            </w:r>
            <w:r w:rsidRPr="008C1DD2">
              <w:t xml:space="preserve">: NCVER (unpublished) </w:t>
            </w:r>
            <w:r w:rsidRPr="008C1DD2">
              <w:rPr>
                <w:i/>
              </w:rPr>
              <w:t>Student Outcomes Survey</w:t>
            </w:r>
            <w:r w:rsidRPr="008C1DD2">
              <w:t xml:space="preserve">; tables </w:t>
            </w:r>
            <w:proofErr w:type="spellStart"/>
            <w:r w:rsidRPr="008C1DD2">
              <w:t>5A.</w:t>
            </w:r>
            <w:r w:rsidR="00915131">
              <w:t>70</w:t>
            </w:r>
            <w:proofErr w:type="spellEnd"/>
            <w:r w:rsidRPr="008C1DD2">
              <w:t>–</w:t>
            </w:r>
            <w:r>
              <w:t>7</w:t>
            </w:r>
            <w:r w:rsidR="00915131">
              <w:t>2</w:t>
            </w:r>
            <w:r w:rsidRPr="008C1DD2">
              <w:t>.</w:t>
            </w:r>
          </w:p>
        </w:tc>
      </w:tr>
      <w:tr w:rsidR="00C12AD2" w:rsidTr="00804C04">
        <w:tc>
          <w:tcPr>
            <w:tcW w:w="8771" w:type="dxa"/>
            <w:tcBorders>
              <w:top w:val="nil"/>
              <w:left w:val="nil"/>
              <w:bottom w:val="single" w:sz="6" w:space="0" w:color="78A22F"/>
              <w:right w:val="nil"/>
            </w:tcBorders>
            <w:shd w:val="clear" w:color="auto" w:fill="auto"/>
          </w:tcPr>
          <w:p w:rsidR="00C12AD2" w:rsidRDefault="00C12AD2" w:rsidP="00804C04">
            <w:pPr>
              <w:pStyle w:val="Figurespace"/>
            </w:pPr>
          </w:p>
        </w:tc>
      </w:tr>
      <w:tr w:rsidR="00C12AD2" w:rsidRPr="000863A5" w:rsidTr="00804C04">
        <w:tc>
          <w:tcPr>
            <w:tcW w:w="8771" w:type="dxa"/>
            <w:tcBorders>
              <w:top w:val="single" w:sz="6" w:space="0" w:color="78A22F"/>
              <w:left w:val="nil"/>
              <w:bottom w:val="nil"/>
              <w:right w:val="nil"/>
            </w:tcBorders>
          </w:tcPr>
          <w:p w:rsidR="00C12AD2" w:rsidRPr="00626D32" w:rsidRDefault="00C12AD2" w:rsidP="00804C04">
            <w:pPr>
              <w:pStyle w:val="BoxSpaceBelow"/>
            </w:pPr>
          </w:p>
        </w:tc>
      </w:tr>
    </w:tbl>
    <w:p w:rsidR="00972ECF" w:rsidRDefault="00FB3C30" w:rsidP="0012147B">
      <w:pPr>
        <w:pStyle w:val="BodyText"/>
      </w:pPr>
      <w:r w:rsidRPr="00E735EE">
        <w:t>Nationally in 201</w:t>
      </w:r>
      <w:r w:rsidR="00A04235">
        <w:t>3</w:t>
      </w:r>
      <w:r w:rsidRPr="00E735EE">
        <w:t xml:space="preserve">, </w:t>
      </w:r>
      <w:r w:rsidR="00D9577B">
        <w:t>87.4</w:t>
      </w:r>
      <w:r w:rsidR="001812D4">
        <w:t xml:space="preserve"> </w:t>
      </w:r>
      <w:r w:rsidRPr="00E735EE">
        <w:t>per</w:t>
      </w:r>
      <w:r w:rsidR="001812D4">
        <w:t xml:space="preserve"> </w:t>
      </w:r>
      <w:r w:rsidRPr="00E735EE">
        <w:t xml:space="preserve">cent of graduates who had been seeking employment related outcomes indicated that they were satisfied with the quality of their completed training, compared with </w:t>
      </w:r>
      <w:r w:rsidR="00D9577B">
        <w:t>87.7</w:t>
      </w:r>
      <w:r w:rsidR="001812D4">
        <w:t xml:space="preserve"> </w:t>
      </w:r>
      <w:r w:rsidRPr="00E735EE">
        <w:t>per</w:t>
      </w:r>
      <w:r w:rsidR="001812D4">
        <w:t xml:space="preserve"> </w:t>
      </w:r>
      <w:r w:rsidRPr="00E735EE">
        <w:t xml:space="preserve">cent of graduates seeking further study outcomes and </w:t>
      </w:r>
      <w:r w:rsidR="00D9577B">
        <w:t>87.3</w:t>
      </w:r>
      <w:r w:rsidR="001812D4">
        <w:t xml:space="preserve"> </w:t>
      </w:r>
      <w:r w:rsidRPr="00E735EE">
        <w:t>per</w:t>
      </w:r>
      <w:r w:rsidR="001812D4">
        <w:t xml:space="preserve"> </w:t>
      </w:r>
      <w:r w:rsidRPr="00E735EE">
        <w:t xml:space="preserve">cent of those seeking personal </w:t>
      </w:r>
      <w:r w:rsidRPr="00EF5A5F">
        <w:t>development outcomes</w:t>
      </w:r>
      <w:r w:rsidRPr="00EF5A5F" w:rsidDel="00FB3C30">
        <w:t xml:space="preserve"> </w:t>
      </w:r>
      <w:r w:rsidR="00C57336" w:rsidRPr="00EF5A5F">
        <w:t xml:space="preserve">(figure </w:t>
      </w:r>
      <w:r w:rsidR="00566F23">
        <w:t>5.3</w:t>
      </w:r>
      <w:r w:rsidR="00A62584">
        <w:t>9</w:t>
      </w:r>
      <w:r w:rsidR="00C57336" w:rsidRPr="00EF5A5F">
        <w:t xml:space="preserve">). </w:t>
      </w:r>
    </w:p>
    <w:p w:rsidR="00C12AD2" w:rsidRDefault="00C12AD2" w:rsidP="00804C0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12AD2" w:rsidTr="00804C04">
        <w:tc>
          <w:tcPr>
            <w:tcW w:w="8771" w:type="dxa"/>
            <w:tcBorders>
              <w:top w:val="single" w:sz="6" w:space="0" w:color="78A22F"/>
              <w:left w:val="nil"/>
              <w:bottom w:val="nil"/>
              <w:right w:val="nil"/>
            </w:tcBorders>
            <w:shd w:val="clear" w:color="auto" w:fill="auto"/>
          </w:tcPr>
          <w:p w:rsidR="00C12AD2" w:rsidRPr="00176D3F" w:rsidRDefault="00C12AD2" w:rsidP="00A04235">
            <w:pPr>
              <w:pStyle w:val="FigureTitle"/>
            </w:pPr>
            <w:r w:rsidRPr="00784A05">
              <w:rPr>
                <w:b w:val="0"/>
              </w:rPr>
              <w:t xml:space="preserve">Figure </w:t>
            </w:r>
            <w:r w:rsidR="00DC4F0C">
              <w:rPr>
                <w:b w:val="0"/>
              </w:rPr>
              <w:t>5.</w:t>
            </w:r>
            <w:r w:rsidR="00D80B1E">
              <w:rPr>
                <w:b w:val="0"/>
                <w:noProof/>
              </w:rPr>
              <w:t>39</w:t>
            </w:r>
            <w:r>
              <w:tab/>
            </w:r>
            <w:r w:rsidRPr="006C44D6">
              <w:t>Proportion of government funded VET graduates who were satisfied with the quality of their completed course, by purpose of study, 201</w:t>
            </w:r>
            <w:r w:rsidR="00A04235">
              <w:t>3</w:t>
            </w:r>
            <w:r w:rsidRPr="006C44D6">
              <w:rPr>
                <w:rStyle w:val="NoteLabel"/>
                <w:b/>
              </w:rPr>
              <w:t>a, b</w:t>
            </w:r>
          </w:p>
        </w:tc>
      </w:tr>
      <w:tr w:rsidR="00C12AD2" w:rsidTr="00804C04">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C12AD2" w:rsidTr="00C12AD2">
              <w:tc>
                <w:tcPr>
                  <w:tcW w:w="5000" w:type="pct"/>
                  <w:tcBorders>
                    <w:top w:val="nil"/>
                    <w:bottom w:val="nil"/>
                  </w:tcBorders>
                </w:tcPr>
                <w:p w:rsidR="00C12AD2" w:rsidRDefault="003004EB" w:rsidP="00804C04">
                  <w:pPr>
                    <w:pStyle w:val="Figure"/>
                    <w:spacing w:before="60" w:after="60"/>
                  </w:pPr>
                  <w:r>
                    <w:rPr>
                      <w:noProof/>
                    </w:rPr>
                    <w:drawing>
                      <wp:inline distT="0" distB="0" distL="0" distR="0">
                        <wp:extent cx="5391150" cy="2714625"/>
                        <wp:effectExtent l="0" t="0" r="0" b="9525"/>
                        <wp:docPr id="46" name="Picture 46" descr="Figure 5.39 Proportion of government funded VET graduates who were satisfied with the quality of their completed course, by purpose of study, 20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391150" cy="2714625"/>
                                </a:xfrm>
                                <a:prstGeom prst="rect">
                                  <a:avLst/>
                                </a:prstGeom>
                                <a:noFill/>
                                <a:ln>
                                  <a:noFill/>
                                </a:ln>
                              </pic:spPr>
                            </pic:pic>
                          </a:graphicData>
                        </a:graphic>
                      </wp:inline>
                    </w:drawing>
                  </w:r>
                </w:p>
              </w:tc>
            </w:tr>
          </w:tbl>
          <w:p w:rsidR="00C12AD2" w:rsidRDefault="00C12AD2" w:rsidP="00804C04">
            <w:pPr>
              <w:pStyle w:val="Figure"/>
            </w:pPr>
          </w:p>
        </w:tc>
      </w:tr>
      <w:tr w:rsidR="00C12AD2" w:rsidRPr="00176D3F" w:rsidTr="00804C04">
        <w:tc>
          <w:tcPr>
            <w:tcW w:w="8771" w:type="dxa"/>
            <w:tcBorders>
              <w:top w:val="nil"/>
              <w:left w:val="nil"/>
              <w:bottom w:val="nil"/>
              <w:right w:val="nil"/>
            </w:tcBorders>
            <w:shd w:val="clear" w:color="auto" w:fill="auto"/>
          </w:tcPr>
          <w:p w:rsidR="00C12AD2" w:rsidRPr="00176D3F" w:rsidRDefault="00C12AD2" w:rsidP="00804C04">
            <w:pPr>
              <w:pStyle w:val="Note"/>
            </w:pPr>
            <w:r w:rsidRPr="008C1DD2">
              <w:rPr>
                <w:rStyle w:val="NoteLabel"/>
              </w:rPr>
              <w:t>a</w:t>
            </w:r>
            <w:r w:rsidRPr="008C1DD2">
              <w:t xml:space="preserve"> Satisfaction with overall quality of training was rated as satisfied or very satisfied (4 or 5 on a 5 point scale). </w:t>
            </w:r>
            <w:r w:rsidRPr="008C1DD2">
              <w:rPr>
                <w:rStyle w:val="NoteLabel"/>
              </w:rPr>
              <w:t>b</w:t>
            </w:r>
            <w:r w:rsidRPr="008C1DD2">
              <w:t xml:space="preserve"> </w:t>
            </w:r>
            <w:r>
              <w:t>E</w:t>
            </w:r>
            <w:r w:rsidRPr="00171E10">
              <w:t>rror bars represent the 95 per cent confidence interval associated with each point estimate.</w:t>
            </w:r>
          </w:p>
        </w:tc>
      </w:tr>
      <w:tr w:rsidR="00C12AD2" w:rsidRPr="00176D3F" w:rsidTr="00804C04">
        <w:tc>
          <w:tcPr>
            <w:tcW w:w="8771" w:type="dxa"/>
            <w:tcBorders>
              <w:top w:val="nil"/>
              <w:left w:val="nil"/>
              <w:bottom w:val="nil"/>
              <w:right w:val="nil"/>
            </w:tcBorders>
            <w:shd w:val="clear" w:color="auto" w:fill="auto"/>
          </w:tcPr>
          <w:p w:rsidR="00C12AD2" w:rsidRPr="00176D3F" w:rsidRDefault="00C12AD2" w:rsidP="00915131">
            <w:pPr>
              <w:pStyle w:val="Source"/>
            </w:pPr>
            <w:r w:rsidRPr="008C1DD2">
              <w:rPr>
                <w:i/>
              </w:rPr>
              <w:t>Source</w:t>
            </w:r>
            <w:r w:rsidRPr="008C1DD2">
              <w:t xml:space="preserve">: NCVER (unpublished) </w:t>
            </w:r>
            <w:r w:rsidRPr="008C1DD2">
              <w:rPr>
                <w:i/>
              </w:rPr>
              <w:t>Student Outcomes Survey</w:t>
            </w:r>
            <w:r w:rsidRPr="008C1DD2">
              <w:t xml:space="preserve">; table </w:t>
            </w:r>
            <w:proofErr w:type="spellStart"/>
            <w:r w:rsidRPr="008C1DD2">
              <w:t>5A.</w:t>
            </w:r>
            <w:r w:rsidR="00915131">
              <w:t>70</w:t>
            </w:r>
            <w:proofErr w:type="spellEnd"/>
            <w:r w:rsidRPr="008C1DD2">
              <w:t>.</w:t>
            </w:r>
          </w:p>
        </w:tc>
      </w:tr>
      <w:tr w:rsidR="00C12AD2" w:rsidTr="00804C04">
        <w:tc>
          <w:tcPr>
            <w:tcW w:w="8771" w:type="dxa"/>
            <w:tcBorders>
              <w:top w:val="nil"/>
              <w:left w:val="nil"/>
              <w:bottom w:val="single" w:sz="6" w:space="0" w:color="78A22F"/>
              <w:right w:val="nil"/>
            </w:tcBorders>
            <w:shd w:val="clear" w:color="auto" w:fill="auto"/>
          </w:tcPr>
          <w:p w:rsidR="00C12AD2" w:rsidRDefault="00C12AD2" w:rsidP="00804C04">
            <w:pPr>
              <w:pStyle w:val="Figurespace"/>
            </w:pPr>
          </w:p>
        </w:tc>
      </w:tr>
      <w:tr w:rsidR="00C12AD2" w:rsidRPr="000863A5" w:rsidTr="00804C04">
        <w:tc>
          <w:tcPr>
            <w:tcW w:w="8771" w:type="dxa"/>
            <w:tcBorders>
              <w:top w:val="single" w:sz="6" w:space="0" w:color="78A22F"/>
              <w:left w:val="nil"/>
              <w:bottom w:val="nil"/>
              <w:right w:val="nil"/>
            </w:tcBorders>
          </w:tcPr>
          <w:p w:rsidR="00C12AD2" w:rsidRPr="00626D32" w:rsidRDefault="00C12AD2" w:rsidP="00804C04">
            <w:pPr>
              <w:pStyle w:val="BoxSpaceBelow"/>
            </w:pPr>
          </w:p>
        </w:tc>
      </w:tr>
    </w:tbl>
    <w:p w:rsidR="001A1F53" w:rsidRDefault="0033420F" w:rsidP="00E645BC">
      <w:pPr>
        <w:pStyle w:val="BodyText"/>
        <w:rPr>
          <w:shd w:val="clear" w:color="auto" w:fill="FFFF00"/>
        </w:rPr>
      </w:pPr>
      <w:r w:rsidRPr="00E735EE">
        <w:t>Nationally</w:t>
      </w:r>
      <w:r w:rsidR="00525BBE" w:rsidRPr="00E735EE">
        <w:t xml:space="preserve"> in </w:t>
      </w:r>
      <w:r w:rsidR="002842B1" w:rsidRPr="00E735EE">
        <w:t>201</w:t>
      </w:r>
      <w:r w:rsidR="00A04235">
        <w:t>3</w:t>
      </w:r>
      <w:r w:rsidRPr="00E735EE">
        <w:t xml:space="preserve">, </w:t>
      </w:r>
      <w:r w:rsidR="00D9577B">
        <w:t xml:space="preserve">90.8 </w:t>
      </w:r>
      <w:r w:rsidR="00525BBE" w:rsidRPr="00E735EE">
        <w:t>per</w:t>
      </w:r>
      <w:r w:rsidR="001812D4">
        <w:t xml:space="preserve"> </w:t>
      </w:r>
      <w:r w:rsidR="00525BBE" w:rsidRPr="00E735EE">
        <w:t>cent of</w:t>
      </w:r>
      <w:r w:rsidR="00804C04">
        <w:t xml:space="preserve"> Aboriginal and Torres Strait Islander </w:t>
      </w:r>
      <w:r w:rsidR="0056321C" w:rsidRPr="00E735EE">
        <w:t xml:space="preserve">graduates who had been </w:t>
      </w:r>
      <w:r w:rsidR="001A1F53" w:rsidRPr="00E735EE">
        <w:t xml:space="preserve">seeking employment related outcomes </w:t>
      </w:r>
      <w:r w:rsidR="00525BBE" w:rsidRPr="00E735EE">
        <w:t xml:space="preserve">indicated that they were satisfied, compared with </w:t>
      </w:r>
      <w:r w:rsidR="00D9577B">
        <w:t>92.7</w:t>
      </w:r>
      <w:r w:rsidR="001812D4">
        <w:t xml:space="preserve"> </w:t>
      </w:r>
      <w:r w:rsidR="00525BBE" w:rsidRPr="00E735EE">
        <w:t>per</w:t>
      </w:r>
      <w:r w:rsidR="001812D4">
        <w:t xml:space="preserve"> </w:t>
      </w:r>
      <w:r w:rsidR="00525BBE" w:rsidRPr="00E735EE">
        <w:t>cent of</w:t>
      </w:r>
      <w:r w:rsidR="00804C04">
        <w:t xml:space="preserve"> Aboriginal and Torres Strait Islander </w:t>
      </w:r>
      <w:r w:rsidR="00525BBE" w:rsidRPr="00E735EE">
        <w:t>graduates</w:t>
      </w:r>
      <w:r w:rsidR="001A1F53" w:rsidRPr="00E735EE">
        <w:t xml:space="preserve"> seeking further study outcomes and </w:t>
      </w:r>
      <w:r w:rsidR="00D9577B">
        <w:t>93.4 </w:t>
      </w:r>
      <w:r w:rsidR="00525BBE" w:rsidRPr="00E735EE">
        <w:t xml:space="preserve">per cent </w:t>
      </w:r>
      <w:r w:rsidR="00525BBE" w:rsidRPr="000C682B">
        <w:rPr>
          <w:shd w:val="clear" w:color="auto" w:fill="FFFFFF" w:themeFill="background1"/>
        </w:rPr>
        <w:t>of</w:t>
      </w:r>
      <w:r w:rsidR="00804C04">
        <w:rPr>
          <w:shd w:val="clear" w:color="auto" w:fill="FFFFFF" w:themeFill="background1"/>
        </w:rPr>
        <w:t xml:space="preserve"> Aboriginal and Torres Strait Islander </w:t>
      </w:r>
      <w:r w:rsidR="00525BBE" w:rsidRPr="000C682B">
        <w:rPr>
          <w:shd w:val="clear" w:color="auto" w:fill="FFFFFF" w:themeFill="background1"/>
        </w:rPr>
        <w:t xml:space="preserve">graduates </w:t>
      </w:r>
      <w:r w:rsidR="001A1F53" w:rsidRPr="000C682B">
        <w:rPr>
          <w:shd w:val="clear" w:color="auto" w:fill="FFFFFF" w:themeFill="background1"/>
        </w:rPr>
        <w:t>seeking personal development outcomes (</w:t>
      </w:r>
      <w:r w:rsidR="00294FD0" w:rsidRPr="000C682B">
        <w:rPr>
          <w:shd w:val="clear" w:color="auto" w:fill="FFFFFF" w:themeFill="background1"/>
        </w:rPr>
        <w:t xml:space="preserve">table </w:t>
      </w:r>
      <w:proofErr w:type="spellStart"/>
      <w:r w:rsidR="00294FD0" w:rsidRPr="000C682B">
        <w:rPr>
          <w:shd w:val="clear" w:color="auto" w:fill="FFFFFF" w:themeFill="background1"/>
        </w:rPr>
        <w:t>5A.</w:t>
      </w:r>
      <w:r w:rsidR="00915131">
        <w:rPr>
          <w:shd w:val="clear" w:color="auto" w:fill="FFFFFF" w:themeFill="background1"/>
        </w:rPr>
        <w:t>71</w:t>
      </w:r>
      <w:proofErr w:type="spellEnd"/>
      <w:r w:rsidR="001A1F53" w:rsidRPr="000C682B">
        <w:rPr>
          <w:shd w:val="clear" w:color="auto" w:fill="FFFFFF" w:themeFill="background1"/>
        </w:rPr>
        <w:t>).</w:t>
      </w:r>
    </w:p>
    <w:p w:rsidR="00A842C3" w:rsidRPr="00EF5A5F" w:rsidRDefault="00A842C3" w:rsidP="000A32E5">
      <w:pPr>
        <w:pStyle w:val="BodyText"/>
      </w:pPr>
      <w:r w:rsidRPr="00EF5A5F">
        <w:t>A further</w:t>
      </w:r>
      <w:r w:rsidR="00B57292">
        <w:t xml:space="preserve"> disaggregation by non-Indigenous</w:t>
      </w:r>
      <w:r w:rsidR="00D80B1E">
        <w:t xml:space="preserve"> graduates</w:t>
      </w:r>
      <w:r w:rsidR="00B57292">
        <w:t xml:space="preserve">, by target groups </w:t>
      </w:r>
      <w:r w:rsidRPr="00EF5A5F">
        <w:t xml:space="preserve">and by geographical classifications, can be found in attachment tables </w:t>
      </w:r>
      <w:proofErr w:type="spellStart"/>
      <w:r w:rsidRPr="00EF5A5F">
        <w:t>5A.</w:t>
      </w:r>
      <w:r w:rsidR="00E94ABA">
        <w:t>7</w:t>
      </w:r>
      <w:r w:rsidR="00915131">
        <w:t>2</w:t>
      </w:r>
      <w:proofErr w:type="spellEnd"/>
      <w:r w:rsidR="007E21CC" w:rsidRPr="00EF5A5F">
        <w:t>–</w:t>
      </w:r>
      <w:r w:rsidR="007E21CC">
        <w:t>7</w:t>
      </w:r>
      <w:r w:rsidR="00915131">
        <w:t>8</w:t>
      </w:r>
      <w:r w:rsidRPr="00EF5A5F">
        <w:t>.</w:t>
      </w:r>
    </w:p>
    <w:p w:rsidR="00C57336" w:rsidRPr="00EF5A5F" w:rsidRDefault="00C57336" w:rsidP="00281C53">
      <w:pPr>
        <w:pStyle w:val="Heading5"/>
      </w:pPr>
      <w:r w:rsidRPr="00EF5A5F">
        <w:t>Skill profile</w:t>
      </w:r>
    </w:p>
    <w:p w:rsidR="00C57336" w:rsidRPr="00EF5A5F" w:rsidRDefault="009E1851" w:rsidP="00622364">
      <w:pPr>
        <w:pStyle w:val="BodyText"/>
      </w:pPr>
      <w:r w:rsidRPr="00EF5A5F">
        <w:t xml:space="preserve">‘Skill profile’ is an indicator of </w:t>
      </w:r>
      <w:r w:rsidR="00B14FA0" w:rsidRPr="00EF5A5F">
        <w:t xml:space="preserve">governments’ objective </w:t>
      </w:r>
      <w:r w:rsidRPr="00EF5A5F">
        <w:t xml:space="preserve">to create and maintain a national pool of skilled Australian workers that is sufficient to support internationally competitive commerce and industry. It measures the stock of VET skills held by Australians </w:t>
      </w:r>
      <w:r w:rsidR="00C57336" w:rsidRPr="00EF5A5F">
        <w:t>(box</w:t>
      </w:r>
      <w:r w:rsidR="00E7483B">
        <w:t> </w:t>
      </w:r>
      <w:r w:rsidR="00A11395">
        <w:t>5.1</w:t>
      </w:r>
      <w:r w:rsidR="00744681">
        <w:t>6</w:t>
      </w:r>
      <w:r w:rsidR="00824219" w:rsidRPr="00EF5A5F">
        <w:t>)</w:t>
      </w:r>
      <w:r w:rsidR="00845221" w:rsidRPr="00EF5A5F">
        <w:t>.</w:t>
      </w:r>
    </w:p>
    <w:p w:rsidR="00C12AD2" w:rsidRDefault="00C12AD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12AD2" w:rsidTr="00804C04">
        <w:tc>
          <w:tcPr>
            <w:tcW w:w="8771" w:type="dxa"/>
            <w:tcBorders>
              <w:top w:val="single" w:sz="6" w:space="0" w:color="78A22F"/>
              <w:left w:val="nil"/>
              <w:bottom w:val="nil"/>
              <w:right w:val="nil"/>
            </w:tcBorders>
            <w:shd w:val="clear" w:color="auto" w:fill="F2F2F2" w:themeFill="background1" w:themeFillShade="F2"/>
          </w:tcPr>
          <w:p w:rsidR="00C12AD2" w:rsidRDefault="00C12AD2" w:rsidP="00E7483B">
            <w:pPr>
              <w:pStyle w:val="BoxTitle"/>
            </w:pPr>
            <w:r>
              <w:rPr>
                <w:b w:val="0"/>
              </w:rPr>
              <w:t xml:space="preserve">Box </w:t>
            </w:r>
            <w:bookmarkStart w:id="10" w:name="OLE_LINK3"/>
            <w:r>
              <w:rPr>
                <w:b w:val="0"/>
              </w:rPr>
              <w:t>5.</w:t>
            </w:r>
            <w:r w:rsidR="00D80B1E">
              <w:rPr>
                <w:b w:val="0"/>
                <w:noProof/>
              </w:rPr>
              <w:t>16</w:t>
            </w:r>
            <w:bookmarkEnd w:id="10"/>
            <w:r>
              <w:tab/>
            </w:r>
            <w:r w:rsidR="00E7483B" w:rsidRPr="00EF5A5F">
              <w:t>Skill profile</w:t>
            </w:r>
          </w:p>
        </w:tc>
      </w:tr>
      <w:tr w:rsidR="00E7483B" w:rsidTr="00804C04">
        <w:trPr>
          <w:cantSplit/>
        </w:trPr>
        <w:tc>
          <w:tcPr>
            <w:tcW w:w="8771" w:type="dxa"/>
            <w:tcBorders>
              <w:top w:val="nil"/>
              <w:left w:val="nil"/>
              <w:bottom w:val="nil"/>
              <w:right w:val="nil"/>
            </w:tcBorders>
            <w:shd w:val="clear" w:color="auto" w:fill="F2F2F2" w:themeFill="background1" w:themeFillShade="F2"/>
          </w:tcPr>
          <w:p w:rsidR="00E7483B" w:rsidRPr="00EF5A5F" w:rsidRDefault="00E7483B" w:rsidP="00804C04">
            <w:pPr>
              <w:pStyle w:val="Box"/>
            </w:pPr>
            <w:r w:rsidRPr="0014685B">
              <w:t>‘Skill profile’ is currently unable to be measured, and in the interim ‘skill outputs from VET’ is reported as a proxy</w:t>
            </w:r>
            <w:r w:rsidRPr="00DC72B5">
              <w:t>.</w:t>
            </w:r>
            <w:r w:rsidRPr="00EF5A5F">
              <w:t xml:space="preserve"> ‘Skill outputs from VET’ is defined by </w:t>
            </w:r>
            <w:r>
              <w:t>three</w:t>
            </w:r>
            <w:r w:rsidRPr="00EF5A5F">
              <w:t xml:space="preserve"> measures of students’ skill outputs from the VET system </w:t>
            </w:r>
            <w:r w:rsidR="0012769F">
              <w:t>in a given year.</w:t>
            </w:r>
          </w:p>
          <w:p w:rsidR="00E7483B" w:rsidRPr="00E95EF7" w:rsidRDefault="00E7483B" w:rsidP="00804C04">
            <w:pPr>
              <w:pStyle w:val="Box"/>
            </w:pPr>
            <w:r>
              <w:t>‘</w:t>
            </w:r>
            <w:r w:rsidRPr="00E95EF7">
              <w:t xml:space="preserve">Qualifications completed’ is defined as the number of qualifications achieved/passed each </w:t>
            </w:r>
            <w:r w:rsidRPr="00E7483B">
              <w:t>year by both government funded and non-government funded VET students (currently collected by NCVER, where a qualification is a certification to a person on successful completion of a course in</w:t>
            </w:r>
            <w:r w:rsidRPr="00E95EF7">
              <w:t xml:space="preserve"> recognition of having achieved particular knowledge, skills or competencies</w:t>
            </w:r>
            <w:r>
              <w:t>)</w:t>
            </w:r>
            <w:r w:rsidRPr="00E95EF7">
              <w:t>. The annual change in qualifications completed is defined as the percentage change of qualifications from year to year</w:t>
            </w:r>
            <w:r>
              <w:t>.</w:t>
            </w:r>
          </w:p>
          <w:p w:rsidR="00E7483B" w:rsidRDefault="00E7483B" w:rsidP="00804C04">
            <w:pPr>
              <w:pStyle w:val="Box"/>
            </w:pPr>
            <w:r>
              <w:t>Dat</w:t>
            </w:r>
            <w:r w:rsidR="00744681">
              <w:t>a reported for this measure are:</w:t>
            </w:r>
          </w:p>
          <w:p w:rsidR="00E7483B" w:rsidRDefault="00E7483B" w:rsidP="00804C04">
            <w:pPr>
              <w:pStyle w:val="BoxListBullet"/>
            </w:pPr>
            <w:r>
              <w:t>comparable (subject to caveats) across jurisdictions and over time</w:t>
            </w:r>
          </w:p>
          <w:p w:rsidR="00E7483B" w:rsidRDefault="00E7483B" w:rsidP="00804C04">
            <w:pPr>
              <w:pStyle w:val="BoxListBullet"/>
            </w:pPr>
            <w:r>
              <w:t>complete for the current reporting period (subject to caveats). All required 201</w:t>
            </w:r>
            <w:r w:rsidR="00EC3A5E">
              <w:t>2</w:t>
            </w:r>
            <w:r>
              <w:t xml:space="preserve"> data are available for all jurisdictions providing the service.</w:t>
            </w:r>
          </w:p>
          <w:p w:rsidR="00E7483B" w:rsidRDefault="00E7483B" w:rsidP="00804C04">
            <w:pPr>
              <w:pStyle w:val="Box"/>
            </w:pPr>
            <w:r w:rsidRPr="00797F43">
              <w:t xml:space="preserve">‘Units of competency and modules completed’ is defined as the sum of the number of units of competency achieved/passed each year by government funded VET students and the number of modules (outside training packages) achieved/passed each year by government funded VET students. A unit of competency is a component of a competency standard and/or a statement of a key function or role in a particular job or occupation. A module (also called a subject) is a unit of education or training which can be completed on its own or as part of a course. Modules may also result in the attainment of one or more units of competency. The annual change in </w:t>
            </w:r>
            <w:r w:rsidR="0012769F">
              <w:t>‘</w:t>
            </w:r>
            <w:r w:rsidRPr="00797F43">
              <w:t>Units of competency and modules completed’ is defined as the percentage change of units of c</w:t>
            </w:r>
            <w:r w:rsidR="00D80B1E">
              <w:t>ompetency and modules completed</w:t>
            </w:r>
            <w:r w:rsidRPr="00797F43">
              <w:t xml:space="preserve"> from year to year</w:t>
            </w:r>
            <w:r>
              <w:t>.</w:t>
            </w:r>
          </w:p>
          <w:p w:rsidR="00E7483B" w:rsidRDefault="00E7483B" w:rsidP="00804C04">
            <w:pPr>
              <w:pStyle w:val="Box"/>
            </w:pPr>
            <w:r w:rsidRPr="00E95EF7">
              <w:t>Data reported for this measure are</w:t>
            </w:r>
            <w:r w:rsidR="00744681">
              <w:t>:</w:t>
            </w:r>
            <w:r>
              <w:t xml:space="preserve"> </w:t>
            </w:r>
          </w:p>
          <w:p w:rsidR="00E7483B" w:rsidRPr="00E95EF7" w:rsidRDefault="00E7483B" w:rsidP="00804C04">
            <w:pPr>
              <w:pStyle w:val="BoxListBullet"/>
            </w:pPr>
            <w:r w:rsidRPr="00E95EF7">
              <w:t xml:space="preserve">comparable (subject to caveats) within jurisdictions over time but are not </w:t>
            </w:r>
            <w:r w:rsidR="00744681">
              <w:t>comparable across jurisdictions</w:t>
            </w:r>
          </w:p>
          <w:p w:rsidR="00BF6A27" w:rsidRDefault="00E7483B" w:rsidP="00BF6A27">
            <w:pPr>
              <w:pStyle w:val="BoxListBullet"/>
            </w:pPr>
            <w:r w:rsidRPr="00E95EF7">
              <w:t xml:space="preserve">complete for the current reporting period (subject to caveats). All required </w:t>
            </w:r>
            <w:r>
              <w:t>201</w:t>
            </w:r>
            <w:r w:rsidR="00EC3A5E">
              <w:t>3</w:t>
            </w:r>
            <w:r w:rsidRPr="00E95EF7">
              <w:t xml:space="preserve"> data are available for all jurisdictions providing the service.</w:t>
            </w:r>
            <w:r w:rsidR="00BF6A27" w:rsidRPr="00EF5A5F">
              <w:t xml:space="preserve"> </w:t>
            </w:r>
          </w:p>
          <w:p w:rsidR="00BF6A27" w:rsidRDefault="00BF6A27" w:rsidP="00BF6A27">
            <w:pPr>
              <w:pStyle w:val="Box"/>
            </w:pPr>
            <w:r w:rsidRPr="00EF5A5F">
              <w:t xml:space="preserve">‘Qualification Equivalents’ is defined as the number of </w:t>
            </w:r>
            <w:r>
              <w:t xml:space="preserve">annual hours of </w:t>
            </w:r>
            <w:r w:rsidRPr="00EF5A5F">
              <w:t xml:space="preserve">training activity associated with successful completions of modules and units of competency by government funded VET students, divided by an agreed value of </w:t>
            </w:r>
            <w:r>
              <w:t xml:space="preserve">annual hours of </w:t>
            </w:r>
            <w:r w:rsidRPr="00EF5A5F">
              <w:t>training activit</w:t>
            </w:r>
            <w:r>
              <w:t xml:space="preserve">y representing a qualification. The annual change in </w:t>
            </w:r>
            <w:r w:rsidRPr="00EA02CF">
              <w:t>Qualification Equivalents’</w:t>
            </w:r>
            <w:r>
              <w:t xml:space="preserve"> </w:t>
            </w:r>
            <w:r w:rsidRPr="00EA02CF">
              <w:t>is defined as the percentage change of</w:t>
            </w:r>
            <w:r>
              <w:t xml:space="preserve"> </w:t>
            </w:r>
            <w:r w:rsidRPr="00EA02CF">
              <w:t>Qualification Equivalents from year to year</w:t>
            </w:r>
            <w:r>
              <w:t>.</w:t>
            </w:r>
          </w:p>
          <w:p w:rsidR="0012769F" w:rsidRPr="00EF5A5F" w:rsidRDefault="0012769F" w:rsidP="0012769F">
            <w:pPr>
              <w:pStyle w:val="Box"/>
            </w:pPr>
            <w:r w:rsidRPr="00EF5A5F">
              <w:t>Holding other factors constant, high or increasing numbers of qualifications completed and units of competency or modules achieved/passed results in an increase in the stock of VET skills.</w:t>
            </w:r>
          </w:p>
          <w:p w:rsidR="0012769F" w:rsidRDefault="0012769F" w:rsidP="0012769F">
            <w:pPr>
              <w:pStyle w:val="Box"/>
            </w:pPr>
            <w:r>
              <w:t xml:space="preserve">Data reported for this measure are </w:t>
            </w:r>
          </w:p>
          <w:p w:rsidR="0012769F" w:rsidRDefault="0012769F" w:rsidP="0012769F">
            <w:pPr>
              <w:pStyle w:val="BoxListBullet"/>
            </w:pPr>
            <w:r>
              <w:t>comparable (subject to caveats) across jurisdictions and over time</w:t>
            </w:r>
          </w:p>
          <w:p w:rsidR="0012769F" w:rsidRDefault="0012769F" w:rsidP="00BF6A27">
            <w:pPr>
              <w:pStyle w:val="BoxListBullet"/>
            </w:pPr>
            <w:r>
              <w:t xml:space="preserve">complete for the current reporting period (subject to caveats). </w:t>
            </w:r>
            <w:r w:rsidRPr="00EC3A5E">
              <w:t xml:space="preserve">All required </w:t>
            </w:r>
            <w:r>
              <w:t xml:space="preserve">2012 and </w:t>
            </w:r>
            <w:r w:rsidRPr="00EC3A5E">
              <w:t>2013 data are available for all juris</w:t>
            </w:r>
            <w:r>
              <w:t>dictions providing the service.</w:t>
            </w:r>
          </w:p>
        </w:tc>
      </w:tr>
      <w:tr w:rsidR="00E7483B" w:rsidTr="00804C04">
        <w:trPr>
          <w:cantSplit/>
        </w:trPr>
        <w:tc>
          <w:tcPr>
            <w:tcW w:w="8771" w:type="dxa"/>
            <w:tcBorders>
              <w:top w:val="nil"/>
              <w:left w:val="nil"/>
              <w:bottom w:val="nil"/>
              <w:right w:val="nil"/>
            </w:tcBorders>
            <w:shd w:val="clear" w:color="auto" w:fill="F2F2F2" w:themeFill="background1" w:themeFillShade="F2"/>
          </w:tcPr>
          <w:p w:rsidR="00E7483B" w:rsidRDefault="00E7483B" w:rsidP="00E7483B">
            <w:pPr>
              <w:pStyle w:val="Continued"/>
            </w:pPr>
            <w:r>
              <w:t>(continued next page)</w:t>
            </w:r>
          </w:p>
        </w:tc>
      </w:tr>
      <w:tr w:rsidR="00E7483B" w:rsidTr="00804C04">
        <w:trPr>
          <w:cantSplit/>
        </w:trPr>
        <w:tc>
          <w:tcPr>
            <w:tcW w:w="8771" w:type="dxa"/>
            <w:tcBorders>
              <w:top w:val="nil"/>
              <w:left w:val="nil"/>
              <w:bottom w:val="single" w:sz="6" w:space="0" w:color="78A22F"/>
              <w:right w:val="nil"/>
            </w:tcBorders>
            <w:shd w:val="clear" w:color="auto" w:fill="F2F2F2" w:themeFill="background1" w:themeFillShade="F2"/>
          </w:tcPr>
          <w:p w:rsidR="00E7483B" w:rsidRDefault="00E7483B">
            <w:pPr>
              <w:pStyle w:val="Box"/>
              <w:spacing w:before="0" w:line="120" w:lineRule="exact"/>
            </w:pPr>
          </w:p>
        </w:tc>
      </w:tr>
      <w:tr w:rsidR="00E7483B" w:rsidRPr="000863A5" w:rsidTr="00804C04">
        <w:tc>
          <w:tcPr>
            <w:tcW w:w="8771" w:type="dxa"/>
            <w:tcBorders>
              <w:top w:val="single" w:sz="6" w:space="0" w:color="78A22F"/>
              <w:left w:val="nil"/>
              <w:bottom w:val="nil"/>
              <w:right w:val="nil"/>
            </w:tcBorders>
          </w:tcPr>
          <w:p w:rsidR="00E7483B" w:rsidRPr="00626D32" w:rsidRDefault="00E7483B" w:rsidP="00804C04">
            <w:pPr>
              <w:pStyle w:val="BoxSpaceBelow"/>
            </w:pPr>
          </w:p>
        </w:tc>
      </w:tr>
    </w:tbl>
    <w:p w:rsidR="00E7483B" w:rsidRDefault="00E7483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7483B" w:rsidTr="00804C04">
        <w:tc>
          <w:tcPr>
            <w:tcW w:w="8771" w:type="dxa"/>
            <w:tcBorders>
              <w:top w:val="single" w:sz="6" w:space="0" w:color="78A22F"/>
              <w:left w:val="nil"/>
              <w:bottom w:val="nil"/>
              <w:right w:val="nil"/>
            </w:tcBorders>
            <w:shd w:val="clear" w:color="auto" w:fill="F2F2F2" w:themeFill="background1" w:themeFillShade="F2"/>
          </w:tcPr>
          <w:p w:rsidR="00E7483B" w:rsidRDefault="00E7483B" w:rsidP="00744681">
            <w:pPr>
              <w:pStyle w:val="BoxTitle"/>
            </w:pPr>
            <w:r>
              <w:rPr>
                <w:b w:val="0"/>
              </w:rPr>
              <w:t xml:space="preserve">Box </w:t>
            </w:r>
            <w:r w:rsidRPr="00E7483B">
              <w:rPr>
                <w:b w:val="0"/>
              </w:rPr>
              <w:t>5.1</w:t>
            </w:r>
            <w:r w:rsidR="00744681">
              <w:rPr>
                <w:b w:val="0"/>
              </w:rPr>
              <w:t>6</w:t>
            </w:r>
            <w:r>
              <w:rPr>
                <w:b w:val="0"/>
              </w:rPr>
              <w:tab/>
            </w:r>
            <w:r w:rsidRPr="00EF5A5F">
              <w:rPr>
                <w:sz w:val="18"/>
                <w:szCs w:val="18"/>
              </w:rPr>
              <w:t>(Continued)</w:t>
            </w:r>
          </w:p>
        </w:tc>
      </w:tr>
      <w:tr w:rsidR="00E7483B" w:rsidTr="00804C04">
        <w:trPr>
          <w:cantSplit/>
        </w:trPr>
        <w:tc>
          <w:tcPr>
            <w:tcW w:w="8771" w:type="dxa"/>
            <w:tcBorders>
              <w:top w:val="nil"/>
              <w:left w:val="nil"/>
              <w:bottom w:val="nil"/>
              <w:right w:val="nil"/>
            </w:tcBorders>
            <w:shd w:val="clear" w:color="auto" w:fill="F2F2F2" w:themeFill="background1" w:themeFillShade="F2"/>
          </w:tcPr>
          <w:p w:rsidR="0012769F" w:rsidRDefault="0012769F" w:rsidP="00A04235">
            <w:pPr>
              <w:pStyle w:val="Box"/>
            </w:pPr>
            <w:r w:rsidRPr="00EF5A5F">
              <w:t>Data are provided for VET target groups (residents of remote and very remote areas, people with disability, people speaking a language other than English at home and</w:t>
            </w:r>
            <w:r>
              <w:t xml:space="preserve"> Aboriginal and Torres Strait Islander people</w:t>
            </w:r>
            <w:r w:rsidRPr="00EF5A5F">
              <w:t>). Further details are provided for individual measures in section</w:t>
            </w:r>
            <w:r>
              <w:t> </w:t>
            </w:r>
            <w:r w:rsidRPr="00EF5A5F">
              <w:t>5.6.</w:t>
            </w:r>
          </w:p>
          <w:p w:rsidR="00E7483B" w:rsidRDefault="00E7483B" w:rsidP="00A04235">
            <w:pPr>
              <w:pStyle w:val="Box"/>
            </w:pPr>
            <w:r w:rsidRPr="00EF5A5F">
              <w:t xml:space="preserve">Data quality information for this indicator </w:t>
            </w:r>
            <w:r w:rsidR="006E0D24">
              <w:t>is at www.pc.gov.au/</w:t>
            </w:r>
            <w:proofErr w:type="spellStart"/>
            <w:r w:rsidRPr="00EF5A5F">
              <w:t>rogs</w:t>
            </w:r>
            <w:proofErr w:type="spellEnd"/>
            <w:r w:rsidRPr="00EF5A5F">
              <w:t>/</w:t>
            </w:r>
            <w:r>
              <w:t>201</w:t>
            </w:r>
            <w:r w:rsidR="00A04235">
              <w:t>5</w:t>
            </w:r>
            <w:r>
              <w:t>.</w:t>
            </w:r>
          </w:p>
        </w:tc>
      </w:tr>
      <w:tr w:rsidR="00E7483B" w:rsidTr="00804C04">
        <w:trPr>
          <w:cantSplit/>
        </w:trPr>
        <w:tc>
          <w:tcPr>
            <w:tcW w:w="8771" w:type="dxa"/>
            <w:tcBorders>
              <w:top w:val="nil"/>
              <w:left w:val="nil"/>
              <w:bottom w:val="single" w:sz="6" w:space="0" w:color="78A22F"/>
              <w:right w:val="nil"/>
            </w:tcBorders>
            <w:shd w:val="clear" w:color="auto" w:fill="F2F2F2" w:themeFill="background1" w:themeFillShade="F2"/>
          </w:tcPr>
          <w:p w:rsidR="00E7483B" w:rsidRDefault="00E7483B">
            <w:pPr>
              <w:pStyle w:val="Box"/>
              <w:spacing w:before="0" w:line="120" w:lineRule="exact"/>
            </w:pPr>
          </w:p>
        </w:tc>
      </w:tr>
      <w:tr w:rsidR="00E7483B" w:rsidRPr="000863A5" w:rsidTr="00804C04">
        <w:tc>
          <w:tcPr>
            <w:tcW w:w="8771" w:type="dxa"/>
            <w:tcBorders>
              <w:top w:val="single" w:sz="6" w:space="0" w:color="78A22F"/>
              <w:left w:val="nil"/>
              <w:bottom w:val="nil"/>
              <w:right w:val="nil"/>
            </w:tcBorders>
          </w:tcPr>
          <w:p w:rsidR="00E7483B" w:rsidRPr="00626D32" w:rsidRDefault="00E7483B" w:rsidP="00804C04">
            <w:pPr>
              <w:pStyle w:val="BoxSpaceBelow"/>
            </w:pPr>
          </w:p>
        </w:tc>
      </w:tr>
    </w:tbl>
    <w:p w:rsidR="00C87181" w:rsidRPr="00EF5A5F" w:rsidRDefault="00C87181" w:rsidP="0014685B">
      <w:pPr>
        <w:pStyle w:val="BodyText"/>
        <w:rPr>
          <w:i/>
        </w:rPr>
      </w:pPr>
      <w:r w:rsidRPr="00EF5A5F">
        <w:t xml:space="preserve">The VET sector is </w:t>
      </w:r>
      <w:r w:rsidR="001847E6" w:rsidRPr="00EF5A5F">
        <w:t>focu</w:t>
      </w:r>
      <w:r w:rsidR="006E3F98">
        <w:t>s</w:t>
      </w:r>
      <w:r w:rsidR="001847E6" w:rsidRPr="00EF5A5F">
        <w:t>ed</w:t>
      </w:r>
      <w:r w:rsidRPr="00EF5A5F">
        <w:t xml:space="preserve"> on delivering nationally recognised training through training packages (qualifications and units of competency) and accredited courses (and their associated modules). Most accredited courses and modules have been phased out over </w:t>
      </w:r>
      <w:r w:rsidR="00B67CF5" w:rsidRPr="0014685B">
        <w:t>several</w:t>
      </w:r>
      <w:r w:rsidRPr="0014685B">
        <w:t xml:space="preserve"> years as more industry training packages are endorsed. However, there are some niche markets where accredited courses will be maintained and new </w:t>
      </w:r>
      <w:r w:rsidR="00E93733" w:rsidRPr="0014685B">
        <w:t>courses</w:t>
      </w:r>
      <w:r w:rsidRPr="0014685B">
        <w:t xml:space="preserve"> developed, for example, English proficiency courses, courses in viticulture and performing arts, dance and </w:t>
      </w:r>
      <w:r w:rsidR="00ED0C01">
        <w:t xml:space="preserve">professional writing. Typically, </w:t>
      </w:r>
      <w:r w:rsidRPr="0014685B">
        <w:t xml:space="preserve">these are in training areas not covered by the Industry </w:t>
      </w:r>
      <w:r w:rsidRPr="00EF5A5F">
        <w:t>Skills Councils.</w:t>
      </w:r>
    </w:p>
    <w:p w:rsidR="00C57336" w:rsidRPr="00EF5A5F" w:rsidRDefault="00C57336" w:rsidP="00DA3292">
      <w:pPr>
        <w:pStyle w:val="Heading6"/>
      </w:pPr>
      <w:r w:rsidRPr="00EF5A5F">
        <w:t xml:space="preserve">Skill outputs from VET — </w:t>
      </w:r>
      <w:r w:rsidR="00E93733" w:rsidRPr="00EF5A5F">
        <w:t>q</w:t>
      </w:r>
      <w:r w:rsidR="00AA768B" w:rsidRPr="00EF5A5F">
        <w:t xml:space="preserve">ualifications </w:t>
      </w:r>
      <w:r w:rsidRPr="00EF5A5F">
        <w:t>completed</w:t>
      </w:r>
    </w:p>
    <w:p w:rsidR="00C57336" w:rsidRDefault="00C57336" w:rsidP="00C57336">
      <w:pPr>
        <w:pStyle w:val="BodyText"/>
      </w:pPr>
      <w:r w:rsidRPr="00EF5A5F">
        <w:t xml:space="preserve">Nationally, </w:t>
      </w:r>
      <w:r w:rsidR="00BF0BA7">
        <w:t>587 755</w:t>
      </w:r>
      <w:r w:rsidRPr="00A04235">
        <w:rPr>
          <w:color w:val="FF0000"/>
          <w:shd w:val="clear" w:color="auto" w:fill="FFFFFF" w:themeFill="background1"/>
        </w:rPr>
        <w:t xml:space="preserve"> </w:t>
      </w:r>
      <w:r w:rsidRPr="000C682B">
        <w:rPr>
          <w:shd w:val="clear" w:color="auto" w:fill="FFFFFF" w:themeFill="background1"/>
        </w:rPr>
        <w:t xml:space="preserve">VET qualifications were completed in </w:t>
      </w:r>
      <w:r w:rsidR="00BF0BA7">
        <w:rPr>
          <w:shd w:val="clear" w:color="auto" w:fill="FFFFFF" w:themeFill="background1"/>
        </w:rPr>
        <w:t>2012</w:t>
      </w:r>
      <w:r w:rsidR="0063666A" w:rsidRPr="000C682B">
        <w:rPr>
          <w:shd w:val="clear" w:color="auto" w:fill="FFFFFF" w:themeFill="background1"/>
        </w:rPr>
        <w:t xml:space="preserve">, compared to </w:t>
      </w:r>
      <w:r w:rsidR="00BF0BA7">
        <w:rPr>
          <w:shd w:val="clear" w:color="auto" w:fill="FFFFFF" w:themeFill="background1"/>
        </w:rPr>
        <w:t>351 559</w:t>
      </w:r>
      <w:r w:rsidR="0063666A" w:rsidRPr="00A04235">
        <w:rPr>
          <w:color w:val="FF0000"/>
          <w:shd w:val="clear" w:color="auto" w:fill="FFFFFF" w:themeFill="background1"/>
        </w:rPr>
        <w:t xml:space="preserve"> </w:t>
      </w:r>
      <w:r w:rsidR="0063666A" w:rsidRPr="000C682B">
        <w:rPr>
          <w:shd w:val="clear" w:color="auto" w:fill="FFFFFF" w:themeFill="background1"/>
        </w:rPr>
        <w:t xml:space="preserve">in </w:t>
      </w:r>
      <w:r w:rsidR="00BF0BA7">
        <w:rPr>
          <w:shd w:val="clear" w:color="auto" w:fill="FFFFFF" w:themeFill="background1"/>
        </w:rPr>
        <w:t xml:space="preserve">2008 </w:t>
      </w:r>
      <w:r w:rsidRPr="000C682B">
        <w:rPr>
          <w:shd w:val="clear" w:color="auto" w:fill="FFFFFF" w:themeFill="background1"/>
        </w:rPr>
        <w:t>(</w:t>
      </w:r>
      <w:r w:rsidRPr="00EF5A5F">
        <w:t xml:space="preserve">table </w:t>
      </w:r>
      <w:proofErr w:type="spellStart"/>
      <w:r w:rsidR="00C020A2" w:rsidRPr="00EF5A5F">
        <w:t>5</w:t>
      </w:r>
      <w:r w:rsidRPr="00EF5A5F">
        <w:t>A.</w:t>
      </w:r>
      <w:r w:rsidR="00915131">
        <w:t>79</w:t>
      </w:r>
      <w:proofErr w:type="spellEnd"/>
      <w:r w:rsidRPr="00EF5A5F">
        <w:t>). The number of qualifications completed includes both government and non-government funded VET students (figure</w:t>
      </w:r>
      <w:r w:rsidR="004D2AEA">
        <w:t xml:space="preserve"> </w:t>
      </w:r>
      <w:r w:rsidR="00BF19A4">
        <w:t>5.</w:t>
      </w:r>
      <w:r w:rsidR="00744681">
        <w:t>40</w:t>
      </w:r>
      <w:r w:rsidRPr="00EF5A5F">
        <w:t>).</w:t>
      </w:r>
    </w:p>
    <w:p w:rsidR="00E7483B" w:rsidRDefault="00E7483B" w:rsidP="00804C0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7483B" w:rsidTr="00804C04">
        <w:tc>
          <w:tcPr>
            <w:tcW w:w="8771" w:type="dxa"/>
            <w:tcBorders>
              <w:top w:val="single" w:sz="6" w:space="0" w:color="78A22F"/>
              <w:left w:val="nil"/>
              <w:bottom w:val="nil"/>
              <w:right w:val="nil"/>
            </w:tcBorders>
            <w:shd w:val="clear" w:color="auto" w:fill="auto"/>
          </w:tcPr>
          <w:p w:rsidR="00E7483B" w:rsidRPr="00176D3F" w:rsidRDefault="00E7483B" w:rsidP="00E7483B">
            <w:pPr>
              <w:pStyle w:val="FigureTitle"/>
            </w:pPr>
            <w:r w:rsidRPr="00784A05">
              <w:rPr>
                <w:b w:val="0"/>
              </w:rPr>
              <w:t xml:space="preserve">Figure </w:t>
            </w:r>
            <w:r>
              <w:rPr>
                <w:b w:val="0"/>
              </w:rPr>
              <w:t>5.</w:t>
            </w:r>
            <w:r w:rsidR="00D80B1E">
              <w:rPr>
                <w:b w:val="0"/>
                <w:noProof/>
              </w:rPr>
              <w:t>40</w:t>
            </w:r>
            <w:r>
              <w:tab/>
            </w:r>
            <w:r w:rsidRPr="00171E10">
              <w:t>Qualifications completed, all students</w:t>
            </w:r>
            <w:r w:rsidRPr="00171E10">
              <w:rPr>
                <w:rStyle w:val="NoteLabel"/>
                <w:b/>
              </w:rPr>
              <w:t>a, b</w:t>
            </w:r>
          </w:p>
        </w:tc>
      </w:tr>
      <w:tr w:rsidR="00E7483B" w:rsidTr="00804C04">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E7483B" w:rsidTr="00E7483B">
              <w:tc>
                <w:tcPr>
                  <w:tcW w:w="5000" w:type="pct"/>
                  <w:tcBorders>
                    <w:top w:val="nil"/>
                    <w:bottom w:val="nil"/>
                  </w:tcBorders>
                </w:tcPr>
                <w:p w:rsidR="00D9577B" w:rsidRDefault="003004EB" w:rsidP="00BF6A27">
                  <w:pPr>
                    <w:pStyle w:val="Figure"/>
                    <w:spacing w:before="60" w:after="60"/>
                    <w:rPr>
                      <w:noProof/>
                    </w:rPr>
                  </w:pPr>
                  <w:r>
                    <w:rPr>
                      <w:noProof/>
                    </w:rPr>
                    <w:drawing>
                      <wp:inline distT="0" distB="0" distL="0" distR="0">
                        <wp:extent cx="5391150" cy="2714625"/>
                        <wp:effectExtent l="0" t="0" r="0" b="9525"/>
                        <wp:docPr id="47" name="Picture 47" descr="Figure 5.40 Qualifications completed, all student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391150" cy="2714625"/>
                                </a:xfrm>
                                <a:prstGeom prst="rect">
                                  <a:avLst/>
                                </a:prstGeom>
                                <a:noFill/>
                                <a:ln>
                                  <a:noFill/>
                                </a:ln>
                              </pic:spPr>
                            </pic:pic>
                          </a:graphicData>
                        </a:graphic>
                      </wp:inline>
                    </w:drawing>
                  </w:r>
                </w:p>
              </w:tc>
            </w:tr>
          </w:tbl>
          <w:p w:rsidR="00E7483B" w:rsidRDefault="00E7483B" w:rsidP="00804C04">
            <w:pPr>
              <w:pStyle w:val="Figure"/>
            </w:pPr>
          </w:p>
        </w:tc>
      </w:tr>
      <w:tr w:rsidR="00E7483B" w:rsidRPr="00176D3F" w:rsidTr="00804C04">
        <w:tc>
          <w:tcPr>
            <w:tcW w:w="8771" w:type="dxa"/>
            <w:tcBorders>
              <w:top w:val="nil"/>
              <w:left w:val="nil"/>
              <w:bottom w:val="nil"/>
              <w:right w:val="nil"/>
            </w:tcBorders>
            <w:shd w:val="clear" w:color="auto" w:fill="auto"/>
          </w:tcPr>
          <w:p w:rsidR="00E7483B" w:rsidRPr="00176D3F" w:rsidRDefault="00E7483B" w:rsidP="00804C04">
            <w:pPr>
              <w:pStyle w:val="Note"/>
            </w:pPr>
            <w:r w:rsidRPr="00171E10">
              <w:rPr>
                <w:rStyle w:val="NoteLabel"/>
              </w:rPr>
              <w:t>a</w:t>
            </w:r>
            <w:r w:rsidRPr="00171E10">
              <w:t xml:space="preserve"> Qualifications completed includes courses accredited or approved by a local State/Territory authority, and represents students eligible to be awarded a qualification. </w:t>
            </w:r>
            <w:r w:rsidRPr="00171E10">
              <w:rPr>
                <w:rStyle w:val="NoteLabel"/>
              </w:rPr>
              <w:t>b</w:t>
            </w:r>
            <w:r w:rsidRPr="00171E10">
              <w:t xml:space="preserve"> The number of qualifications completed includes both government funded and non-government funded VET students.</w:t>
            </w:r>
          </w:p>
        </w:tc>
      </w:tr>
      <w:tr w:rsidR="00E7483B" w:rsidRPr="00176D3F" w:rsidTr="00804C04">
        <w:tc>
          <w:tcPr>
            <w:tcW w:w="8771" w:type="dxa"/>
            <w:tcBorders>
              <w:top w:val="nil"/>
              <w:left w:val="nil"/>
              <w:bottom w:val="nil"/>
              <w:right w:val="nil"/>
            </w:tcBorders>
            <w:shd w:val="clear" w:color="auto" w:fill="auto"/>
          </w:tcPr>
          <w:p w:rsidR="00E7483B" w:rsidRPr="00176D3F" w:rsidRDefault="00E7483B" w:rsidP="00915131">
            <w:pPr>
              <w:pStyle w:val="Source"/>
            </w:pPr>
            <w:r w:rsidRPr="00171E10">
              <w:rPr>
                <w:i/>
              </w:rPr>
              <w:t>Source</w:t>
            </w:r>
            <w:r w:rsidRPr="00171E10">
              <w:t xml:space="preserve">: NCVER (unpublished) National VET provider collection; table </w:t>
            </w:r>
            <w:proofErr w:type="spellStart"/>
            <w:r w:rsidRPr="00171E10">
              <w:t>5A.7</w:t>
            </w:r>
            <w:r w:rsidR="00915131">
              <w:t>9</w:t>
            </w:r>
            <w:proofErr w:type="spellEnd"/>
            <w:r w:rsidRPr="00171E10">
              <w:t>.</w:t>
            </w:r>
          </w:p>
        </w:tc>
      </w:tr>
      <w:tr w:rsidR="00E7483B" w:rsidTr="00804C04">
        <w:tc>
          <w:tcPr>
            <w:tcW w:w="8771" w:type="dxa"/>
            <w:tcBorders>
              <w:top w:val="nil"/>
              <w:left w:val="nil"/>
              <w:bottom w:val="single" w:sz="6" w:space="0" w:color="78A22F"/>
              <w:right w:val="nil"/>
            </w:tcBorders>
            <w:shd w:val="clear" w:color="auto" w:fill="auto"/>
          </w:tcPr>
          <w:p w:rsidR="00E7483B" w:rsidRDefault="00E7483B" w:rsidP="00804C04">
            <w:pPr>
              <w:pStyle w:val="Figurespace"/>
            </w:pPr>
          </w:p>
        </w:tc>
      </w:tr>
      <w:tr w:rsidR="00E7483B" w:rsidRPr="000863A5" w:rsidTr="00804C04">
        <w:tc>
          <w:tcPr>
            <w:tcW w:w="8771" w:type="dxa"/>
            <w:tcBorders>
              <w:top w:val="single" w:sz="6" w:space="0" w:color="78A22F"/>
              <w:left w:val="nil"/>
              <w:bottom w:val="nil"/>
              <w:right w:val="nil"/>
            </w:tcBorders>
          </w:tcPr>
          <w:p w:rsidR="00E7483B" w:rsidRPr="00626D32" w:rsidRDefault="00E7483B" w:rsidP="00804C04">
            <w:pPr>
              <w:pStyle w:val="BoxSpaceBelow"/>
            </w:pPr>
          </w:p>
        </w:tc>
      </w:tr>
    </w:tbl>
    <w:p w:rsidR="00C57336" w:rsidRDefault="00E302A4" w:rsidP="00280F08">
      <w:pPr>
        <w:pStyle w:val="BodyText"/>
      </w:pPr>
      <w:r w:rsidRPr="00EF5A5F">
        <w:lastRenderedPageBreak/>
        <w:t>N</w:t>
      </w:r>
      <w:r w:rsidR="00025617" w:rsidRPr="00EF5A5F">
        <w:t>ationally, t</w:t>
      </w:r>
      <w:r w:rsidR="00C57336" w:rsidRPr="00EF5A5F">
        <w:t xml:space="preserve">he number of </w:t>
      </w:r>
      <w:r w:rsidR="00C57336" w:rsidRPr="004D544B">
        <w:t xml:space="preserve">qualifications completed </w:t>
      </w:r>
      <w:r w:rsidR="00783CBB" w:rsidRPr="004D544B">
        <w:t>increased</w:t>
      </w:r>
      <w:r w:rsidR="002A5578" w:rsidRPr="004D544B">
        <w:t xml:space="preserve"> b</w:t>
      </w:r>
      <w:r w:rsidR="00786792" w:rsidRPr="004D544B">
        <w:t xml:space="preserve">y </w:t>
      </w:r>
      <w:r w:rsidR="00442D5E">
        <w:t>12.7</w:t>
      </w:r>
      <w:r w:rsidR="001812D4">
        <w:t xml:space="preserve"> </w:t>
      </w:r>
      <w:r w:rsidR="00786792" w:rsidRPr="004D544B">
        <w:t>per</w:t>
      </w:r>
      <w:r w:rsidR="001812D4">
        <w:t xml:space="preserve"> </w:t>
      </w:r>
      <w:r w:rsidR="00786792" w:rsidRPr="004D544B">
        <w:t xml:space="preserve">cent </w:t>
      </w:r>
      <w:r w:rsidR="003D5469" w:rsidRPr="004D544B">
        <w:t xml:space="preserve">between </w:t>
      </w:r>
      <w:r w:rsidR="00474FF5" w:rsidRPr="004D544B">
        <w:t>20</w:t>
      </w:r>
      <w:r w:rsidR="006B78DE" w:rsidRPr="004D544B">
        <w:t>1</w:t>
      </w:r>
      <w:r w:rsidR="00A04235">
        <w:t>1</w:t>
      </w:r>
      <w:r w:rsidR="00474FF5" w:rsidRPr="004D544B">
        <w:t xml:space="preserve"> </w:t>
      </w:r>
      <w:r w:rsidR="003D5469" w:rsidRPr="004D544B">
        <w:t xml:space="preserve">and </w:t>
      </w:r>
      <w:r w:rsidR="00474FF5" w:rsidRPr="004D544B">
        <w:t>201</w:t>
      </w:r>
      <w:r w:rsidR="00A04235">
        <w:t>2</w:t>
      </w:r>
      <w:r w:rsidR="00783CBB" w:rsidRPr="004D544B">
        <w:t xml:space="preserve">, and increased </w:t>
      </w:r>
      <w:r w:rsidR="003D5469" w:rsidRPr="004D544B">
        <w:t xml:space="preserve">by </w:t>
      </w:r>
      <w:r w:rsidR="00442D5E">
        <w:t>17.6</w:t>
      </w:r>
      <w:r w:rsidR="001812D4">
        <w:t xml:space="preserve"> </w:t>
      </w:r>
      <w:r w:rsidR="003D5469" w:rsidRPr="004D544B">
        <w:t>per</w:t>
      </w:r>
      <w:r w:rsidR="001812D4">
        <w:t xml:space="preserve"> </w:t>
      </w:r>
      <w:r w:rsidR="003D5469" w:rsidRPr="004D544B">
        <w:t xml:space="preserve">cent between </w:t>
      </w:r>
      <w:r w:rsidR="00474FF5" w:rsidRPr="004D544B">
        <w:t>20</w:t>
      </w:r>
      <w:r w:rsidR="00A04235">
        <w:t>10</w:t>
      </w:r>
      <w:r w:rsidR="00474FF5" w:rsidRPr="004D544B">
        <w:t xml:space="preserve"> </w:t>
      </w:r>
      <w:r w:rsidR="003D5469" w:rsidRPr="004D544B">
        <w:t xml:space="preserve">and </w:t>
      </w:r>
      <w:r w:rsidR="00474FF5" w:rsidRPr="004D544B">
        <w:t>20</w:t>
      </w:r>
      <w:r w:rsidR="006B78DE" w:rsidRPr="004D544B">
        <w:t>1</w:t>
      </w:r>
      <w:r w:rsidR="00A04235">
        <w:t>1</w:t>
      </w:r>
      <w:r w:rsidR="00474FF5" w:rsidRPr="004D544B">
        <w:t xml:space="preserve"> </w:t>
      </w:r>
      <w:r w:rsidR="003D5469" w:rsidRPr="004D544B">
        <w:t xml:space="preserve">(figure </w:t>
      </w:r>
      <w:r w:rsidR="00BF19A4" w:rsidRPr="004D544B">
        <w:t>5.</w:t>
      </w:r>
      <w:r w:rsidR="00744681">
        <w:t>41</w:t>
      </w:r>
      <w:r w:rsidR="003D5469" w:rsidRPr="004D544B">
        <w:t xml:space="preserve">). Overall, </w:t>
      </w:r>
      <w:r w:rsidR="003D5469" w:rsidRPr="000C682B">
        <w:rPr>
          <w:shd w:val="clear" w:color="auto" w:fill="FFFFFF" w:themeFill="background1"/>
        </w:rPr>
        <w:t>VET qualifications increased</w:t>
      </w:r>
      <w:r w:rsidR="007A0A1F" w:rsidRPr="000C682B">
        <w:rPr>
          <w:shd w:val="clear" w:color="auto" w:fill="FFFFFF" w:themeFill="background1"/>
        </w:rPr>
        <w:t xml:space="preserve"> </w:t>
      </w:r>
      <w:r w:rsidR="003D5469" w:rsidRPr="000C682B">
        <w:rPr>
          <w:shd w:val="clear" w:color="auto" w:fill="FFFFFF" w:themeFill="background1"/>
        </w:rPr>
        <w:t xml:space="preserve">by </w:t>
      </w:r>
      <w:r w:rsidR="00442D5E">
        <w:rPr>
          <w:shd w:val="clear" w:color="auto" w:fill="FFFFFF" w:themeFill="background1"/>
        </w:rPr>
        <w:t>67.2</w:t>
      </w:r>
      <w:r w:rsidR="001812D4">
        <w:rPr>
          <w:shd w:val="clear" w:color="auto" w:fill="FFFFFF" w:themeFill="background1"/>
        </w:rPr>
        <w:t xml:space="preserve"> </w:t>
      </w:r>
      <w:r w:rsidR="003D5469" w:rsidRPr="000C682B">
        <w:rPr>
          <w:shd w:val="clear" w:color="auto" w:fill="FFFFFF" w:themeFill="background1"/>
        </w:rPr>
        <w:t>per</w:t>
      </w:r>
      <w:r w:rsidR="001812D4">
        <w:rPr>
          <w:shd w:val="clear" w:color="auto" w:fill="FFFFFF" w:themeFill="background1"/>
        </w:rPr>
        <w:t xml:space="preserve"> </w:t>
      </w:r>
      <w:r w:rsidR="003D5469" w:rsidRPr="000C682B">
        <w:rPr>
          <w:shd w:val="clear" w:color="auto" w:fill="FFFFFF" w:themeFill="background1"/>
        </w:rPr>
        <w:t xml:space="preserve">cent between </w:t>
      </w:r>
      <w:r w:rsidR="00474FF5" w:rsidRPr="000C682B">
        <w:rPr>
          <w:shd w:val="clear" w:color="auto" w:fill="FFFFFF" w:themeFill="background1"/>
        </w:rPr>
        <w:t>200</w:t>
      </w:r>
      <w:r w:rsidR="00A04235">
        <w:rPr>
          <w:shd w:val="clear" w:color="auto" w:fill="FFFFFF" w:themeFill="background1"/>
        </w:rPr>
        <w:t>8</w:t>
      </w:r>
      <w:r w:rsidR="00474FF5" w:rsidRPr="000C682B">
        <w:rPr>
          <w:shd w:val="clear" w:color="auto" w:fill="FFFFFF" w:themeFill="background1"/>
        </w:rPr>
        <w:t xml:space="preserve"> </w:t>
      </w:r>
      <w:r w:rsidR="003D5469" w:rsidRPr="000C682B">
        <w:rPr>
          <w:shd w:val="clear" w:color="auto" w:fill="FFFFFF" w:themeFill="background1"/>
        </w:rPr>
        <w:t xml:space="preserve">and </w:t>
      </w:r>
      <w:r w:rsidR="00474FF5" w:rsidRPr="000C682B">
        <w:rPr>
          <w:shd w:val="clear" w:color="auto" w:fill="FFFFFF" w:themeFill="background1"/>
        </w:rPr>
        <w:t>201</w:t>
      </w:r>
      <w:r w:rsidR="00A04235">
        <w:rPr>
          <w:shd w:val="clear" w:color="auto" w:fill="FFFFFF" w:themeFill="background1"/>
        </w:rPr>
        <w:t>2</w:t>
      </w:r>
      <w:r w:rsidR="00F77307" w:rsidRPr="000C682B">
        <w:rPr>
          <w:shd w:val="clear" w:color="auto" w:fill="FFFFFF" w:themeFill="background1"/>
        </w:rPr>
        <w:t xml:space="preserve">, equivalent to an average annual increase of </w:t>
      </w:r>
      <w:r w:rsidR="00442D5E">
        <w:rPr>
          <w:shd w:val="clear" w:color="auto" w:fill="FFFFFF" w:themeFill="background1"/>
        </w:rPr>
        <w:t>13.7</w:t>
      </w:r>
      <w:r w:rsidR="00F77307" w:rsidRPr="00A04235">
        <w:rPr>
          <w:color w:val="FF0000"/>
          <w:shd w:val="clear" w:color="auto" w:fill="FFFFFF" w:themeFill="background1"/>
        </w:rPr>
        <w:t xml:space="preserve"> </w:t>
      </w:r>
      <w:r w:rsidR="00F77307" w:rsidRPr="000C682B">
        <w:rPr>
          <w:shd w:val="clear" w:color="auto" w:fill="FFFFFF" w:themeFill="background1"/>
        </w:rPr>
        <w:t>per cent</w:t>
      </w:r>
      <w:r w:rsidR="00474FF5" w:rsidRPr="000C682B">
        <w:rPr>
          <w:shd w:val="clear" w:color="auto" w:fill="FFFFFF" w:themeFill="background1"/>
        </w:rPr>
        <w:t xml:space="preserve"> </w:t>
      </w:r>
      <w:r w:rsidR="002175D4" w:rsidRPr="000C682B">
        <w:rPr>
          <w:shd w:val="clear" w:color="auto" w:fill="FFFFFF" w:themeFill="background1"/>
        </w:rPr>
        <w:t>(</w:t>
      </w:r>
      <w:r w:rsidR="002175D4" w:rsidRPr="004D544B">
        <w:t>table</w:t>
      </w:r>
      <w:r w:rsidR="001812D4">
        <w:t xml:space="preserve"> </w:t>
      </w:r>
      <w:proofErr w:type="spellStart"/>
      <w:r w:rsidR="003D5469" w:rsidRPr="004D544B">
        <w:t>5A</w:t>
      </w:r>
      <w:r w:rsidR="00BE17D1" w:rsidRPr="004D544B">
        <w:t>.</w:t>
      </w:r>
      <w:r w:rsidR="00474FF5" w:rsidRPr="004D544B">
        <w:t>7</w:t>
      </w:r>
      <w:r w:rsidR="00915131">
        <w:t>9</w:t>
      </w:r>
      <w:proofErr w:type="spellEnd"/>
      <w:r w:rsidR="003D5469" w:rsidRPr="004D544B">
        <w:t>).</w:t>
      </w:r>
    </w:p>
    <w:p w:rsidR="00E7483B" w:rsidRDefault="00E7483B" w:rsidP="00804C0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7483B" w:rsidTr="00804C04">
        <w:tc>
          <w:tcPr>
            <w:tcW w:w="8771" w:type="dxa"/>
            <w:tcBorders>
              <w:top w:val="single" w:sz="6" w:space="0" w:color="78A22F"/>
              <w:left w:val="nil"/>
              <w:bottom w:val="nil"/>
              <w:right w:val="nil"/>
            </w:tcBorders>
            <w:shd w:val="clear" w:color="auto" w:fill="auto"/>
          </w:tcPr>
          <w:p w:rsidR="00E7483B" w:rsidRPr="00176D3F" w:rsidRDefault="00E7483B" w:rsidP="00BF6A27">
            <w:pPr>
              <w:pStyle w:val="FigureTitle"/>
            </w:pPr>
            <w:r w:rsidRPr="00784A05">
              <w:rPr>
                <w:b w:val="0"/>
              </w:rPr>
              <w:t xml:space="preserve">Figure </w:t>
            </w:r>
            <w:r>
              <w:rPr>
                <w:b w:val="0"/>
              </w:rPr>
              <w:t>5.</w:t>
            </w:r>
            <w:r w:rsidR="00D80B1E">
              <w:rPr>
                <w:b w:val="0"/>
                <w:noProof/>
              </w:rPr>
              <w:t>41</w:t>
            </w:r>
            <w:r>
              <w:tab/>
            </w:r>
            <w:r w:rsidR="00BF6A27" w:rsidRPr="00171E10">
              <w:t>Qualifications completed, by change from previous year, all students</w:t>
            </w:r>
            <w:r w:rsidR="00BF6A27" w:rsidRPr="00171E10">
              <w:rPr>
                <w:rStyle w:val="NoteLabel"/>
                <w:b/>
              </w:rPr>
              <w:t>a, b</w:t>
            </w:r>
          </w:p>
        </w:tc>
      </w:tr>
      <w:tr w:rsidR="00E7483B" w:rsidTr="00804C04">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E7483B" w:rsidTr="00E7483B">
              <w:tc>
                <w:tcPr>
                  <w:tcW w:w="5000" w:type="pct"/>
                  <w:tcBorders>
                    <w:top w:val="nil"/>
                    <w:bottom w:val="nil"/>
                  </w:tcBorders>
                </w:tcPr>
                <w:p w:rsidR="00E7483B" w:rsidRDefault="003004EB" w:rsidP="00BF6A27">
                  <w:pPr>
                    <w:pStyle w:val="Figure"/>
                    <w:spacing w:before="60" w:after="60"/>
                  </w:pPr>
                  <w:r>
                    <w:rPr>
                      <w:noProof/>
                    </w:rPr>
                    <w:drawing>
                      <wp:inline distT="0" distB="0" distL="0" distR="0">
                        <wp:extent cx="5391150" cy="2714625"/>
                        <wp:effectExtent l="0" t="0" r="0" b="9525"/>
                        <wp:docPr id="48" name="Picture 48" descr="Figure 5.41 Qualifications completed, by change from previous year, all student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391150" cy="2714625"/>
                                </a:xfrm>
                                <a:prstGeom prst="rect">
                                  <a:avLst/>
                                </a:prstGeom>
                                <a:noFill/>
                                <a:ln>
                                  <a:noFill/>
                                </a:ln>
                              </pic:spPr>
                            </pic:pic>
                          </a:graphicData>
                        </a:graphic>
                      </wp:inline>
                    </w:drawing>
                  </w:r>
                </w:p>
              </w:tc>
            </w:tr>
          </w:tbl>
          <w:p w:rsidR="00E7483B" w:rsidRDefault="00E7483B" w:rsidP="00804C04">
            <w:pPr>
              <w:pStyle w:val="Figure"/>
            </w:pPr>
          </w:p>
        </w:tc>
      </w:tr>
      <w:tr w:rsidR="00E7483B" w:rsidRPr="00176D3F" w:rsidTr="00804C04">
        <w:tc>
          <w:tcPr>
            <w:tcW w:w="8771" w:type="dxa"/>
            <w:tcBorders>
              <w:top w:val="nil"/>
              <w:left w:val="nil"/>
              <w:bottom w:val="nil"/>
              <w:right w:val="nil"/>
            </w:tcBorders>
            <w:shd w:val="clear" w:color="auto" w:fill="auto"/>
          </w:tcPr>
          <w:p w:rsidR="00E7483B" w:rsidRPr="00176D3F" w:rsidRDefault="00BF6A27" w:rsidP="00804C04">
            <w:pPr>
              <w:pStyle w:val="Note"/>
            </w:pPr>
            <w:r w:rsidRPr="006B78DE">
              <w:rPr>
                <w:rStyle w:val="NoteLabel"/>
              </w:rPr>
              <w:t>a</w:t>
            </w:r>
            <w:r w:rsidRPr="006B78DE">
              <w:t xml:space="preserve"> Qualifications completed includes courses accredited or approved by a local State/Territory authority, and represents students eligible to be awarded a qualification. </w:t>
            </w:r>
            <w:r w:rsidRPr="006B78DE">
              <w:rPr>
                <w:rStyle w:val="NoteLabel"/>
              </w:rPr>
              <w:t>b</w:t>
            </w:r>
            <w:r w:rsidRPr="006B78DE">
              <w:t xml:space="preserve"> The number of qualifications completed includes both government funded and non-government funded VET students.</w:t>
            </w:r>
          </w:p>
        </w:tc>
      </w:tr>
      <w:tr w:rsidR="00E7483B" w:rsidRPr="00176D3F" w:rsidTr="00804C04">
        <w:tc>
          <w:tcPr>
            <w:tcW w:w="8771" w:type="dxa"/>
            <w:tcBorders>
              <w:top w:val="nil"/>
              <w:left w:val="nil"/>
              <w:bottom w:val="nil"/>
              <w:right w:val="nil"/>
            </w:tcBorders>
            <w:shd w:val="clear" w:color="auto" w:fill="auto"/>
          </w:tcPr>
          <w:p w:rsidR="00E7483B" w:rsidRPr="00176D3F" w:rsidRDefault="00BF6A27" w:rsidP="00915131">
            <w:pPr>
              <w:pStyle w:val="Source"/>
            </w:pPr>
            <w:r w:rsidRPr="006B78DE">
              <w:rPr>
                <w:i/>
              </w:rPr>
              <w:t>Source</w:t>
            </w:r>
            <w:r w:rsidRPr="006B78DE">
              <w:t xml:space="preserve">: NCVER (unpublished) National VET provider collection; table </w:t>
            </w:r>
            <w:proofErr w:type="spellStart"/>
            <w:r w:rsidRPr="006B78DE">
              <w:t>5A.7</w:t>
            </w:r>
            <w:r w:rsidR="00915131">
              <w:t>9</w:t>
            </w:r>
            <w:proofErr w:type="spellEnd"/>
            <w:r w:rsidRPr="006B78DE">
              <w:t>.</w:t>
            </w:r>
          </w:p>
        </w:tc>
      </w:tr>
      <w:tr w:rsidR="00E7483B" w:rsidTr="00804C04">
        <w:tc>
          <w:tcPr>
            <w:tcW w:w="8771" w:type="dxa"/>
            <w:tcBorders>
              <w:top w:val="nil"/>
              <w:left w:val="nil"/>
              <w:bottom w:val="single" w:sz="6" w:space="0" w:color="78A22F"/>
              <w:right w:val="nil"/>
            </w:tcBorders>
            <w:shd w:val="clear" w:color="auto" w:fill="auto"/>
          </w:tcPr>
          <w:p w:rsidR="00E7483B" w:rsidRDefault="00E7483B" w:rsidP="00804C04">
            <w:pPr>
              <w:pStyle w:val="Figurespace"/>
            </w:pPr>
          </w:p>
        </w:tc>
      </w:tr>
      <w:tr w:rsidR="00E7483B" w:rsidRPr="000863A5" w:rsidTr="00804C04">
        <w:tc>
          <w:tcPr>
            <w:tcW w:w="8771" w:type="dxa"/>
            <w:tcBorders>
              <w:top w:val="single" w:sz="6" w:space="0" w:color="78A22F"/>
              <w:left w:val="nil"/>
              <w:bottom w:val="nil"/>
              <w:right w:val="nil"/>
            </w:tcBorders>
          </w:tcPr>
          <w:p w:rsidR="00E7483B" w:rsidRPr="00626D32" w:rsidRDefault="00E7483B" w:rsidP="00804C04">
            <w:pPr>
              <w:pStyle w:val="BoxSpaceBelow"/>
            </w:pPr>
          </w:p>
        </w:tc>
      </w:tr>
    </w:tbl>
    <w:p w:rsidR="00DD6D4D" w:rsidRPr="002F7CD1" w:rsidRDefault="00DD6D4D" w:rsidP="00420DBB">
      <w:pPr>
        <w:pStyle w:val="BodyText"/>
      </w:pPr>
      <w:r w:rsidRPr="00EF5A5F">
        <w:t xml:space="preserve">Amongst the VET target groups, between </w:t>
      </w:r>
      <w:r w:rsidR="00FA1C67">
        <w:t>200</w:t>
      </w:r>
      <w:r w:rsidR="00A04235">
        <w:t>8</w:t>
      </w:r>
      <w:r w:rsidR="00FA1C67" w:rsidRPr="00EF5A5F">
        <w:t xml:space="preserve"> </w:t>
      </w:r>
      <w:r w:rsidRPr="00EF5A5F">
        <w:t xml:space="preserve">and </w:t>
      </w:r>
      <w:r w:rsidR="00FA1C67">
        <w:t>201</w:t>
      </w:r>
      <w:r w:rsidR="00A04235">
        <w:t>2</w:t>
      </w:r>
      <w:r w:rsidR="00FA1C67" w:rsidRPr="00EF5A5F">
        <w:t xml:space="preserve"> </w:t>
      </w:r>
      <w:r w:rsidRPr="00EF5A5F">
        <w:t xml:space="preserve">the number of </w:t>
      </w:r>
      <w:r w:rsidRPr="002F7CD1">
        <w:t>qualifications completed nationally increased by:</w:t>
      </w:r>
    </w:p>
    <w:p w:rsidR="00DD6D4D" w:rsidRPr="00442D5E" w:rsidRDefault="00442D5E" w:rsidP="0014685B">
      <w:pPr>
        <w:pStyle w:val="ListBullet"/>
      </w:pPr>
      <w:r w:rsidRPr="00442D5E">
        <w:t>105.1</w:t>
      </w:r>
      <w:r w:rsidR="001812D4">
        <w:t xml:space="preserve"> </w:t>
      </w:r>
      <w:r w:rsidR="00DD6D4D" w:rsidRPr="00442D5E">
        <w:t xml:space="preserve">per cent for students with disability (table </w:t>
      </w:r>
      <w:proofErr w:type="spellStart"/>
      <w:r w:rsidR="00DD6D4D" w:rsidRPr="00442D5E">
        <w:t>5A</w:t>
      </w:r>
      <w:r w:rsidR="00106D66" w:rsidRPr="00442D5E">
        <w:t>.</w:t>
      </w:r>
      <w:r w:rsidR="00915131" w:rsidRPr="00442D5E">
        <w:t>81</w:t>
      </w:r>
      <w:proofErr w:type="spellEnd"/>
      <w:r w:rsidR="00DD6D4D" w:rsidRPr="00442D5E">
        <w:t>)</w:t>
      </w:r>
    </w:p>
    <w:p w:rsidR="00DD6D4D" w:rsidRPr="002F7CD1" w:rsidRDefault="00442D5E" w:rsidP="0014685B">
      <w:pPr>
        <w:pStyle w:val="ListBullet"/>
      </w:pPr>
      <w:r>
        <w:t>72.5</w:t>
      </w:r>
      <w:r w:rsidR="001812D4">
        <w:t xml:space="preserve"> </w:t>
      </w:r>
      <w:r w:rsidR="00DD6D4D" w:rsidRPr="002F7CD1">
        <w:t>per</w:t>
      </w:r>
      <w:r w:rsidR="001812D4">
        <w:t xml:space="preserve"> </w:t>
      </w:r>
      <w:r w:rsidR="00DD6D4D" w:rsidRPr="002F7CD1">
        <w:t>cent for students speaking a language other than English at home (table</w:t>
      </w:r>
      <w:r w:rsidR="001812D4">
        <w:t xml:space="preserve"> </w:t>
      </w:r>
      <w:proofErr w:type="spellStart"/>
      <w:r w:rsidR="00DD6D4D" w:rsidRPr="002F7CD1">
        <w:t>5A.</w:t>
      </w:r>
      <w:r w:rsidR="00EF7AD6">
        <w:t>8</w:t>
      </w:r>
      <w:r w:rsidR="00915131">
        <w:t>2</w:t>
      </w:r>
      <w:proofErr w:type="spellEnd"/>
      <w:r w:rsidR="00DD6D4D" w:rsidRPr="002F7CD1">
        <w:t>)</w:t>
      </w:r>
    </w:p>
    <w:p w:rsidR="00D61BDA" w:rsidRPr="002F7CD1" w:rsidRDefault="00442D5E" w:rsidP="009F0F4A">
      <w:pPr>
        <w:pStyle w:val="ListBullet"/>
      </w:pPr>
      <w:r>
        <w:t>17.2</w:t>
      </w:r>
      <w:r w:rsidR="001812D4">
        <w:t xml:space="preserve"> </w:t>
      </w:r>
      <w:r w:rsidR="00DD6D4D" w:rsidRPr="002F7CD1">
        <w:t>per</w:t>
      </w:r>
      <w:r w:rsidR="001812D4">
        <w:t xml:space="preserve"> </w:t>
      </w:r>
      <w:r w:rsidR="00DD6D4D" w:rsidRPr="002F7CD1">
        <w:t>cent for students from remote and very remote areas (table</w:t>
      </w:r>
      <w:r w:rsidR="001812D4">
        <w:t xml:space="preserve"> </w:t>
      </w:r>
      <w:proofErr w:type="spellStart"/>
      <w:r w:rsidR="00DD6D4D" w:rsidRPr="002F7CD1">
        <w:t>5A.</w:t>
      </w:r>
      <w:r w:rsidR="00915131">
        <w:t>80</w:t>
      </w:r>
      <w:proofErr w:type="spellEnd"/>
      <w:r w:rsidR="00DD6D4D" w:rsidRPr="002F7CD1">
        <w:t>)</w:t>
      </w:r>
    </w:p>
    <w:p w:rsidR="00DD6D4D" w:rsidRPr="002F7CD1" w:rsidRDefault="00442D5E" w:rsidP="0014685B">
      <w:pPr>
        <w:pStyle w:val="ListBullet"/>
      </w:pPr>
      <w:r>
        <w:t>90.0</w:t>
      </w:r>
      <w:r w:rsidR="001812D4">
        <w:t xml:space="preserve"> </w:t>
      </w:r>
      <w:r w:rsidR="00D61BDA" w:rsidRPr="002F7CD1">
        <w:t>per</w:t>
      </w:r>
      <w:r w:rsidR="001812D4">
        <w:t xml:space="preserve"> </w:t>
      </w:r>
      <w:r w:rsidR="00D61BDA" w:rsidRPr="002F7CD1">
        <w:t>cent for</w:t>
      </w:r>
      <w:r w:rsidR="00804C04">
        <w:t xml:space="preserve"> Aboriginal and Torres Strait Islander </w:t>
      </w:r>
      <w:r w:rsidR="00D61BDA" w:rsidRPr="002F7CD1">
        <w:t xml:space="preserve">students (table </w:t>
      </w:r>
      <w:proofErr w:type="spellStart"/>
      <w:r w:rsidR="00D61BDA" w:rsidRPr="002F7CD1">
        <w:t>5A.</w:t>
      </w:r>
      <w:r w:rsidR="00FA1C67" w:rsidRPr="002F7CD1">
        <w:t>7</w:t>
      </w:r>
      <w:r w:rsidR="00915131">
        <w:t>9</w:t>
      </w:r>
      <w:proofErr w:type="spellEnd"/>
      <w:r w:rsidR="00D61BDA" w:rsidRPr="002F7CD1">
        <w:t>).</w:t>
      </w:r>
    </w:p>
    <w:p w:rsidR="00827FD5" w:rsidRDefault="00827FD5" w:rsidP="00A26D57">
      <w:pPr>
        <w:pStyle w:val="BodyText"/>
      </w:pPr>
      <w:r w:rsidRPr="002F7CD1">
        <w:t>Nationally,</w:t>
      </w:r>
      <w:r w:rsidR="00804C04">
        <w:t xml:space="preserve"> Aboriginal and Torres Strait Islander </w:t>
      </w:r>
      <w:r w:rsidRPr="002F7CD1">
        <w:t xml:space="preserve">students completed </w:t>
      </w:r>
      <w:r w:rsidR="00442D5E">
        <w:t>20 522</w:t>
      </w:r>
      <w:r w:rsidR="00892637" w:rsidRPr="00A04235">
        <w:rPr>
          <w:color w:val="FF0000"/>
        </w:rPr>
        <w:t xml:space="preserve"> </w:t>
      </w:r>
      <w:r w:rsidRPr="002F7CD1">
        <w:t xml:space="preserve">VET qualifications in </w:t>
      </w:r>
      <w:r w:rsidR="00FA1C67" w:rsidRPr="002F7CD1">
        <w:t>201</w:t>
      </w:r>
      <w:r w:rsidR="00A04235">
        <w:t>2</w:t>
      </w:r>
      <w:r w:rsidRPr="002F7CD1">
        <w:t xml:space="preserve">, an </w:t>
      </w:r>
      <w:r w:rsidR="002A5578" w:rsidRPr="002F7CD1">
        <w:t>increase</w:t>
      </w:r>
      <w:r w:rsidR="00536A9B" w:rsidRPr="002F7CD1">
        <w:t xml:space="preserve"> </w:t>
      </w:r>
      <w:r w:rsidRPr="002F7CD1">
        <w:t xml:space="preserve">of </w:t>
      </w:r>
      <w:r w:rsidR="00442D5E">
        <w:t>8.3</w:t>
      </w:r>
      <w:r w:rsidR="001812D4">
        <w:t xml:space="preserve"> </w:t>
      </w:r>
      <w:r w:rsidRPr="002F7CD1">
        <w:t>per</w:t>
      </w:r>
      <w:r w:rsidR="001812D4">
        <w:t xml:space="preserve"> </w:t>
      </w:r>
      <w:r w:rsidRPr="002F7CD1">
        <w:t xml:space="preserve">cent from </w:t>
      </w:r>
      <w:r w:rsidR="00442D5E">
        <w:t xml:space="preserve">18 950 </w:t>
      </w:r>
      <w:r w:rsidRPr="002F7CD1">
        <w:t xml:space="preserve">in </w:t>
      </w:r>
      <w:r w:rsidR="00FA1C67" w:rsidRPr="00A26D57">
        <w:t>20</w:t>
      </w:r>
      <w:r w:rsidR="00DC269A" w:rsidRPr="00A26D57">
        <w:t>1</w:t>
      </w:r>
      <w:r w:rsidR="00461DA8" w:rsidRPr="00A26D57">
        <w:t>1</w:t>
      </w:r>
      <w:r w:rsidR="0063666A" w:rsidRPr="000C682B">
        <w:rPr>
          <w:shd w:val="clear" w:color="auto" w:fill="FFFFFF" w:themeFill="background1"/>
        </w:rPr>
        <w:t xml:space="preserve"> and an increase of </w:t>
      </w:r>
      <w:r w:rsidR="00442D5E">
        <w:rPr>
          <w:shd w:val="clear" w:color="auto" w:fill="FFFFFF" w:themeFill="background1"/>
        </w:rPr>
        <w:t>90.0</w:t>
      </w:r>
      <w:r w:rsidR="001812D4">
        <w:rPr>
          <w:shd w:val="clear" w:color="auto" w:fill="FFFFFF" w:themeFill="background1"/>
        </w:rPr>
        <w:t xml:space="preserve"> </w:t>
      </w:r>
      <w:r w:rsidR="0063666A" w:rsidRPr="000C682B">
        <w:rPr>
          <w:shd w:val="clear" w:color="auto" w:fill="FFFFFF" w:themeFill="background1"/>
        </w:rPr>
        <w:t>per cent from</w:t>
      </w:r>
      <w:r w:rsidR="00442D5E">
        <w:rPr>
          <w:shd w:val="clear" w:color="auto" w:fill="FFFFFF" w:themeFill="background1"/>
        </w:rPr>
        <w:t xml:space="preserve"> 10 803</w:t>
      </w:r>
      <w:r w:rsidR="0063666A" w:rsidRPr="000C682B">
        <w:rPr>
          <w:shd w:val="clear" w:color="auto" w:fill="FFFFFF" w:themeFill="background1"/>
        </w:rPr>
        <w:t xml:space="preserve"> in</w:t>
      </w:r>
      <w:r w:rsidR="00442D5E">
        <w:rPr>
          <w:shd w:val="clear" w:color="auto" w:fill="FFFFFF" w:themeFill="background1"/>
        </w:rPr>
        <w:t xml:space="preserve"> 2008.</w:t>
      </w:r>
      <w:r w:rsidRPr="000C682B">
        <w:rPr>
          <w:shd w:val="clear" w:color="auto" w:fill="FFFFFF" w:themeFill="background1"/>
        </w:rPr>
        <w:t xml:space="preserve"> </w:t>
      </w:r>
      <w:r w:rsidR="0063666A" w:rsidRPr="000C682B">
        <w:rPr>
          <w:shd w:val="clear" w:color="auto" w:fill="FFFFFF" w:themeFill="background1"/>
        </w:rPr>
        <w:t xml:space="preserve">This represents an average annual increase of </w:t>
      </w:r>
      <w:r w:rsidR="00442D5E">
        <w:rPr>
          <w:shd w:val="clear" w:color="auto" w:fill="FFFFFF" w:themeFill="background1"/>
        </w:rPr>
        <w:t>17.4 </w:t>
      </w:r>
      <w:r w:rsidR="0063666A" w:rsidRPr="000C682B">
        <w:rPr>
          <w:shd w:val="clear" w:color="auto" w:fill="FFFFFF" w:themeFill="background1"/>
        </w:rPr>
        <w:t>per</w:t>
      </w:r>
      <w:r w:rsidR="00442D5E">
        <w:rPr>
          <w:shd w:val="clear" w:color="auto" w:fill="FFFFFF" w:themeFill="background1"/>
        </w:rPr>
        <w:t> </w:t>
      </w:r>
      <w:r w:rsidR="0063666A" w:rsidRPr="000C682B">
        <w:rPr>
          <w:shd w:val="clear" w:color="auto" w:fill="FFFFFF" w:themeFill="background1"/>
        </w:rPr>
        <w:t xml:space="preserve">cent, compared to </w:t>
      </w:r>
      <w:r w:rsidR="00442D5E">
        <w:rPr>
          <w:shd w:val="clear" w:color="auto" w:fill="FFFFFF" w:themeFill="background1"/>
        </w:rPr>
        <w:t>13.7</w:t>
      </w:r>
      <w:r w:rsidR="001812D4">
        <w:rPr>
          <w:shd w:val="clear" w:color="auto" w:fill="FFFFFF" w:themeFill="background1"/>
        </w:rPr>
        <w:t xml:space="preserve"> </w:t>
      </w:r>
      <w:r w:rsidR="0063666A" w:rsidRPr="000C682B">
        <w:rPr>
          <w:shd w:val="clear" w:color="auto" w:fill="FFFFFF" w:themeFill="background1"/>
        </w:rPr>
        <w:t>per</w:t>
      </w:r>
      <w:r w:rsidR="001812D4">
        <w:rPr>
          <w:shd w:val="clear" w:color="auto" w:fill="FFFFFF" w:themeFill="background1"/>
        </w:rPr>
        <w:t xml:space="preserve"> </w:t>
      </w:r>
      <w:r w:rsidR="0063666A" w:rsidRPr="000C682B">
        <w:rPr>
          <w:shd w:val="clear" w:color="auto" w:fill="FFFFFF" w:themeFill="background1"/>
        </w:rPr>
        <w:t>cent for all students.</w:t>
      </w:r>
      <w:r w:rsidR="00804C04">
        <w:rPr>
          <w:shd w:val="clear" w:color="auto" w:fill="FFFFFF" w:themeFill="background1"/>
        </w:rPr>
        <w:t xml:space="preserve"> Aboriginal and Torres Strait Islander </w:t>
      </w:r>
      <w:r w:rsidRPr="000C682B">
        <w:rPr>
          <w:shd w:val="clear" w:color="auto" w:fill="FFFFFF" w:themeFill="background1"/>
        </w:rPr>
        <w:t xml:space="preserve">students accounted for </w:t>
      </w:r>
      <w:r w:rsidR="00442D5E">
        <w:rPr>
          <w:shd w:val="clear" w:color="auto" w:fill="FFFFFF" w:themeFill="background1"/>
        </w:rPr>
        <w:t>3.5</w:t>
      </w:r>
      <w:r w:rsidR="001812D4">
        <w:rPr>
          <w:shd w:val="clear" w:color="auto" w:fill="FFFFFF" w:themeFill="background1"/>
        </w:rPr>
        <w:t xml:space="preserve"> </w:t>
      </w:r>
      <w:r w:rsidRPr="000C682B">
        <w:rPr>
          <w:shd w:val="clear" w:color="auto" w:fill="FFFFFF" w:themeFill="background1"/>
        </w:rPr>
        <w:t>per</w:t>
      </w:r>
      <w:r w:rsidR="001812D4">
        <w:rPr>
          <w:shd w:val="clear" w:color="auto" w:fill="FFFFFF" w:themeFill="background1"/>
        </w:rPr>
        <w:t xml:space="preserve"> </w:t>
      </w:r>
      <w:r w:rsidRPr="000C682B">
        <w:rPr>
          <w:shd w:val="clear" w:color="auto" w:fill="FFFFFF" w:themeFill="background1"/>
        </w:rPr>
        <w:t xml:space="preserve">cent of all the qualifications completed in </w:t>
      </w:r>
      <w:r w:rsidR="00FA1C67" w:rsidRPr="000C682B">
        <w:rPr>
          <w:shd w:val="clear" w:color="auto" w:fill="FFFFFF" w:themeFill="background1"/>
        </w:rPr>
        <w:t>201</w:t>
      </w:r>
      <w:r w:rsidR="00A04235">
        <w:rPr>
          <w:shd w:val="clear" w:color="auto" w:fill="FFFFFF" w:themeFill="background1"/>
        </w:rPr>
        <w:t>2</w:t>
      </w:r>
      <w:r w:rsidR="0063666A" w:rsidRPr="000C682B">
        <w:rPr>
          <w:shd w:val="clear" w:color="auto" w:fill="FFFFFF" w:themeFill="background1"/>
        </w:rPr>
        <w:t xml:space="preserve">, compared to </w:t>
      </w:r>
      <w:r w:rsidR="00442D5E">
        <w:rPr>
          <w:shd w:val="clear" w:color="auto" w:fill="FFFFFF" w:themeFill="background1"/>
        </w:rPr>
        <w:t xml:space="preserve">1.8 </w:t>
      </w:r>
      <w:r w:rsidR="0063666A" w:rsidRPr="000C682B">
        <w:rPr>
          <w:shd w:val="clear" w:color="auto" w:fill="FFFFFF" w:themeFill="background1"/>
        </w:rPr>
        <w:t>per cent in</w:t>
      </w:r>
      <w:r w:rsidR="00442D5E">
        <w:rPr>
          <w:shd w:val="clear" w:color="auto" w:fill="FFFFFF" w:themeFill="background1"/>
        </w:rPr>
        <w:t xml:space="preserve"> 2008 </w:t>
      </w:r>
      <w:r w:rsidR="00125645" w:rsidRPr="000C682B">
        <w:rPr>
          <w:shd w:val="clear" w:color="auto" w:fill="FFFFFF" w:themeFill="background1"/>
        </w:rPr>
        <w:t>(table</w:t>
      </w:r>
      <w:r w:rsidR="001812D4">
        <w:rPr>
          <w:shd w:val="clear" w:color="auto" w:fill="FFFFFF" w:themeFill="background1"/>
        </w:rPr>
        <w:t xml:space="preserve"> </w:t>
      </w:r>
      <w:proofErr w:type="spellStart"/>
      <w:r w:rsidRPr="000C682B">
        <w:rPr>
          <w:shd w:val="clear" w:color="auto" w:fill="FFFFFF" w:themeFill="background1"/>
        </w:rPr>
        <w:t>5A.</w:t>
      </w:r>
      <w:r w:rsidR="00915131">
        <w:rPr>
          <w:shd w:val="clear" w:color="auto" w:fill="FFFFFF" w:themeFill="background1"/>
        </w:rPr>
        <w:t>79</w:t>
      </w:r>
      <w:proofErr w:type="spellEnd"/>
      <w:r w:rsidRPr="000C682B">
        <w:rPr>
          <w:shd w:val="clear" w:color="auto" w:fill="FFFFFF" w:themeFill="background1"/>
        </w:rPr>
        <w:t>). The number of qualifications c</w:t>
      </w:r>
      <w:r w:rsidRPr="002F7CD1">
        <w:t xml:space="preserve">ompleted </w:t>
      </w:r>
      <w:r w:rsidRPr="00EF5A5F">
        <w:t>by</w:t>
      </w:r>
      <w:r w:rsidR="00804C04">
        <w:t xml:space="preserve"> Aboriginal and Torres Strait Islander </w:t>
      </w:r>
      <w:r w:rsidRPr="00EF5A5F">
        <w:t>students varied across jurisdictions (figure</w:t>
      </w:r>
      <w:r w:rsidR="001812D4">
        <w:t xml:space="preserve"> </w:t>
      </w:r>
      <w:r w:rsidR="008A7954">
        <w:t>5.4</w:t>
      </w:r>
      <w:r w:rsidR="00744681">
        <w:t>2</w:t>
      </w:r>
      <w:r w:rsidRPr="00EF5A5F">
        <w:t>).</w:t>
      </w:r>
    </w:p>
    <w:p w:rsidR="00E7483B" w:rsidRDefault="00E7483B" w:rsidP="00804C0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7483B" w:rsidTr="00804C04">
        <w:tc>
          <w:tcPr>
            <w:tcW w:w="8771" w:type="dxa"/>
            <w:tcBorders>
              <w:top w:val="single" w:sz="6" w:space="0" w:color="78A22F"/>
              <w:left w:val="nil"/>
              <w:bottom w:val="nil"/>
              <w:right w:val="nil"/>
            </w:tcBorders>
            <w:shd w:val="clear" w:color="auto" w:fill="auto"/>
          </w:tcPr>
          <w:p w:rsidR="00E7483B" w:rsidRPr="00176D3F" w:rsidRDefault="00E7483B" w:rsidP="00BF6A27">
            <w:pPr>
              <w:pStyle w:val="FigureTitle"/>
            </w:pPr>
            <w:r w:rsidRPr="00784A05">
              <w:rPr>
                <w:b w:val="0"/>
              </w:rPr>
              <w:t xml:space="preserve">Figure </w:t>
            </w:r>
            <w:r>
              <w:rPr>
                <w:b w:val="0"/>
              </w:rPr>
              <w:t>5.</w:t>
            </w:r>
            <w:r w:rsidR="00D80B1E">
              <w:rPr>
                <w:b w:val="0"/>
                <w:noProof/>
              </w:rPr>
              <w:t>42</w:t>
            </w:r>
            <w:r>
              <w:tab/>
            </w:r>
            <w:r w:rsidR="00BF6A27" w:rsidRPr="00171E10">
              <w:t>Qualifications completed,</w:t>
            </w:r>
            <w:r w:rsidR="00804C04">
              <w:t xml:space="preserve"> Aboriginal and Torres Strait Islander </w:t>
            </w:r>
            <w:r w:rsidR="00BF6A27" w:rsidRPr="00171E10">
              <w:t>students</w:t>
            </w:r>
            <w:r w:rsidR="00BF6A27" w:rsidRPr="00171E10">
              <w:rPr>
                <w:rStyle w:val="NoteLabel"/>
                <w:b/>
              </w:rPr>
              <w:t>a, b</w:t>
            </w:r>
          </w:p>
        </w:tc>
      </w:tr>
      <w:tr w:rsidR="00E7483B" w:rsidTr="00804C04">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E7483B" w:rsidTr="00E7483B">
              <w:tc>
                <w:tcPr>
                  <w:tcW w:w="5000" w:type="pct"/>
                  <w:tcBorders>
                    <w:top w:val="nil"/>
                    <w:bottom w:val="nil"/>
                  </w:tcBorders>
                </w:tcPr>
                <w:p w:rsidR="00E7483B" w:rsidRDefault="003004EB" w:rsidP="00804C04">
                  <w:pPr>
                    <w:pStyle w:val="Figure"/>
                    <w:spacing w:before="60" w:after="60"/>
                  </w:pPr>
                  <w:r>
                    <w:rPr>
                      <w:noProof/>
                    </w:rPr>
                    <w:drawing>
                      <wp:inline distT="0" distB="0" distL="0" distR="0">
                        <wp:extent cx="5391150" cy="2714625"/>
                        <wp:effectExtent l="0" t="0" r="0" b="9525"/>
                        <wp:docPr id="49" name="Picture 49" descr="Figure 5.42 Qualifications completed, Aboriginal and Torres Strait Islander student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391150" cy="2714625"/>
                                </a:xfrm>
                                <a:prstGeom prst="rect">
                                  <a:avLst/>
                                </a:prstGeom>
                                <a:noFill/>
                                <a:ln>
                                  <a:noFill/>
                                </a:ln>
                              </pic:spPr>
                            </pic:pic>
                          </a:graphicData>
                        </a:graphic>
                      </wp:inline>
                    </w:drawing>
                  </w:r>
                </w:p>
              </w:tc>
            </w:tr>
          </w:tbl>
          <w:p w:rsidR="00E7483B" w:rsidRDefault="00E7483B" w:rsidP="00804C04">
            <w:pPr>
              <w:pStyle w:val="Figure"/>
            </w:pPr>
          </w:p>
        </w:tc>
      </w:tr>
      <w:tr w:rsidR="00E7483B" w:rsidRPr="00176D3F" w:rsidTr="00804C04">
        <w:tc>
          <w:tcPr>
            <w:tcW w:w="8771" w:type="dxa"/>
            <w:tcBorders>
              <w:top w:val="nil"/>
              <w:left w:val="nil"/>
              <w:bottom w:val="nil"/>
              <w:right w:val="nil"/>
            </w:tcBorders>
            <w:shd w:val="clear" w:color="auto" w:fill="auto"/>
          </w:tcPr>
          <w:p w:rsidR="00E7483B" w:rsidRPr="00176D3F" w:rsidRDefault="00BF6A27" w:rsidP="00804C04">
            <w:pPr>
              <w:pStyle w:val="Note"/>
            </w:pPr>
            <w:r w:rsidRPr="00171E10">
              <w:rPr>
                <w:rStyle w:val="NoteLabel"/>
              </w:rPr>
              <w:t>a</w:t>
            </w:r>
            <w:r w:rsidRPr="00171E10">
              <w:t xml:space="preserve"> Qualifications completed includes courses accredited or approved by a local State or Territory authority, and represents students eligible to be awarded a qualification. </w:t>
            </w:r>
            <w:r w:rsidRPr="00171E10">
              <w:rPr>
                <w:rStyle w:val="NoteLabel"/>
              </w:rPr>
              <w:t>b</w:t>
            </w:r>
            <w:r w:rsidRPr="00171E10">
              <w:t xml:space="preserve"> The number of qualifications completed includes both government funded and non-government funded VET students.</w:t>
            </w:r>
          </w:p>
        </w:tc>
      </w:tr>
      <w:tr w:rsidR="00E7483B" w:rsidRPr="00176D3F" w:rsidTr="00804C04">
        <w:tc>
          <w:tcPr>
            <w:tcW w:w="8771" w:type="dxa"/>
            <w:tcBorders>
              <w:top w:val="nil"/>
              <w:left w:val="nil"/>
              <w:bottom w:val="nil"/>
              <w:right w:val="nil"/>
            </w:tcBorders>
            <w:shd w:val="clear" w:color="auto" w:fill="auto"/>
          </w:tcPr>
          <w:p w:rsidR="00E7483B" w:rsidRPr="00176D3F" w:rsidRDefault="00BF6A27" w:rsidP="00915131">
            <w:pPr>
              <w:pStyle w:val="Source"/>
            </w:pPr>
            <w:r w:rsidRPr="00171E10">
              <w:rPr>
                <w:i/>
              </w:rPr>
              <w:t>Source</w:t>
            </w:r>
            <w:r w:rsidRPr="00171E10">
              <w:t xml:space="preserve">: NCVER (unpublished) National VET provider collection; table </w:t>
            </w:r>
            <w:proofErr w:type="spellStart"/>
            <w:r w:rsidRPr="00171E10">
              <w:t>5A.7</w:t>
            </w:r>
            <w:r w:rsidR="00915131">
              <w:t>9</w:t>
            </w:r>
            <w:proofErr w:type="spellEnd"/>
            <w:r w:rsidRPr="00171E10">
              <w:t>.</w:t>
            </w:r>
          </w:p>
        </w:tc>
      </w:tr>
      <w:tr w:rsidR="00E7483B" w:rsidTr="00804C04">
        <w:tc>
          <w:tcPr>
            <w:tcW w:w="8771" w:type="dxa"/>
            <w:tcBorders>
              <w:top w:val="nil"/>
              <w:left w:val="nil"/>
              <w:bottom w:val="single" w:sz="6" w:space="0" w:color="78A22F"/>
              <w:right w:val="nil"/>
            </w:tcBorders>
            <w:shd w:val="clear" w:color="auto" w:fill="auto"/>
          </w:tcPr>
          <w:p w:rsidR="00E7483B" w:rsidRDefault="00E7483B" w:rsidP="00804C04">
            <w:pPr>
              <w:pStyle w:val="Figurespace"/>
            </w:pPr>
          </w:p>
        </w:tc>
      </w:tr>
      <w:tr w:rsidR="00E7483B" w:rsidRPr="000863A5" w:rsidTr="00804C04">
        <w:tc>
          <w:tcPr>
            <w:tcW w:w="8771" w:type="dxa"/>
            <w:tcBorders>
              <w:top w:val="single" w:sz="6" w:space="0" w:color="78A22F"/>
              <w:left w:val="nil"/>
              <w:bottom w:val="nil"/>
              <w:right w:val="nil"/>
            </w:tcBorders>
          </w:tcPr>
          <w:p w:rsidR="00E7483B" w:rsidRPr="00626D32" w:rsidRDefault="00E7483B" w:rsidP="00804C04">
            <w:pPr>
              <w:pStyle w:val="BoxSpaceBelow"/>
            </w:pPr>
          </w:p>
        </w:tc>
      </w:tr>
    </w:tbl>
    <w:p w:rsidR="00ED0C01" w:rsidRDefault="00D10753" w:rsidP="00BE40F9">
      <w:pPr>
        <w:pStyle w:val="BodyText"/>
      </w:pPr>
      <w:r w:rsidRPr="002F7CD1">
        <w:t>Nationally i</w:t>
      </w:r>
      <w:r w:rsidR="00C57336" w:rsidRPr="002F7CD1">
        <w:t xml:space="preserve">n </w:t>
      </w:r>
      <w:r w:rsidR="0063681E" w:rsidRPr="002F7CD1">
        <w:t>201</w:t>
      </w:r>
      <w:r w:rsidR="00A04235">
        <w:t>2</w:t>
      </w:r>
      <w:r w:rsidR="00B2569E">
        <w:t>:</w:t>
      </w:r>
    </w:p>
    <w:p w:rsidR="00230ACB" w:rsidRPr="00EF5A5F" w:rsidRDefault="00F16657" w:rsidP="00ED0C01">
      <w:pPr>
        <w:pStyle w:val="ListBullet"/>
      </w:pPr>
      <w:r>
        <w:t>15.4</w:t>
      </w:r>
      <w:r w:rsidR="001812D4">
        <w:t xml:space="preserve"> </w:t>
      </w:r>
      <w:r w:rsidR="00C57336" w:rsidRPr="002F7CD1">
        <w:t>per</w:t>
      </w:r>
      <w:r w:rsidR="001812D4">
        <w:t xml:space="preserve"> </w:t>
      </w:r>
      <w:r w:rsidR="00C57336" w:rsidRPr="002F7CD1">
        <w:t xml:space="preserve">cent of qualifications completed </w:t>
      </w:r>
      <w:r w:rsidR="00DD6D4D" w:rsidRPr="002F7CD1">
        <w:t xml:space="preserve">by all students </w:t>
      </w:r>
      <w:r w:rsidR="00C57336" w:rsidRPr="000C682B">
        <w:rPr>
          <w:shd w:val="clear" w:color="auto" w:fill="FFFFFF" w:themeFill="background1"/>
        </w:rPr>
        <w:t xml:space="preserve">were at the diploma </w:t>
      </w:r>
      <w:r w:rsidR="00D8417B" w:rsidRPr="000C682B">
        <w:rPr>
          <w:shd w:val="clear" w:color="auto" w:fill="FFFFFF" w:themeFill="background1"/>
        </w:rPr>
        <w:t xml:space="preserve">level </w:t>
      </w:r>
      <w:r w:rsidR="00C57336" w:rsidRPr="000C682B">
        <w:rPr>
          <w:shd w:val="clear" w:color="auto" w:fill="FFFFFF" w:themeFill="background1"/>
        </w:rPr>
        <w:t xml:space="preserve">or </w:t>
      </w:r>
      <w:r w:rsidR="003654C8" w:rsidRPr="000C682B">
        <w:rPr>
          <w:shd w:val="clear" w:color="auto" w:fill="FFFFFF" w:themeFill="background1"/>
        </w:rPr>
        <w:t>above</w:t>
      </w:r>
      <w:r w:rsidR="00C57336" w:rsidRPr="000C682B">
        <w:rPr>
          <w:shd w:val="clear" w:color="auto" w:fill="FFFFFF" w:themeFill="background1"/>
        </w:rPr>
        <w:t xml:space="preserve">, </w:t>
      </w:r>
      <w:r>
        <w:rPr>
          <w:shd w:val="clear" w:color="auto" w:fill="FFFFFF" w:themeFill="background1"/>
        </w:rPr>
        <w:t>62.0</w:t>
      </w:r>
      <w:r w:rsidR="001812D4">
        <w:rPr>
          <w:shd w:val="clear" w:color="auto" w:fill="FFFFFF" w:themeFill="background1"/>
        </w:rPr>
        <w:t xml:space="preserve"> </w:t>
      </w:r>
      <w:r w:rsidR="00C57336" w:rsidRPr="000C682B">
        <w:rPr>
          <w:shd w:val="clear" w:color="auto" w:fill="FFFFFF" w:themeFill="background1"/>
        </w:rPr>
        <w:t>per</w:t>
      </w:r>
      <w:r w:rsidR="001812D4">
        <w:rPr>
          <w:shd w:val="clear" w:color="auto" w:fill="FFFFFF" w:themeFill="background1"/>
        </w:rPr>
        <w:t xml:space="preserve"> </w:t>
      </w:r>
      <w:r w:rsidR="00C57336" w:rsidRPr="000C682B">
        <w:rPr>
          <w:shd w:val="clear" w:color="auto" w:fill="FFFFFF" w:themeFill="background1"/>
        </w:rPr>
        <w:t>cent at certi</w:t>
      </w:r>
      <w:r w:rsidR="00DB4726" w:rsidRPr="000C682B">
        <w:rPr>
          <w:shd w:val="clear" w:color="auto" w:fill="FFFFFF" w:themeFill="background1"/>
        </w:rPr>
        <w:t>ficate level III or IV</w:t>
      </w:r>
      <w:r w:rsidR="0012769F">
        <w:rPr>
          <w:shd w:val="clear" w:color="auto" w:fill="FFFFFF" w:themeFill="background1"/>
        </w:rPr>
        <w:t>,</w:t>
      </w:r>
      <w:r w:rsidR="00DB4726" w:rsidRPr="000C682B">
        <w:rPr>
          <w:shd w:val="clear" w:color="auto" w:fill="FFFFFF" w:themeFill="background1"/>
        </w:rPr>
        <w:t xml:space="preserve"> and</w:t>
      </w:r>
      <w:r w:rsidR="00DB4726" w:rsidRPr="002F7CD1">
        <w:t xml:space="preserve"> </w:t>
      </w:r>
      <w:r>
        <w:t>22.6</w:t>
      </w:r>
      <w:r w:rsidR="001812D4">
        <w:t xml:space="preserve"> </w:t>
      </w:r>
      <w:r w:rsidR="00C57336" w:rsidRPr="002F7CD1">
        <w:t>per</w:t>
      </w:r>
      <w:r w:rsidR="001812D4">
        <w:t xml:space="preserve"> </w:t>
      </w:r>
      <w:r w:rsidR="00C57336" w:rsidRPr="00EF5A5F">
        <w:t>cent at certificate</w:t>
      </w:r>
      <w:r w:rsidR="00C020A2" w:rsidRPr="00EF5A5F">
        <w:t xml:space="preserve"> level I or II</w:t>
      </w:r>
      <w:r w:rsidR="00E43C74" w:rsidRPr="00EF5A5F">
        <w:t xml:space="preserve"> or lower</w:t>
      </w:r>
      <w:r w:rsidR="00C020A2" w:rsidRPr="00EF5A5F">
        <w:t xml:space="preserve"> </w:t>
      </w:r>
      <w:r w:rsidR="00E21551" w:rsidRPr="00EF5A5F">
        <w:t xml:space="preserve">(table </w:t>
      </w:r>
      <w:proofErr w:type="spellStart"/>
      <w:r w:rsidR="00E21551" w:rsidRPr="00EF5A5F">
        <w:t>5A.</w:t>
      </w:r>
      <w:r w:rsidR="00915131">
        <w:t>83</w:t>
      </w:r>
      <w:proofErr w:type="spellEnd"/>
      <w:r w:rsidR="00E21551" w:rsidRPr="00EF5A5F">
        <w:t>)</w:t>
      </w:r>
    </w:p>
    <w:p w:rsidR="005C7E07" w:rsidRPr="00D768C4" w:rsidRDefault="00F16657" w:rsidP="00125645">
      <w:pPr>
        <w:pStyle w:val="ListBullet"/>
      </w:pPr>
      <w:r>
        <w:t xml:space="preserve">77.6 </w:t>
      </w:r>
      <w:r w:rsidR="005C7E07" w:rsidRPr="00D768C4">
        <w:t>per</w:t>
      </w:r>
      <w:r w:rsidR="001812D4">
        <w:t xml:space="preserve"> </w:t>
      </w:r>
      <w:r w:rsidR="005C7E07" w:rsidRPr="00EF5A5F">
        <w:t xml:space="preserve">cent of </w:t>
      </w:r>
      <w:r w:rsidR="005C7E07" w:rsidRPr="00D768C4">
        <w:t xml:space="preserve">qualifications completed by all students aged 15–64 years were at the certificate III level or above, compared with </w:t>
      </w:r>
      <w:r>
        <w:t xml:space="preserve">54.5 </w:t>
      </w:r>
      <w:r w:rsidR="005C7E07" w:rsidRPr="00D768C4">
        <w:t>per</w:t>
      </w:r>
      <w:r w:rsidR="001812D4">
        <w:t xml:space="preserve"> </w:t>
      </w:r>
      <w:r w:rsidR="005C7E07" w:rsidRPr="00D768C4">
        <w:t>cent of qualifications completed by</w:t>
      </w:r>
      <w:r w:rsidR="00804C04">
        <w:t xml:space="preserve"> Aboriginal and Torres Strait Islander </w:t>
      </w:r>
      <w:r w:rsidR="005C7E07" w:rsidRPr="00D768C4">
        <w:t>students aged 15</w:t>
      </w:r>
      <w:r w:rsidR="002D62B1" w:rsidRPr="00D768C4">
        <w:t>–64</w:t>
      </w:r>
      <w:r w:rsidR="001812D4">
        <w:t xml:space="preserve"> </w:t>
      </w:r>
      <w:r w:rsidR="002D62B1" w:rsidRPr="00D768C4">
        <w:t xml:space="preserve">years </w:t>
      </w:r>
      <w:r w:rsidR="005C7E07" w:rsidRPr="00D768C4">
        <w:t xml:space="preserve">and </w:t>
      </w:r>
      <w:r>
        <w:t>78.8</w:t>
      </w:r>
      <w:r w:rsidR="001812D4">
        <w:t xml:space="preserve"> </w:t>
      </w:r>
      <w:r w:rsidR="005C7E07" w:rsidRPr="00D768C4">
        <w:t>per</w:t>
      </w:r>
      <w:r w:rsidR="001812D4">
        <w:t xml:space="preserve"> </w:t>
      </w:r>
      <w:r w:rsidR="005C7E07" w:rsidRPr="00D768C4">
        <w:t xml:space="preserve">cent </w:t>
      </w:r>
      <w:r w:rsidR="000D41E2" w:rsidRPr="00D768C4">
        <w:t xml:space="preserve">for </w:t>
      </w:r>
      <w:r w:rsidR="005C7E07" w:rsidRPr="00D768C4">
        <w:t>non-Indigenous students aged 15–64 years</w:t>
      </w:r>
    </w:p>
    <w:p w:rsidR="00125645" w:rsidRPr="00D768C4" w:rsidRDefault="00F16657" w:rsidP="00125645">
      <w:pPr>
        <w:pStyle w:val="ListBullet"/>
      </w:pPr>
      <w:r>
        <w:t xml:space="preserve">78.6 </w:t>
      </w:r>
      <w:r w:rsidR="00125645" w:rsidRPr="00D768C4">
        <w:t>per</w:t>
      </w:r>
      <w:r w:rsidR="001812D4">
        <w:t xml:space="preserve"> </w:t>
      </w:r>
      <w:r w:rsidR="00125645" w:rsidRPr="00D768C4">
        <w:t xml:space="preserve">cent of qualifications completed by all students aged </w:t>
      </w:r>
      <w:r w:rsidR="00125645" w:rsidRPr="00D768C4">
        <w:rPr>
          <w:szCs w:val="26"/>
        </w:rPr>
        <w:t>18–24</w:t>
      </w:r>
      <w:r w:rsidR="001812D4">
        <w:t xml:space="preserve"> </w:t>
      </w:r>
      <w:r w:rsidR="00125645" w:rsidRPr="00D768C4">
        <w:t xml:space="preserve">years were at the certificate III level or above, compared with </w:t>
      </w:r>
      <w:r>
        <w:t xml:space="preserve">54.8 </w:t>
      </w:r>
      <w:r w:rsidR="00125645" w:rsidRPr="00D768C4">
        <w:t>per</w:t>
      </w:r>
      <w:r w:rsidR="001812D4">
        <w:t xml:space="preserve"> </w:t>
      </w:r>
      <w:r w:rsidR="00125645" w:rsidRPr="00D768C4">
        <w:t>cent of qualifications completed by</w:t>
      </w:r>
      <w:r w:rsidR="00804C04">
        <w:t xml:space="preserve"> Aboriginal and Torres Strait Islander </w:t>
      </w:r>
      <w:r w:rsidR="00125645" w:rsidRPr="00D768C4">
        <w:t xml:space="preserve">students aged </w:t>
      </w:r>
      <w:r w:rsidR="00125645" w:rsidRPr="00D768C4">
        <w:rPr>
          <w:szCs w:val="26"/>
        </w:rPr>
        <w:t>18–24</w:t>
      </w:r>
      <w:r w:rsidR="001812D4">
        <w:t xml:space="preserve"> </w:t>
      </w:r>
      <w:r w:rsidR="00125645" w:rsidRPr="00D768C4">
        <w:t xml:space="preserve">years and </w:t>
      </w:r>
      <w:r>
        <w:t>79.</w:t>
      </w:r>
      <w:r w:rsidR="00B2569E">
        <w:t>7</w:t>
      </w:r>
      <w:r w:rsidR="001812D4">
        <w:t xml:space="preserve"> </w:t>
      </w:r>
      <w:r w:rsidR="00125645" w:rsidRPr="00D768C4">
        <w:t>per</w:t>
      </w:r>
      <w:r w:rsidR="001812D4">
        <w:t xml:space="preserve"> </w:t>
      </w:r>
      <w:r w:rsidR="00125645" w:rsidRPr="00D768C4">
        <w:t xml:space="preserve">cent for non-Indigenous students aged </w:t>
      </w:r>
      <w:r w:rsidR="00125645" w:rsidRPr="00D768C4">
        <w:rPr>
          <w:szCs w:val="26"/>
        </w:rPr>
        <w:t>18–24</w:t>
      </w:r>
      <w:r w:rsidR="001812D4">
        <w:t xml:space="preserve"> </w:t>
      </w:r>
      <w:r w:rsidR="00125645" w:rsidRPr="00D768C4">
        <w:t>years</w:t>
      </w:r>
    </w:p>
    <w:p w:rsidR="00125645" w:rsidRPr="00D768C4" w:rsidRDefault="00F16657" w:rsidP="00125645">
      <w:pPr>
        <w:pStyle w:val="ListBullet"/>
      </w:pPr>
      <w:r>
        <w:t xml:space="preserve">84.0 </w:t>
      </w:r>
      <w:r w:rsidR="00125645" w:rsidRPr="00D768C4">
        <w:t>per</w:t>
      </w:r>
      <w:r w:rsidR="001812D4">
        <w:t xml:space="preserve"> </w:t>
      </w:r>
      <w:r w:rsidR="00125645" w:rsidRPr="00D768C4">
        <w:t xml:space="preserve">cent of qualifications completed by all students aged </w:t>
      </w:r>
      <w:r w:rsidR="00125645" w:rsidRPr="00D768C4">
        <w:rPr>
          <w:szCs w:val="26"/>
        </w:rPr>
        <w:t>20</w:t>
      </w:r>
      <w:r w:rsidR="00125645" w:rsidRPr="00D768C4">
        <w:t>–64</w:t>
      </w:r>
      <w:r w:rsidR="001812D4">
        <w:t xml:space="preserve"> </w:t>
      </w:r>
      <w:r w:rsidR="00125645" w:rsidRPr="00D768C4">
        <w:t xml:space="preserve">years were at the certificate III level or above, compared with </w:t>
      </w:r>
      <w:r>
        <w:t xml:space="preserve">63.3 </w:t>
      </w:r>
      <w:r w:rsidR="00125645" w:rsidRPr="00D768C4">
        <w:t>per</w:t>
      </w:r>
      <w:r w:rsidR="001812D4">
        <w:t xml:space="preserve"> </w:t>
      </w:r>
      <w:r w:rsidR="00125645" w:rsidRPr="00D768C4">
        <w:t>cent of qualifications completed by</w:t>
      </w:r>
      <w:r w:rsidR="00804C04">
        <w:t xml:space="preserve"> Aboriginal and Torres Strait Islander </w:t>
      </w:r>
      <w:r w:rsidR="00125645" w:rsidRPr="00D768C4">
        <w:t xml:space="preserve">students aged </w:t>
      </w:r>
      <w:r w:rsidR="00125645" w:rsidRPr="00D768C4">
        <w:rPr>
          <w:szCs w:val="26"/>
        </w:rPr>
        <w:t>20</w:t>
      </w:r>
      <w:r w:rsidR="00125645" w:rsidRPr="00D768C4">
        <w:t>–64</w:t>
      </w:r>
      <w:r w:rsidR="001812D4">
        <w:t xml:space="preserve"> </w:t>
      </w:r>
      <w:r w:rsidR="00125645" w:rsidRPr="00D768C4">
        <w:t xml:space="preserve">years </w:t>
      </w:r>
      <w:r>
        <w:t>and 84.8</w:t>
      </w:r>
      <w:r w:rsidR="001812D4">
        <w:t xml:space="preserve"> </w:t>
      </w:r>
      <w:r w:rsidR="00125645" w:rsidRPr="00D768C4">
        <w:t>per</w:t>
      </w:r>
      <w:r w:rsidR="001812D4">
        <w:t xml:space="preserve"> </w:t>
      </w:r>
      <w:r w:rsidR="00125645" w:rsidRPr="00D768C4">
        <w:t xml:space="preserve">cent for non-Indigenous students aged </w:t>
      </w:r>
      <w:r w:rsidR="00125645" w:rsidRPr="00D768C4">
        <w:rPr>
          <w:szCs w:val="26"/>
        </w:rPr>
        <w:t>20</w:t>
      </w:r>
      <w:r w:rsidR="00125645" w:rsidRPr="00D768C4">
        <w:t>–64</w:t>
      </w:r>
      <w:r w:rsidR="001812D4">
        <w:t xml:space="preserve"> </w:t>
      </w:r>
      <w:r w:rsidR="00125645" w:rsidRPr="00D768C4">
        <w:t>years (figure </w:t>
      </w:r>
      <w:r w:rsidR="00606C29" w:rsidRPr="00D768C4">
        <w:t>5.4</w:t>
      </w:r>
      <w:r w:rsidR="00B2569E">
        <w:t>3</w:t>
      </w:r>
      <w:r w:rsidR="00125645" w:rsidRPr="00D768C4">
        <w:t>).</w:t>
      </w:r>
    </w:p>
    <w:p w:rsidR="00E7483B" w:rsidRDefault="00E7483B" w:rsidP="00804C0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7483B" w:rsidTr="00804C04">
        <w:tc>
          <w:tcPr>
            <w:tcW w:w="8771" w:type="dxa"/>
            <w:tcBorders>
              <w:top w:val="single" w:sz="6" w:space="0" w:color="78A22F"/>
              <w:left w:val="nil"/>
              <w:bottom w:val="nil"/>
              <w:right w:val="nil"/>
            </w:tcBorders>
            <w:shd w:val="clear" w:color="auto" w:fill="auto"/>
          </w:tcPr>
          <w:p w:rsidR="00E7483B" w:rsidRPr="00176D3F" w:rsidRDefault="00E7483B" w:rsidP="00287099">
            <w:pPr>
              <w:pStyle w:val="FigureTitle"/>
            </w:pPr>
            <w:r w:rsidRPr="00784A05">
              <w:rPr>
                <w:b w:val="0"/>
              </w:rPr>
              <w:t xml:space="preserve">Figure </w:t>
            </w:r>
            <w:r>
              <w:rPr>
                <w:b w:val="0"/>
              </w:rPr>
              <w:t>5.</w:t>
            </w:r>
            <w:r w:rsidR="00D80B1E">
              <w:rPr>
                <w:b w:val="0"/>
                <w:noProof/>
              </w:rPr>
              <w:t>43</w:t>
            </w:r>
            <w:r>
              <w:tab/>
            </w:r>
            <w:r w:rsidR="00BF6A27" w:rsidRPr="00D768C4">
              <w:t>Qualifications completed in certificate III and above, by target age group and</w:t>
            </w:r>
            <w:r w:rsidR="00804C04">
              <w:t xml:space="preserve"> </w:t>
            </w:r>
            <w:r w:rsidR="00287099">
              <w:t>Indigenous</w:t>
            </w:r>
            <w:r w:rsidR="00804C04">
              <w:t xml:space="preserve"> </w:t>
            </w:r>
            <w:r w:rsidR="00BF6A27" w:rsidRPr="00D768C4">
              <w:t>status, 201</w:t>
            </w:r>
            <w:r w:rsidR="00A04235">
              <w:t>2</w:t>
            </w:r>
            <w:r w:rsidR="00BF6A27" w:rsidRPr="00D768C4">
              <w:rPr>
                <w:rStyle w:val="NoteLabel"/>
                <w:b/>
              </w:rPr>
              <w:t>a, b, c</w:t>
            </w:r>
          </w:p>
        </w:tc>
      </w:tr>
      <w:tr w:rsidR="00E7483B" w:rsidTr="00804C04">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E7483B" w:rsidTr="00E7483B">
              <w:tc>
                <w:tcPr>
                  <w:tcW w:w="5000" w:type="pct"/>
                  <w:tcBorders>
                    <w:top w:val="nil"/>
                    <w:bottom w:val="nil"/>
                  </w:tcBorders>
                </w:tcPr>
                <w:p w:rsidR="00F16657" w:rsidRPr="00EF5A5F" w:rsidRDefault="003004EB" w:rsidP="00BF6A27">
                  <w:pPr>
                    <w:pStyle w:val="Figure"/>
                    <w:spacing w:before="0" w:after="0"/>
                  </w:pPr>
                  <w:r>
                    <w:rPr>
                      <w:b/>
                      <w:bCs/>
                      <w:noProof/>
                    </w:rPr>
                    <w:drawing>
                      <wp:inline distT="0" distB="0" distL="0" distR="0">
                        <wp:extent cx="5391150" cy="1866900"/>
                        <wp:effectExtent l="0" t="0" r="0" b="0"/>
                        <wp:docPr id="50" name="Picture 50" descr="Figure 5.43 Qualifications completed in certificate III and above, by target age group and Aboriginal and Torres Strait Islander status, 2012&#10;&#10;15-64 year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391150" cy="1866900"/>
                                </a:xfrm>
                                <a:prstGeom prst="rect">
                                  <a:avLst/>
                                </a:prstGeom>
                                <a:noFill/>
                                <a:ln>
                                  <a:noFill/>
                                </a:ln>
                              </pic:spPr>
                            </pic:pic>
                          </a:graphicData>
                        </a:graphic>
                      </wp:inline>
                    </w:drawing>
                  </w:r>
                  <w:r w:rsidR="00F16657">
                    <w:rPr>
                      <w:b/>
                      <w:bCs/>
                      <w:noProof/>
                      <w:lang w:val="en-US"/>
                    </w:rPr>
                    <w:br/>
                  </w:r>
                  <w:r>
                    <w:rPr>
                      <w:noProof/>
                    </w:rPr>
                    <w:drawing>
                      <wp:inline distT="0" distB="0" distL="0" distR="0">
                        <wp:extent cx="5391150" cy="1866900"/>
                        <wp:effectExtent l="0" t="0" r="0" b="0"/>
                        <wp:docPr id="51" name="Picture 51" descr="Figure 5.43 Qualifications completed in certificate III and above, by target age group and Aboriginal and Torres Strait Islander status, 2012&#10;&#10;18-24 year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391150" cy="1866900"/>
                                </a:xfrm>
                                <a:prstGeom prst="rect">
                                  <a:avLst/>
                                </a:prstGeom>
                                <a:noFill/>
                                <a:ln>
                                  <a:noFill/>
                                </a:ln>
                              </pic:spPr>
                            </pic:pic>
                          </a:graphicData>
                        </a:graphic>
                      </wp:inline>
                    </w:drawing>
                  </w:r>
                </w:p>
                <w:p w:rsidR="00E7483B" w:rsidRDefault="003004EB" w:rsidP="00F16657">
                  <w:pPr>
                    <w:pStyle w:val="Figure"/>
                    <w:spacing w:before="0" w:after="0"/>
                  </w:pPr>
                  <w:r>
                    <w:rPr>
                      <w:noProof/>
                    </w:rPr>
                    <w:drawing>
                      <wp:inline distT="0" distB="0" distL="0" distR="0">
                        <wp:extent cx="5391150" cy="2162175"/>
                        <wp:effectExtent l="0" t="0" r="0" b="9525"/>
                        <wp:docPr id="52" name="Picture 52" descr="Figure 5.43 Qualifications completed in certificate III and above, by target age group and Aboriginal and Torres Strait Islander status, 2012&#10;&#10;20-64 year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391150" cy="2162175"/>
                                </a:xfrm>
                                <a:prstGeom prst="rect">
                                  <a:avLst/>
                                </a:prstGeom>
                                <a:noFill/>
                                <a:ln>
                                  <a:noFill/>
                                </a:ln>
                              </pic:spPr>
                            </pic:pic>
                          </a:graphicData>
                        </a:graphic>
                      </wp:inline>
                    </w:drawing>
                  </w:r>
                </w:p>
              </w:tc>
            </w:tr>
          </w:tbl>
          <w:p w:rsidR="00E7483B" w:rsidRDefault="00E7483B" w:rsidP="00804C04">
            <w:pPr>
              <w:pStyle w:val="Figure"/>
            </w:pPr>
          </w:p>
        </w:tc>
      </w:tr>
      <w:tr w:rsidR="00E7483B" w:rsidRPr="00176D3F" w:rsidTr="00804C04">
        <w:tc>
          <w:tcPr>
            <w:tcW w:w="8771" w:type="dxa"/>
            <w:tcBorders>
              <w:top w:val="nil"/>
              <w:left w:val="nil"/>
              <w:bottom w:val="nil"/>
              <w:right w:val="nil"/>
            </w:tcBorders>
            <w:shd w:val="clear" w:color="auto" w:fill="auto"/>
          </w:tcPr>
          <w:p w:rsidR="00E7483B" w:rsidRPr="00176D3F" w:rsidRDefault="00BF6A27" w:rsidP="00151061">
            <w:pPr>
              <w:pStyle w:val="Note"/>
            </w:pPr>
            <w:r w:rsidRPr="00EF5A5F">
              <w:rPr>
                <w:rStyle w:val="NoteLabel"/>
              </w:rPr>
              <w:t>a</w:t>
            </w:r>
            <w:r w:rsidRPr="00EF5A5F">
              <w:t xml:space="preserve"> Qualifications completed includes courses accredited or approved by a local State or Territory authority and represents students eligible to be awarded a qualification. </w:t>
            </w:r>
            <w:r w:rsidRPr="00EF5A5F">
              <w:rPr>
                <w:rStyle w:val="NoteLabel"/>
              </w:rPr>
              <w:t>b</w:t>
            </w:r>
            <w:r w:rsidRPr="00EF5A5F">
              <w:t xml:space="preserve"> The number of qualifications completed includes both government funded and non-government funded VET students</w:t>
            </w:r>
            <w:r w:rsidRPr="0014685B">
              <w:t xml:space="preserve">. </w:t>
            </w:r>
            <w:r w:rsidRPr="0014685B">
              <w:rPr>
                <w:rStyle w:val="NoteLabel"/>
              </w:rPr>
              <w:t>c</w:t>
            </w:r>
            <w:r w:rsidR="00804C04">
              <w:t xml:space="preserve"> Aboriginal and Torres Strait Islander </w:t>
            </w:r>
            <w:r w:rsidRPr="0014685B">
              <w:t xml:space="preserve">students are defined as those who self-identify on enrolment forms that they are of Aboriginal and/or Torres Strait Islander background. Care </w:t>
            </w:r>
            <w:r w:rsidR="00151061">
              <w:t>should</w:t>
            </w:r>
            <w:r w:rsidRPr="0014685B">
              <w:t xml:space="preserve"> be taken in comparing qualifications completed due to the high non-response rates in some jurisdictions</w:t>
            </w:r>
            <w:r w:rsidR="00151061">
              <w:t xml:space="preserve"> (see table </w:t>
            </w:r>
            <w:proofErr w:type="spellStart"/>
            <w:r w:rsidR="00151061">
              <w:t>5A.79</w:t>
            </w:r>
            <w:proofErr w:type="spellEnd"/>
            <w:r w:rsidR="00151061">
              <w:t>)</w:t>
            </w:r>
            <w:r w:rsidRPr="0014685B">
              <w:t>.</w:t>
            </w:r>
          </w:p>
        </w:tc>
      </w:tr>
      <w:tr w:rsidR="00E7483B" w:rsidRPr="00176D3F" w:rsidTr="00804C04">
        <w:tc>
          <w:tcPr>
            <w:tcW w:w="8771" w:type="dxa"/>
            <w:tcBorders>
              <w:top w:val="nil"/>
              <w:left w:val="nil"/>
              <w:bottom w:val="nil"/>
              <w:right w:val="nil"/>
            </w:tcBorders>
            <w:shd w:val="clear" w:color="auto" w:fill="auto"/>
          </w:tcPr>
          <w:p w:rsidR="00E7483B" w:rsidRPr="00176D3F" w:rsidRDefault="000863DD" w:rsidP="00915131">
            <w:pPr>
              <w:pStyle w:val="Source"/>
            </w:pPr>
            <w:r w:rsidRPr="00EF5A5F">
              <w:rPr>
                <w:i/>
              </w:rPr>
              <w:t>Source</w:t>
            </w:r>
            <w:r w:rsidRPr="00EF5A5F">
              <w:t xml:space="preserve">: NCVER (unpublished) National VET provider collection; table </w:t>
            </w:r>
            <w:proofErr w:type="spellStart"/>
            <w:r w:rsidRPr="00EF5A5F">
              <w:t>5A.</w:t>
            </w:r>
            <w:r>
              <w:t>8</w:t>
            </w:r>
            <w:r w:rsidR="00915131">
              <w:t>4</w:t>
            </w:r>
            <w:proofErr w:type="spellEnd"/>
            <w:r w:rsidRPr="00EF5A5F">
              <w:t>.</w:t>
            </w:r>
          </w:p>
        </w:tc>
      </w:tr>
      <w:tr w:rsidR="00E7483B" w:rsidTr="00804C04">
        <w:tc>
          <w:tcPr>
            <w:tcW w:w="8771" w:type="dxa"/>
            <w:tcBorders>
              <w:top w:val="nil"/>
              <w:left w:val="nil"/>
              <w:bottom w:val="single" w:sz="6" w:space="0" w:color="78A22F"/>
              <w:right w:val="nil"/>
            </w:tcBorders>
            <w:shd w:val="clear" w:color="auto" w:fill="auto"/>
          </w:tcPr>
          <w:p w:rsidR="00E7483B" w:rsidRDefault="00E7483B" w:rsidP="00804C04">
            <w:pPr>
              <w:pStyle w:val="Figurespace"/>
            </w:pPr>
          </w:p>
        </w:tc>
      </w:tr>
      <w:tr w:rsidR="00E7483B" w:rsidRPr="000863A5" w:rsidTr="00804C04">
        <w:tc>
          <w:tcPr>
            <w:tcW w:w="8771" w:type="dxa"/>
            <w:tcBorders>
              <w:top w:val="single" w:sz="6" w:space="0" w:color="78A22F"/>
              <w:left w:val="nil"/>
              <w:bottom w:val="nil"/>
              <w:right w:val="nil"/>
            </w:tcBorders>
          </w:tcPr>
          <w:p w:rsidR="00E7483B" w:rsidRPr="00626D32" w:rsidRDefault="00E7483B" w:rsidP="00804C04">
            <w:pPr>
              <w:pStyle w:val="BoxSpaceBelow"/>
            </w:pPr>
          </w:p>
        </w:tc>
      </w:tr>
    </w:tbl>
    <w:p w:rsidR="003D3D01" w:rsidRPr="00EF5A5F" w:rsidRDefault="00A81345" w:rsidP="0041053C">
      <w:pPr>
        <w:pStyle w:val="BodyText"/>
        <w:spacing w:before="0"/>
      </w:pPr>
      <w:r w:rsidRPr="00EF5A5F">
        <w:br w:type="page"/>
      </w:r>
      <w:r w:rsidR="003D3D01" w:rsidRPr="00EF5A5F">
        <w:lastRenderedPageBreak/>
        <w:t xml:space="preserve">Nationally in </w:t>
      </w:r>
      <w:r w:rsidR="00FF50CB">
        <w:t>201</w:t>
      </w:r>
      <w:r w:rsidR="00A04235">
        <w:t>2</w:t>
      </w:r>
      <w:r w:rsidR="003D3D01" w:rsidRPr="00EF5A5F">
        <w:t>:</w:t>
      </w:r>
    </w:p>
    <w:p w:rsidR="00406DC4" w:rsidRPr="00EF5A5F" w:rsidRDefault="00F74114" w:rsidP="003D3D01">
      <w:pPr>
        <w:pStyle w:val="ListBullet"/>
      </w:pPr>
      <w:r>
        <w:t>15.5</w:t>
      </w:r>
      <w:r w:rsidR="001812D4">
        <w:t xml:space="preserve"> </w:t>
      </w:r>
      <w:r w:rsidR="00406DC4" w:rsidRPr="002F7CD1">
        <w:t>per</w:t>
      </w:r>
      <w:r w:rsidR="001812D4">
        <w:t xml:space="preserve"> </w:t>
      </w:r>
      <w:r w:rsidR="00406DC4" w:rsidRPr="00EF5A5F">
        <w:t>cent of qualifications completed by all students aged 15–64</w:t>
      </w:r>
      <w:r w:rsidR="001812D4">
        <w:t xml:space="preserve"> </w:t>
      </w:r>
      <w:r w:rsidR="00406DC4" w:rsidRPr="00EF5A5F">
        <w:t xml:space="preserve">years were at diploma level or above, compared </w:t>
      </w:r>
      <w:r w:rsidR="00406DC4" w:rsidRPr="002827B6">
        <w:t xml:space="preserve">with </w:t>
      </w:r>
      <w:r>
        <w:t>6.7</w:t>
      </w:r>
      <w:r w:rsidR="001812D4">
        <w:t xml:space="preserve"> </w:t>
      </w:r>
      <w:r w:rsidR="00406DC4" w:rsidRPr="002827B6">
        <w:t>per</w:t>
      </w:r>
      <w:r w:rsidR="001812D4">
        <w:t xml:space="preserve"> </w:t>
      </w:r>
      <w:r w:rsidR="00406DC4" w:rsidRPr="00EF5A5F">
        <w:t>cent of qualifications completed by</w:t>
      </w:r>
      <w:r w:rsidR="00804C04">
        <w:t xml:space="preserve"> Aboriginal and Torres Strait Islander </w:t>
      </w:r>
      <w:r w:rsidR="00406DC4" w:rsidRPr="00EF5A5F">
        <w:t>students aged 15–64</w:t>
      </w:r>
      <w:r w:rsidR="001812D4">
        <w:t xml:space="preserve"> </w:t>
      </w:r>
      <w:r w:rsidR="00406DC4" w:rsidRPr="00EF5A5F">
        <w:t xml:space="preserve">years </w:t>
      </w:r>
      <w:r w:rsidR="00406DC4" w:rsidRPr="002827B6">
        <w:t xml:space="preserve">and </w:t>
      </w:r>
      <w:r>
        <w:t>15.7</w:t>
      </w:r>
      <w:r w:rsidR="001812D4">
        <w:t xml:space="preserve"> </w:t>
      </w:r>
      <w:r w:rsidR="00E962BA" w:rsidRPr="002827B6">
        <w:t>per</w:t>
      </w:r>
      <w:r w:rsidR="001812D4">
        <w:t xml:space="preserve"> </w:t>
      </w:r>
      <w:r w:rsidR="00E962BA">
        <w:t>cent for</w:t>
      </w:r>
      <w:r w:rsidR="0069034B">
        <w:t xml:space="preserve"> </w:t>
      </w:r>
      <w:r w:rsidR="00451BAA" w:rsidRPr="00EF5A5F">
        <w:t>non</w:t>
      </w:r>
      <w:r w:rsidR="00451BAA" w:rsidRPr="00EF5A5F">
        <w:noBreakHyphen/>
      </w:r>
      <w:r w:rsidR="00406DC4" w:rsidRPr="00EF5A5F">
        <w:t>Indigenous students aged 15–64</w:t>
      </w:r>
      <w:r w:rsidR="001812D4">
        <w:t xml:space="preserve"> </w:t>
      </w:r>
      <w:r w:rsidR="00406DC4" w:rsidRPr="00EF5A5F">
        <w:t>years</w:t>
      </w:r>
    </w:p>
    <w:p w:rsidR="00406DC4" w:rsidRPr="00EF5A5F" w:rsidRDefault="00F74114" w:rsidP="003D3D01">
      <w:pPr>
        <w:pStyle w:val="ListBullet"/>
      </w:pPr>
      <w:r>
        <w:t xml:space="preserve">14.7 </w:t>
      </w:r>
      <w:r w:rsidR="00406DC4" w:rsidRPr="002827B6">
        <w:t>per</w:t>
      </w:r>
      <w:r w:rsidR="001812D4">
        <w:t xml:space="preserve"> </w:t>
      </w:r>
      <w:r w:rsidR="00406DC4" w:rsidRPr="00EF5A5F">
        <w:t xml:space="preserve">cent of qualifications completed by all students aged </w:t>
      </w:r>
      <w:r w:rsidR="00451BAA" w:rsidRPr="00EF5A5F">
        <w:t>18</w:t>
      </w:r>
      <w:r w:rsidR="00451BAA" w:rsidRPr="00EF5A5F">
        <w:noBreakHyphen/>
      </w:r>
      <w:r w:rsidR="00406DC4" w:rsidRPr="00EF5A5F">
        <w:t>24</w:t>
      </w:r>
      <w:r w:rsidR="001812D4">
        <w:t xml:space="preserve"> </w:t>
      </w:r>
      <w:r w:rsidR="00406DC4" w:rsidRPr="00EF5A5F">
        <w:t xml:space="preserve">years were at diploma level or above, compared </w:t>
      </w:r>
      <w:r w:rsidR="00406DC4" w:rsidRPr="002827B6">
        <w:t xml:space="preserve">with </w:t>
      </w:r>
      <w:r>
        <w:t>4.1</w:t>
      </w:r>
      <w:r w:rsidR="001812D4">
        <w:t xml:space="preserve"> </w:t>
      </w:r>
      <w:r w:rsidR="00406DC4" w:rsidRPr="00EF5A5F">
        <w:t>per</w:t>
      </w:r>
      <w:r w:rsidR="001812D4">
        <w:t xml:space="preserve"> </w:t>
      </w:r>
      <w:r w:rsidR="00406DC4" w:rsidRPr="00EF5A5F">
        <w:t>cent of qualifications completed by</w:t>
      </w:r>
      <w:r w:rsidR="00804C04">
        <w:t xml:space="preserve"> Aboriginal and Torres Strait Islander </w:t>
      </w:r>
      <w:r w:rsidR="00406DC4" w:rsidRPr="00EF5A5F">
        <w:t>students aged 18–24</w:t>
      </w:r>
      <w:r w:rsidR="001812D4">
        <w:t xml:space="preserve"> </w:t>
      </w:r>
      <w:r w:rsidR="00406DC4" w:rsidRPr="002827B6">
        <w:t xml:space="preserve">years and </w:t>
      </w:r>
      <w:r>
        <w:t>14.9</w:t>
      </w:r>
      <w:r w:rsidR="001812D4">
        <w:t xml:space="preserve"> </w:t>
      </w:r>
      <w:r w:rsidR="00406DC4" w:rsidRPr="002827B6">
        <w:t>per</w:t>
      </w:r>
      <w:r w:rsidR="001812D4">
        <w:t xml:space="preserve"> </w:t>
      </w:r>
      <w:r w:rsidR="00406DC4" w:rsidRPr="00EF5A5F">
        <w:t>cent for</w:t>
      </w:r>
      <w:r w:rsidR="0069034B">
        <w:t xml:space="preserve"> </w:t>
      </w:r>
      <w:r w:rsidR="00406DC4" w:rsidRPr="00EF5A5F">
        <w:t>non</w:t>
      </w:r>
      <w:r w:rsidR="0069034B">
        <w:noBreakHyphen/>
      </w:r>
      <w:r w:rsidR="00406DC4" w:rsidRPr="00EF5A5F">
        <w:t>Indigenous students aged 18–24</w:t>
      </w:r>
      <w:r w:rsidR="001812D4">
        <w:t xml:space="preserve"> </w:t>
      </w:r>
      <w:r w:rsidR="00406DC4" w:rsidRPr="00EF5A5F">
        <w:t>years</w:t>
      </w:r>
    </w:p>
    <w:p w:rsidR="00406DC4" w:rsidRPr="00EF5A5F" w:rsidRDefault="00F74114" w:rsidP="00A64610">
      <w:pPr>
        <w:pStyle w:val="ListBullet"/>
      </w:pPr>
      <w:r>
        <w:t xml:space="preserve">18.4 </w:t>
      </w:r>
      <w:r w:rsidR="00406DC4" w:rsidRPr="002827B6">
        <w:t>per</w:t>
      </w:r>
      <w:r w:rsidR="001812D4">
        <w:t xml:space="preserve"> </w:t>
      </w:r>
      <w:r w:rsidR="00406DC4" w:rsidRPr="00EF5A5F">
        <w:t>cent of qualifications completed by all students aged 20–64</w:t>
      </w:r>
      <w:r w:rsidR="001812D4">
        <w:t xml:space="preserve"> </w:t>
      </w:r>
      <w:r w:rsidR="00406DC4" w:rsidRPr="00EF5A5F">
        <w:t xml:space="preserve">years were at </w:t>
      </w:r>
      <w:r w:rsidR="00451BAA" w:rsidRPr="00EF5A5F">
        <w:t xml:space="preserve">diploma </w:t>
      </w:r>
      <w:r w:rsidR="00406DC4" w:rsidRPr="00EF5A5F">
        <w:t xml:space="preserve">level or above, compared </w:t>
      </w:r>
      <w:r w:rsidR="00406DC4" w:rsidRPr="002827B6">
        <w:t xml:space="preserve">with </w:t>
      </w:r>
      <w:r>
        <w:t>9.0</w:t>
      </w:r>
      <w:r w:rsidR="001812D4">
        <w:t xml:space="preserve"> </w:t>
      </w:r>
      <w:r w:rsidR="00406DC4" w:rsidRPr="002827B6">
        <w:t>per</w:t>
      </w:r>
      <w:r w:rsidR="001812D4">
        <w:t xml:space="preserve"> </w:t>
      </w:r>
      <w:r w:rsidR="00406DC4" w:rsidRPr="00EF5A5F">
        <w:t>cent of qualifications completed by</w:t>
      </w:r>
      <w:r w:rsidR="00804C04">
        <w:t xml:space="preserve"> Aboriginal and Torres Strait Islander </w:t>
      </w:r>
      <w:r w:rsidR="00406DC4" w:rsidRPr="00EF5A5F">
        <w:t>students aged 20–64</w:t>
      </w:r>
      <w:r w:rsidR="001812D4">
        <w:t xml:space="preserve"> </w:t>
      </w:r>
      <w:r w:rsidR="00406DC4" w:rsidRPr="002827B6">
        <w:t xml:space="preserve">years and </w:t>
      </w:r>
      <w:r>
        <w:t>18.6</w:t>
      </w:r>
      <w:r w:rsidR="001812D4">
        <w:t xml:space="preserve"> </w:t>
      </w:r>
      <w:r w:rsidR="00E962BA" w:rsidRPr="002827B6">
        <w:t>per</w:t>
      </w:r>
      <w:r w:rsidR="001812D4">
        <w:t xml:space="preserve"> </w:t>
      </w:r>
      <w:r w:rsidR="00E962BA">
        <w:t>cent for</w:t>
      </w:r>
      <w:r w:rsidR="0069034B">
        <w:t xml:space="preserve"> </w:t>
      </w:r>
      <w:r w:rsidR="00406DC4" w:rsidRPr="00EF5A5F">
        <w:t>non</w:t>
      </w:r>
      <w:r w:rsidR="0069034B">
        <w:noBreakHyphen/>
      </w:r>
      <w:r w:rsidR="00406DC4" w:rsidRPr="00EF5A5F">
        <w:t>Indigenous students aged 20–64</w:t>
      </w:r>
      <w:r w:rsidR="001812D4">
        <w:t xml:space="preserve"> </w:t>
      </w:r>
      <w:r w:rsidR="00406DC4" w:rsidRPr="00EF5A5F">
        <w:t>years (figure </w:t>
      </w:r>
      <w:r w:rsidR="00606C29">
        <w:t>5.4</w:t>
      </w:r>
      <w:r w:rsidR="00B2569E">
        <w:t>4</w:t>
      </w:r>
      <w:r w:rsidR="00406DC4" w:rsidRPr="00EF5A5F">
        <w:t>).</w:t>
      </w:r>
    </w:p>
    <w:p w:rsidR="004C51CE" w:rsidRDefault="00451BAA" w:rsidP="00646F6F">
      <w:pPr>
        <w:pStyle w:val="BodyText"/>
      </w:pPr>
      <w:r w:rsidRPr="00EF5A5F">
        <w:rPr>
          <w:b/>
        </w:rPr>
        <w:br w:type="page"/>
      </w:r>
    </w:p>
    <w:p w:rsidR="000863DD" w:rsidRDefault="000863DD" w:rsidP="00804C0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863DD" w:rsidTr="00804C04">
        <w:tc>
          <w:tcPr>
            <w:tcW w:w="8771" w:type="dxa"/>
            <w:tcBorders>
              <w:top w:val="single" w:sz="6" w:space="0" w:color="78A22F"/>
              <w:left w:val="nil"/>
              <w:bottom w:val="nil"/>
              <w:right w:val="nil"/>
            </w:tcBorders>
            <w:shd w:val="clear" w:color="auto" w:fill="auto"/>
          </w:tcPr>
          <w:p w:rsidR="000863DD" w:rsidRPr="00176D3F" w:rsidRDefault="000863DD" w:rsidP="00287099">
            <w:pPr>
              <w:pStyle w:val="FigureTitle"/>
            </w:pPr>
            <w:r w:rsidRPr="00784A05">
              <w:rPr>
                <w:b w:val="0"/>
              </w:rPr>
              <w:t xml:space="preserve">Figure </w:t>
            </w:r>
            <w:r>
              <w:rPr>
                <w:b w:val="0"/>
              </w:rPr>
              <w:t>5.</w:t>
            </w:r>
            <w:r w:rsidR="00D80B1E">
              <w:rPr>
                <w:b w:val="0"/>
                <w:noProof/>
              </w:rPr>
              <w:t>44</w:t>
            </w:r>
            <w:r>
              <w:tab/>
            </w:r>
            <w:r w:rsidRPr="0073220E">
              <w:t xml:space="preserve">Qualifications completed in diploma </w:t>
            </w:r>
            <w:r w:rsidRPr="000C682B">
              <w:t>and above, by target age group and</w:t>
            </w:r>
            <w:r w:rsidR="00804C04">
              <w:t xml:space="preserve"> </w:t>
            </w:r>
            <w:r w:rsidR="00287099">
              <w:t>Indigenous</w:t>
            </w:r>
            <w:r w:rsidR="00804C04">
              <w:t xml:space="preserve"> </w:t>
            </w:r>
            <w:r w:rsidRPr="000C682B">
              <w:t>status, 201</w:t>
            </w:r>
            <w:r w:rsidR="00F60C63">
              <w:t>2</w:t>
            </w:r>
            <w:r w:rsidRPr="000C682B">
              <w:rPr>
                <w:rStyle w:val="NoteLabel"/>
                <w:b/>
              </w:rPr>
              <w:t>a, b, c, d, e</w:t>
            </w:r>
          </w:p>
        </w:tc>
      </w:tr>
      <w:tr w:rsidR="000863DD" w:rsidTr="00804C04">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0863DD" w:rsidTr="000863DD">
              <w:tc>
                <w:tcPr>
                  <w:tcW w:w="5000" w:type="pct"/>
                  <w:tcBorders>
                    <w:top w:val="nil"/>
                    <w:bottom w:val="nil"/>
                  </w:tcBorders>
                </w:tcPr>
                <w:p w:rsidR="000863DD" w:rsidRDefault="003004EB" w:rsidP="00646F6F">
                  <w:pPr>
                    <w:pStyle w:val="Figure"/>
                    <w:spacing w:before="60" w:after="60"/>
                  </w:pPr>
                  <w:r>
                    <w:rPr>
                      <w:noProof/>
                    </w:rPr>
                    <w:drawing>
                      <wp:inline distT="0" distB="0" distL="0" distR="0">
                        <wp:extent cx="5391150" cy="1866900"/>
                        <wp:effectExtent l="0" t="0" r="0" b="0"/>
                        <wp:docPr id="53" name="Picture 53" descr="Figure 5.43 Qualifications completed in diploma and above, by target age group and Aboriginal and Torres Strait Islander status, 2012&#10;&#10;15-64 year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391150" cy="1866900"/>
                                </a:xfrm>
                                <a:prstGeom prst="rect">
                                  <a:avLst/>
                                </a:prstGeom>
                                <a:noFill/>
                                <a:ln>
                                  <a:noFill/>
                                </a:ln>
                              </pic:spPr>
                            </pic:pic>
                          </a:graphicData>
                        </a:graphic>
                      </wp:inline>
                    </w:drawing>
                  </w:r>
                  <w:r w:rsidR="00F16657">
                    <w:br/>
                  </w:r>
                  <w:r>
                    <w:rPr>
                      <w:noProof/>
                    </w:rPr>
                    <w:drawing>
                      <wp:inline distT="0" distB="0" distL="0" distR="0">
                        <wp:extent cx="5391150" cy="1866900"/>
                        <wp:effectExtent l="0" t="0" r="0" b="0"/>
                        <wp:docPr id="54" name="Picture 54" descr="Figure 5.43 Qualifications completed in diploma and above, by target age group and Aboriginal and Torres Strait Islander status, 2012&#10;&#10;18-24 year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5391150" cy="1866900"/>
                                </a:xfrm>
                                <a:prstGeom prst="rect">
                                  <a:avLst/>
                                </a:prstGeom>
                                <a:noFill/>
                                <a:ln>
                                  <a:noFill/>
                                </a:ln>
                              </pic:spPr>
                            </pic:pic>
                          </a:graphicData>
                        </a:graphic>
                      </wp:inline>
                    </w:drawing>
                  </w:r>
                  <w:r w:rsidR="00F16657">
                    <w:br/>
                  </w:r>
                  <w:r>
                    <w:rPr>
                      <w:noProof/>
                    </w:rPr>
                    <w:drawing>
                      <wp:inline distT="0" distB="0" distL="0" distR="0">
                        <wp:extent cx="5391150" cy="2162175"/>
                        <wp:effectExtent l="0" t="0" r="0" b="9525"/>
                        <wp:docPr id="55" name="Picture 55" descr="Figure 5.43 Qualifications completed in diploma and above, by target age group and Aboriginal and Torres Strait Islander status, 2012&#10;&#10;20-64 year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5391150" cy="2162175"/>
                                </a:xfrm>
                                <a:prstGeom prst="rect">
                                  <a:avLst/>
                                </a:prstGeom>
                                <a:noFill/>
                                <a:ln>
                                  <a:noFill/>
                                </a:ln>
                              </pic:spPr>
                            </pic:pic>
                          </a:graphicData>
                        </a:graphic>
                      </wp:inline>
                    </w:drawing>
                  </w:r>
                </w:p>
              </w:tc>
            </w:tr>
          </w:tbl>
          <w:p w:rsidR="000863DD" w:rsidRDefault="000863DD" w:rsidP="00804C04">
            <w:pPr>
              <w:pStyle w:val="Figure"/>
            </w:pPr>
          </w:p>
        </w:tc>
      </w:tr>
      <w:tr w:rsidR="000863DD" w:rsidRPr="00176D3F" w:rsidTr="00804C04">
        <w:tc>
          <w:tcPr>
            <w:tcW w:w="8771" w:type="dxa"/>
            <w:tcBorders>
              <w:top w:val="nil"/>
              <w:left w:val="nil"/>
              <w:bottom w:val="nil"/>
              <w:right w:val="nil"/>
            </w:tcBorders>
            <w:shd w:val="clear" w:color="auto" w:fill="auto"/>
          </w:tcPr>
          <w:p w:rsidR="000863DD" w:rsidRPr="00176D3F" w:rsidRDefault="00646F6F" w:rsidP="008C6F36">
            <w:pPr>
              <w:pStyle w:val="Note"/>
            </w:pPr>
            <w:r w:rsidRPr="0073220E">
              <w:rPr>
                <w:rStyle w:val="NoteLabel"/>
              </w:rPr>
              <w:t>a</w:t>
            </w:r>
            <w:r w:rsidRPr="0073220E">
              <w:t xml:space="preserve"> Qualifications completed includes courses accredited or approved by a local State or Territory authority and represents students eligible to be awarded a qualification. </w:t>
            </w:r>
            <w:r w:rsidRPr="0073220E">
              <w:rPr>
                <w:rStyle w:val="NoteLabel"/>
              </w:rPr>
              <w:t>b</w:t>
            </w:r>
            <w:r w:rsidRPr="0073220E">
              <w:t xml:space="preserve"> The number of qualifications completed includes both government funded and non-government funded VET students.</w:t>
            </w:r>
            <w:r w:rsidRPr="0073220E">
              <w:rPr>
                <w:rStyle w:val="NoteLabel"/>
              </w:rPr>
              <w:t xml:space="preserve"> c</w:t>
            </w:r>
            <w:r w:rsidRPr="0073220E">
              <w:t xml:space="preserve"> Course levels classified as diploma and above are included in the group of courses classified as certificate III and above. </w:t>
            </w:r>
            <w:r w:rsidRPr="0073220E">
              <w:rPr>
                <w:rStyle w:val="NoteLabel"/>
              </w:rPr>
              <w:t>d</w:t>
            </w:r>
            <w:r w:rsidR="00804C04">
              <w:t xml:space="preserve"> Aboriginal and Torres Strait Islander </w:t>
            </w:r>
            <w:r w:rsidRPr="0073220E">
              <w:t xml:space="preserve">students are defined as those who self-identify on enrolment forms that they are of Aboriginal and/or Torres Strait Islander background. Care </w:t>
            </w:r>
            <w:r w:rsidR="008C6F36">
              <w:t>should</w:t>
            </w:r>
            <w:r w:rsidRPr="0073220E">
              <w:t xml:space="preserve"> be taken in comparing qualifications completed due to the high non-response rates in some jurisdictions</w:t>
            </w:r>
            <w:r w:rsidR="008C6F36">
              <w:t xml:space="preserve"> (table </w:t>
            </w:r>
            <w:proofErr w:type="spellStart"/>
            <w:r w:rsidR="008C6F36">
              <w:t>4A.79</w:t>
            </w:r>
            <w:proofErr w:type="spellEnd"/>
            <w:r w:rsidR="008C6F36">
              <w:t>)</w:t>
            </w:r>
            <w:r w:rsidRPr="0073220E">
              <w:t>.</w:t>
            </w:r>
            <w:r w:rsidRPr="0073220E">
              <w:rPr>
                <w:rStyle w:val="NoteLabel"/>
              </w:rPr>
              <w:t xml:space="preserve"> e</w:t>
            </w:r>
            <w:r w:rsidRPr="0073220E">
              <w:t xml:space="preserve"> No qualifications were recorded as having been completed in diploma and above by</w:t>
            </w:r>
            <w:r w:rsidR="00804C04">
              <w:t xml:space="preserve"> Aboriginal and Torres Strait Islander </w:t>
            </w:r>
            <w:r w:rsidRPr="0073220E">
              <w:t>graduates aged 18</w:t>
            </w:r>
            <w:r w:rsidRPr="0073220E">
              <w:noBreakHyphen/>
              <w:t>24 years in the NT in 2011.</w:t>
            </w:r>
          </w:p>
        </w:tc>
      </w:tr>
      <w:tr w:rsidR="000863DD" w:rsidRPr="00176D3F" w:rsidTr="00804C04">
        <w:tc>
          <w:tcPr>
            <w:tcW w:w="8771" w:type="dxa"/>
            <w:tcBorders>
              <w:top w:val="nil"/>
              <w:left w:val="nil"/>
              <w:bottom w:val="nil"/>
              <w:right w:val="nil"/>
            </w:tcBorders>
            <w:shd w:val="clear" w:color="auto" w:fill="auto"/>
          </w:tcPr>
          <w:p w:rsidR="000863DD" w:rsidRPr="00176D3F" w:rsidRDefault="00646F6F" w:rsidP="00915131">
            <w:pPr>
              <w:pStyle w:val="Source"/>
            </w:pPr>
            <w:r w:rsidRPr="0073220E">
              <w:rPr>
                <w:i/>
              </w:rPr>
              <w:t>Source</w:t>
            </w:r>
            <w:r w:rsidRPr="0073220E">
              <w:t xml:space="preserve">: NCVER (unpublished) National VET provider collection; table </w:t>
            </w:r>
            <w:proofErr w:type="spellStart"/>
            <w:r w:rsidRPr="0073220E">
              <w:t>5A.</w:t>
            </w:r>
            <w:r>
              <w:t>8</w:t>
            </w:r>
            <w:r w:rsidR="00915131">
              <w:t>4</w:t>
            </w:r>
            <w:proofErr w:type="spellEnd"/>
            <w:r w:rsidRPr="0073220E">
              <w:t xml:space="preserve">. </w:t>
            </w:r>
          </w:p>
        </w:tc>
      </w:tr>
      <w:tr w:rsidR="000863DD" w:rsidTr="00804C04">
        <w:tc>
          <w:tcPr>
            <w:tcW w:w="8771" w:type="dxa"/>
            <w:tcBorders>
              <w:top w:val="nil"/>
              <w:left w:val="nil"/>
              <w:bottom w:val="single" w:sz="6" w:space="0" w:color="78A22F"/>
              <w:right w:val="nil"/>
            </w:tcBorders>
            <w:shd w:val="clear" w:color="auto" w:fill="auto"/>
          </w:tcPr>
          <w:p w:rsidR="000863DD" w:rsidRDefault="000863DD" w:rsidP="00804C04">
            <w:pPr>
              <w:pStyle w:val="Figurespace"/>
            </w:pPr>
          </w:p>
        </w:tc>
      </w:tr>
      <w:tr w:rsidR="000863DD" w:rsidRPr="000863A5" w:rsidTr="00804C04">
        <w:tc>
          <w:tcPr>
            <w:tcW w:w="8771" w:type="dxa"/>
            <w:tcBorders>
              <w:top w:val="single" w:sz="6" w:space="0" w:color="78A22F"/>
              <w:left w:val="nil"/>
              <w:bottom w:val="nil"/>
              <w:right w:val="nil"/>
            </w:tcBorders>
          </w:tcPr>
          <w:p w:rsidR="000863DD" w:rsidRPr="00626D32" w:rsidRDefault="000863DD" w:rsidP="00804C04">
            <w:pPr>
              <w:pStyle w:val="BoxSpaceBelow"/>
            </w:pPr>
          </w:p>
        </w:tc>
      </w:tr>
    </w:tbl>
    <w:p w:rsidR="00C57336" w:rsidRPr="00EF5A5F" w:rsidRDefault="00C57336" w:rsidP="007534C4">
      <w:pPr>
        <w:pStyle w:val="Heading6"/>
      </w:pPr>
      <w:r w:rsidRPr="00EF5A5F">
        <w:lastRenderedPageBreak/>
        <w:t xml:space="preserve">Skill outputs from VET — </w:t>
      </w:r>
      <w:r w:rsidR="00E962BA">
        <w:t>u</w:t>
      </w:r>
      <w:r w:rsidR="00F553CD" w:rsidRPr="00EF5A5F">
        <w:t xml:space="preserve">nits </w:t>
      </w:r>
      <w:r w:rsidRPr="00EF5A5F">
        <w:t xml:space="preserve">of competency </w:t>
      </w:r>
      <w:r w:rsidR="009536F3" w:rsidRPr="00EF5A5F">
        <w:t>and modules completed</w:t>
      </w:r>
    </w:p>
    <w:p w:rsidR="00836125" w:rsidRDefault="00836125" w:rsidP="008E6316">
      <w:pPr>
        <w:pStyle w:val="BodyText"/>
      </w:pPr>
      <w:r w:rsidRPr="002827B6">
        <w:t xml:space="preserve">Nationally, </w:t>
      </w:r>
      <w:r w:rsidR="008C6F36">
        <w:t>government funded VET</w:t>
      </w:r>
      <w:r w:rsidR="008C13B6" w:rsidRPr="002827B6">
        <w:t xml:space="preserve"> </w:t>
      </w:r>
      <w:r w:rsidRPr="002827B6">
        <w:t xml:space="preserve">students </w:t>
      </w:r>
      <w:r w:rsidR="00423169" w:rsidRPr="002827B6">
        <w:t>completed</w:t>
      </w:r>
      <w:r w:rsidRPr="002827B6">
        <w:t xml:space="preserve"> </w:t>
      </w:r>
      <w:r w:rsidR="007E5904">
        <w:t>10.5</w:t>
      </w:r>
      <w:r w:rsidR="001812D4">
        <w:t xml:space="preserve"> </w:t>
      </w:r>
      <w:r w:rsidRPr="00797F43">
        <w:t xml:space="preserve">million units of competency </w:t>
      </w:r>
      <w:r w:rsidR="00764797">
        <w:t xml:space="preserve">and modules </w:t>
      </w:r>
      <w:r w:rsidRPr="00797F43">
        <w:t xml:space="preserve">in </w:t>
      </w:r>
      <w:r w:rsidR="00FF50CB" w:rsidRPr="00797F43">
        <w:t>201</w:t>
      </w:r>
      <w:r w:rsidR="004A2F7C">
        <w:t>3</w:t>
      </w:r>
      <w:r w:rsidRPr="00797F43">
        <w:t xml:space="preserve">, </w:t>
      </w:r>
      <w:r w:rsidR="00423169" w:rsidRPr="00797F43">
        <w:t xml:space="preserve">a </w:t>
      </w:r>
      <w:r w:rsidR="007E5904">
        <w:t>27.3</w:t>
      </w:r>
      <w:r w:rsidR="001812D4">
        <w:t xml:space="preserve"> </w:t>
      </w:r>
      <w:r w:rsidR="00423169" w:rsidRPr="00797F43">
        <w:t>per</w:t>
      </w:r>
      <w:r w:rsidR="001812D4">
        <w:t xml:space="preserve"> </w:t>
      </w:r>
      <w:r w:rsidR="00423169" w:rsidRPr="00797F43">
        <w:t>cent increase</w:t>
      </w:r>
      <w:r w:rsidRPr="00797F43">
        <w:t xml:space="preserve"> from </w:t>
      </w:r>
      <w:r w:rsidR="007E5904">
        <w:t>8.2</w:t>
      </w:r>
      <w:r w:rsidR="001812D4">
        <w:t xml:space="preserve"> </w:t>
      </w:r>
      <w:r w:rsidRPr="00797F43">
        <w:t xml:space="preserve">million in </w:t>
      </w:r>
      <w:r w:rsidR="00FF50CB" w:rsidRPr="00764797">
        <w:t>200</w:t>
      </w:r>
      <w:r w:rsidR="004A2F7C">
        <w:t>9</w:t>
      </w:r>
      <w:r w:rsidR="00FF50CB" w:rsidRPr="00764797">
        <w:t xml:space="preserve"> </w:t>
      </w:r>
      <w:r w:rsidRPr="00764797">
        <w:t xml:space="preserve">(table </w:t>
      </w:r>
      <w:proofErr w:type="spellStart"/>
      <w:r w:rsidRPr="00764797">
        <w:t>5A.</w:t>
      </w:r>
      <w:r w:rsidR="00FF50CB" w:rsidRPr="00764797">
        <w:t>8</w:t>
      </w:r>
      <w:r w:rsidR="00915131">
        <w:t>6</w:t>
      </w:r>
      <w:proofErr w:type="spellEnd"/>
      <w:r w:rsidRPr="00764797">
        <w:t>)</w:t>
      </w:r>
      <w:r w:rsidR="00886E2D">
        <w:t>.</w:t>
      </w:r>
      <w:r w:rsidR="00797F43" w:rsidRPr="00764797">
        <w:t xml:space="preserve"> </w:t>
      </w:r>
      <w:r w:rsidR="00ED0C01" w:rsidRPr="00797F43">
        <w:t>T</w:t>
      </w:r>
      <w:r w:rsidR="00ED0C01">
        <w:t>rends in t</w:t>
      </w:r>
      <w:r w:rsidRPr="00797F43">
        <w:t xml:space="preserve">he number of units of competency and number of modules </w:t>
      </w:r>
      <w:r w:rsidR="00423169" w:rsidRPr="00797F43">
        <w:t xml:space="preserve">completed </w:t>
      </w:r>
      <w:r w:rsidRPr="00797F43">
        <w:t>varied across jurisdictions (figure</w:t>
      </w:r>
      <w:r w:rsidR="004A2F7C">
        <w:t> </w:t>
      </w:r>
      <w:r w:rsidR="00606C29" w:rsidRPr="00797F43">
        <w:t>5</w:t>
      </w:r>
      <w:r w:rsidR="00606C29">
        <w:t>.4</w:t>
      </w:r>
      <w:r w:rsidR="00C0635E">
        <w:t>5</w:t>
      </w:r>
      <w:r w:rsidRPr="00EF5A5F">
        <w:t>).</w:t>
      </w:r>
    </w:p>
    <w:p w:rsidR="00D007D1" w:rsidRDefault="00D007D1" w:rsidP="00804C0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007D1" w:rsidTr="00804C04">
        <w:tc>
          <w:tcPr>
            <w:tcW w:w="8771" w:type="dxa"/>
            <w:tcBorders>
              <w:top w:val="single" w:sz="6" w:space="0" w:color="78A22F"/>
              <w:left w:val="nil"/>
              <w:bottom w:val="nil"/>
              <w:right w:val="nil"/>
            </w:tcBorders>
            <w:shd w:val="clear" w:color="auto" w:fill="auto"/>
          </w:tcPr>
          <w:p w:rsidR="00D007D1" w:rsidRPr="00176D3F" w:rsidRDefault="00D007D1" w:rsidP="002541C4">
            <w:pPr>
              <w:pStyle w:val="FigureTitle"/>
            </w:pPr>
            <w:r w:rsidRPr="00784A05">
              <w:rPr>
                <w:b w:val="0"/>
              </w:rPr>
              <w:t xml:space="preserve">Figure </w:t>
            </w:r>
            <w:r>
              <w:rPr>
                <w:b w:val="0"/>
              </w:rPr>
              <w:t>5.</w:t>
            </w:r>
            <w:r w:rsidR="00D80B1E">
              <w:rPr>
                <w:b w:val="0"/>
                <w:noProof/>
              </w:rPr>
              <w:t>45</w:t>
            </w:r>
            <w:r>
              <w:tab/>
            </w:r>
            <w:r w:rsidR="002541C4" w:rsidRPr="00B94725">
              <w:t>Units of competency and modules completed, all students</w:t>
            </w:r>
            <w:r w:rsidR="002541C4" w:rsidRPr="00B94725">
              <w:rPr>
                <w:rStyle w:val="NoteLabel"/>
                <w:b/>
              </w:rPr>
              <w:t>a</w:t>
            </w:r>
          </w:p>
        </w:tc>
      </w:tr>
      <w:tr w:rsidR="00D007D1" w:rsidTr="00804C04">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D007D1" w:rsidTr="00D007D1">
              <w:tc>
                <w:tcPr>
                  <w:tcW w:w="5000" w:type="pct"/>
                  <w:tcBorders>
                    <w:top w:val="nil"/>
                    <w:bottom w:val="nil"/>
                  </w:tcBorders>
                </w:tcPr>
                <w:p w:rsidR="00D007D1" w:rsidRDefault="003004EB" w:rsidP="00804C04">
                  <w:pPr>
                    <w:pStyle w:val="Figure"/>
                    <w:spacing w:before="60" w:after="60"/>
                  </w:pPr>
                  <w:r>
                    <w:rPr>
                      <w:noProof/>
                    </w:rPr>
                    <w:drawing>
                      <wp:inline distT="0" distB="0" distL="0" distR="0">
                        <wp:extent cx="5495925" cy="2705100"/>
                        <wp:effectExtent l="0" t="0" r="9525" b="0"/>
                        <wp:docPr id="56" name="Picture 56" descr="Figure 5.45 Units of competency and modules completed, all student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5495925" cy="2705100"/>
                                </a:xfrm>
                                <a:prstGeom prst="rect">
                                  <a:avLst/>
                                </a:prstGeom>
                                <a:noFill/>
                                <a:ln>
                                  <a:noFill/>
                                </a:ln>
                              </pic:spPr>
                            </pic:pic>
                          </a:graphicData>
                        </a:graphic>
                      </wp:inline>
                    </w:drawing>
                  </w:r>
                </w:p>
              </w:tc>
            </w:tr>
          </w:tbl>
          <w:p w:rsidR="00D007D1" w:rsidRDefault="00D007D1" w:rsidP="00804C04">
            <w:pPr>
              <w:pStyle w:val="Figure"/>
            </w:pPr>
          </w:p>
        </w:tc>
      </w:tr>
      <w:tr w:rsidR="00D007D1" w:rsidRPr="00176D3F" w:rsidTr="00804C04">
        <w:tc>
          <w:tcPr>
            <w:tcW w:w="8771" w:type="dxa"/>
            <w:tcBorders>
              <w:top w:val="nil"/>
              <w:left w:val="nil"/>
              <w:bottom w:val="nil"/>
              <w:right w:val="nil"/>
            </w:tcBorders>
            <w:shd w:val="clear" w:color="auto" w:fill="auto"/>
          </w:tcPr>
          <w:p w:rsidR="00D007D1" w:rsidRPr="00176D3F" w:rsidRDefault="002541C4" w:rsidP="00804C04">
            <w:pPr>
              <w:pStyle w:val="Note"/>
            </w:pPr>
            <w:r w:rsidRPr="00171E10">
              <w:rPr>
                <w:rStyle w:val="NoteLabel"/>
              </w:rPr>
              <w:t>a</w:t>
            </w:r>
            <w:r w:rsidRPr="00171E10">
              <w:t xml:space="preserve"> Data are for government funded VET students.</w:t>
            </w:r>
          </w:p>
        </w:tc>
      </w:tr>
      <w:tr w:rsidR="00D007D1" w:rsidRPr="00176D3F" w:rsidTr="00804C04">
        <w:tc>
          <w:tcPr>
            <w:tcW w:w="8771" w:type="dxa"/>
            <w:tcBorders>
              <w:top w:val="nil"/>
              <w:left w:val="nil"/>
              <w:bottom w:val="nil"/>
              <w:right w:val="nil"/>
            </w:tcBorders>
            <w:shd w:val="clear" w:color="auto" w:fill="auto"/>
          </w:tcPr>
          <w:p w:rsidR="00D007D1" w:rsidRPr="00176D3F" w:rsidRDefault="002541C4" w:rsidP="00915131">
            <w:pPr>
              <w:pStyle w:val="Source"/>
            </w:pPr>
            <w:r w:rsidRPr="00171E10">
              <w:rPr>
                <w:i/>
              </w:rPr>
              <w:t>Source</w:t>
            </w:r>
            <w:r w:rsidRPr="00171E10">
              <w:t xml:space="preserve">: NCVER (unpublished) National VET provider collection; </w:t>
            </w:r>
            <w:r w:rsidRPr="00764797">
              <w:t xml:space="preserve">table </w:t>
            </w:r>
            <w:proofErr w:type="spellStart"/>
            <w:r w:rsidRPr="00764797">
              <w:t>5A.8</w:t>
            </w:r>
            <w:r w:rsidR="00915131">
              <w:t>6</w:t>
            </w:r>
            <w:proofErr w:type="spellEnd"/>
            <w:r>
              <w:t>.</w:t>
            </w:r>
          </w:p>
        </w:tc>
      </w:tr>
      <w:tr w:rsidR="00D007D1" w:rsidTr="00804C04">
        <w:tc>
          <w:tcPr>
            <w:tcW w:w="8771" w:type="dxa"/>
            <w:tcBorders>
              <w:top w:val="nil"/>
              <w:left w:val="nil"/>
              <w:bottom w:val="single" w:sz="6" w:space="0" w:color="78A22F"/>
              <w:right w:val="nil"/>
            </w:tcBorders>
            <w:shd w:val="clear" w:color="auto" w:fill="auto"/>
          </w:tcPr>
          <w:p w:rsidR="00D007D1" w:rsidRDefault="00D007D1" w:rsidP="00804C04">
            <w:pPr>
              <w:pStyle w:val="Figurespace"/>
            </w:pPr>
          </w:p>
        </w:tc>
      </w:tr>
      <w:tr w:rsidR="00D007D1" w:rsidRPr="000863A5" w:rsidTr="00804C04">
        <w:tc>
          <w:tcPr>
            <w:tcW w:w="8771" w:type="dxa"/>
            <w:tcBorders>
              <w:top w:val="single" w:sz="6" w:space="0" w:color="78A22F"/>
              <w:left w:val="nil"/>
              <w:bottom w:val="nil"/>
              <w:right w:val="nil"/>
            </w:tcBorders>
          </w:tcPr>
          <w:p w:rsidR="00D007D1" w:rsidRPr="00626D32" w:rsidRDefault="00D007D1" w:rsidP="00804C04">
            <w:pPr>
              <w:pStyle w:val="BoxSpaceBelow"/>
            </w:pPr>
          </w:p>
        </w:tc>
      </w:tr>
    </w:tbl>
    <w:p w:rsidR="008C13B6" w:rsidRDefault="0018734F" w:rsidP="0014685B">
      <w:pPr>
        <w:pStyle w:val="BodyText"/>
      </w:pPr>
      <w:r w:rsidRPr="00EF5A5F">
        <w:t>Nationally,</w:t>
      </w:r>
      <w:r w:rsidR="00804C04">
        <w:t xml:space="preserve"> </w:t>
      </w:r>
      <w:r w:rsidR="008C6F36">
        <w:t xml:space="preserve">government-funded </w:t>
      </w:r>
      <w:r w:rsidR="00804C04">
        <w:t xml:space="preserve">Aboriginal and Torres Strait Islander </w:t>
      </w:r>
      <w:r w:rsidR="008C6F36">
        <w:t xml:space="preserve">VET </w:t>
      </w:r>
      <w:r w:rsidRPr="00EF5A5F">
        <w:t xml:space="preserve">students </w:t>
      </w:r>
      <w:r w:rsidR="00A90263" w:rsidRPr="00EF5A5F">
        <w:t xml:space="preserve">completed </w:t>
      </w:r>
      <w:r w:rsidR="00D52FE1" w:rsidRPr="00797F43">
        <w:t xml:space="preserve">approximately </w:t>
      </w:r>
      <w:r w:rsidR="007E5904">
        <w:t xml:space="preserve">400 718 </w:t>
      </w:r>
      <w:r w:rsidR="004D11E2" w:rsidRPr="00797F43">
        <w:t xml:space="preserve">modules and </w:t>
      </w:r>
      <w:r w:rsidRPr="00797F43">
        <w:t xml:space="preserve">units of competency in </w:t>
      </w:r>
      <w:r w:rsidR="00B33499" w:rsidRPr="00797F43">
        <w:t>201</w:t>
      </w:r>
      <w:r w:rsidR="004A2F7C">
        <w:t>3</w:t>
      </w:r>
      <w:r w:rsidR="00A90263" w:rsidRPr="00797F43">
        <w:t>,</w:t>
      </w:r>
      <w:r w:rsidRPr="00797F43">
        <w:t xml:space="preserve"> a </w:t>
      </w:r>
      <w:r w:rsidR="007E5904">
        <w:t>17.8</w:t>
      </w:r>
      <w:r w:rsidR="008C6F36">
        <w:t> </w:t>
      </w:r>
      <w:r w:rsidR="00D156E0" w:rsidRPr="00797F43">
        <w:t>per</w:t>
      </w:r>
      <w:r w:rsidR="008C6F36">
        <w:t> </w:t>
      </w:r>
      <w:r w:rsidR="00D156E0" w:rsidRPr="00797F43">
        <w:t xml:space="preserve">cent </w:t>
      </w:r>
      <w:r w:rsidRPr="00797F43">
        <w:t xml:space="preserve">increase from </w:t>
      </w:r>
      <w:r w:rsidR="007E5904">
        <w:t xml:space="preserve">340 059 </w:t>
      </w:r>
      <w:r w:rsidRPr="00797F43">
        <w:t xml:space="preserve">units in </w:t>
      </w:r>
      <w:r w:rsidR="00B33499" w:rsidRPr="00797F43">
        <w:t>200</w:t>
      </w:r>
      <w:r w:rsidR="004A2F7C">
        <w:t>9</w:t>
      </w:r>
      <w:r w:rsidR="00B33499" w:rsidRPr="00797F43">
        <w:t xml:space="preserve"> </w:t>
      </w:r>
      <w:r w:rsidR="000B298D" w:rsidRPr="00797F43">
        <w:t>(table</w:t>
      </w:r>
      <w:r w:rsidR="001812D4">
        <w:t xml:space="preserve"> </w:t>
      </w:r>
      <w:proofErr w:type="spellStart"/>
      <w:r w:rsidRPr="00797F43">
        <w:t>5A.</w:t>
      </w:r>
      <w:r w:rsidR="00915131">
        <w:t>90</w:t>
      </w:r>
      <w:proofErr w:type="spellEnd"/>
      <w:r w:rsidRPr="00797F43">
        <w:t>).</w:t>
      </w:r>
      <w:r w:rsidR="00A90263" w:rsidRPr="00797F43">
        <w:t xml:space="preserve"> </w:t>
      </w:r>
      <w:r w:rsidR="00ED0C01">
        <w:t>Trends in the</w:t>
      </w:r>
      <w:r w:rsidR="008C13B6" w:rsidRPr="00797F43">
        <w:t xml:space="preserve"> number of units of competency and </w:t>
      </w:r>
      <w:r w:rsidR="008C13B6" w:rsidRPr="00EF5A5F">
        <w:t xml:space="preserve">number of modules </w:t>
      </w:r>
      <w:r w:rsidR="00A90263" w:rsidRPr="00EF5A5F">
        <w:t xml:space="preserve">completed </w:t>
      </w:r>
      <w:r w:rsidR="008C13B6" w:rsidRPr="00EF5A5F">
        <w:t>by</w:t>
      </w:r>
      <w:r w:rsidR="00804C04">
        <w:t xml:space="preserve"> Aboriginal and Torres Strait Islander </w:t>
      </w:r>
      <w:r w:rsidR="008C13B6" w:rsidRPr="00EF5A5F">
        <w:t xml:space="preserve">students varied across jurisdictions (figure </w:t>
      </w:r>
      <w:r w:rsidR="00606C29">
        <w:t>5.4</w:t>
      </w:r>
      <w:r w:rsidR="007E5904">
        <w:t>6</w:t>
      </w:r>
      <w:r w:rsidR="008C13B6" w:rsidRPr="00EF5A5F">
        <w:t>).</w:t>
      </w:r>
    </w:p>
    <w:p w:rsidR="00D007D1" w:rsidRDefault="00D007D1" w:rsidP="00804C0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007D1" w:rsidTr="00804C04">
        <w:tc>
          <w:tcPr>
            <w:tcW w:w="8771" w:type="dxa"/>
            <w:tcBorders>
              <w:top w:val="single" w:sz="6" w:space="0" w:color="78A22F"/>
              <w:left w:val="nil"/>
              <w:bottom w:val="nil"/>
              <w:right w:val="nil"/>
            </w:tcBorders>
            <w:shd w:val="clear" w:color="auto" w:fill="auto"/>
          </w:tcPr>
          <w:p w:rsidR="00D007D1" w:rsidRPr="00176D3F" w:rsidRDefault="00D007D1" w:rsidP="002541C4">
            <w:pPr>
              <w:pStyle w:val="FigureTitle"/>
            </w:pPr>
            <w:r w:rsidRPr="00784A05">
              <w:rPr>
                <w:b w:val="0"/>
              </w:rPr>
              <w:t xml:space="preserve">Figure </w:t>
            </w:r>
            <w:r w:rsidR="002541C4">
              <w:rPr>
                <w:b w:val="0"/>
              </w:rPr>
              <w:t>5.</w:t>
            </w:r>
            <w:r w:rsidR="00D80B1E">
              <w:rPr>
                <w:b w:val="0"/>
                <w:noProof/>
              </w:rPr>
              <w:t>46</w:t>
            </w:r>
            <w:r>
              <w:tab/>
            </w:r>
            <w:r w:rsidR="002541C4" w:rsidRPr="00B94725">
              <w:t>Units of competency and modules completed,</w:t>
            </w:r>
            <w:r w:rsidR="00804C04">
              <w:t xml:space="preserve"> Aboriginal and Torres Strait Islander </w:t>
            </w:r>
            <w:r w:rsidR="002541C4" w:rsidRPr="00B94725">
              <w:t>students</w:t>
            </w:r>
            <w:r w:rsidR="002541C4" w:rsidRPr="00B94725">
              <w:rPr>
                <w:rStyle w:val="NoteLabel"/>
                <w:b/>
              </w:rPr>
              <w:t>a</w:t>
            </w:r>
          </w:p>
        </w:tc>
      </w:tr>
      <w:tr w:rsidR="00D007D1" w:rsidTr="00804C04">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D007D1" w:rsidTr="00D007D1">
              <w:tc>
                <w:tcPr>
                  <w:tcW w:w="5000" w:type="pct"/>
                  <w:tcBorders>
                    <w:top w:val="nil"/>
                    <w:bottom w:val="nil"/>
                  </w:tcBorders>
                </w:tcPr>
                <w:p w:rsidR="00D007D1" w:rsidRDefault="003004EB" w:rsidP="002541C4">
                  <w:pPr>
                    <w:pStyle w:val="Figure"/>
                    <w:spacing w:before="60" w:after="60"/>
                  </w:pPr>
                  <w:r>
                    <w:rPr>
                      <w:noProof/>
                    </w:rPr>
                    <w:drawing>
                      <wp:inline distT="0" distB="0" distL="0" distR="0">
                        <wp:extent cx="5391150" cy="2705100"/>
                        <wp:effectExtent l="0" t="0" r="0" b="0"/>
                        <wp:docPr id="57" name="Picture 57" descr="Figure 5.46 Units of competency and modules completed, Aboriginal and Torres Strait Islander student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5391150" cy="2705100"/>
                                </a:xfrm>
                                <a:prstGeom prst="rect">
                                  <a:avLst/>
                                </a:prstGeom>
                                <a:noFill/>
                                <a:ln>
                                  <a:noFill/>
                                </a:ln>
                              </pic:spPr>
                            </pic:pic>
                          </a:graphicData>
                        </a:graphic>
                      </wp:inline>
                    </w:drawing>
                  </w:r>
                </w:p>
              </w:tc>
            </w:tr>
          </w:tbl>
          <w:p w:rsidR="00D007D1" w:rsidRDefault="00D007D1" w:rsidP="00804C04">
            <w:pPr>
              <w:pStyle w:val="Figure"/>
            </w:pPr>
          </w:p>
        </w:tc>
      </w:tr>
      <w:tr w:rsidR="00D007D1" w:rsidRPr="00176D3F" w:rsidTr="00804C04">
        <w:tc>
          <w:tcPr>
            <w:tcW w:w="8771" w:type="dxa"/>
            <w:tcBorders>
              <w:top w:val="nil"/>
              <w:left w:val="nil"/>
              <w:bottom w:val="nil"/>
              <w:right w:val="nil"/>
            </w:tcBorders>
            <w:shd w:val="clear" w:color="auto" w:fill="auto"/>
          </w:tcPr>
          <w:p w:rsidR="00D007D1" w:rsidRPr="00176D3F" w:rsidRDefault="002541C4" w:rsidP="002541C4">
            <w:pPr>
              <w:pStyle w:val="Note"/>
            </w:pPr>
            <w:r w:rsidRPr="00EF5A5F">
              <w:rPr>
                <w:rStyle w:val="NoteLabel"/>
              </w:rPr>
              <w:t xml:space="preserve"> a</w:t>
            </w:r>
            <w:r w:rsidRPr="00EF5A5F">
              <w:t xml:space="preserve"> Data are for government funded VET students.</w:t>
            </w:r>
          </w:p>
        </w:tc>
      </w:tr>
      <w:tr w:rsidR="00D007D1" w:rsidRPr="00176D3F" w:rsidTr="00804C04">
        <w:tc>
          <w:tcPr>
            <w:tcW w:w="8771" w:type="dxa"/>
            <w:tcBorders>
              <w:top w:val="nil"/>
              <w:left w:val="nil"/>
              <w:bottom w:val="nil"/>
              <w:right w:val="nil"/>
            </w:tcBorders>
            <w:shd w:val="clear" w:color="auto" w:fill="auto"/>
          </w:tcPr>
          <w:p w:rsidR="00D007D1" w:rsidRPr="00176D3F" w:rsidRDefault="002541C4" w:rsidP="00804C04">
            <w:pPr>
              <w:pStyle w:val="Source"/>
            </w:pPr>
            <w:r w:rsidRPr="00EF5A5F">
              <w:rPr>
                <w:i/>
              </w:rPr>
              <w:t>Source</w:t>
            </w:r>
            <w:r w:rsidRPr="00EF5A5F">
              <w:t xml:space="preserve">: NCVER (unpublished) National VET provider collection; </w:t>
            </w:r>
            <w:r w:rsidR="00915131">
              <w:t xml:space="preserve">table </w:t>
            </w:r>
            <w:proofErr w:type="spellStart"/>
            <w:r w:rsidR="00915131">
              <w:t>5A.90</w:t>
            </w:r>
            <w:proofErr w:type="spellEnd"/>
            <w:r w:rsidRPr="00764797">
              <w:t>.</w:t>
            </w:r>
          </w:p>
        </w:tc>
      </w:tr>
      <w:tr w:rsidR="00D007D1" w:rsidTr="00804C04">
        <w:tc>
          <w:tcPr>
            <w:tcW w:w="8771" w:type="dxa"/>
            <w:tcBorders>
              <w:top w:val="nil"/>
              <w:left w:val="nil"/>
              <w:bottom w:val="single" w:sz="6" w:space="0" w:color="78A22F"/>
              <w:right w:val="nil"/>
            </w:tcBorders>
            <w:shd w:val="clear" w:color="auto" w:fill="auto"/>
          </w:tcPr>
          <w:p w:rsidR="00D007D1" w:rsidRDefault="00D007D1" w:rsidP="00804C04">
            <w:pPr>
              <w:pStyle w:val="Figurespace"/>
            </w:pPr>
          </w:p>
        </w:tc>
      </w:tr>
      <w:tr w:rsidR="00D007D1" w:rsidRPr="000863A5" w:rsidTr="00804C04">
        <w:tc>
          <w:tcPr>
            <w:tcW w:w="8771" w:type="dxa"/>
            <w:tcBorders>
              <w:top w:val="single" w:sz="6" w:space="0" w:color="78A22F"/>
              <w:left w:val="nil"/>
              <w:bottom w:val="nil"/>
              <w:right w:val="nil"/>
            </w:tcBorders>
          </w:tcPr>
          <w:p w:rsidR="00D007D1" w:rsidRPr="00626D32" w:rsidRDefault="00D007D1" w:rsidP="00804C04">
            <w:pPr>
              <w:pStyle w:val="BoxSpaceBelow"/>
            </w:pPr>
          </w:p>
        </w:tc>
      </w:tr>
    </w:tbl>
    <w:p w:rsidR="00C57336" w:rsidRDefault="00824D85" w:rsidP="001527CE">
      <w:pPr>
        <w:pStyle w:val="BodyText"/>
      </w:pPr>
      <w:r w:rsidRPr="00EF5A5F">
        <w:t xml:space="preserve">Figure </w:t>
      </w:r>
      <w:r w:rsidR="00606C29">
        <w:t>5.4</w:t>
      </w:r>
      <w:r w:rsidR="007E5904">
        <w:t>7</w:t>
      </w:r>
      <w:r w:rsidRPr="00EF5A5F">
        <w:t xml:space="preserve"> </w:t>
      </w:r>
      <w:r w:rsidR="001816A5" w:rsidRPr="00EF5A5F">
        <w:t>shows the</w:t>
      </w:r>
      <w:r w:rsidRPr="00EF5A5F">
        <w:t xml:space="preserve"> </w:t>
      </w:r>
      <w:r w:rsidR="001816A5" w:rsidRPr="00EF5A5F">
        <w:t>annual changes in the</w:t>
      </w:r>
      <w:r w:rsidR="006929D5" w:rsidRPr="00EF5A5F">
        <w:t xml:space="preserve"> </w:t>
      </w:r>
      <w:r w:rsidR="00797F43">
        <w:t>combined</w:t>
      </w:r>
      <w:r w:rsidR="00797F43" w:rsidRPr="00EF5A5F">
        <w:t xml:space="preserve"> </w:t>
      </w:r>
      <w:r w:rsidR="006929D5" w:rsidRPr="00EF5A5F">
        <w:t xml:space="preserve">number of units of </w:t>
      </w:r>
      <w:r w:rsidR="006929D5" w:rsidRPr="0073220E">
        <w:t xml:space="preserve">competency </w:t>
      </w:r>
      <w:r w:rsidR="00394397" w:rsidRPr="0073220E">
        <w:t xml:space="preserve">and modules </w:t>
      </w:r>
      <w:r w:rsidR="00A161CF" w:rsidRPr="0073220E">
        <w:t xml:space="preserve">completed </w:t>
      </w:r>
      <w:r w:rsidR="008C13B6" w:rsidRPr="0073220E">
        <w:t xml:space="preserve">for all students </w:t>
      </w:r>
      <w:r w:rsidR="006929D5" w:rsidRPr="0073220E">
        <w:t xml:space="preserve">since </w:t>
      </w:r>
      <w:r w:rsidR="00B33499" w:rsidRPr="0073220E">
        <w:t>200</w:t>
      </w:r>
      <w:r w:rsidR="004A2F7C">
        <w:t>9</w:t>
      </w:r>
      <w:r w:rsidR="001816A5" w:rsidRPr="00EF5A5F">
        <w:t>.</w:t>
      </w:r>
      <w:r w:rsidR="007515A6" w:rsidRPr="00EF5A5F">
        <w:t xml:space="preserve"> </w:t>
      </w:r>
      <w:r w:rsidR="00B66C89" w:rsidRPr="00A26D57">
        <w:t>Nationally, units of competency and modules completed by all students decreased by 4.4 per cent from 2012 to 2013.</w:t>
      </w:r>
    </w:p>
    <w:p w:rsidR="002541C4" w:rsidRDefault="002541C4" w:rsidP="002541C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541C4" w:rsidTr="00804C04">
        <w:tc>
          <w:tcPr>
            <w:tcW w:w="8771" w:type="dxa"/>
            <w:tcBorders>
              <w:top w:val="single" w:sz="6" w:space="0" w:color="78A22F"/>
              <w:left w:val="nil"/>
              <w:bottom w:val="nil"/>
              <w:right w:val="nil"/>
            </w:tcBorders>
            <w:shd w:val="clear" w:color="auto" w:fill="auto"/>
          </w:tcPr>
          <w:p w:rsidR="002541C4" w:rsidRPr="00176D3F" w:rsidRDefault="002541C4" w:rsidP="002541C4">
            <w:pPr>
              <w:pStyle w:val="FigureTitle"/>
            </w:pPr>
            <w:r w:rsidRPr="00784A05">
              <w:rPr>
                <w:b w:val="0"/>
              </w:rPr>
              <w:t xml:space="preserve">Figure </w:t>
            </w:r>
            <w:r>
              <w:rPr>
                <w:b w:val="0"/>
              </w:rPr>
              <w:t>5.</w:t>
            </w:r>
            <w:r w:rsidR="00D80B1E">
              <w:rPr>
                <w:b w:val="0"/>
                <w:noProof/>
              </w:rPr>
              <w:t>47</w:t>
            </w:r>
            <w:r>
              <w:tab/>
            </w:r>
            <w:r w:rsidRPr="00217ED2">
              <w:t>Units of competency and modules completed by all students, by change from previous year</w:t>
            </w:r>
            <w:r w:rsidRPr="00217ED2">
              <w:rPr>
                <w:rStyle w:val="NoteLabel"/>
                <w:b/>
              </w:rPr>
              <w:t>a</w:t>
            </w:r>
          </w:p>
        </w:tc>
      </w:tr>
      <w:tr w:rsidR="002541C4" w:rsidTr="00804C04">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2541C4" w:rsidTr="00040EAC">
              <w:tc>
                <w:tcPr>
                  <w:tcW w:w="5000" w:type="pct"/>
                  <w:tcBorders>
                    <w:top w:val="nil"/>
                    <w:bottom w:val="nil"/>
                  </w:tcBorders>
                  <w:shd w:val="clear" w:color="auto" w:fill="FFFFFF" w:themeFill="background1"/>
                </w:tcPr>
                <w:p w:rsidR="00040EAC" w:rsidRPr="00040EAC" w:rsidRDefault="003004EB" w:rsidP="008664D9">
                  <w:pPr>
                    <w:pStyle w:val="Figure"/>
                    <w:spacing w:after="0"/>
                  </w:pPr>
                  <w:r>
                    <w:rPr>
                      <w:noProof/>
                    </w:rPr>
                    <w:drawing>
                      <wp:inline distT="0" distB="0" distL="0" distR="0">
                        <wp:extent cx="5391150" cy="2647950"/>
                        <wp:effectExtent l="0" t="0" r="0" b="0"/>
                        <wp:docPr id="59" name="Picture 59" descr="Figure 5.47 Units of competency and modules completed by all students, by change from previous year&#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5391150" cy="2647950"/>
                                </a:xfrm>
                                <a:prstGeom prst="rect">
                                  <a:avLst/>
                                </a:prstGeom>
                                <a:noFill/>
                                <a:ln>
                                  <a:noFill/>
                                </a:ln>
                              </pic:spPr>
                            </pic:pic>
                          </a:graphicData>
                        </a:graphic>
                      </wp:inline>
                    </w:drawing>
                  </w:r>
                </w:p>
              </w:tc>
            </w:tr>
          </w:tbl>
          <w:p w:rsidR="002541C4" w:rsidRDefault="002541C4" w:rsidP="008664D9">
            <w:pPr>
              <w:pStyle w:val="Figure"/>
              <w:spacing w:after="0"/>
            </w:pPr>
          </w:p>
        </w:tc>
      </w:tr>
      <w:tr w:rsidR="002541C4" w:rsidRPr="00176D3F" w:rsidTr="00804C04">
        <w:tc>
          <w:tcPr>
            <w:tcW w:w="8771" w:type="dxa"/>
            <w:tcBorders>
              <w:top w:val="nil"/>
              <w:left w:val="nil"/>
              <w:bottom w:val="nil"/>
              <w:right w:val="nil"/>
            </w:tcBorders>
            <w:shd w:val="clear" w:color="auto" w:fill="auto"/>
          </w:tcPr>
          <w:p w:rsidR="002541C4" w:rsidRPr="00176D3F" w:rsidRDefault="002541C4" w:rsidP="008664D9">
            <w:pPr>
              <w:pStyle w:val="Note"/>
              <w:keepNext/>
              <w:spacing w:before="0"/>
            </w:pPr>
            <w:r w:rsidRPr="00217ED2">
              <w:rPr>
                <w:rStyle w:val="NoteLabel"/>
              </w:rPr>
              <w:t>a</w:t>
            </w:r>
            <w:r w:rsidRPr="00217ED2">
              <w:t xml:space="preserve"> Data are for government funded VET students.</w:t>
            </w:r>
          </w:p>
        </w:tc>
      </w:tr>
      <w:tr w:rsidR="002541C4" w:rsidRPr="00176D3F" w:rsidTr="00804C04">
        <w:tc>
          <w:tcPr>
            <w:tcW w:w="8771" w:type="dxa"/>
            <w:tcBorders>
              <w:top w:val="nil"/>
              <w:left w:val="nil"/>
              <w:bottom w:val="nil"/>
              <w:right w:val="nil"/>
            </w:tcBorders>
            <w:shd w:val="clear" w:color="auto" w:fill="auto"/>
          </w:tcPr>
          <w:p w:rsidR="002541C4" w:rsidRPr="00176D3F" w:rsidRDefault="002541C4" w:rsidP="008664D9">
            <w:pPr>
              <w:pStyle w:val="Source"/>
              <w:spacing w:after="80"/>
            </w:pPr>
            <w:r w:rsidRPr="00217ED2">
              <w:rPr>
                <w:i/>
              </w:rPr>
              <w:t>Source</w:t>
            </w:r>
            <w:r w:rsidRPr="00217ED2">
              <w:t xml:space="preserve">: NCVER (unpublished) National VET provider collection; table </w:t>
            </w:r>
            <w:proofErr w:type="spellStart"/>
            <w:r w:rsidRPr="00217ED2">
              <w:t>5A.</w:t>
            </w:r>
            <w:r w:rsidR="00915131">
              <w:t>86</w:t>
            </w:r>
            <w:proofErr w:type="spellEnd"/>
            <w:r w:rsidRPr="00217ED2">
              <w:t>.</w:t>
            </w:r>
          </w:p>
        </w:tc>
      </w:tr>
      <w:tr w:rsidR="002541C4" w:rsidTr="00804C04">
        <w:tc>
          <w:tcPr>
            <w:tcW w:w="8771" w:type="dxa"/>
            <w:tcBorders>
              <w:top w:val="nil"/>
              <w:left w:val="nil"/>
              <w:bottom w:val="single" w:sz="6" w:space="0" w:color="78A22F"/>
              <w:right w:val="nil"/>
            </w:tcBorders>
            <w:shd w:val="clear" w:color="auto" w:fill="auto"/>
          </w:tcPr>
          <w:p w:rsidR="002541C4" w:rsidRDefault="002541C4" w:rsidP="008664D9">
            <w:pPr>
              <w:pStyle w:val="Figurespace"/>
              <w:spacing w:line="20" w:lineRule="exact"/>
            </w:pPr>
          </w:p>
        </w:tc>
      </w:tr>
      <w:tr w:rsidR="002541C4" w:rsidRPr="000863A5" w:rsidTr="00804C04">
        <w:tc>
          <w:tcPr>
            <w:tcW w:w="8771" w:type="dxa"/>
            <w:tcBorders>
              <w:top w:val="single" w:sz="6" w:space="0" w:color="78A22F"/>
              <w:left w:val="nil"/>
              <w:bottom w:val="nil"/>
              <w:right w:val="nil"/>
            </w:tcBorders>
          </w:tcPr>
          <w:p w:rsidR="002541C4" w:rsidRPr="00626D32" w:rsidRDefault="002541C4" w:rsidP="008664D9">
            <w:pPr>
              <w:pStyle w:val="BoxSpaceBelow"/>
              <w:spacing w:before="120" w:after="0"/>
            </w:pPr>
          </w:p>
        </w:tc>
      </w:tr>
    </w:tbl>
    <w:p w:rsidR="00776883" w:rsidRPr="00FA13F9" w:rsidRDefault="00776883" w:rsidP="007A6A41">
      <w:pPr>
        <w:pStyle w:val="BodyText"/>
      </w:pPr>
      <w:r w:rsidRPr="00EF5A5F">
        <w:t xml:space="preserve">Amongst the VET target groups, between </w:t>
      </w:r>
      <w:r w:rsidR="00B33499">
        <w:t>200</w:t>
      </w:r>
      <w:r w:rsidR="004A2F7C">
        <w:t>9</w:t>
      </w:r>
      <w:r w:rsidR="00B33499" w:rsidRPr="00EF5A5F">
        <w:t xml:space="preserve"> </w:t>
      </w:r>
      <w:r w:rsidRPr="00EF5A5F">
        <w:t xml:space="preserve">and </w:t>
      </w:r>
      <w:r w:rsidR="00B33499">
        <w:t>201</w:t>
      </w:r>
      <w:r w:rsidR="004A2F7C">
        <w:t>3</w:t>
      </w:r>
      <w:r w:rsidR="00B33499" w:rsidRPr="00EF5A5F">
        <w:t xml:space="preserve"> </w:t>
      </w:r>
      <w:r w:rsidRPr="00EF5A5F">
        <w:t xml:space="preserve">the </w:t>
      </w:r>
      <w:r w:rsidR="00403B5B">
        <w:t xml:space="preserve">combined </w:t>
      </w:r>
      <w:r w:rsidRPr="00EF5A5F">
        <w:t xml:space="preserve">number of </w:t>
      </w:r>
      <w:r w:rsidRPr="00FA13F9">
        <w:t xml:space="preserve">units of competency </w:t>
      </w:r>
      <w:r w:rsidR="00394397" w:rsidRPr="00FA13F9">
        <w:t xml:space="preserve">and modules </w:t>
      </w:r>
      <w:r w:rsidR="00A161CF" w:rsidRPr="00FA13F9">
        <w:t xml:space="preserve">completed </w:t>
      </w:r>
      <w:r w:rsidR="008C6F36">
        <w:t>by government funded students</w:t>
      </w:r>
      <w:r w:rsidRPr="00FA13F9">
        <w:t xml:space="preserve"> </w:t>
      </w:r>
      <w:r w:rsidR="00403B5B" w:rsidRPr="00FA13F9">
        <w:t>changed by</w:t>
      </w:r>
      <w:r w:rsidR="0008539C" w:rsidRPr="00FA13F9">
        <w:t>:</w:t>
      </w:r>
      <w:r w:rsidR="007A6A41" w:rsidRPr="00FA13F9">
        <w:t xml:space="preserve"> </w:t>
      </w:r>
    </w:p>
    <w:p w:rsidR="00FA13F9" w:rsidRPr="00FA13F9" w:rsidRDefault="00403B5B" w:rsidP="00403B5B">
      <w:pPr>
        <w:pStyle w:val="ListBullet"/>
        <w:rPr>
          <w:b/>
        </w:rPr>
      </w:pPr>
      <w:r w:rsidRPr="00FA13F9">
        <w:t xml:space="preserve">an increase of </w:t>
      </w:r>
      <w:r w:rsidR="00571BC5">
        <w:t>43.5</w:t>
      </w:r>
      <w:r w:rsidR="001812D4">
        <w:t xml:space="preserve">  </w:t>
      </w:r>
      <w:r w:rsidR="00394397" w:rsidRPr="00FA13F9">
        <w:t>per</w:t>
      </w:r>
      <w:r w:rsidR="001812D4">
        <w:t xml:space="preserve"> </w:t>
      </w:r>
      <w:r w:rsidR="00394397" w:rsidRPr="00FA13F9">
        <w:t>cent for students reporting disability (</w:t>
      </w:r>
      <w:r w:rsidRPr="00FA13F9">
        <w:t xml:space="preserve">table </w:t>
      </w:r>
      <w:proofErr w:type="spellStart"/>
      <w:r w:rsidR="00394397" w:rsidRPr="00FA13F9">
        <w:t>5A.8</w:t>
      </w:r>
      <w:r w:rsidR="00915131">
        <w:t>8</w:t>
      </w:r>
      <w:proofErr w:type="spellEnd"/>
      <w:r w:rsidR="00FA13F9" w:rsidRPr="00FA13F9">
        <w:t>)</w:t>
      </w:r>
      <w:r w:rsidRPr="00FA13F9">
        <w:t xml:space="preserve"> </w:t>
      </w:r>
    </w:p>
    <w:p w:rsidR="00403B5B" w:rsidRPr="00FA13F9" w:rsidRDefault="00FA13F9" w:rsidP="00403B5B">
      <w:pPr>
        <w:pStyle w:val="ListBullet"/>
        <w:rPr>
          <w:rStyle w:val="DraftingNote"/>
          <w:color w:val="auto"/>
          <w:u w:val="none"/>
        </w:rPr>
      </w:pPr>
      <w:r w:rsidRPr="00FA13F9">
        <w:t xml:space="preserve">an increase of </w:t>
      </w:r>
      <w:r w:rsidR="00F1581E">
        <w:t>57.8</w:t>
      </w:r>
      <w:r w:rsidR="001812D4">
        <w:t xml:space="preserve"> </w:t>
      </w:r>
      <w:r w:rsidR="00394397" w:rsidRPr="00FA13F9">
        <w:t>per</w:t>
      </w:r>
      <w:r w:rsidR="001812D4">
        <w:t xml:space="preserve"> </w:t>
      </w:r>
      <w:r w:rsidR="00394397" w:rsidRPr="00FA13F9">
        <w:t>cent for students speaking a language other than English at home (table </w:t>
      </w:r>
      <w:proofErr w:type="spellStart"/>
      <w:r w:rsidR="00394397" w:rsidRPr="00FA13F9">
        <w:t>5A.8</w:t>
      </w:r>
      <w:r w:rsidR="00915131">
        <w:t>9</w:t>
      </w:r>
      <w:proofErr w:type="spellEnd"/>
      <w:r w:rsidRPr="00FA13F9">
        <w:t>)</w:t>
      </w:r>
    </w:p>
    <w:p w:rsidR="00394397" w:rsidRDefault="00FA13F9" w:rsidP="00394397">
      <w:pPr>
        <w:pStyle w:val="ListBullet"/>
      </w:pPr>
      <w:r w:rsidRPr="00FA13F9">
        <w:t xml:space="preserve">a decrease of </w:t>
      </w:r>
      <w:r w:rsidR="00F1581E">
        <w:t>14.9</w:t>
      </w:r>
      <w:r w:rsidR="001812D4">
        <w:t xml:space="preserve"> </w:t>
      </w:r>
      <w:r w:rsidR="00394397" w:rsidRPr="00FA13F9">
        <w:t>per</w:t>
      </w:r>
      <w:r w:rsidR="001812D4">
        <w:t xml:space="preserve"> </w:t>
      </w:r>
      <w:r w:rsidR="00394397" w:rsidRPr="00FA13F9">
        <w:t>cent for students from remote and very remote areas (table </w:t>
      </w:r>
      <w:proofErr w:type="spellStart"/>
      <w:r w:rsidR="00394397" w:rsidRPr="00FA13F9">
        <w:t>5A.8</w:t>
      </w:r>
      <w:r w:rsidR="00915131">
        <w:t>7</w:t>
      </w:r>
      <w:proofErr w:type="spellEnd"/>
      <w:r w:rsidR="00394397" w:rsidRPr="00FA13F9">
        <w:t>)</w:t>
      </w:r>
      <w:r w:rsidRPr="00FA13F9">
        <w:t>.</w:t>
      </w:r>
    </w:p>
    <w:p w:rsidR="0044755D" w:rsidRPr="00EF5A5F" w:rsidRDefault="0044755D" w:rsidP="007534C4">
      <w:pPr>
        <w:pStyle w:val="Heading6"/>
      </w:pPr>
      <w:r w:rsidRPr="00EF5A5F">
        <w:t>Skill outputs from VET — Qualification Equivalents</w:t>
      </w:r>
    </w:p>
    <w:p w:rsidR="0093215F" w:rsidRDefault="0093215F" w:rsidP="00A26D57">
      <w:pPr>
        <w:pStyle w:val="BodyText"/>
      </w:pPr>
      <w:r w:rsidRPr="004336B1">
        <w:t xml:space="preserve">Nationally, </w:t>
      </w:r>
      <w:r w:rsidR="00CA13A6" w:rsidRPr="004336B1">
        <w:t xml:space="preserve">government funded VET students </w:t>
      </w:r>
      <w:r w:rsidR="00682387" w:rsidRPr="004336B1">
        <w:t>undertook</w:t>
      </w:r>
      <w:r w:rsidR="00CA13A6" w:rsidRPr="004336B1">
        <w:t xml:space="preserve"> </w:t>
      </w:r>
      <w:r w:rsidR="00E47A58" w:rsidRPr="004336B1">
        <w:t xml:space="preserve">training equivalent to </w:t>
      </w:r>
      <w:r w:rsidR="00A161CF" w:rsidRPr="004336B1">
        <w:t xml:space="preserve">approximately </w:t>
      </w:r>
      <w:r w:rsidR="006E2E5F">
        <w:t xml:space="preserve">630 200 </w:t>
      </w:r>
      <w:r w:rsidRPr="004336B1">
        <w:t>VET qualification</w:t>
      </w:r>
      <w:r w:rsidR="00682387" w:rsidRPr="004336B1">
        <w:t>s</w:t>
      </w:r>
      <w:r w:rsidR="008368A7" w:rsidRPr="004336B1">
        <w:t xml:space="preserve"> </w:t>
      </w:r>
      <w:r w:rsidRPr="004336B1">
        <w:t xml:space="preserve">in </w:t>
      </w:r>
      <w:r w:rsidR="002018EB" w:rsidRPr="004336B1">
        <w:t>201</w:t>
      </w:r>
      <w:r w:rsidR="004A2F7C">
        <w:t>3</w:t>
      </w:r>
      <w:r w:rsidR="00461DA8">
        <w:t>, a</w:t>
      </w:r>
      <w:r w:rsidR="00CA13A6" w:rsidRPr="004336B1">
        <w:t xml:space="preserve"> </w:t>
      </w:r>
      <w:r w:rsidR="00461DA8" w:rsidRPr="00A26D57">
        <w:t>de</w:t>
      </w:r>
      <w:r w:rsidR="00CA13A6" w:rsidRPr="00A26D57">
        <w:t>crease</w:t>
      </w:r>
      <w:r w:rsidR="00CA13A6" w:rsidRPr="004336B1">
        <w:t xml:space="preserve"> from </w:t>
      </w:r>
      <w:r w:rsidR="006E2E5F">
        <w:t xml:space="preserve">645 300 </w:t>
      </w:r>
      <w:r w:rsidR="00CA13A6" w:rsidRPr="004336B1">
        <w:t xml:space="preserve">in </w:t>
      </w:r>
      <w:r w:rsidR="002018EB" w:rsidRPr="004336B1">
        <w:t>201</w:t>
      </w:r>
      <w:r w:rsidR="004A2F7C">
        <w:t>2</w:t>
      </w:r>
      <w:r w:rsidR="002018EB" w:rsidRPr="004336B1">
        <w:t xml:space="preserve"> </w:t>
      </w:r>
      <w:r w:rsidR="00431954" w:rsidRPr="004336B1">
        <w:t xml:space="preserve">and from </w:t>
      </w:r>
      <w:r w:rsidR="006E2E5F">
        <w:t xml:space="preserve">445 700 </w:t>
      </w:r>
      <w:r w:rsidR="00431954" w:rsidRPr="004336B1">
        <w:t xml:space="preserve">in </w:t>
      </w:r>
      <w:r w:rsidR="002018EB" w:rsidRPr="004336B1">
        <w:t>200</w:t>
      </w:r>
      <w:r w:rsidR="004A2F7C">
        <w:t>9</w:t>
      </w:r>
      <w:r w:rsidR="00284675" w:rsidRPr="004336B1">
        <w:t>.</w:t>
      </w:r>
      <w:r w:rsidR="00CA13A6" w:rsidRPr="004336B1">
        <w:t xml:space="preserve"> </w:t>
      </w:r>
      <w:r w:rsidR="00284675" w:rsidRPr="004336B1">
        <w:t xml:space="preserve">The change from </w:t>
      </w:r>
      <w:r w:rsidR="002018EB" w:rsidRPr="004336B1">
        <w:t>200</w:t>
      </w:r>
      <w:r w:rsidR="004A2F7C">
        <w:t>9</w:t>
      </w:r>
      <w:r w:rsidR="002018EB" w:rsidRPr="004336B1">
        <w:t xml:space="preserve"> </w:t>
      </w:r>
      <w:r w:rsidR="00284675" w:rsidRPr="004336B1">
        <w:t xml:space="preserve">to </w:t>
      </w:r>
      <w:r w:rsidR="002018EB" w:rsidRPr="004336B1">
        <w:t>201</w:t>
      </w:r>
      <w:r w:rsidR="004A2F7C">
        <w:t>3</w:t>
      </w:r>
      <w:r w:rsidR="002018EB" w:rsidRPr="004336B1">
        <w:t xml:space="preserve"> </w:t>
      </w:r>
      <w:r w:rsidR="00284675" w:rsidRPr="004336B1">
        <w:t xml:space="preserve">represents a </w:t>
      </w:r>
      <w:r w:rsidR="006E2E5F">
        <w:t>41.4</w:t>
      </w:r>
      <w:r w:rsidR="001812D4">
        <w:t xml:space="preserve"> </w:t>
      </w:r>
      <w:r w:rsidR="000040CE" w:rsidRPr="004336B1">
        <w:t>per</w:t>
      </w:r>
      <w:r w:rsidR="001812D4">
        <w:t xml:space="preserve"> </w:t>
      </w:r>
      <w:r w:rsidR="000040CE" w:rsidRPr="004336B1">
        <w:t xml:space="preserve">cent increase </w:t>
      </w:r>
      <w:r w:rsidR="000040CE" w:rsidRPr="00EF5A5F">
        <w:t xml:space="preserve">(table </w:t>
      </w:r>
      <w:proofErr w:type="spellStart"/>
      <w:r w:rsidR="000040CE" w:rsidRPr="00EF5A5F">
        <w:t>5A.</w:t>
      </w:r>
      <w:r w:rsidR="00EF7AD6">
        <w:t>8</w:t>
      </w:r>
      <w:r w:rsidR="00915131">
        <w:t>5</w:t>
      </w:r>
      <w:proofErr w:type="spellEnd"/>
      <w:r w:rsidR="000040CE" w:rsidRPr="00EF5A5F">
        <w:t xml:space="preserve">). </w:t>
      </w:r>
      <w:r w:rsidR="00CA13A6" w:rsidRPr="00EF5A5F">
        <w:t>T</w:t>
      </w:r>
      <w:r w:rsidR="006633D2">
        <w:t>rends in t</w:t>
      </w:r>
      <w:r w:rsidR="00CA13A6" w:rsidRPr="00EF5A5F">
        <w:t xml:space="preserve">he number of </w:t>
      </w:r>
      <w:r w:rsidR="00DB24C3" w:rsidRPr="00EF5A5F">
        <w:t>Q</w:t>
      </w:r>
      <w:r w:rsidR="00CA13A6" w:rsidRPr="00EF5A5F">
        <w:t xml:space="preserve">ualification </w:t>
      </w:r>
      <w:r w:rsidR="00DB24C3" w:rsidRPr="00EF5A5F">
        <w:t>E</w:t>
      </w:r>
      <w:r w:rsidR="00CA13A6" w:rsidRPr="00EF5A5F">
        <w:t xml:space="preserve">quivalents </w:t>
      </w:r>
      <w:r w:rsidR="008C6F36">
        <w:t xml:space="preserve">completed </w:t>
      </w:r>
      <w:r w:rsidR="00CA13A6" w:rsidRPr="00EF5A5F">
        <w:t>varied across jurisdictions</w:t>
      </w:r>
      <w:r w:rsidRPr="00EF5A5F">
        <w:t xml:space="preserve"> (figure </w:t>
      </w:r>
      <w:r w:rsidR="00606C29">
        <w:t>5.4</w:t>
      </w:r>
      <w:r w:rsidR="008C6F36">
        <w:t>8</w:t>
      </w:r>
      <w:r w:rsidRPr="00EF5A5F">
        <w:t>).</w:t>
      </w:r>
    </w:p>
    <w:p w:rsidR="008E4B7F" w:rsidRDefault="008E4B7F" w:rsidP="008E4B7F">
      <w:pPr>
        <w:pStyle w:val="BodyText"/>
      </w:pPr>
      <w:r>
        <w:t xml:space="preserve">Data on the </w:t>
      </w:r>
      <w:r w:rsidRPr="00EF5A5F">
        <w:t xml:space="preserve">number of Qualification Equivalents </w:t>
      </w:r>
      <w:r>
        <w:t xml:space="preserve">for all students from 2004 to 2013 are included in table </w:t>
      </w:r>
      <w:proofErr w:type="spellStart"/>
      <w:r>
        <w:t>5A.83</w:t>
      </w:r>
      <w:proofErr w:type="spellEnd"/>
      <w:r>
        <w:t>.</w:t>
      </w:r>
    </w:p>
    <w:p w:rsidR="00D007D1" w:rsidRDefault="00D007D1" w:rsidP="00804C0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007D1" w:rsidTr="00804C04">
        <w:tc>
          <w:tcPr>
            <w:tcW w:w="8771" w:type="dxa"/>
            <w:tcBorders>
              <w:top w:val="single" w:sz="6" w:space="0" w:color="78A22F"/>
              <w:left w:val="nil"/>
              <w:bottom w:val="nil"/>
              <w:right w:val="nil"/>
            </w:tcBorders>
            <w:shd w:val="clear" w:color="auto" w:fill="auto"/>
          </w:tcPr>
          <w:p w:rsidR="00D007D1" w:rsidRPr="00176D3F" w:rsidRDefault="00D007D1" w:rsidP="00E77AE1">
            <w:pPr>
              <w:pStyle w:val="FigureTitle"/>
            </w:pPr>
            <w:r w:rsidRPr="00784A05">
              <w:rPr>
                <w:b w:val="0"/>
              </w:rPr>
              <w:t xml:space="preserve">Figure </w:t>
            </w:r>
            <w:r w:rsidR="00E8463F">
              <w:rPr>
                <w:b w:val="0"/>
              </w:rPr>
              <w:t>5.</w:t>
            </w:r>
            <w:r w:rsidR="00D80B1E">
              <w:rPr>
                <w:b w:val="0"/>
                <w:noProof/>
              </w:rPr>
              <w:t>48</w:t>
            </w:r>
            <w:r>
              <w:tab/>
            </w:r>
            <w:r w:rsidR="00E8463F" w:rsidRPr="00F56C66">
              <w:t>Qualification Equivalents, all students, 201</w:t>
            </w:r>
            <w:r w:rsidR="00E77AE1">
              <w:t>3</w:t>
            </w:r>
            <w:r w:rsidR="00E8463F" w:rsidRPr="00F56C66">
              <w:rPr>
                <w:rStyle w:val="NoteLabel"/>
                <w:b/>
              </w:rPr>
              <w:t>a</w:t>
            </w:r>
          </w:p>
        </w:tc>
      </w:tr>
      <w:tr w:rsidR="00D007D1" w:rsidTr="00804C04">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D007D1" w:rsidTr="00D007D1">
              <w:tc>
                <w:tcPr>
                  <w:tcW w:w="5000" w:type="pct"/>
                  <w:tcBorders>
                    <w:top w:val="nil"/>
                    <w:bottom w:val="nil"/>
                  </w:tcBorders>
                </w:tcPr>
                <w:p w:rsidR="00D007D1" w:rsidRDefault="003004EB" w:rsidP="00804C04">
                  <w:pPr>
                    <w:pStyle w:val="Figure"/>
                    <w:spacing w:before="60" w:after="60"/>
                  </w:pPr>
                  <w:r>
                    <w:rPr>
                      <w:noProof/>
                    </w:rPr>
                    <w:drawing>
                      <wp:inline distT="0" distB="0" distL="0" distR="0">
                        <wp:extent cx="5391150" cy="2705100"/>
                        <wp:effectExtent l="0" t="0" r="0" b="0"/>
                        <wp:docPr id="60" name="Picture 60" descr="Figure 5.48 Qualification Equivalents, all students, 20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5391150" cy="2705100"/>
                                </a:xfrm>
                                <a:prstGeom prst="rect">
                                  <a:avLst/>
                                </a:prstGeom>
                                <a:noFill/>
                                <a:ln>
                                  <a:noFill/>
                                </a:ln>
                              </pic:spPr>
                            </pic:pic>
                          </a:graphicData>
                        </a:graphic>
                      </wp:inline>
                    </w:drawing>
                  </w:r>
                </w:p>
              </w:tc>
            </w:tr>
          </w:tbl>
          <w:p w:rsidR="00D007D1" w:rsidRDefault="00D007D1" w:rsidP="00804C04">
            <w:pPr>
              <w:pStyle w:val="Figure"/>
            </w:pPr>
          </w:p>
        </w:tc>
      </w:tr>
      <w:tr w:rsidR="00D007D1" w:rsidRPr="00176D3F" w:rsidTr="00804C04">
        <w:tc>
          <w:tcPr>
            <w:tcW w:w="8771" w:type="dxa"/>
            <w:tcBorders>
              <w:top w:val="nil"/>
              <w:left w:val="nil"/>
              <w:bottom w:val="nil"/>
              <w:right w:val="nil"/>
            </w:tcBorders>
            <w:shd w:val="clear" w:color="auto" w:fill="auto"/>
          </w:tcPr>
          <w:p w:rsidR="00D007D1" w:rsidRPr="00176D3F" w:rsidRDefault="00E8463F" w:rsidP="00804C04">
            <w:pPr>
              <w:pStyle w:val="Note"/>
            </w:pPr>
            <w:r w:rsidRPr="0073220E">
              <w:rPr>
                <w:rStyle w:val="NoteLabel"/>
              </w:rPr>
              <w:t>a</w:t>
            </w:r>
            <w:r w:rsidRPr="0073220E">
              <w:t xml:space="preserve"> Data are for government funded VET students.</w:t>
            </w:r>
          </w:p>
        </w:tc>
      </w:tr>
      <w:tr w:rsidR="00D007D1" w:rsidRPr="00176D3F" w:rsidTr="00804C04">
        <w:tc>
          <w:tcPr>
            <w:tcW w:w="8771" w:type="dxa"/>
            <w:tcBorders>
              <w:top w:val="nil"/>
              <w:left w:val="nil"/>
              <w:bottom w:val="nil"/>
              <w:right w:val="nil"/>
            </w:tcBorders>
            <w:shd w:val="clear" w:color="auto" w:fill="auto"/>
          </w:tcPr>
          <w:p w:rsidR="00D007D1" w:rsidRPr="00176D3F" w:rsidRDefault="00E8463F" w:rsidP="00804C04">
            <w:pPr>
              <w:pStyle w:val="Source"/>
            </w:pPr>
            <w:r w:rsidRPr="0073220E">
              <w:rPr>
                <w:i/>
              </w:rPr>
              <w:t>Source</w:t>
            </w:r>
            <w:r w:rsidRPr="0073220E">
              <w:t xml:space="preserve">: NCVER (unpublished) National VET provider collection; table </w:t>
            </w:r>
            <w:proofErr w:type="spellStart"/>
            <w:r w:rsidRPr="0073220E">
              <w:t>5A.</w:t>
            </w:r>
            <w:r>
              <w:t>83</w:t>
            </w:r>
            <w:proofErr w:type="spellEnd"/>
            <w:r w:rsidRPr="0073220E">
              <w:t>.</w:t>
            </w:r>
          </w:p>
        </w:tc>
      </w:tr>
      <w:tr w:rsidR="00D007D1" w:rsidTr="00804C04">
        <w:tc>
          <w:tcPr>
            <w:tcW w:w="8771" w:type="dxa"/>
            <w:tcBorders>
              <w:top w:val="nil"/>
              <w:left w:val="nil"/>
              <w:bottom w:val="single" w:sz="6" w:space="0" w:color="78A22F"/>
              <w:right w:val="nil"/>
            </w:tcBorders>
            <w:shd w:val="clear" w:color="auto" w:fill="auto"/>
          </w:tcPr>
          <w:p w:rsidR="00D007D1" w:rsidRDefault="00D007D1" w:rsidP="00804C04">
            <w:pPr>
              <w:pStyle w:val="Figurespace"/>
            </w:pPr>
          </w:p>
        </w:tc>
      </w:tr>
      <w:tr w:rsidR="00D007D1" w:rsidRPr="000863A5" w:rsidTr="00804C04">
        <w:tc>
          <w:tcPr>
            <w:tcW w:w="8771" w:type="dxa"/>
            <w:tcBorders>
              <w:top w:val="single" w:sz="6" w:space="0" w:color="78A22F"/>
              <w:left w:val="nil"/>
              <w:bottom w:val="nil"/>
              <w:right w:val="nil"/>
            </w:tcBorders>
          </w:tcPr>
          <w:p w:rsidR="00D007D1" w:rsidRPr="00626D32" w:rsidRDefault="00D007D1" w:rsidP="00804C04">
            <w:pPr>
              <w:pStyle w:val="BoxSpaceBelow"/>
            </w:pPr>
          </w:p>
        </w:tc>
      </w:tr>
    </w:tbl>
    <w:p w:rsidR="00746065" w:rsidRDefault="002E16A2" w:rsidP="00307044">
      <w:pPr>
        <w:pStyle w:val="BodyText"/>
      </w:pPr>
      <w:r w:rsidRPr="00925D60">
        <w:t xml:space="preserve">Nationally, government funded </w:t>
      </w:r>
      <w:r w:rsidR="00804C04">
        <w:t xml:space="preserve">Aboriginal and Torres Strait Islander </w:t>
      </w:r>
      <w:r w:rsidR="008C6F36">
        <w:t xml:space="preserve">VET </w:t>
      </w:r>
      <w:r w:rsidRPr="00925D60">
        <w:t xml:space="preserve">students </w:t>
      </w:r>
      <w:r w:rsidR="00682387" w:rsidRPr="00925D60">
        <w:t xml:space="preserve">undertook training equivalent to </w:t>
      </w:r>
      <w:r w:rsidR="008C64C8">
        <w:t xml:space="preserve">24 891 </w:t>
      </w:r>
      <w:r w:rsidRPr="00925D60">
        <w:t>VET qualification</w:t>
      </w:r>
      <w:r w:rsidR="00682387" w:rsidRPr="00925D60">
        <w:t>s</w:t>
      </w:r>
      <w:r w:rsidRPr="00925D60">
        <w:t xml:space="preserve"> in </w:t>
      </w:r>
      <w:r w:rsidR="00DB44EF" w:rsidRPr="00925D60">
        <w:t>201</w:t>
      </w:r>
      <w:r w:rsidR="00E77AE1">
        <w:t>3</w:t>
      </w:r>
      <w:r w:rsidRPr="00925D60">
        <w:t xml:space="preserve">, a </w:t>
      </w:r>
      <w:r w:rsidR="008C64C8">
        <w:t>de</w:t>
      </w:r>
      <w:r w:rsidRPr="00925D60">
        <w:t xml:space="preserve">crease from </w:t>
      </w:r>
      <w:r w:rsidR="008C64C8">
        <w:t xml:space="preserve">26 812 </w:t>
      </w:r>
      <w:r w:rsidRPr="00925D60">
        <w:t xml:space="preserve">in </w:t>
      </w:r>
      <w:r w:rsidR="00DB44EF" w:rsidRPr="00925D60">
        <w:t>201</w:t>
      </w:r>
      <w:r w:rsidR="00E77AE1">
        <w:t>2</w:t>
      </w:r>
      <w:r w:rsidR="008C64C8">
        <w:t xml:space="preserve">, but an increase </w:t>
      </w:r>
      <w:r w:rsidRPr="00925D60">
        <w:t xml:space="preserve">from </w:t>
      </w:r>
      <w:r w:rsidR="00A830D1">
        <w:t xml:space="preserve">19 675 </w:t>
      </w:r>
      <w:r w:rsidRPr="00925D60">
        <w:t xml:space="preserve">in </w:t>
      </w:r>
      <w:r w:rsidR="00DB44EF" w:rsidRPr="00925D60">
        <w:t>200</w:t>
      </w:r>
      <w:r w:rsidR="00E77AE1">
        <w:t>9</w:t>
      </w:r>
      <w:r w:rsidR="00E0293F" w:rsidRPr="00925D60">
        <w:t xml:space="preserve">. </w:t>
      </w:r>
      <w:r w:rsidRPr="00925D60">
        <w:t xml:space="preserve">The change from </w:t>
      </w:r>
      <w:r w:rsidR="00DB44EF" w:rsidRPr="00925D60">
        <w:t>200</w:t>
      </w:r>
      <w:r w:rsidR="00E77AE1">
        <w:t>9</w:t>
      </w:r>
      <w:r w:rsidR="00DB44EF" w:rsidRPr="00925D60">
        <w:t xml:space="preserve"> </w:t>
      </w:r>
      <w:r w:rsidRPr="00925D60">
        <w:t xml:space="preserve">to </w:t>
      </w:r>
      <w:r w:rsidR="00DB44EF" w:rsidRPr="00925D60">
        <w:t>201</w:t>
      </w:r>
      <w:r w:rsidR="00E77AE1">
        <w:t>3</w:t>
      </w:r>
      <w:r w:rsidR="00DB44EF" w:rsidRPr="00925D60">
        <w:t xml:space="preserve"> </w:t>
      </w:r>
      <w:r w:rsidRPr="00925D60">
        <w:t xml:space="preserve">represents a </w:t>
      </w:r>
      <w:r w:rsidR="00A830D1">
        <w:t>26.5</w:t>
      </w:r>
      <w:r w:rsidR="001812D4">
        <w:t xml:space="preserve"> </w:t>
      </w:r>
      <w:r w:rsidRPr="00925D60">
        <w:t>per</w:t>
      </w:r>
      <w:r w:rsidR="001812D4">
        <w:t xml:space="preserve"> </w:t>
      </w:r>
      <w:r w:rsidRPr="00925D60">
        <w:t xml:space="preserve">cent increase (compared with a </w:t>
      </w:r>
      <w:r w:rsidR="00A830D1">
        <w:t>41.4</w:t>
      </w:r>
      <w:r w:rsidR="001812D4">
        <w:t xml:space="preserve"> </w:t>
      </w:r>
      <w:r w:rsidRPr="00925D60">
        <w:t>per</w:t>
      </w:r>
      <w:r w:rsidR="001812D4">
        <w:t xml:space="preserve"> </w:t>
      </w:r>
      <w:r w:rsidRPr="00925D60">
        <w:t xml:space="preserve">cent increase for all government funded students over the same period) </w:t>
      </w:r>
      <w:r w:rsidR="00E0293F" w:rsidRPr="00925D60">
        <w:t xml:space="preserve">(table </w:t>
      </w:r>
      <w:proofErr w:type="spellStart"/>
      <w:r w:rsidR="00E0293F" w:rsidRPr="00925D60">
        <w:t>5A.</w:t>
      </w:r>
      <w:r w:rsidR="00EF7AD6">
        <w:t>8</w:t>
      </w:r>
      <w:r w:rsidR="00915131">
        <w:t>5</w:t>
      </w:r>
      <w:proofErr w:type="spellEnd"/>
      <w:r w:rsidR="00E0293F" w:rsidRPr="00925D60">
        <w:t xml:space="preserve">). </w:t>
      </w:r>
      <w:r w:rsidRPr="00925D60">
        <w:t xml:space="preserve">The number </w:t>
      </w:r>
      <w:r w:rsidRPr="00EF5A5F">
        <w:t xml:space="preserve">of </w:t>
      </w:r>
      <w:r w:rsidR="00DB24C3" w:rsidRPr="00EF5A5F">
        <w:t>Q</w:t>
      </w:r>
      <w:r w:rsidRPr="00EF5A5F">
        <w:t xml:space="preserve">ualification </w:t>
      </w:r>
      <w:r w:rsidR="00DB24C3" w:rsidRPr="00EF5A5F">
        <w:t>E</w:t>
      </w:r>
      <w:r w:rsidRPr="00EF5A5F">
        <w:t>quivalents varied across jurisdictions (figure</w:t>
      </w:r>
      <w:r w:rsidR="001812D4">
        <w:t xml:space="preserve"> </w:t>
      </w:r>
      <w:r w:rsidR="00606C29">
        <w:t>5.4</w:t>
      </w:r>
      <w:r w:rsidR="00A830D1">
        <w:t>9</w:t>
      </w:r>
      <w:r w:rsidR="00746065" w:rsidRPr="00EF5A5F">
        <w:t>).</w:t>
      </w:r>
    </w:p>
    <w:p w:rsidR="00E8463F" w:rsidRDefault="00E8463F" w:rsidP="00804C0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8463F" w:rsidTr="00804C04">
        <w:tc>
          <w:tcPr>
            <w:tcW w:w="8771" w:type="dxa"/>
            <w:tcBorders>
              <w:top w:val="single" w:sz="6" w:space="0" w:color="78A22F"/>
              <w:left w:val="nil"/>
              <w:bottom w:val="nil"/>
              <w:right w:val="nil"/>
            </w:tcBorders>
            <w:shd w:val="clear" w:color="auto" w:fill="auto"/>
          </w:tcPr>
          <w:p w:rsidR="00E8463F" w:rsidRPr="00176D3F" w:rsidRDefault="00E8463F" w:rsidP="00E77AE1">
            <w:pPr>
              <w:pStyle w:val="FigureTitle"/>
            </w:pPr>
            <w:r w:rsidRPr="00784A05">
              <w:rPr>
                <w:b w:val="0"/>
              </w:rPr>
              <w:t xml:space="preserve">Figure </w:t>
            </w:r>
            <w:r>
              <w:rPr>
                <w:b w:val="0"/>
              </w:rPr>
              <w:t>5.</w:t>
            </w:r>
            <w:r w:rsidR="00D80B1E">
              <w:rPr>
                <w:b w:val="0"/>
                <w:noProof/>
              </w:rPr>
              <w:t>49</w:t>
            </w:r>
            <w:r>
              <w:tab/>
            </w:r>
            <w:r w:rsidRPr="00D8153B">
              <w:t>Qualification Equivalents,</w:t>
            </w:r>
            <w:r w:rsidR="00804C04">
              <w:t xml:space="preserve"> Aboriginal and Torres Strait Islander </w:t>
            </w:r>
            <w:r w:rsidRPr="00D8153B">
              <w:t>students, 201</w:t>
            </w:r>
            <w:r w:rsidR="00E77AE1">
              <w:t>3</w:t>
            </w:r>
            <w:r w:rsidRPr="00D8153B">
              <w:rPr>
                <w:rStyle w:val="NoteLabel"/>
                <w:b/>
              </w:rPr>
              <w:t>a</w:t>
            </w:r>
          </w:p>
        </w:tc>
      </w:tr>
      <w:tr w:rsidR="00E8463F" w:rsidTr="00804C04">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E8463F" w:rsidTr="00E8463F">
              <w:tc>
                <w:tcPr>
                  <w:tcW w:w="5000" w:type="pct"/>
                  <w:tcBorders>
                    <w:top w:val="nil"/>
                    <w:bottom w:val="nil"/>
                  </w:tcBorders>
                </w:tcPr>
                <w:p w:rsidR="00E8463F" w:rsidRDefault="003004EB" w:rsidP="00804C04">
                  <w:pPr>
                    <w:pStyle w:val="Figure"/>
                    <w:spacing w:before="60" w:after="60"/>
                  </w:pPr>
                  <w:r>
                    <w:rPr>
                      <w:noProof/>
                    </w:rPr>
                    <w:drawing>
                      <wp:inline distT="0" distB="0" distL="0" distR="0">
                        <wp:extent cx="5391150" cy="2705100"/>
                        <wp:effectExtent l="0" t="0" r="0" b="0"/>
                        <wp:docPr id="61" name="Picture 61" descr="Figure 5.49 Qualification Equivalents, Aboriginal and Torres Strait Islander students, 20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5391150" cy="2705100"/>
                                </a:xfrm>
                                <a:prstGeom prst="rect">
                                  <a:avLst/>
                                </a:prstGeom>
                                <a:noFill/>
                                <a:ln>
                                  <a:noFill/>
                                </a:ln>
                              </pic:spPr>
                            </pic:pic>
                          </a:graphicData>
                        </a:graphic>
                      </wp:inline>
                    </w:drawing>
                  </w:r>
                </w:p>
              </w:tc>
            </w:tr>
          </w:tbl>
          <w:p w:rsidR="00E8463F" w:rsidRDefault="00E8463F" w:rsidP="00804C04">
            <w:pPr>
              <w:pStyle w:val="Figure"/>
            </w:pPr>
          </w:p>
        </w:tc>
      </w:tr>
      <w:tr w:rsidR="00E8463F" w:rsidRPr="00176D3F" w:rsidTr="00804C04">
        <w:tc>
          <w:tcPr>
            <w:tcW w:w="8771" w:type="dxa"/>
            <w:tcBorders>
              <w:top w:val="nil"/>
              <w:left w:val="nil"/>
              <w:bottom w:val="nil"/>
              <w:right w:val="nil"/>
            </w:tcBorders>
            <w:shd w:val="clear" w:color="auto" w:fill="auto"/>
          </w:tcPr>
          <w:p w:rsidR="00E8463F" w:rsidRPr="00176D3F" w:rsidRDefault="00E8463F" w:rsidP="00804C04">
            <w:pPr>
              <w:pStyle w:val="Note"/>
            </w:pPr>
            <w:r w:rsidRPr="0073220E">
              <w:rPr>
                <w:rStyle w:val="NoteLabel"/>
              </w:rPr>
              <w:t>a</w:t>
            </w:r>
            <w:r w:rsidRPr="0073220E">
              <w:t xml:space="preserve"> Data are for government funded VET students.</w:t>
            </w:r>
          </w:p>
        </w:tc>
      </w:tr>
      <w:tr w:rsidR="00E8463F" w:rsidRPr="00176D3F" w:rsidTr="00804C04">
        <w:tc>
          <w:tcPr>
            <w:tcW w:w="8771" w:type="dxa"/>
            <w:tcBorders>
              <w:top w:val="nil"/>
              <w:left w:val="nil"/>
              <w:bottom w:val="nil"/>
              <w:right w:val="nil"/>
            </w:tcBorders>
            <w:shd w:val="clear" w:color="auto" w:fill="auto"/>
          </w:tcPr>
          <w:p w:rsidR="00E8463F" w:rsidRPr="00176D3F" w:rsidRDefault="00E8463F" w:rsidP="00915131">
            <w:pPr>
              <w:pStyle w:val="Source"/>
            </w:pPr>
            <w:r w:rsidRPr="0073220E">
              <w:rPr>
                <w:i/>
              </w:rPr>
              <w:t>Source</w:t>
            </w:r>
            <w:r w:rsidRPr="0073220E">
              <w:t xml:space="preserve">: NCVER (unpublished) National VET provider collection; table </w:t>
            </w:r>
            <w:proofErr w:type="spellStart"/>
            <w:r w:rsidRPr="0073220E">
              <w:t>5A.</w:t>
            </w:r>
            <w:r>
              <w:t>8</w:t>
            </w:r>
            <w:r w:rsidR="00915131">
              <w:t>5</w:t>
            </w:r>
            <w:proofErr w:type="spellEnd"/>
            <w:r w:rsidRPr="0073220E">
              <w:t>.</w:t>
            </w:r>
          </w:p>
        </w:tc>
      </w:tr>
      <w:tr w:rsidR="00E8463F" w:rsidTr="00804C04">
        <w:tc>
          <w:tcPr>
            <w:tcW w:w="8771" w:type="dxa"/>
            <w:tcBorders>
              <w:top w:val="nil"/>
              <w:left w:val="nil"/>
              <w:bottom w:val="single" w:sz="6" w:space="0" w:color="78A22F"/>
              <w:right w:val="nil"/>
            </w:tcBorders>
            <w:shd w:val="clear" w:color="auto" w:fill="auto"/>
          </w:tcPr>
          <w:p w:rsidR="00E8463F" w:rsidRDefault="00E8463F" w:rsidP="00804C04">
            <w:pPr>
              <w:pStyle w:val="Figurespace"/>
            </w:pPr>
          </w:p>
        </w:tc>
      </w:tr>
      <w:tr w:rsidR="00E8463F" w:rsidRPr="000863A5" w:rsidTr="00804C04">
        <w:tc>
          <w:tcPr>
            <w:tcW w:w="8771" w:type="dxa"/>
            <w:tcBorders>
              <w:top w:val="single" w:sz="6" w:space="0" w:color="78A22F"/>
              <w:left w:val="nil"/>
              <w:bottom w:val="nil"/>
              <w:right w:val="nil"/>
            </w:tcBorders>
          </w:tcPr>
          <w:p w:rsidR="00E8463F" w:rsidRPr="00626D32" w:rsidRDefault="00E8463F" w:rsidP="00804C04">
            <w:pPr>
              <w:pStyle w:val="BoxSpaceBelow"/>
            </w:pPr>
          </w:p>
        </w:tc>
      </w:tr>
    </w:tbl>
    <w:p w:rsidR="00C12517" w:rsidRPr="004252FF" w:rsidRDefault="00106D66" w:rsidP="00155F55">
      <w:pPr>
        <w:pStyle w:val="BodyText"/>
      </w:pPr>
      <w:r>
        <w:t>Figure</w:t>
      </w:r>
      <w:r w:rsidR="001812D4">
        <w:t xml:space="preserve"> </w:t>
      </w:r>
      <w:r w:rsidR="00606C29">
        <w:t>5.</w:t>
      </w:r>
      <w:r w:rsidR="00A830D1">
        <w:t>50</w:t>
      </w:r>
      <w:r>
        <w:t xml:space="preserve"> shows t</w:t>
      </w:r>
      <w:r w:rsidR="00576BA0" w:rsidRPr="00EF5A5F">
        <w:t xml:space="preserve">he </w:t>
      </w:r>
      <w:r w:rsidR="00576BA0" w:rsidRPr="004252FF">
        <w:t xml:space="preserve">number of Qualification Equivalents </w:t>
      </w:r>
      <w:r w:rsidR="00B07F65" w:rsidRPr="004252FF">
        <w:t xml:space="preserve">since </w:t>
      </w:r>
      <w:r w:rsidR="00AA77BD" w:rsidRPr="004252FF">
        <w:t>200</w:t>
      </w:r>
      <w:r w:rsidR="00E77AE1">
        <w:t>9</w:t>
      </w:r>
      <w:r w:rsidR="00AA77BD" w:rsidRPr="004252FF">
        <w:t xml:space="preserve"> for all students at certificate levels III or IV and a</w:t>
      </w:r>
      <w:r w:rsidR="00923F5A" w:rsidRPr="004252FF">
        <w:t>t</w:t>
      </w:r>
      <w:r w:rsidR="00AA77BD" w:rsidRPr="004252FF">
        <w:t xml:space="preserve"> diploma level and above.</w:t>
      </w:r>
      <w:r w:rsidR="00235438" w:rsidRPr="004252FF">
        <w:t xml:space="preserve"> </w:t>
      </w:r>
      <w:r w:rsidRPr="004252FF">
        <w:t>Nationally f</w:t>
      </w:r>
      <w:r w:rsidR="00155F55" w:rsidRPr="004252FF">
        <w:t>rom 200</w:t>
      </w:r>
      <w:r w:rsidR="00E77AE1">
        <w:t>9</w:t>
      </w:r>
      <w:r w:rsidR="00155F55" w:rsidRPr="004252FF">
        <w:t xml:space="preserve"> to </w:t>
      </w:r>
      <w:r w:rsidR="004D6337" w:rsidRPr="004252FF">
        <w:t>201</w:t>
      </w:r>
      <w:r w:rsidR="00E77AE1">
        <w:t>3</w:t>
      </w:r>
      <w:r w:rsidR="00155F55" w:rsidRPr="004252FF">
        <w:t xml:space="preserve">, the number of Qualification Equivalents increased by </w:t>
      </w:r>
      <w:r w:rsidR="00A830D1">
        <w:t>52.0</w:t>
      </w:r>
      <w:r w:rsidR="001812D4">
        <w:t xml:space="preserve"> </w:t>
      </w:r>
      <w:r w:rsidR="00155F55" w:rsidRPr="004252FF">
        <w:t>per</w:t>
      </w:r>
      <w:r w:rsidR="001812D4">
        <w:t xml:space="preserve"> </w:t>
      </w:r>
      <w:r w:rsidR="00155F55" w:rsidRPr="004252FF">
        <w:t xml:space="preserve">cent at certificate levels III or IV, and by </w:t>
      </w:r>
      <w:r w:rsidR="00A830D1">
        <w:t>17.5</w:t>
      </w:r>
      <w:r w:rsidR="001812D4">
        <w:t xml:space="preserve"> </w:t>
      </w:r>
      <w:r w:rsidR="00155F55" w:rsidRPr="004252FF">
        <w:t>per</w:t>
      </w:r>
      <w:r w:rsidR="001812D4">
        <w:t xml:space="preserve"> </w:t>
      </w:r>
      <w:r w:rsidR="00155F55" w:rsidRPr="004252FF">
        <w:t xml:space="preserve">cent at diploma level and above (table </w:t>
      </w:r>
      <w:proofErr w:type="spellStart"/>
      <w:r w:rsidR="00155F55" w:rsidRPr="004252FF">
        <w:t>5A.</w:t>
      </w:r>
      <w:r w:rsidR="00EF7AD6">
        <w:t>8</w:t>
      </w:r>
      <w:r w:rsidR="00915131">
        <w:t>5</w:t>
      </w:r>
      <w:proofErr w:type="spellEnd"/>
      <w:r w:rsidR="00155F55" w:rsidRPr="004252FF">
        <w:t>).</w:t>
      </w:r>
    </w:p>
    <w:p w:rsidR="00C12517" w:rsidRDefault="00C12517">
      <w:r>
        <w:br w:type="page"/>
      </w:r>
    </w:p>
    <w:p w:rsidR="00D007D1" w:rsidRDefault="00D007D1" w:rsidP="00804C0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007D1" w:rsidTr="00804C04">
        <w:tc>
          <w:tcPr>
            <w:tcW w:w="8771" w:type="dxa"/>
            <w:tcBorders>
              <w:top w:val="single" w:sz="6" w:space="0" w:color="78A22F"/>
              <w:left w:val="nil"/>
              <w:bottom w:val="nil"/>
              <w:right w:val="nil"/>
            </w:tcBorders>
            <w:shd w:val="clear" w:color="auto" w:fill="auto"/>
          </w:tcPr>
          <w:p w:rsidR="00D007D1" w:rsidRPr="00176D3F" w:rsidRDefault="00D007D1" w:rsidP="00E8463F">
            <w:pPr>
              <w:pStyle w:val="FigureTitle"/>
            </w:pPr>
            <w:r w:rsidRPr="00784A05">
              <w:rPr>
                <w:b w:val="0"/>
              </w:rPr>
              <w:t xml:space="preserve">Figure </w:t>
            </w:r>
            <w:r w:rsidR="00E8463F">
              <w:rPr>
                <w:b w:val="0"/>
              </w:rPr>
              <w:t>5.</w:t>
            </w:r>
            <w:r w:rsidR="00D80B1E">
              <w:rPr>
                <w:b w:val="0"/>
                <w:noProof/>
              </w:rPr>
              <w:t>50</w:t>
            </w:r>
            <w:r>
              <w:tab/>
            </w:r>
            <w:r w:rsidR="00E8463F" w:rsidRPr="00F56C66">
              <w:t>Qualification Equivalents in selected qualification levels, all students</w:t>
            </w:r>
            <w:r w:rsidR="00E8463F" w:rsidRPr="00F56C66">
              <w:rPr>
                <w:rStyle w:val="NoteLabel"/>
                <w:b/>
              </w:rPr>
              <w:t>a</w:t>
            </w:r>
          </w:p>
        </w:tc>
      </w:tr>
      <w:tr w:rsidR="00D007D1" w:rsidTr="00804C04">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D007D1" w:rsidTr="00D007D1">
              <w:tc>
                <w:tcPr>
                  <w:tcW w:w="5000" w:type="pct"/>
                  <w:tcBorders>
                    <w:top w:val="nil"/>
                    <w:bottom w:val="nil"/>
                  </w:tcBorders>
                </w:tcPr>
                <w:p w:rsidR="00E8463F" w:rsidRDefault="003004EB" w:rsidP="00A830D1">
                  <w:pPr>
                    <w:pStyle w:val="Figure"/>
                    <w:spacing w:before="60" w:after="60"/>
                  </w:pPr>
                  <w:r>
                    <w:rPr>
                      <w:noProof/>
                    </w:rPr>
                    <w:drawing>
                      <wp:inline distT="0" distB="0" distL="0" distR="0">
                        <wp:extent cx="5391150" cy="2333625"/>
                        <wp:effectExtent l="0" t="0" r="0" b="9525"/>
                        <wp:docPr id="62" name="Picture 62" descr="Figure 5.50 Qualification Equivalents in selected qualification levels, all students&#10;&#10;Qualification Equivalents in certificate III or IV&#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5391150" cy="2333625"/>
                                </a:xfrm>
                                <a:prstGeom prst="rect">
                                  <a:avLst/>
                                </a:prstGeom>
                                <a:noFill/>
                                <a:ln>
                                  <a:noFill/>
                                </a:ln>
                              </pic:spPr>
                            </pic:pic>
                          </a:graphicData>
                        </a:graphic>
                      </wp:inline>
                    </w:drawing>
                  </w:r>
                  <w:r w:rsidR="00E8463F">
                    <w:br/>
                  </w:r>
                  <w:r>
                    <w:rPr>
                      <w:noProof/>
                    </w:rPr>
                    <w:drawing>
                      <wp:inline distT="0" distB="0" distL="0" distR="0">
                        <wp:extent cx="5391150" cy="2705100"/>
                        <wp:effectExtent l="0" t="0" r="0" b="0"/>
                        <wp:docPr id="63" name="Picture 63" descr="Figure 5.50 Qualification Equivalents in selected qualification levels, all students&#10;&#10;Qualification Equivalents in diploma and above &#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5391150" cy="2705100"/>
                                </a:xfrm>
                                <a:prstGeom prst="rect">
                                  <a:avLst/>
                                </a:prstGeom>
                                <a:noFill/>
                                <a:ln>
                                  <a:noFill/>
                                </a:ln>
                              </pic:spPr>
                            </pic:pic>
                          </a:graphicData>
                        </a:graphic>
                      </wp:inline>
                    </w:drawing>
                  </w:r>
                </w:p>
              </w:tc>
            </w:tr>
          </w:tbl>
          <w:p w:rsidR="00D007D1" w:rsidRDefault="00D007D1" w:rsidP="00804C04">
            <w:pPr>
              <w:pStyle w:val="Figure"/>
            </w:pPr>
          </w:p>
        </w:tc>
      </w:tr>
      <w:tr w:rsidR="00D007D1" w:rsidRPr="00176D3F" w:rsidTr="00804C04">
        <w:tc>
          <w:tcPr>
            <w:tcW w:w="8771" w:type="dxa"/>
            <w:tcBorders>
              <w:top w:val="nil"/>
              <w:left w:val="nil"/>
              <w:bottom w:val="nil"/>
              <w:right w:val="nil"/>
            </w:tcBorders>
            <w:shd w:val="clear" w:color="auto" w:fill="auto"/>
          </w:tcPr>
          <w:p w:rsidR="00D007D1" w:rsidRPr="00176D3F" w:rsidRDefault="00E8463F" w:rsidP="00804C04">
            <w:pPr>
              <w:pStyle w:val="Note"/>
            </w:pPr>
            <w:r w:rsidRPr="0073220E">
              <w:rPr>
                <w:rStyle w:val="NoteLabel"/>
              </w:rPr>
              <w:t>a</w:t>
            </w:r>
            <w:r w:rsidRPr="0073220E">
              <w:t xml:space="preserve"> Data are for government funded VET students.</w:t>
            </w:r>
          </w:p>
        </w:tc>
      </w:tr>
      <w:tr w:rsidR="00D007D1" w:rsidRPr="00176D3F" w:rsidTr="00804C04">
        <w:tc>
          <w:tcPr>
            <w:tcW w:w="8771" w:type="dxa"/>
            <w:tcBorders>
              <w:top w:val="nil"/>
              <w:left w:val="nil"/>
              <w:bottom w:val="nil"/>
              <w:right w:val="nil"/>
            </w:tcBorders>
            <w:shd w:val="clear" w:color="auto" w:fill="auto"/>
          </w:tcPr>
          <w:p w:rsidR="00D007D1" w:rsidRPr="00176D3F" w:rsidRDefault="00E8463F" w:rsidP="00915131">
            <w:pPr>
              <w:pStyle w:val="Source"/>
            </w:pPr>
            <w:r w:rsidRPr="0073220E">
              <w:rPr>
                <w:i/>
              </w:rPr>
              <w:t>Source</w:t>
            </w:r>
            <w:r w:rsidRPr="0073220E">
              <w:t xml:space="preserve">: NCVER (unpublished) National VET provider collection; table </w:t>
            </w:r>
            <w:proofErr w:type="spellStart"/>
            <w:r w:rsidRPr="0073220E">
              <w:t>5A.</w:t>
            </w:r>
            <w:r>
              <w:t>8</w:t>
            </w:r>
            <w:r w:rsidR="00915131">
              <w:t>5</w:t>
            </w:r>
            <w:proofErr w:type="spellEnd"/>
            <w:r w:rsidRPr="0073220E">
              <w:t>.</w:t>
            </w:r>
          </w:p>
        </w:tc>
      </w:tr>
      <w:tr w:rsidR="00D007D1" w:rsidTr="00804C04">
        <w:tc>
          <w:tcPr>
            <w:tcW w:w="8771" w:type="dxa"/>
            <w:tcBorders>
              <w:top w:val="nil"/>
              <w:left w:val="nil"/>
              <w:bottom w:val="single" w:sz="6" w:space="0" w:color="78A22F"/>
              <w:right w:val="nil"/>
            </w:tcBorders>
            <w:shd w:val="clear" w:color="auto" w:fill="auto"/>
          </w:tcPr>
          <w:p w:rsidR="00D007D1" w:rsidRDefault="00D007D1" w:rsidP="00804C04">
            <w:pPr>
              <w:pStyle w:val="Figurespace"/>
            </w:pPr>
          </w:p>
        </w:tc>
      </w:tr>
      <w:tr w:rsidR="00D007D1" w:rsidRPr="000863A5" w:rsidTr="00804C04">
        <w:tc>
          <w:tcPr>
            <w:tcW w:w="8771" w:type="dxa"/>
            <w:tcBorders>
              <w:top w:val="single" w:sz="6" w:space="0" w:color="78A22F"/>
              <w:left w:val="nil"/>
              <w:bottom w:val="nil"/>
              <w:right w:val="nil"/>
            </w:tcBorders>
          </w:tcPr>
          <w:p w:rsidR="00D007D1" w:rsidRPr="00626D32" w:rsidRDefault="00D007D1" w:rsidP="00804C04">
            <w:pPr>
              <w:pStyle w:val="BoxSpaceBelow"/>
            </w:pPr>
          </w:p>
        </w:tc>
      </w:tr>
    </w:tbl>
    <w:p w:rsidR="00A830D1" w:rsidRDefault="00B07F65" w:rsidP="001A123C">
      <w:pPr>
        <w:pStyle w:val="BodyText"/>
      </w:pPr>
      <w:r w:rsidRPr="00EF5A5F">
        <w:t xml:space="preserve">Figure </w:t>
      </w:r>
      <w:r w:rsidR="00606C29">
        <w:t>5.</w:t>
      </w:r>
      <w:r w:rsidR="00A830D1">
        <w:t>51</w:t>
      </w:r>
      <w:r w:rsidRPr="00EF5A5F">
        <w:t xml:space="preserve"> shows the annual changes in Qualification Equivalents</w:t>
      </w:r>
      <w:r w:rsidRPr="00B07F65">
        <w:t xml:space="preserve"> </w:t>
      </w:r>
      <w:r>
        <w:t>at certificate levels III or IV and at diploma level and above since 200</w:t>
      </w:r>
      <w:r w:rsidR="00E77AE1">
        <w:t>9</w:t>
      </w:r>
      <w:r w:rsidR="002F08ED">
        <w:t>, indicating that</w:t>
      </w:r>
      <w:r w:rsidR="001A123C">
        <w:t xml:space="preserve"> Qualification Equivalents</w:t>
      </w:r>
      <w:r w:rsidR="00A830D1">
        <w:t>:</w:t>
      </w:r>
    </w:p>
    <w:p w:rsidR="00B07F65" w:rsidRDefault="00A830D1" w:rsidP="00A830D1">
      <w:pPr>
        <w:pStyle w:val="ListBullet"/>
      </w:pPr>
      <w:r>
        <w:t>de</w:t>
      </w:r>
      <w:r w:rsidR="001A123C">
        <w:t xml:space="preserve">creased </w:t>
      </w:r>
      <w:r>
        <w:t>1.2</w:t>
      </w:r>
      <w:r w:rsidR="001812D4">
        <w:t xml:space="preserve"> </w:t>
      </w:r>
      <w:r w:rsidRPr="004252FF">
        <w:t>per</w:t>
      </w:r>
      <w:r w:rsidR="001812D4">
        <w:t xml:space="preserve"> </w:t>
      </w:r>
      <w:r w:rsidRPr="004252FF">
        <w:t xml:space="preserve">cent </w:t>
      </w:r>
      <w:r>
        <w:t xml:space="preserve">nationally </w:t>
      </w:r>
      <w:r w:rsidRPr="004252FF">
        <w:t>at certificate levels III or IV</w:t>
      </w:r>
      <w:r>
        <w:t xml:space="preserve"> </w:t>
      </w:r>
      <w:r w:rsidR="001A123C">
        <w:t xml:space="preserve">from </w:t>
      </w:r>
      <w:r w:rsidR="004D6337">
        <w:t>201</w:t>
      </w:r>
      <w:r w:rsidR="00E77AE1">
        <w:t>2</w:t>
      </w:r>
      <w:r w:rsidR="001A123C">
        <w:t xml:space="preserve"> to 201</w:t>
      </w:r>
      <w:r w:rsidR="00E77AE1">
        <w:t>3</w:t>
      </w:r>
    </w:p>
    <w:p w:rsidR="00E91C2A" w:rsidRDefault="003D182C" w:rsidP="00E91C2A">
      <w:pPr>
        <w:pStyle w:val="ListBullet"/>
      </w:pPr>
      <w:r>
        <w:t>decreased 19.4</w:t>
      </w:r>
      <w:r w:rsidR="001812D4">
        <w:t xml:space="preserve"> </w:t>
      </w:r>
      <w:r w:rsidRPr="004252FF">
        <w:t>per</w:t>
      </w:r>
      <w:r w:rsidR="001812D4">
        <w:t xml:space="preserve"> </w:t>
      </w:r>
      <w:r w:rsidRPr="004252FF">
        <w:t xml:space="preserve">cent </w:t>
      </w:r>
      <w:r>
        <w:t xml:space="preserve">nationally </w:t>
      </w:r>
      <w:r w:rsidRPr="004252FF">
        <w:t xml:space="preserve">at diploma level and above </w:t>
      </w:r>
      <w:r w:rsidR="00E91C2A">
        <w:t>from 2012 to 2013.</w:t>
      </w:r>
    </w:p>
    <w:p w:rsidR="005D4D1A" w:rsidRDefault="005D4D1A" w:rsidP="00804C0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D4D1A" w:rsidTr="00804C04">
        <w:tc>
          <w:tcPr>
            <w:tcW w:w="8771" w:type="dxa"/>
            <w:tcBorders>
              <w:top w:val="single" w:sz="6" w:space="0" w:color="78A22F"/>
              <w:left w:val="nil"/>
              <w:bottom w:val="nil"/>
              <w:right w:val="nil"/>
            </w:tcBorders>
            <w:shd w:val="clear" w:color="auto" w:fill="auto"/>
          </w:tcPr>
          <w:p w:rsidR="005D4D1A" w:rsidRPr="00176D3F" w:rsidRDefault="005D4D1A" w:rsidP="005D4D1A">
            <w:pPr>
              <w:pStyle w:val="FigureTitle"/>
            </w:pPr>
            <w:r w:rsidRPr="00784A05">
              <w:rPr>
                <w:b w:val="0"/>
              </w:rPr>
              <w:t xml:space="preserve">Figure </w:t>
            </w:r>
            <w:r>
              <w:rPr>
                <w:b w:val="0"/>
              </w:rPr>
              <w:t>5.</w:t>
            </w:r>
            <w:r w:rsidR="00D80B1E">
              <w:rPr>
                <w:b w:val="0"/>
                <w:noProof/>
              </w:rPr>
              <w:t>51</w:t>
            </w:r>
            <w:r>
              <w:tab/>
            </w:r>
            <w:r w:rsidRPr="00F56C66">
              <w:t>Qualification Equivalents in selected qualification levels for all students, by change from previous year</w:t>
            </w:r>
            <w:r w:rsidRPr="00F56C66">
              <w:rPr>
                <w:rStyle w:val="NoteLabel"/>
                <w:b/>
              </w:rPr>
              <w:t>a</w:t>
            </w:r>
          </w:p>
        </w:tc>
      </w:tr>
      <w:tr w:rsidR="005D4D1A" w:rsidTr="00804C04">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5D4D1A" w:rsidTr="005D4D1A">
              <w:tc>
                <w:tcPr>
                  <w:tcW w:w="5000" w:type="pct"/>
                  <w:tcBorders>
                    <w:top w:val="nil"/>
                    <w:bottom w:val="nil"/>
                  </w:tcBorders>
                </w:tcPr>
                <w:p w:rsidR="00D001D0" w:rsidRDefault="003004EB" w:rsidP="00D001D0">
                  <w:pPr>
                    <w:pStyle w:val="Figure"/>
                    <w:spacing w:after="0"/>
                  </w:pPr>
                  <w:r>
                    <w:rPr>
                      <w:noProof/>
                    </w:rPr>
                    <w:drawing>
                      <wp:inline distT="0" distB="0" distL="0" distR="0">
                        <wp:extent cx="5391150" cy="2333625"/>
                        <wp:effectExtent l="0" t="0" r="0" b="9525"/>
                        <wp:docPr id="64" name="Picture 64" descr="Figure 5.51 Qualification Equivalents in selected qualification levels for all students, by change from previous year&#10;&#10;Qualification Equivalents in certificate III or IV&#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5391150" cy="2333625"/>
                                </a:xfrm>
                                <a:prstGeom prst="rect">
                                  <a:avLst/>
                                </a:prstGeom>
                                <a:noFill/>
                                <a:ln>
                                  <a:noFill/>
                                </a:ln>
                              </pic:spPr>
                            </pic:pic>
                          </a:graphicData>
                        </a:graphic>
                      </wp:inline>
                    </w:drawing>
                  </w:r>
                </w:p>
                <w:p w:rsidR="005D4D1A" w:rsidRDefault="003004EB" w:rsidP="00D001D0">
                  <w:pPr>
                    <w:pStyle w:val="Figure"/>
                    <w:spacing w:before="60" w:after="60"/>
                  </w:pPr>
                  <w:r>
                    <w:rPr>
                      <w:noProof/>
                    </w:rPr>
                    <w:drawing>
                      <wp:inline distT="0" distB="0" distL="0" distR="0">
                        <wp:extent cx="5391150" cy="2705100"/>
                        <wp:effectExtent l="0" t="0" r="0" b="0"/>
                        <wp:docPr id="65" name="Picture 65" descr="Figure 5.51 Qualification Equivalents in selected qualification levels for all students, by change from previous year&#10;&#10;Qualification Equivalents in diploma and abov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5391150" cy="2705100"/>
                                </a:xfrm>
                                <a:prstGeom prst="rect">
                                  <a:avLst/>
                                </a:prstGeom>
                                <a:noFill/>
                                <a:ln>
                                  <a:noFill/>
                                </a:ln>
                              </pic:spPr>
                            </pic:pic>
                          </a:graphicData>
                        </a:graphic>
                      </wp:inline>
                    </w:drawing>
                  </w:r>
                </w:p>
              </w:tc>
            </w:tr>
          </w:tbl>
          <w:p w:rsidR="005D4D1A" w:rsidRDefault="005D4D1A" w:rsidP="00804C04">
            <w:pPr>
              <w:pStyle w:val="Figure"/>
            </w:pPr>
          </w:p>
        </w:tc>
      </w:tr>
      <w:tr w:rsidR="005D4D1A" w:rsidRPr="00176D3F" w:rsidTr="00804C04">
        <w:tc>
          <w:tcPr>
            <w:tcW w:w="8771" w:type="dxa"/>
            <w:tcBorders>
              <w:top w:val="nil"/>
              <w:left w:val="nil"/>
              <w:bottom w:val="nil"/>
              <w:right w:val="nil"/>
            </w:tcBorders>
            <w:shd w:val="clear" w:color="auto" w:fill="auto"/>
          </w:tcPr>
          <w:p w:rsidR="005D4D1A" w:rsidRPr="00176D3F" w:rsidRDefault="00D001D0" w:rsidP="00804C04">
            <w:pPr>
              <w:pStyle w:val="Note"/>
            </w:pPr>
            <w:r w:rsidRPr="0073220E">
              <w:rPr>
                <w:rStyle w:val="NoteLabel"/>
              </w:rPr>
              <w:t>a</w:t>
            </w:r>
            <w:r w:rsidRPr="0073220E">
              <w:t xml:space="preserve"> Data are for government funded VET students.</w:t>
            </w:r>
          </w:p>
        </w:tc>
      </w:tr>
      <w:tr w:rsidR="005D4D1A" w:rsidRPr="00176D3F" w:rsidTr="00804C04">
        <w:tc>
          <w:tcPr>
            <w:tcW w:w="8771" w:type="dxa"/>
            <w:tcBorders>
              <w:top w:val="nil"/>
              <w:left w:val="nil"/>
              <w:bottom w:val="nil"/>
              <w:right w:val="nil"/>
            </w:tcBorders>
            <w:shd w:val="clear" w:color="auto" w:fill="auto"/>
          </w:tcPr>
          <w:p w:rsidR="005D4D1A" w:rsidRPr="00176D3F" w:rsidRDefault="00D001D0" w:rsidP="00915131">
            <w:pPr>
              <w:pStyle w:val="Source"/>
            </w:pPr>
            <w:r w:rsidRPr="0073220E">
              <w:rPr>
                <w:i/>
              </w:rPr>
              <w:t>Source</w:t>
            </w:r>
            <w:r w:rsidRPr="0073220E">
              <w:t xml:space="preserve">: NCVER (unpublished) National VET provider collection; table </w:t>
            </w:r>
            <w:proofErr w:type="spellStart"/>
            <w:r w:rsidRPr="0073220E">
              <w:t>5A.</w:t>
            </w:r>
            <w:r>
              <w:t>8</w:t>
            </w:r>
            <w:r w:rsidR="00915131">
              <w:t>5</w:t>
            </w:r>
            <w:proofErr w:type="spellEnd"/>
            <w:r w:rsidRPr="0073220E">
              <w:t>.</w:t>
            </w:r>
          </w:p>
        </w:tc>
      </w:tr>
      <w:tr w:rsidR="005D4D1A" w:rsidTr="00804C04">
        <w:tc>
          <w:tcPr>
            <w:tcW w:w="8771" w:type="dxa"/>
            <w:tcBorders>
              <w:top w:val="nil"/>
              <w:left w:val="nil"/>
              <w:bottom w:val="single" w:sz="6" w:space="0" w:color="78A22F"/>
              <w:right w:val="nil"/>
            </w:tcBorders>
            <w:shd w:val="clear" w:color="auto" w:fill="auto"/>
          </w:tcPr>
          <w:p w:rsidR="005D4D1A" w:rsidRDefault="005D4D1A" w:rsidP="00804C04">
            <w:pPr>
              <w:pStyle w:val="Figurespace"/>
            </w:pPr>
          </w:p>
        </w:tc>
      </w:tr>
      <w:tr w:rsidR="005D4D1A" w:rsidRPr="000863A5" w:rsidTr="00804C04">
        <w:tc>
          <w:tcPr>
            <w:tcW w:w="8771" w:type="dxa"/>
            <w:tcBorders>
              <w:top w:val="single" w:sz="6" w:space="0" w:color="78A22F"/>
              <w:left w:val="nil"/>
              <w:bottom w:val="nil"/>
              <w:right w:val="nil"/>
            </w:tcBorders>
          </w:tcPr>
          <w:p w:rsidR="005D4D1A" w:rsidRPr="00626D32" w:rsidRDefault="005D4D1A" w:rsidP="00804C04">
            <w:pPr>
              <w:pStyle w:val="BoxSpaceBelow"/>
            </w:pPr>
          </w:p>
        </w:tc>
      </w:tr>
    </w:tbl>
    <w:p w:rsidR="00C57336" w:rsidRPr="00EF5A5F" w:rsidRDefault="00C57336" w:rsidP="00281C53">
      <w:pPr>
        <w:pStyle w:val="Heading4"/>
      </w:pPr>
      <w:r w:rsidRPr="00EF5A5F">
        <w:t>Employer outcomes</w:t>
      </w:r>
    </w:p>
    <w:p w:rsidR="008260D6" w:rsidRPr="00EF5A5F" w:rsidRDefault="00C57336" w:rsidP="0014685B">
      <w:pPr>
        <w:pStyle w:val="BodyText"/>
      </w:pPr>
      <w:r w:rsidRPr="00EF5A5F">
        <w:t xml:space="preserve">The biennial </w:t>
      </w:r>
      <w:r w:rsidR="00033A0B" w:rsidRPr="00EF5A5F">
        <w:rPr>
          <w:i/>
        </w:rPr>
        <w:t>S</w:t>
      </w:r>
      <w:r w:rsidRPr="00EF5A5F">
        <w:rPr>
          <w:i/>
        </w:rPr>
        <w:t>urvey of Employers’ Use and Views of the VET System</w:t>
      </w:r>
      <w:r w:rsidRPr="00EF5A5F">
        <w:t xml:space="preserve"> </w:t>
      </w:r>
      <w:r w:rsidR="00B845FE" w:rsidRPr="00EF5A5F">
        <w:t>(NCVER </w:t>
      </w:r>
      <w:r w:rsidR="00923F5A">
        <w:t>201</w:t>
      </w:r>
      <w:r w:rsidR="00E77AE1">
        <w:t>3</w:t>
      </w:r>
      <w:r w:rsidR="00B845FE" w:rsidRPr="00EF5A5F">
        <w:t xml:space="preserve">) </w:t>
      </w:r>
      <w:r w:rsidRPr="00EF5A5F">
        <w:t>captures the extent to which employers make use of, and are satisfied with</w:t>
      </w:r>
      <w:r w:rsidR="0039053B" w:rsidRPr="00EF5A5F">
        <w:t>,</w:t>
      </w:r>
      <w:r w:rsidRPr="00EF5A5F">
        <w:t xml:space="preserve"> aspects of the VET </w:t>
      </w:r>
      <w:r w:rsidRPr="0014685B">
        <w:t>system. The</w:t>
      </w:r>
      <w:r w:rsidRPr="00EF5A5F">
        <w:t xml:space="preserve"> survey reveals the reasons why employers make the choices they do </w:t>
      </w:r>
      <w:r w:rsidR="00640656" w:rsidRPr="00EF5A5F">
        <w:t xml:space="preserve">to meet </w:t>
      </w:r>
      <w:r w:rsidRPr="00EF5A5F">
        <w:t>their skill needs</w:t>
      </w:r>
      <w:r w:rsidR="00640656" w:rsidRPr="00EF5A5F">
        <w:t>,</w:t>
      </w:r>
      <w:r w:rsidRPr="00EF5A5F">
        <w:t xml:space="preserve"> and their levels of satisfaction with the products and services of the VET system. The </w:t>
      </w:r>
      <w:r w:rsidR="00B460BE" w:rsidRPr="00EF5A5F">
        <w:t xml:space="preserve">findings </w:t>
      </w:r>
      <w:r w:rsidRPr="00EF5A5F">
        <w:t>represent the responses of all employers with at least one employee and their training exp</w:t>
      </w:r>
      <w:r w:rsidR="001E2A7F" w:rsidRPr="00EF5A5F">
        <w:t>eriences in the 12 </w:t>
      </w:r>
      <w:r w:rsidRPr="00EF5A5F">
        <w:t xml:space="preserve">months prior to the survey. </w:t>
      </w:r>
    </w:p>
    <w:p w:rsidR="004A6BA4" w:rsidRPr="00EF5A5F" w:rsidRDefault="004A6BA4" w:rsidP="00DE03C8">
      <w:pPr>
        <w:pStyle w:val="Heading5"/>
      </w:pPr>
      <w:r w:rsidRPr="00EF5A5F">
        <w:lastRenderedPageBreak/>
        <w:t>Employer engagement with VET</w:t>
      </w:r>
    </w:p>
    <w:p w:rsidR="00C57336" w:rsidRDefault="00EA074C" w:rsidP="00C57336">
      <w:pPr>
        <w:pStyle w:val="BodyText"/>
      </w:pPr>
      <w:r w:rsidRPr="00EF5A5F">
        <w:t xml:space="preserve">‘Employer engagement with VET’ is an indicator of governments’ objective that </w:t>
      </w:r>
      <w:r w:rsidR="00AF0E3B">
        <w:t xml:space="preserve">the needs of </w:t>
      </w:r>
      <w:r w:rsidRPr="00EF5A5F">
        <w:t xml:space="preserve">employers and individuals will be </w:t>
      </w:r>
      <w:r w:rsidR="00AF0E3B">
        <w:t>the focus</w:t>
      </w:r>
      <w:r w:rsidRPr="00EF5A5F">
        <w:t xml:space="preserve"> of VET </w:t>
      </w:r>
      <w:r w:rsidR="00C57336" w:rsidRPr="00EF5A5F">
        <w:t>(box</w:t>
      </w:r>
      <w:r w:rsidR="00762441" w:rsidRPr="00EF5A5F">
        <w:t> </w:t>
      </w:r>
      <w:r w:rsidR="00442BBD">
        <w:t>5.1</w:t>
      </w:r>
      <w:r w:rsidR="00B2569E">
        <w:t>7</w:t>
      </w:r>
      <w:r w:rsidR="00C57336" w:rsidRPr="00EF5A5F">
        <w:t>).</w:t>
      </w:r>
    </w:p>
    <w:p w:rsidR="002C60B2" w:rsidRDefault="002C60B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C60B2" w:rsidTr="00804C04">
        <w:tc>
          <w:tcPr>
            <w:tcW w:w="8771" w:type="dxa"/>
            <w:tcBorders>
              <w:top w:val="single" w:sz="6" w:space="0" w:color="78A22F"/>
              <w:left w:val="nil"/>
              <w:bottom w:val="nil"/>
              <w:right w:val="nil"/>
            </w:tcBorders>
            <w:shd w:val="clear" w:color="auto" w:fill="F2F2F2" w:themeFill="background1" w:themeFillShade="F2"/>
          </w:tcPr>
          <w:p w:rsidR="002C60B2" w:rsidRDefault="002C60B2" w:rsidP="002C60B2">
            <w:pPr>
              <w:pStyle w:val="BoxTitle"/>
            </w:pPr>
            <w:r>
              <w:rPr>
                <w:b w:val="0"/>
              </w:rPr>
              <w:t>Box 5.</w:t>
            </w:r>
            <w:r w:rsidR="00D80B1E">
              <w:rPr>
                <w:b w:val="0"/>
                <w:noProof/>
              </w:rPr>
              <w:t>17</w:t>
            </w:r>
            <w:r>
              <w:tab/>
            </w:r>
            <w:r w:rsidRPr="00EF5A5F">
              <w:t>Employer engagement with VET</w:t>
            </w:r>
          </w:p>
        </w:tc>
      </w:tr>
      <w:tr w:rsidR="002C60B2" w:rsidTr="00804C04">
        <w:trPr>
          <w:cantSplit/>
        </w:trPr>
        <w:tc>
          <w:tcPr>
            <w:tcW w:w="8771" w:type="dxa"/>
            <w:tcBorders>
              <w:top w:val="nil"/>
              <w:left w:val="nil"/>
              <w:bottom w:val="nil"/>
              <w:right w:val="nil"/>
            </w:tcBorders>
            <w:shd w:val="clear" w:color="auto" w:fill="F2F2F2" w:themeFill="background1" w:themeFillShade="F2"/>
          </w:tcPr>
          <w:p w:rsidR="002C60B2" w:rsidRPr="00EF5A5F" w:rsidRDefault="002C60B2" w:rsidP="00804C04">
            <w:pPr>
              <w:pStyle w:val="Box"/>
            </w:pPr>
            <w:r w:rsidRPr="00EF5A5F">
              <w:t>‘Employer engagement with VET’ is defined as the proportion of Australian employers who in the last twelve months:</w:t>
            </w:r>
          </w:p>
          <w:p w:rsidR="002C60B2" w:rsidRPr="00EF5A5F" w:rsidRDefault="002C60B2" w:rsidP="00804C04">
            <w:pPr>
              <w:pStyle w:val="BoxListBullet"/>
            </w:pPr>
            <w:r w:rsidRPr="00EF5A5F">
              <w:t>had employees undertaking apprenticeships/traineeships</w:t>
            </w:r>
            <w:r>
              <w:t>, or</w:t>
            </w:r>
          </w:p>
          <w:p w:rsidR="002C60B2" w:rsidRPr="00EF5A5F" w:rsidRDefault="002C60B2" w:rsidP="00804C04">
            <w:pPr>
              <w:pStyle w:val="BoxListBullet"/>
            </w:pPr>
            <w:r w:rsidRPr="00EF5A5F">
              <w:t>arranged or provided nationally recognised training (other than apprenticeships /traineeships) for employees</w:t>
            </w:r>
            <w:r>
              <w:t>, or</w:t>
            </w:r>
          </w:p>
          <w:p w:rsidR="002C60B2" w:rsidRPr="00EF5A5F" w:rsidRDefault="002C60B2" w:rsidP="00804C04">
            <w:pPr>
              <w:pStyle w:val="BoxListBullet"/>
            </w:pPr>
            <w:r w:rsidRPr="00EF5A5F">
              <w:t>had employees with formal vocational qualifications</w:t>
            </w:r>
            <w:r>
              <w:t xml:space="preserve"> as a requirement of their job.</w:t>
            </w:r>
          </w:p>
          <w:p w:rsidR="002C60B2" w:rsidRPr="00EF5A5F" w:rsidRDefault="002C60B2" w:rsidP="00804C04">
            <w:pPr>
              <w:pStyle w:val="Box"/>
            </w:pPr>
            <w:r w:rsidRPr="00EF5A5F">
              <w:t>A high or increasing proportion of employers who had employees undertaking apprenticeships/traineeships, who arranged or provided nationally recognised training (other than apprenticeships/traineeships) for employees or who had employees with</w:t>
            </w:r>
            <w:r>
              <w:t xml:space="preserve"> a</w:t>
            </w:r>
            <w:r w:rsidRPr="00EF5A5F">
              <w:t xml:space="preserve"> formal vocational qualification as a requirement of their job is desirable, indicating greater employer engagement with VET.</w:t>
            </w:r>
          </w:p>
          <w:p w:rsidR="002C60B2" w:rsidRDefault="002C60B2" w:rsidP="00804C04">
            <w:pPr>
              <w:pStyle w:val="Box"/>
            </w:pPr>
            <w:r>
              <w:t xml:space="preserve">Data reported for this measure are </w:t>
            </w:r>
          </w:p>
          <w:p w:rsidR="002C60B2" w:rsidRDefault="002C60B2" w:rsidP="00804C04">
            <w:pPr>
              <w:pStyle w:val="BoxListBullet"/>
            </w:pPr>
            <w:r>
              <w:t>comparable (subject to caveats) across jurisdictions and over time</w:t>
            </w:r>
          </w:p>
          <w:p w:rsidR="002C60B2" w:rsidRDefault="002C60B2" w:rsidP="00804C04">
            <w:pPr>
              <w:pStyle w:val="BoxListBullet"/>
            </w:pPr>
            <w:r>
              <w:t>complete for the current reporting period (subject to caveats). All required 201</w:t>
            </w:r>
            <w:r w:rsidR="00E77AE1">
              <w:t>3</w:t>
            </w:r>
            <w:r>
              <w:t xml:space="preserve"> data are available for all jurisdictions providing the service.</w:t>
            </w:r>
          </w:p>
          <w:p w:rsidR="002C60B2" w:rsidRPr="00EF5A5F" w:rsidRDefault="002C60B2" w:rsidP="00E77AE1">
            <w:pPr>
              <w:pStyle w:val="Box"/>
            </w:pPr>
            <w:r w:rsidRPr="00EF5A5F">
              <w:t>Data quality information for this indicator</w:t>
            </w:r>
            <w:r w:rsidR="006E0D24">
              <w:t xml:space="preserve"> is at www.pc.gov.au</w:t>
            </w:r>
            <w:r w:rsidRPr="00EF5A5F">
              <w:t>/</w:t>
            </w:r>
            <w:proofErr w:type="spellStart"/>
            <w:r w:rsidRPr="00EF5A5F">
              <w:t>rogs</w:t>
            </w:r>
            <w:proofErr w:type="spellEnd"/>
            <w:r w:rsidRPr="00EF5A5F">
              <w:t>/</w:t>
            </w:r>
            <w:r>
              <w:t>201</w:t>
            </w:r>
            <w:r w:rsidR="00E77AE1">
              <w:t>5</w:t>
            </w:r>
            <w:r w:rsidRPr="00EF5A5F">
              <w:t>.</w:t>
            </w:r>
          </w:p>
        </w:tc>
      </w:tr>
      <w:tr w:rsidR="002C60B2" w:rsidTr="00804C04">
        <w:trPr>
          <w:cantSplit/>
        </w:trPr>
        <w:tc>
          <w:tcPr>
            <w:tcW w:w="8771" w:type="dxa"/>
            <w:tcBorders>
              <w:top w:val="nil"/>
              <w:left w:val="nil"/>
              <w:bottom w:val="single" w:sz="6" w:space="0" w:color="78A22F"/>
              <w:right w:val="nil"/>
            </w:tcBorders>
            <w:shd w:val="clear" w:color="auto" w:fill="F2F2F2" w:themeFill="background1" w:themeFillShade="F2"/>
          </w:tcPr>
          <w:p w:rsidR="002C60B2" w:rsidRDefault="002C60B2">
            <w:pPr>
              <w:pStyle w:val="Box"/>
              <w:spacing w:before="0" w:line="120" w:lineRule="exact"/>
            </w:pPr>
          </w:p>
        </w:tc>
      </w:tr>
      <w:tr w:rsidR="002C60B2" w:rsidRPr="000863A5" w:rsidTr="00804C04">
        <w:tc>
          <w:tcPr>
            <w:tcW w:w="8771" w:type="dxa"/>
            <w:tcBorders>
              <w:top w:val="single" w:sz="6" w:space="0" w:color="78A22F"/>
              <w:left w:val="nil"/>
              <w:bottom w:val="nil"/>
              <w:right w:val="nil"/>
            </w:tcBorders>
          </w:tcPr>
          <w:p w:rsidR="002C60B2" w:rsidRPr="00626D32" w:rsidRDefault="002C60B2" w:rsidP="00804C04">
            <w:pPr>
              <w:pStyle w:val="BoxSpaceBelow"/>
            </w:pPr>
          </w:p>
        </w:tc>
      </w:tr>
    </w:tbl>
    <w:p w:rsidR="00B745C2" w:rsidRPr="00EF5A5F" w:rsidRDefault="00B745C2" w:rsidP="00B745C2">
      <w:pPr>
        <w:pStyle w:val="BodyText"/>
      </w:pPr>
      <w:r w:rsidRPr="00EF5A5F">
        <w:t xml:space="preserve">Nationally in </w:t>
      </w:r>
      <w:r w:rsidR="006C0F99">
        <w:t>201</w:t>
      </w:r>
      <w:r w:rsidR="00E77AE1">
        <w:t>3</w:t>
      </w:r>
      <w:r w:rsidRPr="00EF5A5F">
        <w:t>:</w:t>
      </w:r>
    </w:p>
    <w:p w:rsidR="00C57336" w:rsidRPr="00EF5A5F" w:rsidRDefault="00AC1283" w:rsidP="00A26D57">
      <w:pPr>
        <w:pStyle w:val="ListBullet"/>
      </w:pPr>
      <w:r>
        <w:t>26.9</w:t>
      </w:r>
      <w:r w:rsidR="001812D4">
        <w:t xml:space="preserve"> </w:t>
      </w:r>
      <w:r w:rsidR="00B779C6" w:rsidRPr="00EF5A5F">
        <w:t>per</w:t>
      </w:r>
      <w:r w:rsidR="001812D4">
        <w:t xml:space="preserve"> </w:t>
      </w:r>
      <w:r w:rsidR="00B779C6" w:rsidRPr="00EF5A5F">
        <w:t xml:space="preserve">cent </w:t>
      </w:r>
      <w:r w:rsidR="00C57336" w:rsidRPr="00EF5A5F">
        <w:t xml:space="preserve">of employers </w:t>
      </w:r>
      <w:r w:rsidR="00B779C6">
        <w:t xml:space="preserve">reported that they </w:t>
      </w:r>
      <w:r w:rsidR="00F87522" w:rsidRPr="00EF5A5F">
        <w:t xml:space="preserve">were </w:t>
      </w:r>
      <w:r w:rsidR="00C57336" w:rsidRPr="00EF5A5F">
        <w:t xml:space="preserve">engaged with apprenticeships or traineeships in the </w:t>
      </w:r>
      <w:r w:rsidR="00F87522" w:rsidRPr="00EF5A5F">
        <w:t>last</w:t>
      </w:r>
      <w:r w:rsidR="00C57336" w:rsidRPr="00EF5A5F">
        <w:t xml:space="preserve"> </w:t>
      </w:r>
      <w:r w:rsidR="00F87522" w:rsidRPr="00EF5A5F">
        <w:t xml:space="preserve">twelve </w:t>
      </w:r>
      <w:r w:rsidR="00C57336" w:rsidRPr="00EF5A5F">
        <w:t>months</w:t>
      </w:r>
      <w:r w:rsidR="00965643">
        <w:t>, a decrease of 3.5 percentage points from 2011</w:t>
      </w:r>
      <w:r w:rsidR="00F87522" w:rsidRPr="00EF5A5F">
        <w:t xml:space="preserve"> </w:t>
      </w:r>
      <w:r w:rsidR="00C57336" w:rsidRPr="00EF5A5F">
        <w:t>(figure</w:t>
      </w:r>
      <w:r w:rsidR="001812D4">
        <w:t xml:space="preserve"> </w:t>
      </w:r>
      <w:r w:rsidR="00606C29">
        <w:t>5.5</w:t>
      </w:r>
      <w:r w:rsidR="0020762A">
        <w:t>0</w:t>
      </w:r>
      <w:r w:rsidR="00965643">
        <w:t xml:space="preserve"> and table </w:t>
      </w:r>
      <w:proofErr w:type="spellStart"/>
      <w:r w:rsidR="00965643">
        <w:t>5A.91</w:t>
      </w:r>
      <w:proofErr w:type="spellEnd"/>
      <w:r w:rsidR="00C57336" w:rsidRPr="00EF5A5F">
        <w:t>). Th</w:t>
      </w:r>
      <w:r w:rsidR="00047F11" w:rsidRPr="00EF5A5F">
        <w:t>is varied by industry</w:t>
      </w:r>
      <w:r w:rsidR="001E2A7F" w:rsidRPr="00EF5A5F">
        <w:t>,</w:t>
      </w:r>
      <w:r w:rsidR="00047F11" w:rsidRPr="00EF5A5F">
        <w:t xml:space="preserve"> from </w:t>
      </w:r>
      <w:r w:rsidR="00965643">
        <w:t>9.2</w:t>
      </w:r>
      <w:r w:rsidR="001812D4">
        <w:t xml:space="preserve"> </w:t>
      </w:r>
      <w:r w:rsidR="00C57336" w:rsidRPr="00EF5A5F">
        <w:t>per</w:t>
      </w:r>
      <w:r w:rsidR="001812D4">
        <w:t xml:space="preserve"> </w:t>
      </w:r>
      <w:r w:rsidR="00C57336" w:rsidRPr="00EF5A5F">
        <w:t xml:space="preserve">cent in </w:t>
      </w:r>
      <w:r w:rsidR="00965643">
        <w:t xml:space="preserve">electricity, gas, water and waste services, </w:t>
      </w:r>
      <w:r w:rsidR="00C57336" w:rsidRPr="00EF5A5F">
        <w:t xml:space="preserve">to </w:t>
      </w:r>
      <w:r w:rsidR="00461DA8" w:rsidRPr="00A26D57">
        <w:t>55.4</w:t>
      </w:r>
      <w:r w:rsidR="001812D4">
        <w:t xml:space="preserve"> </w:t>
      </w:r>
      <w:r w:rsidR="00C57336" w:rsidRPr="00EF5A5F">
        <w:t>per</w:t>
      </w:r>
      <w:r w:rsidR="004D51FB" w:rsidRPr="00EF5A5F">
        <w:t> </w:t>
      </w:r>
      <w:r w:rsidR="00C57336" w:rsidRPr="00EF5A5F">
        <w:t xml:space="preserve">cent in </w:t>
      </w:r>
      <w:r w:rsidR="00B06794" w:rsidRPr="00EF5A5F">
        <w:t>construction</w:t>
      </w:r>
      <w:r w:rsidR="00A76CE1" w:rsidRPr="00EF5A5F">
        <w:t xml:space="preserve"> (</w:t>
      </w:r>
      <w:r w:rsidR="00C85933" w:rsidRPr="00EF5A5F">
        <w:t xml:space="preserve">NCVER </w:t>
      </w:r>
      <w:r w:rsidR="006C0F99">
        <w:t>201</w:t>
      </w:r>
      <w:r w:rsidR="00E77AE1">
        <w:t>3</w:t>
      </w:r>
      <w:r w:rsidR="00B779C6">
        <w:t>)</w:t>
      </w:r>
    </w:p>
    <w:p w:rsidR="00C57336" w:rsidRPr="00EF5A5F" w:rsidRDefault="00965643" w:rsidP="00B779C6">
      <w:pPr>
        <w:pStyle w:val="ListBullet"/>
      </w:pPr>
      <w:r>
        <w:t>20.0</w:t>
      </w:r>
      <w:r w:rsidR="001812D4">
        <w:t xml:space="preserve"> </w:t>
      </w:r>
      <w:r w:rsidR="00B779C6" w:rsidRPr="00EF5A5F">
        <w:t>per</w:t>
      </w:r>
      <w:r w:rsidR="001812D4">
        <w:t xml:space="preserve"> </w:t>
      </w:r>
      <w:r w:rsidR="00B779C6" w:rsidRPr="00EF5A5F">
        <w:t xml:space="preserve">cent </w:t>
      </w:r>
      <w:r w:rsidR="00C57336" w:rsidRPr="00EF5A5F">
        <w:t xml:space="preserve">of employers </w:t>
      </w:r>
      <w:r w:rsidR="00B779C6">
        <w:t xml:space="preserve">reported that they </w:t>
      </w:r>
      <w:r w:rsidR="00B779C6" w:rsidRPr="00EF5A5F">
        <w:t xml:space="preserve">were </w:t>
      </w:r>
      <w:r w:rsidR="00C57336" w:rsidRPr="00EF5A5F">
        <w:t>engaged with nationally recognised training</w:t>
      </w:r>
      <w:r w:rsidR="004D51FB" w:rsidRPr="00EF5A5F">
        <w:t xml:space="preserve"> in the </w:t>
      </w:r>
      <w:r w:rsidR="00F87522" w:rsidRPr="00EF5A5F">
        <w:t>last twelve</w:t>
      </w:r>
      <w:r w:rsidR="004D51FB" w:rsidRPr="00EF5A5F">
        <w:t xml:space="preserve"> months</w:t>
      </w:r>
      <w:r>
        <w:t>, a decrease of 3.7 percentage points from 2011</w:t>
      </w:r>
      <w:r w:rsidRPr="00EF5A5F">
        <w:t xml:space="preserve"> </w:t>
      </w:r>
      <w:r w:rsidR="004D51FB" w:rsidRPr="00EF5A5F">
        <w:t>(figure</w:t>
      </w:r>
      <w:r w:rsidR="001812D4">
        <w:t xml:space="preserve"> </w:t>
      </w:r>
      <w:r w:rsidR="00606C29">
        <w:t>5.5</w:t>
      </w:r>
      <w:r w:rsidR="00B2569E">
        <w:t>2</w:t>
      </w:r>
      <w:r>
        <w:t xml:space="preserve"> and table </w:t>
      </w:r>
      <w:proofErr w:type="spellStart"/>
      <w:r>
        <w:t>5A.91</w:t>
      </w:r>
      <w:proofErr w:type="spellEnd"/>
      <w:r w:rsidR="00C57336" w:rsidRPr="00EF5A5F">
        <w:t>). Engagement with nationally recognised training varie</w:t>
      </w:r>
      <w:r w:rsidR="001E2A7F" w:rsidRPr="00EF5A5F">
        <w:t>d</w:t>
      </w:r>
      <w:r w:rsidR="004D51FB" w:rsidRPr="00EF5A5F">
        <w:t xml:space="preserve"> by industry from</w:t>
      </w:r>
      <w:r>
        <w:t xml:space="preserve"> 13.6</w:t>
      </w:r>
      <w:r w:rsidR="001812D4">
        <w:t xml:space="preserve"> </w:t>
      </w:r>
      <w:r w:rsidR="00C459C9" w:rsidRPr="00EF5A5F">
        <w:t>per</w:t>
      </w:r>
      <w:r w:rsidR="001812D4">
        <w:t xml:space="preserve"> </w:t>
      </w:r>
      <w:r w:rsidR="00C459C9" w:rsidRPr="00EF5A5F">
        <w:t xml:space="preserve">cent in </w:t>
      </w:r>
      <w:r>
        <w:t>retail trade</w:t>
      </w:r>
      <w:r w:rsidR="00C459C9" w:rsidRPr="00EF5A5F">
        <w:t xml:space="preserve">, to </w:t>
      </w:r>
      <w:r>
        <w:t>59.9</w:t>
      </w:r>
      <w:r w:rsidR="001812D4">
        <w:t xml:space="preserve"> </w:t>
      </w:r>
      <w:r w:rsidR="00C57336" w:rsidRPr="00EF5A5F">
        <w:t>per</w:t>
      </w:r>
      <w:r w:rsidR="001812D4">
        <w:t xml:space="preserve"> </w:t>
      </w:r>
      <w:r w:rsidR="004D51FB" w:rsidRPr="00EF5A5F">
        <w:t xml:space="preserve">cent in </w:t>
      </w:r>
      <w:r>
        <w:t>public administration and safety</w:t>
      </w:r>
      <w:r w:rsidR="00C459C9" w:rsidRPr="00EF5A5F">
        <w:t xml:space="preserve"> </w:t>
      </w:r>
      <w:r w:rsidR="00C57336" w:rsidRPr="00EF5A5F">
        <w:t>(NCVER</w:t>
      </w:r>
      <w:r w:rsidR="001812D4">
        <w:t xml:space="preserve"> </w:t>
      </w:r>
      <w:r w:rsidR="006C0F99">
        <w:t>201</w:t>
      </w:r>
      <w:r w:rsidR="00E77AE1">
        <w:t>3</w:t>
      </w:r>
      <w:r w:rsidR="00B779C6">
        <w:t>)</w:t>
      </w:r>
    </w:p>
    <w:p w:rsidR="00C57336" w:rsidRDefault="00965643" w:rsidP="00B779C6">
      <w:pPr>
        <w:pStyle w:val="ListBullet"/>
      </w:pPr>
      <w:r>
        <w:t>33.3 per </w:t>
      </w:r>
      <w:r w:rsidR="00B779C6" w:rsidRPr="00EF5A5F">
        <w:t xml:space="preserve">cent </w:t>
      </w:r>
      <w:r w:rsidR="00C57336" w:rsidRPr="00EF5A5F">
        <w:t xml:space="preserve">of employers </w:t>
      </w:r>
      <w:r w:rsidR="00B779C6">
        <w:t xml:space="preserve">reported that they </w:t>
      </w:r>
      <w:r w:rsidR="00B779C6" w:rsidRPr="00EF5A5F">
        <w:t xml:space="preserve">were </w:t>
      </w:r>
      <w:r w:rsidR="00C57336" w:rsidRPr="00EF5A5F">
        <w:t>engaged with employing people with a formal vocational qualification as a job requirement</w:t>
      </w:r>
      <w:r w:rsidR="004D51FB" w:rsidRPr="00EF5A5F">
        <w:t xml:space="preserve"> in the last </w:t>
      </w:r>
      <w:r w:rsidR="00F87522" w:rsidRPr="00EF5A5F">
        <w:t xml:space="preserve">twelve </w:t>
      </w:r>
      <w:r w:rsidR="004D51FB" w:rsidRPr="00EF5A5F">
        <w:t>months</w:t>
      </w:r>
      <w:r>
        <w:t>, a decrease of 3.1 percentage points from 2011</w:t>
      </w:r>
      <w:r w:rsidRPr="00EF5A5F">
        <w:t xml:space="preserve"> </w:t>
      </w:r>
      <w:r w:rsidR="00C57336" w:rsidRPr="00EF5A5F">
        <w:t xml:space="preserve">(figure </w:t>
      </w:r>
      <w:r w:rsidR="00606C29">
        <w:t>5.5</w:t>
      </w:r>
      <w:r w:rsidR="00B2569E">
        <w:t>2</w:t>
      </w:r>
      <w:r w:rsidR="0069218F">
        <w:t xml:space="preserve"> and table </w:t>
      </w:r>
      <w:proofErr w:type="spellStart"/>
      <w:r w:rsidR="0069218F">
        <w:t>5A.91</w:t>
      </w:r>
      <w:proofErr w:type="spellEnd"/>
      <w:r w:rsidR="00C57336" w:rsidRPr="00EF5A5F">
        <w:t xml:space="preserve">). Employers </w:t>
      </w:r>
      <w:r w:rsidR="001E2A7F" w:rsidRPr="00EF5A5F">
        <w:t>with</w:t>
      </w:r>
      <w:r w:rsidR="00C57336" w:rsidRPr="00EF5A5F">
        <w:t xml:space="preserve"> vocational qualifications as a job requirement varie</w:t>
      </w:r>
      <w:r w:rsidR="001E2A7F" w:rsidRPr="00EF5A5F">
        <w:t>d</w:t>
      </w:r>
      <w:r w:rsidR="004D51FB" w:rsidRPr="00EF5A5F">
        <w:t xml:space="preserve"> from</w:t>
      </w:r>
      <w:r w:rsidR="0069218F">
        <w:t xml:space="preserve"> 11.9 </w:t>
      </w:r>
      <w:r w:rsidR="00C57336" w:rsidRPr="00EF5A5F">
        <w:t>per</w:t>
      </w:r>
      <w:r w:rsidR="004D51FB" w:rsidRPr="00EF5A5F">
        <w:t> </w:t>
      </w:r>
      <w:r w:rsidR="00C57336" w:rsidRPr="00EF5A5F">
        <w:t xml:space="preserve">cent in </w:t>
      </w:r>
      <w:r w:rsidR="00C459C9" w:rsidRPr="00EF5A5F">
        <w:t xml:space="preserve">agriculture, forestry and fishing, </w:t>
      </w:r>
      <w:r w:rsidR="004D51FB" w:rsidRPr="00EF5A5F">
        <w:t xml:space="preserve">to </w:t>
      </w:r>
      <w:r w:rsidR="0069218F">
        <w:t xml:space="preserve">61.2 </w:t>
      </w:r>
      <w:r w:rsidR="00C57336" w:rsidRPr="00EF5A5F">
        <w:t>per</w:t>
      </w:r>
      <w:r w:rsidR="0069218F">
        <w:t xml:space="preserve"> </w:t>
      </w:r>
      <w:r w:rsidR="00C57336" w:rsidRPr="00EF5A5F">
        <w:t xml:space="preserve">cent in </w:t>
      </w:r>
      <w:r w:rsidR="00C459C9" w:rsidRPr="00EF5A5F">
        <w:t xml:space="preserve">education and training </w:t>
      </w:r>
      <w:r w:rsidR="006F6DDD" w:rsidRPr="00EF5A5F">
        <w:t>(</w:t>
      </w:r>
      <w:r w:rsidR="0069218F">
        <w:t>NCVER </w:t>
      </w:r>
      <w:r w:rsidR="006C0F99">
        <w:t>201</w:t>
      </w:r>
      <w:r w:rsidR="00E77AE1">
        <w:t>3</w:t>
      </w:r>
      <w:r w:rsidR="00C57336" w:rsidRPr="00EF5A5F">
        <w:t>).</w:t>
      </w:r>
    </w:p>
    <w:p w:rsidR="002C60B2" w:rsidRDefault="002C60B2" w:rsidP="00804C0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C60B2" w:rsidTr="00804C04">
        <w:tc>
          <w:tcPr>
            <w:tcW w:w="8771" w:type="dxa"/>
            <w:tcBorders>
              <w:top w:val="single" w:sz="6" w:space="0" w:color="78A22F"/>
              <w:left w:val="nil"/>
              <w:bottom w:val="nil"/>
              <w:right w:val="nil"/>
            </w:tcBorders>
            <w:shd w:val="clear" w:color="auto" w:fill="auto"/>
          </w:tcPr>
          <w:p w:rsidR="002C60B2" w:rsidRPr="00176D3F" w:rsidRDefault="002C60B2" w:rsidP="00E77AE1">
            <w:pPr>
              <w:pStyle w:val="FigureTitle"/>
            </w:pPr>
            <w:r w:rsidRPr="00784A05">
              <w:rPr>
                <w:b w:val="0"/>
              </w:rPr>
              <w:t xml:space="preserve">Figure </w:t>
            </w:r>
            <w:r>
              <w:rPr>
                <w:b w:val="0"/>
              </w:rPr>
              <w:t>5.</w:t>
            </w:r>
            <w:r w:rsidR="00D80B1E">
              <w:rPr>
                <w:b w:val="0"/>
                <w:noProof/>
              </w:rPr>
              <w:t>52</w:t>
            </w:r>
            <w:r>
              <w:tab/>
            </w:r>
            <w:r w:rsidRPr="00EF5A5F">
              <w:t xml:space="preserve">Proportion of employers who are engaged with aspects of the VET system, </w:t>
            </w:r>
            <w:r>
              <w:t>201</w:t>
            </w:r>
            <w:r w:rsidR="00E77AE1">
              <w:t>3</w:t>
            </w:r>
            <w:r w:rsidRPr="00EF5A5F">
              <w:rPr>
                <w:rStyle w:val="NoteLabel"/>
                <w:b/>
              </w:rPr>
              <w:t>a, b, c, d</w:t>
            </w:r>
          </w:p>
        </w:tc>
      </w:tr>
      <w:tr w:rsidR="002C60B2" w:rsidTr="00804C04">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2C60B2" w:rsidTr="002C60B2">
              <w:tc>
                <w:tcPr>
                  <w:tcW w:w="5000" w:type="pct"/>
                  <w:tcBorders>
                    <w:top w:val="nil"/>
                    <w:bottom w:val="nil"/>
                  </w:tcBorders>
                </w:tcPr>
                <w:p w:rsidR="002C60B2" w:rsidRDefault="003004EB" w:rsidP="00804C04">
                  <w:pPr>
                    <w:pStyle w:val="Figure"/>
                    <w:spacing w:before="60" w:after="60"/>
                  </w:pPr>
                  <w:r>
                    <w:rPr>
                      <w:noProof/>
                    </w:rPr>
                    <w:drawing>
                      <wp:inline distT="0" distB="0" distL="0" distR="0">
                        <wp:extent cx="5391150" cy="2714625"/>
                        <wp:effectExtent l="0" t="0" r="0" b="9525"/>
                        <wp:docPr id="66" name="Picture 66" descr="Figure 5.52 Proportion of employers who are engaged with aspects of the VET system,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5391150" cy="2714625"/>
                                </a:xfrm>
                                <a:prstGeom prst="rect">
                                  <a:avLst/>
                                </a:prstGeom>
                                <a:noFill/>
                                <a:ln>
                                  <a:noFill/>
                                </a:ln>
                              </pic:spPr>
                            </pic:pic>
                          </a:graphicData>
                        </a:graphic>
                      </wp:inline>
                    </w:drawing>
                  </w:r>
                </w:p>
              </w:tc>
            </w:tr>
          </w:tbl>
          <w:p w:rsidR="002C60B2" w:rsidRDefault="002C60B2" w:rsidP="00804C04">
            <w:pPr>
              <w:pStyle w:val="Figure"/>
            </w:pPr>
          </w:p>
        </w:tc>
      </w:tr>
      <w:tr w:rsidR="002C60B2" w:rsidRPr="00176D3F" w:rsidTr="00804C04">
        <w:tc>
          <w:tcPr>
            <w:tcW w:w="8771" w:type="dxa"/>
            <w:tcBorders>
              <w:top w:val="nil"/>
              <w:left w:val="nil"/>
              <w:bottom w:val="nil"/>
              <w:right w:val="nil"/>
            </w:tcBorders>
            <w:shd w:val="clear" w:color="auto" w:fill="auto"/>
          </w:tcPr>
          <w:p w:rsidR="002C60B2" w:rsidRPr="00176D3F" w:rsidRDefault="002C60B2" w:rsidP="00804C04">
            <w:pPr>
              <w:pStyle w:val="Note"/>
            </w:pPr>
            <w:proofErr w:type="spellStart"/>
            <w:r w:rsidRPr="00EF5A5F">
              <w:rPr>
                <w:rStyle w:val="NoteLabel"/>
              </w:rPr>
              <w:t>a</w:t>
            </w:r>
            <w:proofErr w:type="spellEnd"/>
            <w:r w:rsidRPr="00EF5A5F">
              <w:t xml:space="preserve"> Engagement with apprenticeships/traineeships means an employer had employees undertaking an apprenticeship or traineeship in the last 12 months. </w:t>
            </w:r>
            <w:r w:rsidRPr="00EF5A5F">
              <w:rPr>
                <w:rStyle w:val="NoteLabel"/>
              </w:rPr>
              <w:t>b</w:t>
            </w:r>
            <w:r w:rsidRPr="00EF5A5F">
              <w:t xml:space="preserve"> Engagement with nationally recognised training means an employer arranged or provided nationally recognised training to employees over the last 12 months. </w:t>
            </w:r>
            <w:r w:rsidRPr="00EF5A5F">
              <w:rPr>
                <w:rStyle w:val="NoteLabel"/>
              </w:rPr>
              <w:t>c</w:t>
            </w:r>
            <w:r w:rsidRPr="00EF5A5F">
              <w:t xml:space="preserve"> Engagement with formal vocational qualifications means an employer had employees in the last 12 months with a formal vocational qualification that was a requirement of their job. </w:t>
            </w:r>
            <w:r w:rsidRPr="00EF5A5F">
              <w:rPr>
                <w:rStyle w:val="NoteLabel"/>
              </w:rPr>
              <w:t>d</w:t>
            </w:r>
            <w:r w:rsidRPr="00EF5A5F">
              <w:t xml:space="preserve"> </w:t>
            </w:r>
            <w:r>
              <w:t>E</w:t>
            </w:r>
            <w:r w:rsidRPr="00171E10">
              <w:t>rror bars represent the 95 per cent confidence interval associated with each point estimate.</w:t>
            </w:r>
          </w:p>
        </w:tc>
      </w:tr>
      <w:tr w:rsidR="002C60B2" w:rsidRPr="00176D3F" w:rsidTr="00804C04">
        <w:tc>
          <w:tcPr>
            <w:tcW w:w="8771" w:type="dxa"/>
            <w:tcBorders>
              <w:top w:val="nil"/>
              <w:left w:val="nil"/>
              <w:bottom w:val="nil"/>
              <w:right w:val="nil"/>
            </w:tcBorders>
            <w:shd w:val="clear" w:color="auto" w:fill="auto"/>
          </w:tcPr>
          <w:p w:rsidR="002C60B2" w:rsidRPr="00176D3F" w:rsidRDefault="002C60B2" w:rsidP="00AC1283">
            <w:pPr>
              <w:pStyle w:val="Source"/>
            </w:pPr>
            <w:r w:rsidRPr="00EF5A5F">
              <w:rPr>
                <w:i/>
              </w:rPr>
              <w:t>Source</w:t>
            </w:r>
            <w:r w:rsidRPr="00EF5A5F">
              <w:t xml:space="preserve">: NCVER (unpublished) </w:t>
            </w:r>
            <w:r w:rsidRPr="00EF5A5F">
              <w:rPr>
                <w:i/>
              </w:rPr>
              <w:t>Survey of Employers’ Use and Views of the VET System</w:t>
            </w:r>
            <w:r w:rsidRPr="00EF5A5F">
              <w:t xml:space="preserve">; table </w:t>
            </w:r>
            <w:proofErr w:type="spellStart"/>
            <w:r w:rsidRPr="00EF5A5F">
              <w:t>5A.</w:t>
            </w:r>
            <w:r w:rsidR="00915131">
              <w:t>9</w:t>
            </w:r>
            <w:r w:rsidR="00AC1283">
              <w:t>1</w:t>
            </w:r>
            <w:proofErr w:type="spellEnd"/>
            <w:r w:rsidRPr="00EF5A5F">
              <w:t>.</w:t>
            </w:r>
          </w:p>
        </w:tc>
      </w:tr>
      <w:tr w:rsidR="002C60B2" w:rsidTr="00804C04">
        <w:tc>
          <w:tcPr>
            <w:tcW w:w="8771" w:type="dxa"/>
            <w:tcBorders>
              <w:top w:val="nil"/>
              <w:left w:val="nil"/>
              <w:bottom w:val="single" w:sz="6" w:space="0" w:color="78A22F"/>
              <w:right w:val="nil"/>
            </w:tcBorders>
            <w:shd w:val="clear" w:color="auto" w:fill="auto"/>
          </w:tcPr>
          <w:p w:rsidR="002C60B2" w:rsidRDefault="002C60B2" w:rsidP="00804C04">
            <w:pPr>
              <w:pStyle w:val="Figurespace"/>
            </w:pPr>
          </w:p>
        </w:tc>
      </w:tr>
      <w:tr w:rsidR="002C60B2" w:rsidRPr="000863A5" w:rsidTr="00804C04">
        <w:tc>
          <w:tcPr>
            <w:tcW w:w="8771" w:type="dxa"/>
            <w:tcBorders>
              <w:top w:val="single" w:sz="6" w:space="0" w:color="78A22F"/>
              <w:left w:val="nil"/>
              <w:bottom w:val="nil"/>
              <w:right w:val="nil"/>
            </w:tcBorders>
          </w:tcPr>
          <w:p w:rsidR="002C60B2" w:rsidRPr="00626D32" w:rsidRDefault="002C60B2" w:rsidP="00804C04">
            <w:pPr>
              <w:pStyle w:val="BoxSpaceBelow"/>
            </w:pPr>
          </w:p>
        </w:tc>
      </w:tr>
    </w:tbl>
    <w:p w:rsidR="00E86671" w:rsidRDefault="00E86671" w:rsidP="00E86671">
      <w:pPr>
        <w:pStyle w:val="BodyText"/>
      </w:pPr>
      <w:r>
        <w:t xml:space="preserve">Table </w:t>
      </w:r>
      <w:proofErr w:type="spellStart"/>
      <w:r>
        <w:t>5A.</w:t>
      </w:r>
      <w:r w:rsidR="00915131">
        <w:t>9</w:t>
      </w:r>
      <w:r w:rsidR="00AC1283">
        <w:t>1</w:t>
      </w:r>
      <w:proofErr w:type="spellEnd"/>
      <w:r>
        <w:t xml:space="preserve"> provides additional historical information on employer engagement with VET from 2005</w:t>
      </w:r>
      <w:r w:rsidR="002834C9">
        <w:t xml:space="preserve"> to 201</w:t>
      </w:r>
      <w:r w:rsidR="00E77AE1">
        <w:t>3</w:t>
      </w:r>
      <w:r>
        <w:t>.</w:t>
      </w:r>
      <w:r w:rsidR="008E4B7F">
        <w:t xml:space="preserve"> Data for years prior to 2013 have been revised.</w:t>
      </w:r>
    </w:p>
    <w:p w:rsidR="004A6BA4" w:rsidRPr="00EF5A5F" w:rsidRDefault="004A6BA4" w:rsidP="000C4F11">
      <w:pPr>
        <w:pStyle w:val="Heading5"/>
        <w:spacing w:before="360"/>
      </w:pPr>
      <w:r w:rsidRPr="00EF5A5F">
        <w:t>Employer satisfaction with VET</w:t>
      </w:r>
    </w:p>
    <w:p w:rsidR="00C57336" w:rsidRDefault="000B28F2" w:rsidP="00C57336">
      <w:pPr>
        <w:pStyle w:val="BodyText"/>
      </w:pPr>
      <w:r w:rsidRPr="00EF5A5F">
        <w:t>‘Employer satisfaction with VET’ is an indicator of governments’ objective that industry will have a highly skilled workforce to support strong pe</w:t>
      </w:r>
      <w:r w:rsidR="00AC2902" w:rsidRPr="00EF5A5F">
        <w:t>rformance in the global economy</w:t>
      </w:r>
      <w:r w:rsidRPr="00EF5A5F">
        <w:t xml:space="preserve"> </w:t>
      </w:r>
      <w:r w:rsidR="00C57336" w:rsidRPr="00EF5A5F">
        <w:t>(box</w:t>
      </w:r>
      <w:r w:rsidR="00FB203B">
        <w:t xml:space="preserve"> </w:t>
      </w:r>
      <w:r w:rsidR="00442BBD">
        <w:t>5.1</w:t>
      </w:r>
      <w:r w:rsidR="00B2569E">
        <w:t>8</w:t>
      </w:r>
      <w:r w:rsidR="00C57336" w:rsidRPr="00EF5A5F">
        <w:t>).</w:t>
      </w:r>
    </w:p>
    <w:p w:rsidR="00E91C2A" w:rsidRPr="005E2807" w:rsidRDefault="00E91C2A" w:rsidP="00E91C2A">
      <w:pPr>
        <w:pStyle w:val="BodyText"/>
      </w:pPr>
      <w:r w:rsidRPr="00EF5A5F">
        <w:t xml:space="preserve">The </w:t>
      </w:r>
      <w:r w:rsidRPr="00106D66">
        <w:rPr>
          <w:i/>
        </w:rPr>
        <w:t>Survey of Employers’ Use and Views</w:t>
      </w:r>
      <w:r w:rsidRPr="00EF5A5F">
        <w:t xml:space="preserve"> includes employers</w:t>
      </w:r>
      <w:r>
        <w:t>’</w:t>
      </w:r>
      <w:r w:rsidRPr="00EF5A5F">
        <w:t xml:space="preserve"> satisfaction with ‘formal vocational qualifications as a job requirement’ where their employees in that category may have completed their required ‘formal vocational qualifications’ prior to the last 12 months (that is, earlier than the survey period), and irrespective of the timing, the training may have been provided by a non-VET provider. This presents a different scope to </w:t>
      </w:r>
      <w:r>
        <w:t xml:space="preserve">the rest of </w:t>
      </w:r>
      <w:r w:rsidRPr="00EF5A5F">
        <w:t xml:space="preserve">this Report, which aims to report </w:t>
      </w:r>
      <w:r w:rsidRPr="000C682B">
        <w:rPr>
          <w:shd w:val="clear" w:color="auto" w:fill="FFFFFF" w:themeFill="background1"/>
        </w:rPr>
        <w:t xml:space="preserve">data relating to government funded VET programs for specific reporting periods. </w:t>
      </w:r>
    </w:p>
    <w:p w:rsidR="00E91C2A" w:rsidRDefault="00E91C2A" w:rsidP="00C57336">
      <w:pPr>
        <w:pStyle w:val="BodyText"/>
      </w:pPr>
    </w:p>
    <w:p w:rsidR="00E77AE1" w:rsidRDefault="00E77AE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77AE1" w:rsidTr="000212AC">
        <w:tc>
          <w:tcPr>
            <w:tcW w:w="8771" w:type="dxa"/>
            <w:tcBorders>
              <w:top w:val="single" w:sz="6" w:space="0" w:color="78A22F"/>
              <w:left w:val="nil"/>
              <w:bottom w:val="nil"/>
              <w:right w:val="nil"/>
            </w:tcBorders>
            <w:shd w:val="clear" w:color="auto" w:fill="F2F2F2"/>
          </w:tcPr>
          <w:p w:rsidR="00E77AE1" w:rsidRDefault="00E77AE1">
            <w:pPr>
              <w:pStyle w:val="BoxTitle"/>
            </w:pPr>
            <w:r>
              <w:rPr>
                <w:b w:val="0"/>
              </w:rPr>
              <w:t>Box 5.</w:t>
            </w:r>
            <w:r w:rsidR="00D80B1E">
              <w:rPr>
                <w:b w:val="0"/>
                <w:noProof/>
              </w:rPr>
              <w:t>18</w:t>
            </w:r>
            <w:r>
              <w:tab/>
            </w:r>
            <w:r w:rsidRPr="00EF5A5F">
              <w:t>Employer satisfaction with VET</w:t>
            </w:r>
          </w:p>
        </w:tc>
      </w:tr>
      <w:tr w:rsidR="00E77AE1" w:rsidTr="000212AC">
        <w:trPr>
          <w:cantSplit/>
        </w:trPr>
        <w:tc>
          <w:tcPr>
            <w:tcW w:w="8771" w:type="dxa"/>
            <w:tcBorders>
              <w:top w:val="nil"/>
              <w:left w:val="nil"/>
              <w:bottom w:val="nil"/>
              <w:right w:val="nil"/>
            </w:tcBorders>
            <w:shd w:val="clear" w:color="auto" w:fill="F2F2F2"/>
          </w:tcPr>
          <w:p w:rsidR="00E77AE1" w:rsidRPr="00E77AE1" w:rsidRDefault="00E77AE1" w:rsidP="00E77AE1">
            <w:pPr>
              <w:pStyle w:val="Box"/>
            </w:pPr>
            <w:r w:rsidRPr="00E77AE1">
              <w:t xml:space="preserve">‘Employer satisfaction with VET’ is defined as the proportion of Australian employers who engaged in an aspect of VET, and who are satisfied with VET in meeting the skill needs of their workforce. </w:t>
            </w:r>
          </w:p>
          <w:p w:rsidR="00E77AE1" w:rsidRPr="00E77AE1" w:rsidRDefault="00E77AE1" w:rsidP="00E77AE1">
            <w:pPr>
              <w:pStyle w:val="Box"/>
            </w:pPr>
            <w:r w:rsidRPr="00E77AE1">
              <w:t>A high or increasing proportion of employers who are satisfied with VET in meeting the skill needs of their workforce is desirable.</w:t>
            </w:r>
          </w:p>
          <w:p w:rsidR="00E77AE1" w:rsidRPr="00E77AE1" w:rsidRDefault="00E77AE1" w:rsidP="00E77AE1">
            <w:pPr>
              <w:pStyle w:val="Box"/>
            </w:pPr>
            <w:r w:rsidRPr="00E77AE1">
              <w:t xml:space="preserve">Data reported for this indicator are </w:t>
            </w:r>
          </w:p>
          <w:p w:rsidR="00E77AE1" w:rsidRPr="00E77AE1" w:rsidRDefault="00E77AE1" w:rsidP="00E77AE1">
            <w:pPr>
              <w:pStyle w:val="Box"/>
              <w:numPr>
                <w:ilvl w:val="0"/>
                <w:numId w:val="6"/>
              </w:numPr>
            </w:pPr>
            <w:r w:rsidRPr="00E77AE1">
              <w:t>comparable (subject to caveats) across jurisdictions and over time</w:t>
            </w:r>
          </w:p>
          <w:p w:rsidR="00E77AE1" w:rsidRPr="00E77AE1" w:rsidRDefault="00E77AE1" w:rsidP="00E77AE1">
            <w:pPr>
              <w:pStyle w:val="Box"/>
              <w:numPr>
                <w:ilvl w:val="0"/>
                <w:numId w:val="6"/>
              </w:numPr>
            </w:pPr>
            <w:r w:rsidRPr="00E77AE1">
              <w:t>complete for the current reporting period (subject to caveats). All required 201</w:t>
            </w:r>
            <w:r>
              <w:t>3</w:t>
            </w:r>
            <w:r w:rsidRPr="00E77AE1">
              <w:t xml:space="preserve"> data are available for all jurisdictions providing the service.</w:t>
            </w:r>
          </w:p>
          <w:p w:rsidR="00E77AE1" w:rsidRDefault="00E77AE1" w:rsidP="00E77AE1">
            <w:pPr>
              <w:pStyle w:val="Box"/>
            </w:pPr>
            <w:r w:rsidRPr="00E77AE1">
              <w:t>Data quality information for this indicator</w:t>
            </w:r>
            <w:r w:rsidR="006E0D24">
              <w:t xml:space="preserve"> is at www.pc.gov.au</w:t>
            </w:r>
            <w:r w:rsidRPr="00E77AE1">
              <w:t>/</w:t>
            </w:r>
            <w:proofErr w:type="spellStart"/>
            <w:r w:rsidRPr="00E77AE1">
              <w:t>rogs</w:t>
            </w:r>
            <w:proofErr w:type="spellEnd"/>
            <w:r w:rsidRPr="00E77AE1">
              <w:t>/201</w:t>
            </w:r>
            <w:r>
              <w:t>5</w:t>
            </w:r>
            <w:r w:rsidRPr="00E77AE1">
              <w:t>.</w:t>
            </w:r>
          </w:p>
        </w:tc>
      </w:tr>
      <w:tr w:rsidR="00E77AE1" w:rsidTr="000212AC">
        <w:trPr>
          <w:cantSplit/>
        </w:trPr>
        <w:tc>
          <w:tcPr>
            <w:tcW w:w="8771" w:type="dxa"/>
            <w:tcBorders>
              <w:top w:val="nil"/>
              <w:left w:val="nil"/>
              <w:bottom w:val="single" w:sz="6" w:space="0" w:color="78A22F"/>
              <w:right w:val="nil"/>
            </w:tcBorders>
            <w:shd w:val="clear" w:color="auto" w:fill="F2F2F2"/>
          </w:tcPr>
          <w:p w:rsidR="00E77AE1" w:rsidRDefault="00E77AE1">
            <w:pPr>
              <w:pStyle w:val="Box"/>
              <w:spacing w:before="0" w:line="120" w:lineRule="exact"/>
            </w:pPr>
          </w:p>
        </w:tc>
      </w:tr>
      <w:tr w:rsidR="00E77AE1" w:rsidRPr="000863A5" w:rsidTr="000212AC">
        <w:tc>
          <w:tcPr>
            <w:tcW w:w="8771" w:type="dxa"/>
            <w:tcBorders>
              <w:top w:val="single" w:sz="6" w:space="0" w:color="78A22F"/>
              <w:left w:val="nil"/>
              <w:bottom w:val="nil"/>
              <w:right w:val="nil"/>
            </w:tcBorders>
          </w:tcPr>
          <w:p w:rsidR="00E77AE1" w:rsidRPr="00626D32" w:rsidRDefault="00E77AE1" w:rsidP="000212AC">
            <w:pPr>
              <w:pStyle w:val="BoxSpaceBelow"/>
            </w:pPr>
          </w:p>
        </w:tc>
      </w:tr>
    </w:tbl>
    <w:p w:rsidR="00713391" w:rsidRPr="00EF5A5F" w:rsidRDefault="00C57336" w:rsidP="00C57336">
      <w:pPr>
        <w:pStyle w:val="BodyText"/>
      </w:pPr>
      <w:r w:rsidRPr="00EF5A5F">
        <w:t>Nationally</w:t>
      </w:r>
      <w:r w:rsidR="00713391" w:rsidRPr="00EF5A5F">
        <w:t xml:space="preserve"> in </w:t>
      </w:r>
      <w:r w:rsidR="00490181">
        <w:t>201</w:t>
      </w:r>
      <w:r w:rsidR="00E77AE1">
        <w:t>3</w:t>
      </w:r>
      <w:r w:rsidR="00713391" w:rsidRPr="00EF5A5F">
        <w:t>:</w:t>
      </w:r>
    </w:p>
    <w:p w:rsidR="00C57336" w:rsidRPr="00EF5A5F" w:rsidRDefault="0069218F" w:rsidP="00713391">
      <w:pPr>
        <w:pStyle w:val="ListBullet"/>
      </w:pPr>
      <w:r>
        <w:t>78.8</w:t>
      </w:r>
      <w:r w:rsidR="00FB203B">
        <w:t xml:space="preserve"> </w:t>
      </w:r>
      <w:r w:rsidR="00C57336" w:rsidRPr="00EF5A5F">
        <w:t>per</w:t>
      </w:r>
      <w:r w:rsidR="00FB203B">
        <w:t xml:space="preserve"> </w:t>
      </w:r>
      <w:r w:rsidR="00C57336" w:rsidRPr="00EF5A5F">
        <w:t>cent of employers engaged with apprenticeships or traineeships were satisfied with VET as a way of providing employees with skills required for the job (figure</w:t>
      </w:r>
      <w:r w:rsidR="004D51FB" w:rsidRPr="00EF5A5F">
        <w:t> </w:t>
      </w:r>
      <w:r w:rsidR="00606C29">
        <w:t>5.5</w:t>
      </w:r>
      <w:r w:rsidR="00B2569E">
        <w:t>3</w:t>
      </w:r>
      <w:r w:rsidR="00C57336" w:rsidRPr="00EF5A5F">
        <w:t>)</w:t>
      </w:r>
      <w:r w:rsidR="003F1B02">
        <w:t>, compared with</w:t>
      </w:r>
      <w:r w:rsidR="00071B10" w:rsidRPr="00EF5A5F">
        <w:t xml:space="preserve"> </w:t>
      </w:r>
      <w:r>
        <w:t>82.9</w:t>
      </w:r>
      <w:r w:rsidR="00FB203B">
        <w:t xml:space="preserve"> </w:t>
      </w:r>
      <w:r w:rsidR="00F136FC" w:rsidRPr="00EF5A5F">
        <w:t>per</w:t>
      </w:r>
      <w:r w:rsidR="00FB203B">
        <w:t xml:space="preserve"> </w:t>
      </w:r>
      <w:r w:rsidR="00F136FC" w:rsidRPr="00EF5A5F">
        <w:t xml:space="preserve">cent in the </w:t>
      </w:r>
      <w:r w:rsidR="00490181">
        <w:t>20</w:t>
      </w:r>
      <w:r w:rsidR="00E77AE1">
        <w:t>11</w:t>
      </w:r>
      <w:r w:rsidR="00490181" w:rsidRPr="00EF5A5F">
        <w:t xml:space="preserve"> </w:t>
      </w:r>
      <w:r w:rsidR="00F136FC" w:rsidRPr="00EF5A5F">
        <w:t>survey (table</w:t>
      </w:r>
      <w:r w:rsidR="00FB203B">
        <w:t xml:space="preserve"> </w:t>
      </w:r>
      <w:proofErr w:type="spellStart"/>
      <w:r w:rsidR="00F136FC" w:rsidRPr="00EF5A5F">
        <w:t>5A.</w:t>
      </w:r>
      <w:r w:rsidR="00EF7AD6">
        <w:t>9</w:t>
      </w:r>
      <w:r>
        <w:t>2</w:t>
      </w:r>
      <w:proofErr w:type="spellEnd"/>
      <w:r w:rsidR="00F136FC" w:rsidRPr="00EF5A5F">
        <w:t xml:space="preserve">). </w:t>
      </w:r>
      <w:r w:rsidR="00C57336" w:rsidRPr="00EF5A5F">
        <w:t>Employer satisfaction with using apprenticeships or traineeships as a way of meeting skill needs varie</w:t>
      </w:r>
      <w:r w:rsidR="001E2A7F" w:rsidRPr="00EF5A5F">
        <w:t>d</w:t>
      </w:r>
      <w:r w:rsidR="00C57336" w:rsidRPr="00EF5A5F">
        <w:t xml:space="preserve"> across industry</w:t>
      </w:r>
      <w:r w:rsidR="001E2A7F" w:rsidRPr="00EF5A5F">
        <w:t>,</w:t>
      </w:r>
      <w:r w:rsidR="00C57336" w:rsidRPr="00EF5A5F">
        <w:t xml:space="preserve"> </w:t>
      </w:r>
      <w:r w:rsidR="00C57336" w:rsidRPr="0069218F">
        <w:t>with the lowest satisfacti</w:t>
      </w:r>
      <w:r w:rsidR="004D51FB" w:rsidRPr="0069218F">
        <w:t xml:space="preserve">on levels </w:t>
      </w:r>
      <w:r w:rsidR="00DF712B" w:rsidRPr="0069218F">
        <w:t xml:space="preserve">in the </w:t>
      </w:r>
      <w:r w:rsidR="00490181" w:rsidRPr="0069218F">
        <w:t>201</w:t>
      </w:r>
      <w:r w:rsidR="00406809" w:rsidRPr="0069218F">
        <w:t>3</w:t>
      </w:r>
      <w:r w:rsidR="00490181" w:rsidRPr="0069218F">
        <w:t xml:space="preserve"> </w:t>
      </w:r>
      <w:r w:rsidR="00DF712B" w:rsidRPr="0069218F">
        <w:t xml:space="preserve">survey </w:t>
      </w:r>
      <w:r w:rsidR="004D51FB" w:rsidRPr="0069218F">
        <w:t xml:space="preserve">in </w:t>
      </w:r>
      <w:r w:rsidR="00490181" w:rsidRPr="0069218F">
        <w:t>information, media and telecommunications</w:t>
      </w:r>
      <w:r w:rsidR="00490181" w:rsidRPr="00EF5A5F" w:rsidDel="00490181">
        <w:t xml:space="preserve"> </w:t>
      </w:r>
      <w:r w:rsidR="004D51FB" w:rsidRPr="00EF5A5F">
        <w:t>(</w:t>
      </w:r>
      <w:r>
        <w:t>41.2</w:t>
      </w:r>
      <w:r w:rsidR="00FB203B">
        <w:t xml:space="preserve"> </w:t>
      </w:r>
      <w:r w:rsidR="00C57336" w:rsidRPr="00EF5A5F">
        <w:t>per</w:t>
      </w:r>
      <w:r w:rsidR="00FB203B">
        <w:t xml:space="preserve"> </w:t>
      </w:r>
      <w:r w:rsidR="00C57336" w:rsidRPr="00EF5A5F">
        <w:t>cent)</w:t>
      </w:r>
      <w:r w:rsidR="00B745C2">
        <w:t xml:space="preserve"> </w:t>
      </w:r>
      <w:r w:rsidR="00B745C2" w:rsidRPr="00EF5A5F">
        <w:t xml:space="preserve">(NCVER </w:t>
      </w:r>
      <w:r w:rsidR="00490181">
        <w:t>201</w:t>
      </w:r>
      <w:r w:rsidR="00E77AE1">
        <w:t>3</w:t>
      </w:r>
      <w:r w:rsidR="00B745C2" w:rsidRPr="00EF5A5F">
        <w:t>)</w:t>
      </w:r>
    </w:p>
    <w:p w:rsidR="00C57336" w:rsidRPr="00EF5A5F" w:rsidRDefault="0069218F" w:rsidP="00713391">
      <w:pPr>
        <w:pStyle w:val="ListBullet"/>
      </w:pPr>
      <w:r>
        <w:t>83.1</w:t>
      </w:r>
      <w:r w:rsidR="00FB203B">
        <w:t xml:space="preserve"> </w:t>
      </w:r>
      <w:r w:rsidR="00C57336" w:rsidRPr="00EF5A5F">
        <w:t>per</w:t>
      </w:r>
      <w:r w:rsidR="00FB203B">
        <w:t xml:space="preserve"> </w:t>
      </w:r>
      <w:r w:rsidR="00C57336" w:rsidRPr="00EF5A5F">
        <w:t>cent of employers who arranged or provided nationally recognised trainin</w:t>
      </w:r>
      <w:r w:rsidR="004D51FB" w:rsidRPr="00EF5A5F">
        <w:t>g to employees over the past 12</w:t>
      </w:r>
      <w:r w:rsidR="00FB203B">
        <w:t xml:space="preserve"> </w:t>
      </w:r>
      <w:r w:rsidR="00C57336" w:rsidRPr="00EF5A5F">
        <w:t>months were satisfied with nationally recognised training as a way of providing employees with skil</w:t>
      </w:r>
      <w:r w:rsidR="004D51FB" w:rsidRPr="00EF5A5F">
        <w:t>ls required for the job (figure</w:t>
      </w:r>
      <w:r w:rsidR="00FB203B">
        <w:t xml:space="preserve"> </w:t>
      </w:r>
      <w:r w:rsidR="00606C29">
        <w:t>5.5</w:t>
      </w:r>
      <w:r w:rsidR="00B2569E">
        <w:t>3</w:t>
      </w:r>
      <w:r w:rsidR="003F1B02">
        <w:t>), compared with</w:t>
      </w:r>
      <w:r w:rsidR="00071B10" w:rsidRPr="00EF5A5F">
        <w:t xml:space="preserve"> </w:t>
      </w:r>
      <w:r>
        <w:t>89.2</w:t>
      </w:r>
      <w:r w:rsidR="00FB203B">
        <w:t xml:space="preserve"> </w:t>
      </w:r>
      <w:r w:rsidR="00F136FC" w:rsidRPr="00EF5A5F">
        <w:t xml:space="preserve">per cent in the </w:t>
      </w:r>
      <w:r w:rsidR="00490181">
        <w:t>20</w:t>
      </w:r>
      <w:r w:rsidR="00E77AE1">
        <w:t>11</w:t>
      </w:r>
      <w:r w:rsidR="00490181" w:rsidRPr="00EF5A5F">
        <w:t xml:space="preserve"> </w:t>
      </w:r>
      <w:r w:rsidR="00DF712B" w:rsidRPr="00EF5A5F">
        <w:t>survey (table</w:t>
      </w:r>
      <w:r w:rsidR="00FB203B">
        <w:t xml:space="preserve"> </w:t>
      </w:r>
      <w:proofErr w:type="spellStart"/>
      <w:r w:rsidR="00F136FC" w:rsidRPr="00EF5A5F">
        <w:t>5A.</w:t>
      </w:r>
      <w:r w:rsidR="00EF7AD6">
        <w:t>9</w:t>
      </w:r>
      <w:r>
        <w:t>2</w:t>
      </w:r>
      <w:proofErr w:type="spellEnd"/>
      <w:r w:rsidR="00F136FC" w:rsidRPr="00EF5A5F">
        <w:t>).</w:t>
      </w:r>
      <w:r w:rsidR="000B28F2" w:rsidRPr="00EF5A5F">
        <w:t xml:space="preserve"> </w:t>
      </w:r>
      <w:r w:rsidR="00C57336" w:rsidRPr="00EF5A5F">
        <w:t>Employer satisfaction with using nationally recognised training as a way of providing employees wi</w:t>
      </w:r>
      <w:r w:rsidR="001E2A7F" w:rsidRPr="00EF5A5F">
        <w:t xml:space="preserve">th skills required for the job </w:t>
      </w:r>
      <w:r w:rsidR="00DF712B" w:rsidRPr="00EF5A5F">
        <w:t xml:space="preserve">in the </w:t>
      </w:r>
      <w:r w:rsidR="00490181">
        <w:t>201</w:t>
      </w:r>
      <w:r w:rsidR="00406809">
        <w:t>3</w:t>
      </w:r>
      <w:r w:rsidR="00490181" w:rsidRPr="00EF5A5F">
        <w:t xml:space="preserve"> </w:t>
      </w:r>
      <w:r w:rsidR="00DF712B" w:rsidRPr="0069218F">
        <w:t xml:space="preserve">survey </w:t>
      </w:r>
      <w:r w:rsidR="001E2A7F" w:rsidRPr="0069218F">
        <w:t>wa</w:t>
      </w:r>
      <w:r w:rsidR="004D51FB" w:rsidRPr="0069218F">
        <w:t xml:space="preserve">s lowest in </w:t>
      </w:r>
      <w:r w:rsidR="00490181" w:rsidRPr="0069218F">
        <w:t>information, media and telecommunications</w:t>
      </w:r>
      <w:r w:rsidR="00490181" w:rsidRPr="0069218F" w:rsidDel="00490181">
        <w:t xml:space="preserve"> </w:t>
      </w:r>
      <w:r w:rsidR="004D51FB" w:rsidRPr="00EF5A5F">
        <w:t>(</w:t>
      </w:r>
      <w:r>
        <w:t>64.0</w:t>
      </w:r>
      <w:r w:rsidR="00FB203B">
        <w:t xml:space="preserve"> </w:t>
      </w:r>
      <w:r w:rsidR="00C57336" w:rsidRPr="00EF5A5F">
        <w:t>p</w:t>
      </w:r>
      <w:r w:rsidR="004D51FB" w:rsidRPr="00EF5A5F">
        <w:t>er</w:t>
      </w:r>
      <w:r w:rsidR="00FB203B">
        <w:t xml:space="preserve"> </w:t>
      </w:r>
      <w:r w:rsidR="004D51FB" w:rsidRPr="00EF5A5F">
        <w:t>cent)</w:t>
      </w:r>
      <w:r w:rsidR="00C57336" w:rsidRPr="00EF5A5F">
        <w:t xml:space="preserve"> </w:t>
      </w:r>
      <w:r w:rsidR="00B745C2" w:rsidRPr="00EF5A5F">
        <w:t xml:space="preserve">(NCVER </w:t>
      </w:r>
      <w:r w:rsidR="00490181">
        <w:t>201</w:t>
      </w:r>
      <w:r w:rsidR="00E77AE1">
        <w:t>3</w:t>
      </w:r>
      <w:r w:rsidR="00B745C2" w:rsidRPr="00EF5A5F">
        <w:t>)</w:t>
      </w:r>
    </w:p>
    <w:p w:rsidR="00C57336" w:rsidRPr="00EF5A5F" w:rsidRDefault="0069218F" w:rsidP="00713391">
      <w:pPr>
        <w:pStyle w:val="ListBullet"/>
      </w:pPr>
      <w:r>
        <w:t>78.3</w:t>
      </w:r>
      <w:r w:rsidR="00FB203B">
        <w:t xml:space="preserve"> </w:t>
      </w:r>
      <w:r w:rsidR="00C57336" w:rsidRPr="00EF5A5F">
        <w:t>per</w:t>
      </w:r>
      <w:r w:rsidR="00FB203B">
        <w:t xml:space="preserve"> </w:t>
      </w:r>
      <w:r w:rsidR="00C57336" w:rsidRPr="00EF5A5F">
        <w:t>cent of employers who had employees in the last 12</w:t>
      </w:r>
      <w:r w:rsidR="00FB203B">
        <w:t xml:space="preserve"> </w:t>
      </w:r>
      <w:r w:rsidR="00C57336" w:rsidRPr="00EF5A5F">
        <w:t xml:space="preserve">months with a formal vocational qualification that was a requirement of their job were satisfied with formal vocational requirements as </w:t>
      </w:r>
      <w:r w:rsidR="00E133FA" w:rsidRPr="00EF5A5F">
        <w:t xml:space="preserve">a way of meeting </w:t>
      </w:r>
      <w:r w:rsidR="00137754" w:rsidRPr="00EF5A5F">
        <w:t xml:space="preserve">their </w:t>
      </w:r>
      <w:r w:rsidR="004C2E63" w:rsidRPr="00EF5A5F">
        <w:t>skill</w:t>
      </w:r>
      <w:r w:rsidR="00E133FA" w:rsidRPr="00EF5A5F">
        <w:t xml:space="preserve"> </w:t>
      </w:r>
      <w:r w:rsidR="00A948CD" w:rsidRPr="00EF5A5F">
        <w:t xml:space="preserve">needs </w:t>
      </w:r>
      <w:r w:rsidR="004C2E63" w:rsidRPr="00EF5A5F">
        <w:t xml:space="preserve">for the job </w:t>
      </w:r>
      <w:r w:rsidR="00E133FA" w:rsidRPr="00EF5A5F">
        <w:t>(figure</w:t>
      </w:r>
      <w:r w:rsidR="00FB203B">
        <w:t xml:space="preserve"> </w:t>
      </w:r>
      <w:r w:rsidR="00606C29">
        <w:t>5.5</w:t>
      </w:r>
      <w:r>
        <w:t>3</w:t>
      </w:r>
      <w:r w:rsidR="003F1B02">
        <w:t xml:space="preserve">), compared with </w:t>
      </w:r>
      <w:r w:rsidR="00574E62">
        <w:t>84.6</w:t>
      </w:r>
      <w:r w:rsidR="00FB203B">
        <w:t xml:space="preserve"> </w:t>
      </w:r>
      <w:r w:rsidR="00071B10" w:rsidRPr="00EF5A5F">
        <w:t>per</w:t>
      </w:r>
      <w:r w:rsidR="00FB203B">
        <w:t xml:space="preserve"> </w:t>
      </w:r>
      <w:r w:rsidR="00CA2DFD" w:rsidRPr="00EF5A5F">
        <w:t xml:space="preserve">cent in the </w:t>
      </w:r>
      <w:r w:rsidR="00490181">
        <w:t>20</w:t>
      </w:r>
      <w:r w:rsidR="00E77AE1">
        <w:t>11</w:t>
      </w:r>
      <w:r w:rsidR="00490181" w:rsidRPr="00EF5A5F">
        <w:t xml:space="preserve"> </w:t>
      </w:r>
      <w:r w:rsidR="00CA2DFD" w:rsidRPr="00EF5A5F">
        <w:t>survey (table</w:t>
      </w:r>
      <w:r w:rsidR="00FB203B">
        <w:t xml:space="preserve"> </w:t>
      </w:r>
      <w:proofErr w:type="spellStart"/>
      <w:r w:rsidR="00071B10" w:rsidRPr="00EF5A5F">
        <w:t>5A.</w:t>
      </w:r>
      <w:r w:rsidR="00EF7AD6">
        <w:t>9</w:t>
      </w:r>
      <w:r w:rsidR="00574E62">
        <w:t>2</w:t>
      </w:r>
      <w:proofErr w:type="spellEnd"/>
      <w:r w:rsidR="00071B10" w:rsidRPr="00EF5A5F">
        <w:t xml:space="preserve">). </w:t>
      </w:r>
      <w:r w:rsidR="00C57336" w:rsidRPr="00EF5A5F">
        <w:t>Employer satisfaction with using vocational qualifications as a job requirement as</w:t>
      </w:r>
      <w:r w:rsidR="004C2E63" w:rsidRPr="00EF5A5F">
        <w:t xml:space="preserve"> a way of meeting skill</w:t>
      </w:r>
      <w:r w:rsidR="001E2A7F" w:rsidRPr="00EF5A5F">
        <w:t xml:space="preserve"> needs</w:t>
      </w:r>
      <w:r w:rsidR="001E2A7F" w:rsidRPr="00574E62">
        <w:t xml:space="preserve"> </w:t>
      </w:r>
      <w:r w:rsidR="00DF712B" w:rsidRPr="00574E62">
        <w:t xml:space="preserve">in the </w:t>
      </w:r>
      <w:r w:rsidR="00490181" w:rsidRPr="00574E62">
        <w:t>201</w:t>
      </w:r>
      <w:r w:rsidR="00406809" w:rsidRPr="00574E62">
        <w:t>3</w:t>
      </w:r>
      <w:r w:rsidR="00490181" w:rsidRPr="00574E62">
        <w:t xml:space="preserve"> </w:t>
      </w:r>
      <w:r w:rsidR="00DF712B" w:rsidRPr="00574E62">
        <w:t xml:space="preserve">survey </w:t>
      </w:r>
      <w:r w:rsidR="001E2A7F" w:rsidRPr="00574E62">
        <w:t>wa</w:t>
      </w:r>
      <w:r w:rsidR="00C57336" w:rsidRPr="00574E62">
        <w:t xml:space="preserve">s lowest </w:t>
      </w:r>
      <w:r w:rsidR="004D51FB" w:rsidRPr="00574E62">
        <w:t xml:space="preserve">in </w:t>
      </w:r>
      <w:r w:rsidR="00490181" w:rsidRPr="00574E62">
        <w:t>information, media and telecommunications</w:t>
      </w:r>
      <w:r w:rsidR="00207E80" w:rsidRPr="00574E62" w:rsidDel="00207E80">
        <w:t xml:space="preserve"> </w:t>
      </w:r>
      <w:r w:rsidR="004D51FB" w:rsidRPr="00EF5A5F">
        <w:t>(</w:t>
      </w:r>
      <w:r w:rsidR="00574E62">
        <w:t>56.5</w:t>
      </w:r>
      <w:r w:rsidR="00FB203B">
        <w:t xml:space="preserve"> </w:t>
      </w:r>
      <w:r w:rsidR="00C57336" w:rsidRPr="00EF5A5F">
        <w:t>per</w:t>
      </w:r>
      <w:r w:rsidR="00FB203B">
        <w:t xml:space="preserve"> </w:t>
      </w:r>
      <w:r w:rsidR="00C57336" w:rsidRPr="00EF5A5F">
        <w:t xml:space="preserve">cent) </w:t>
      </w:r>
      <w:r w:rsidR="006F6DDD" w:rsidRPr="00EF5A5F">
        <w:t xml:space="preserve">(NCVER </w:t>
      </w:r>
      <w:r w:rsidR="00490181">
        <w:t>201</w:t>
      </w:r>
      <w:r w:rsidR="00E77AE1">
        <w:t>3</w:t>
      </w:r>
      <w:r w:rsidR="00047F11" w:rsidRPr="00EF5A5F">
        <w:t>).</w:t>
      </w:r>
    </w:p>
    <w:p w:rsidR="002C60B2" w:rsidRDefault="002C60B2" w:rsidP="00804C0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C60B2" w:rsidTr="00804C04">
        <w:tc>
          <w:tcPr>
            <w:tcW w:w="8771" w:type="dxa"/>
            <w:tcBorders>
              <w:top w:val="single" w:sz="6" w:space="0" w:color="78A22F"/>
              <w:left w:val="nil"/>
              <w:bottom w:val="nil"/>
              <w:right w:val="nil"/>
            </w:tcBorders>
            <w:shd w:val="clear" w:color="auto" w:fill="auto"/>
          </w:tcPr>
          <w:p w:rsidR="002C60B2" w:rsidRPr="00176D3F" w:rsidRDefault="002C60B2" w:rsidP="00406809">
            <w:pPr>
              <w:pStyle w:val="FigureTitle"/>
            </w:pPr>
            <w:r w:rsidRPr="00784A05">
              <w:rPr>
                <w:b w:val="0"/>
              </w:rPr>
              <w:t xml:space="preserve">Figure </w:t>
            </w:r>
            <w:r>
              <w:rPr>
                <w:b w:val="0"/>
              </w:rPr>
              <w:t>5.</w:t>
            </w:r>
            <w:r w:rsidR="00D80B1E">
              <w:rPr>
                <w:b w:val="0"/>
                <w:noProof/>
              </w:rPr>
              <w:t>53</w:t>
            </w:r>
            <w:r>
              <w:tab/>
            </w:r>
            <w:r w:rsidRPr="00EF5A5F">
              <w:t xml:space="preserve">Proportion of employers who engaged with an aspect of the VET system and are satisfied with VET as a way of meeting their skill needs, </w:t>
            </w:r>
            <w:r>
              <w:t>201</w:t>
            </w:r>
            <w:r w:rsidR="00406809">
              <w:t>3</w:t>
            </w:r>
            <w:r w:rsidRPr="00EF5A5F">
              <w:rPr>
                <w:rStyle w:val="NoteLabel"/>
                <w:b/>
              </w:rPr>
              <w:t>a</w:t>
            </w:r>
            <w:r>
              <w:rPr>
                <w:rStyle w:val="NoteLabel"/>
                <w:b/>
              </w:rPr>
              <w:t>, b, c</w:t>
            </w:r>
          </w:p>
        </w:tc>
      </w:tr>
      <w:tr w:rsidR="002C60B2" w:rsidTr="00804C04">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2C60B2" w:rsidTr="002C60B2">
              <w:tc>
                <w:tcPr>
                  <w:tcW w:w="5000" w:type="pct"/>
                  <w:tcBorders>
                    <w:top w:val="nil"/>
                    <w:bottom w:val="nil"/>
                  </w:tcBorders>
                </w:tcPr>
                <w:p w:rsidR="002C60B2" w:rsidRDefault="003004EB" w:rsidP="00804C04">
                  <w:pPr>
                    <w:pStyle w:val="Figure"/>
                    <w:spacing w:before="60" w:after="60"/>
                  </w:pPr>
                  <w:r>
                    <w:rPr>
                      <w:noProof/>
                    </w:rPr>
                    <w:drawing>
                      <wp:inline distT="0" distB="0" distL="0" distR="0">
                        <wp:extent cx="5391150" cy="2714625"/>
                        <wp:effectExtent l="0" t="0" r="0" b="9525"/>
                        <wp:docPr id="67" name="Picture 67" descr="Figure 5.53 Proportion of employers who engaged with an aspect of the VET system and are satisfied with VET as a way of meeting their skill needs, 20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5391150" cy="2714625"/>
                                </a:xfrm>
                                <a:prstGeom prst="rect">
                                  <a:avLst/>
                                </a:prstGeom>
                                <a:noFill/>
                                <a:ln>
                                  <a:noFill/>
                                </a:ln>
                              </pic:spPr>
                            </pic:pic>
                          </a:graphicData>
                        </a:graphic>
                      </wp:inline>
                    </w:drawing>
                  </w:r>
                </w:p>
              </w:tc>
            </w:tr>
          </w:tbl>
          <w:p w:rsidR="002C60B2" w:rsidRDefault="002C60B2" w:rsidP="00804C04">
            <w:pPr>
              <w:pStyle w:val="Figure"/>
            </w:pPr>
          </w:p>
        </w:tc>
      </w:tr>
      <w:tr w:rsidR="002C60B2" w:rsidRPr="00176D3F" w:rsidTr="00804C04">
        <w:tc>
          <w:tcPr>
            <w:tcW w:w="8771" w:type="dxa"/>
            <w:tcBorders>
              <w:top w:val="nil"/>
              <w:left w:val="nil"/>
              <w:bottom w:val="nil"/>
              <w:right w:val="nil"/>
            </w:tcBorders>
            <w:shd w:val="clear" w:color="auto" w:fill="auto"/>
          </w:tcPr>
          <w:p w:rsidR="002C60B2" w:rsidRPr="00176D3F" w:rsidRDefault="002C60B2" w:rsidP="00F83513">
            <w:pPr>
              <w:pStyle w:val="Note"/>
            </w:pPr>
            <w:r w:rsidRPr="00EF5A5F">
              <w:rPr>
                <w:rStyle w:val="NoteLabel"/>
              </w:rPr>
              <w:t>a</w:t>
            </w:r>
            <w:r w:rsidRPr="00EF5A5F">
              <w:t xml:space="preserve"> Satisfaction is measured on a 5 point scale, ‘satisfied’ includes employers who were satisfied or very satisfied and ‘dissatisfied’ includes employers who were dissatisfied or very dissatisfied. </w:t>
            </w:r>
            <w:r w:rsidRPr="00EF5A5F">
              <w:rPr>
                <w:rStyle w:val="NoteLabel"/>
              </w:rPr>
              <w:t>b</w:t>
            </w:r>
            <w:r>
              <w:t xml:space="preserve"> Further information concerning employer satisfaction are provided in the footnotes of table </w:t>
            </w:r>
            <w:proofErr w:type="spellStart"/>
            <w:r>
              <w:t>5A.9</w:t>
            </w:r>
            <w:r w:rsidR="00F83513">
              <w:t>2</w:t>
            </w:r>
            <w:proofErr w:type="spellEnd"/>
            <w:r>
              <w:t>.</w:t>
            </w:r>
            <w:r w:rsidRPr="00EF5A5F">
              <w:t xml:space="preserve"> </w:t>
            </w:r>
            <w:r>
              <w:rPr>
                <w:rStyle w:val="NoteLabel"/>
              </w:rPr>
              <w:t>c</w:t>
            </w:r>
            <w:r w:rsidRPr="00EF5A5F">
              <w:t xml:space="preserve"> </w:t>
            </w:r>
            <w:r>
              <w:t>E</w:t>
            </w:r>
            <w:r w:rsidRPr="00171E10">
              <w:t>rror bars represent the 95 per cent confidence interval associated with each point estimate.</w:t>
            </w:r>
          </w:p>
        </w:tc>
      </w:tr>
      <w:tr w:rsidR="002C60B2" w:rsidRPr="00176D3F" w:rsidTr="00804C04">
        <w:tc>
          <w:tcPr>
            <w:tcW w:w="8771" w:type="dxa"/>
            <w:tcBorders>
              <w:top w:val="nil"/>
              <w:left w:val="nil"/>
              <w:bottom w:val="nil"/>
              <w:right w:val="nil"/>
            </w:tcBorders>
            <w:shd w:val="clear" w:color="auto" w:fill="auto"/>
          </w:tcPr>
          <w:p w:rsidR="002C60B2" w:rsidRPr="00176D3F" w:rsidRDefault="002C60B2" w:rsidP="00915131">
            <w:pPr>
              <w:pStyle w:val="Source"/>
            </w:pPr>
            <w:r w:rsidRPr="00EF5A5F">
              <w:rPr>
                <w:i/>
              </w:rPr>
              <w:t>Source</w:t>
            </w:r>
            <w:r w:rsidRPr="00EF5A5F">
              <w:t xml:space="preserve">: NCVER (unpublished) </w:t>
            </w:r>
            <w:r w:rsidRPr="00EF5A5F">
              <w:rPr>
                <w:i/>
              </w:rPr>
              <w:t>Survey of Employers’ Use and Views of the VET System</w:t>
            </w:r>
            <w:r w:rsidRPr="00EF5A5F">
              <w:t xml:space="preserve">; table </w:t>
            </w:r>
            <w:proofErr w:type="spellStart"/>
            <w:r w:rsidRPr="00EF5A5F">
              <w:t>5A.</w:t>
            </w:r>
            <w:r>
              <w:t>9</w:t>
            </w:r>
            <w:r w:rsidR="00915131">
              <w:t>2</w:t>
            </w:r>
            <w:proofErr w:type="spellEnd"/>
            <w:r w:rsidRPr="00EF5A5F">
              <w:t>.</w:t>
            </w:r>
          </w:p>
        </w:tc>
      </w:tr>
      <w:tr w:rsidR="002C60B2" w:rsidTr="00804C04">
        <w:tc>
          <w:tcPr>
            <w:tcW w:w="8771" w:type="dxa"/>
            <w:tcBorders>
              <w:top w:val="nil"/>
              <w:left w:val="nil"/>
              <w:bottom w:val="single" w:sz="6" w:space="0" w:color="78A22F"/>
              <w:right w:val="nil"/>
            </w:tcBorders>
            <w:shd w:val="clear" w:color="auto" w:fill="auto"/>
          </w:tcPr>
          <w:p w:rsidR="002C60B2" w:rsidRDefault="002C60B2" w:rsidP="00804C04">
            <w:pPr>
              <w:pStyle w:val="Figurespace"/>
            </w:pPr>
          </w:p>
        </w:tc>
      </w:tr>
      <w:tr w:rsidR="002C60B2" w:rsidRPr="000863A5" w:rsidTr="00804C04">
        <w:tc>
          <w:tcPr>
            <w:tcW w:w="8771" w:type="dxa"/>
            <w:tcBorders>
              <w:top w:val="single" w:sz="6" w:space="0" w:color="78A22F"/>
              <w:left w:val="nil"/>
              <w:bottom w:val="nil"/>
              <w:right w:val="nil"/>
            </w:tcBorders>
          </w:tcPr>
          <w:p w:rsidR="002C60B2" w:rsidRPr="00626D32" w:rsidRDefault="002C60B2" w:rsidP="00804C04">
            <w:pPr>
              <w:pStyle w:val="BoxSpaceBelow"/>
            </w:pPr>
          </w:p>
        </w:tc>
      </w:tr>
    </w:tbl>
    <w:p w:rsidR="008E4B7F" w:rsidRDefault="002834C9" w:rsidP="008E4B7F">
      <w:pPr>
        <w:pStyle w:val="BodyText"/>
      </w:pPr>
      <w:r>
        <w:t xml:space="preserve">Table </w:t>
      </w:r>
      <w:proofErr w:type="spellStart"/>
      <w:r>
        <w:t>5A.9</w:t>
      </w:r>
      <w:r w:rsidR="00F83513">
        <w:t>2</w:t>
      </w:r>
      <w:proofErr w:type="spellEnd"/>
      <w:r>
        <w:t xml:space="preserve"> provides additional historical information on employer satisfaction with VET from 2005 to 201</w:t>
      </w:r>
      <w:r w:rsidR="00406809">
        <w:t>3</w:t>
      </w:r>
      <w:r>
        <w:t>.</w:t>
      </w:r>
      <w:r w:rsidR="008E4B7F" w:rsidRPr="008E4B7F">
        <w:t xml:space="preserve"> </w:t>
      </w:r>
      <w:r w:rsidR="008E4B7F">
        <w:t>Data for years prior to 2013 have been revised.</w:t>
      </w:r>
    </w:p>
    <w:p w:rsidR="00C57336" w:rsidRPr="00EF5A5F" w:rsidRDefault="00FA7BB6" w:rsidP="00281C53">
      <w:pPr>
        <w:pStyle w:val="Heading2"/>
      </w:pPr>
      <w:bookmarkStart w:id="11" w:name="_Toc341279242"/>
      <w:bookmarkStart w:id="12" w:name="_Toc401829961"/>
      <w:r w:rsidRPr="00EF5A5F">
        <w:t>5</w:t>
      </w:r>
      <w:r w:rsidR="00C57336" w:rsidRPr="00EF5A5F">
        <w:t>.4</w:t>
      </w:r>
      <w:r w:rsidR="00C57336" w:rsidRPr="00EF5A5F">
        <w:tab/>
        <w:t>Future directions in performance reporting</w:t>
      </w:r>
      <w:bookmarkEnd w:id="11"/>
      <w:bookmarkEnd w:id="12"/>
    </w:p>
    <w:p w:rsidR="00FC04C6" w:rsidRPr="00EF5A5F" w:rsidRDefault="00FC04C6" w:rsidP="00FC04C6">
      <w:pPr>
        <w:pStyle w:val="Heading3"/>
      </w:pPr>
      <w:r w:rsidRPr="00EF5A5F">
        <w:t>Improving reporting of indicators</w:t>
      </w:r>
    </w:p>
    <w:p w:rsidR="00FC252D" w:rsidRPr="00EF5A5F" w:rsidRDefault="00FC252D" w:rsidP="00C57336">
      <w:pPr>
        <w:pStyle w:val="BodyText"/>
      </w:pPr>
      <w:r w:rsidRPr="00EF5A5F">
        <w:t xml:space="preserve">Aspects of </w:t>
      </w:r>
      <w:r w:rsidR="008C7339" w:rsidRPr="00EF5A5F">
        <w:t xml:space="preserve">some </w:t>
      </w:r>
      <w:r w:rsidRPr="00EF5A5F">
        <w:t xml:space="preserve">VET indicators are not yet fully developed or comparable, </w:t>
      </w:r>
      <w:r w:rsidR="0039053B" w:rsidRPr="00EF5A5F">
        <w:t xml:space="preserve">and </w:t>
      </w:r>
      <w:r w:rsidR="00BC4C0A" w:rsidRPr="00EF5A5F">
        <w:t xml:space="preserve">developments </w:t>
      </w:r>
      <w:r w:rsidRPr="00EF5A5F">
        <w:t xml:space="preserve">for future </w:t>
      </w:r>
      <w:r w:rsidR="00BC4C0A" w:rsidRPr="00EF5A5F">
        <w:t>r</w:t>
      </w:r>
      <w:r w:rsidR="0039053B" w:rsidRPr="00EF5A5F">
        <w:t xml:space="preserve">eports </w:t>
      </w:r>
      <w:r w:rsidRPr="00EF5A5F">
        <w:t>include:</w:t>
      </w:r>
    </w:p>
    <w:p w:rsidR="00FC252D" w:rsidRPr="00EF5A5F" w:rsidRDefault="00FC252D" w:rsidP="00FC252D">
      <w:pPr>
        <w:pStyle w:val="ListBullet"/>
      </w:pPr>
      <w:r w:rsidRPr="00EF5A5F">
        <w:t>improv</w:t>
      </w:r>
      <w:r w:rsidR="001E2A7F" w:rsidRPr="00EF5A5F">
        <w:t>ing</w:t>
      </w:r>
      <w:r w:rsidRPr="00EF5A5F">
        <w:t xml:space="preserve"> the quality of outcomes data</w:t>
      </w:r>
      <w:r w:rsidR="00D91661" w:rsidRPr="00D91661">
        <w:t xml:space="preserve"> </w:t>
      </w:r>
      <w:r w:rsidR="00D91661">
        <w:t>for</w:t>
      </w:r>
      <w:r w:rsidR="00804C04">
        <w:t xml:space="preserve"> Aboriginal and Torres Strait Islander </w:t>
      </w:r>
      <w:r w:rsidR="00D91661">
        <w:t>students</w:t>
      </w:r>
    </w:p>
    <w:p w:rsidR="00D07B22" w:rsidRPr="00EF5A5F" w:rsidRDefault="00380414" w:rsidP="00FC252D">
      <w:pPr>
        <w:pStyle w:val="ListBullet"/>
      </w:pPr>
      <w:r>
        <w:t>reviewing the set of proxy measures for the  ‘skill profile’ i</w:t>
      </w:r>
      <w:r w:rsidR="00C57336" w:rsidRPr="00EF5A5F">
        <w:t>ndicator</w:t>
      </w:r>
    </w:p>
    <w:p w:rsidR="00C57336" w:rsidRDefault="00D07B22" w:rsidP="005E2807">
      <w:pPr>
        <w:pStyle w:val="ListBullet"/>
      </w:pPr>
      <w:r w:rsidRPr="00EF5A5F">
        <w:t>improving the timeliness o</w:t>
      </w:r>
      <w:r w:rsidR="00380414">
        <w:t>f qualifications completed data</w:t>
      </w:r>
    </w:p>
    <w:p w:rsidR="00380414" w:rsidRPr="00EF5A5F" w:rsidRDefault="00380414" w:rsidP="005E2807">
      <w:pPr>
        <w:pStyle w:val="ListBullet"/>
      </w:pPr>
      <w:r>
        <w:t xml:space="preserve">using data from the </w:t>
      </w:r>
      <w:r w:rsidRPr="00034BDF">
        <w:t>Unique Student Identifier</w:t>
      </w:r>
      <w:r>
        <w:t xml:space="preserve"> to improve reporting on the </w:t>
      </w:r>
      <w:r w:rsidR="003F1B02">
        <w:t>measure</w:t>
      </w:r>
      <w:r>
        <w:t xml:space="preserve"> ‘e</w:t>
      </w:r>
      <w:r w:rsidRPr="00034BDF">
        <w:t>stimated qualification completion rate and subject pass rate</w:t>
      </w:r>
      <w:r>
        <w:t>’ within the outcome indicator ‘</w:t>
      </w:r>
      <w:r w:rsidRPr="0090681D">
        <w:t>Student achievement in VET’</w:t>
      </w:r>
      <w:r>
        <w:t>.</w:t>
      </w:r>
    </w:p>
    <w:p w:rsidR="00C57336" w:rsidRPr="00EF5A5F" w:rsidRDefault="00FA7BB6" w:rsidP="00AC7881">
      <w:pPr>
        <w:pStyle w:val="Heading2"/>
      </w:pPr>
      <w:bookmarkStart w:id="13" w:name="_Toc341279243"/>
      <w:bookmarkStart w:id="14" w:name="_Toc401829962"/>
      <w:r w:rsidRPr="00EF5A5F">
        <w:lastRenderedPageBreak/>
        <w:t>5</w:t>
      </w:r>
      <w:r w:rsidR="00C57336" w:rsidRPr="00EF5A5F">
        <w:t>.5</w:t>
      </w:r>
      <w:r w:rsidR="00C57336" w:rsidRPr="00EF5A5F">
        <w:tab/>
        <w:t>Jurisdictions’ comments</w:t>
      </w:r>
      <w:bookmarkEnd w:id="13"/>
      <w:bookmarkEnd w:id="14"/>
    </w:p>
    <w:p w:rsidR="00C57336" w:rsidRPr="00EF5A5F" w:rsidRDefault="00C57336" w:rsidP="00BC7550">
      <w:pPr>
        <w:pStyle w:val="BodyText"/>
      </w:pPr>
      <w:r w:rsidRPr="00EF5A5F">
        <w:t>This section provides comments from each jurisdiction on the se</w:t>
      </w:r>
      <w:r w:rsidR="005F32C7" w:rsidRPr="00EF5A5F">
        <w:t>rvices covered in this chapter.</w:t>
      </w:r>
    </w:p>
    <w:p w:rsidR="00837DC6" w:rsidRPr="00EF5A5F" w:rsidRDefault="003D7D7F" w:rsidP="00837DC6">
      <w:pPr>
        <w:pStyle w:val="BodyText"/>
        <w:spacing w:before="0" w:line="240" w:lineRule="auto"/>
        <w:rPr>
          <w:sz w:val="12"/>
          <w:szCs w:val="12"/>
        </w:rPr>
      </w:pPr>
      <w:r w:rsidRPr="00EF5A5F">
        <w:br w:type="page"/>
      </w:r>
    </w:p>
    <w:tbl>
      <w:tblPr>
        <w:tblW w:w="10632" w:type="dxa"/>
        <w:tblInd w:w="-885" w:type="dxa"/>
        <w:tblLayout w:type="fixed"/>
        <w:tblLook w:val="01E0" w:firstRow="1" w:lastRow="1" w:firstColumn="1" w:lastColumn="1" w:noHBand="0" w:noVBand="0"/>
      </w:tblPr>
      <w:tblGrid>
        <w:gridCol w:w="992"/>
        <w:gridCol w:w="8789"/>
        <w:gridCol w:w="851"/>
      </w:tblGrid>
      <w:tr w:rsidR="00BC3E70" w:rsidRPr="00EF5A5F" w:rsidTr="00282176">
        <w:tc>
          <w:tcPr>
            <w:tcW w:w="992" w:type="dxa"/>
          </w:tcPr>
          <w:p w:rsidR="00BC3E70" w:rsidRPr="00EF5A5F" w:rsidRDefault="00BC3E70" w:rsidP="00BC3E70">
            <w:pPr>
              <w:pStyle w:val="BodyText"/>
              <w:rPr>
                <w:b/>
                <w:sz w:val="132"/>
                <w:szCs w:val="132"/>
              </w:rPr>
            </w:pPr>
            <w:r w:rsidRPr="00EF5A5F">
              <w:rPr>
                <w:b/>
                <w:sz w:val="132"/>
                <w:szCs w:val="132"/>
              </w:rPr>
              <w:lastRenderedPageBreak/>
              <w:t>“</w:t>
            </w:r>
          </w:p>
        </w:tc>
        <w:tc>
          <w:tcPr>
            <w:tcW w:w="8789" w:type="dxa"/>
          </w:tcPr>
          <w:p w:rsidR="00891D3F" w:rsidRPr="00891D3F" w:rsidRDefault="00891D3F" w:rsidP="00891D3F">
            <w:pPr>
              <w:pStyle w:val="Jurisdictioncommentsheading"/>
              <w:spacing w:after="0" w:line="240" w:lineRule="auto"/>
              <w:rPr>
                <w:rFonts w:ascii="Times New Roman" w:hAnsi="Times New Roman"/>
                <w:vanish/>
                <w:sz w:val="12"/>
                <w:szCs w:val="12"/>
              </w:rPr>
            </w:pPr>
          </w:p>
          <w:tbl>
            <w:tblPr>
              <w:tblW w:w="8789" w:type="dxa"/>
              <w:tblLayout w:type="fixed"/>
              <w:tblLook w:val="01E0" w:firstRow="1" w:lastRow="1" w:firstColumn="1" w:lastColumn="1" w:noHBand="0" w:noVBand="0"/>
            </w:tblPr>
            <w:tblGrid>
              <w:gridCol w:w="8789"/>
            </w:tblGrid>
            <w:tr w:rsidR="00246370" w:rsidTr="00EE6750">
              <w:tc>
                <w:tcPr>
                  <w:tcW w:w="8789" w:type="dxa"/>
                  <w:shd w:val="clear" w:color="auto" w:fill="auto"/>
                </w:tcPr>
                <w:p w:rsidR="00246370" w:rsidRDefault="00246370" w:rsidP="00B53B8F">
                  <w:pPr>
                    <w:pStyle w:val="Jurisdictioncommentsheading"/>
                  </w:pPr>
                  <w:r w:rsidRPr="00246370">
                    <w:t>Australian Government comments</w:t>
                  </w:r>
                </w:p>
              </w:tc>
            </w:tr>
            <w:tr w:rsidR="00246370" w:rsidTr="00EE6750">
              <w:tc>
                <w:tcPr>
                  <w:tcW w:w="8789" w:type="dxa"/>
                  <w:shd w:val="clear" w:color="auto" w:fill="auto"/>
                </w:tcPr>
                <w:p w:rsidR="00246370" w:rsidRDefault="00246370" w:rsidP="00246370">
                  <w:pPr>
                    <w:pStyle w:val="Jurisdictioncommentsbodytext"/>
                  </w:pPr>
                  <w:r>
                    <w:t xml:space="preserve">Following the November 2012 agreement by the </w:t>
                  </w:r>
                  <w:r w:rsidRPr="004B4241">
                    <w:t>Standing Council on Tertiary Education, Skills and Employment</w:t>
                  </w:r>
                  <w:r>
                    <w:t xml:space="preserve"> (</w:t>
                  </w:r>
                  <w:proofErr w:type="spellStart"/>
                  <w:r>
                    <w:t>SCOTESE</w:t>
                  </w:r>
                  <w:proofErr w:type="spellEnd"/>
                  <w:r>
                    <w:t>) to mandate collection and reporting of total VET activity data from January 2014, the legislative and policy work to implement this decision was completed during 2013.</w:t>
                  </w:r>
                </w:p>
                <w:p w:rsidR="00246370" w:rsidRDefault="00246370" w:rsidP="00246370">
                  <w:pPr>
                    <w:pStyle w:val="Jurisdictioncommentsbodytext"/>
                  </w:pPr>
                  <w:r>
                    <w:t xml:space="preserve">Extensive work was undertaken in preparation for introducing the VET Unique Student Identifier, including: </w:t>
                  </w:r>
                </w:p>
                <w:p w:rsidR="00246370" w:rsidRDefault="00246370" w:rsidP="00246370">
                  <w:pPr>
                    <w:pStyle w:val="Jurisdictioncommentslistbullet"/>
                  </w:pPr>
                  <w:r>
                    <w:t>specifying and building the secure information technology platform needed</w:t>
                  </w:r>
                </w:p>
                <w:p w:rsidR="00246370" w:rsidRDefault="00246370" w:rsidP="00246370">
                  <w:pPr>
                    <w:pStyle w:val="Jurisdictioncommentslistbullet"/>
                  </w:pPr>
                  <w:r>
                    <w:t>further consultation with stakeholders</w:t>
                  </w:r>
                </w:p>
                <w:p w:rsidR="00246370" w:rsidRDefault="00246370" w:rsidP="00246370">
                  <w:pPr>
                    <w:pStyle w:val="Jurisdictioncommentslistbullet"/>
                  </w:pPr>
                  <w:r>
                    <w:t>developing a draft Bill for the enabling legislation, the proposed regulations under the Bill, and the accompanying Explanatory Memoranda.</w:t>
                  </w:r>
                </w:p>
                <w:p w:rsidR="00246370" w:rsidRDefault="00246370" w:rsidP="00246370">
                  <w:pPr>
                    <w:pStyle w:val="Jurisdictioncommentsbodytext"/>
                  </w:pPr>
                  <w:r>
                    <w:t>The 2013–14 Budget included projected outlays of $1409 million on the National Skills and Workforce Development Specific Purpose Payment, indexed over the forward estimates.</w:t>
                  </w:r>
                  <w:r w:rsidRPr="006C30A0">
                    <w:t xml:space="preserve"> </w:t>
                  </w:r>
                </w:p>
                <w:p w:rsidR="00246370" w:rsidRDefault="00246370" w:rsidP="00246370">
                  <w:pPr>
                    <w:pStyle w:val="Jurisdictioncommentsbodytext"/>
                  </w:pPr>
                  <w:r>
                    <w:t>Some foreshadowed changes to Australian Apprenticeship incentive and personal benefit payments occurred during the year.</w:t>
                  </w:r>
                </w:p>
                <w:p w:rsidR="00246370" w:rsidRDefault="00246370" w:rsidP="00246370">
                  <w:pPr>
                    <w:pStyle w:val="Jurisdictioncommentsbodytext"/>
                  </w:pPr>
                  <w:r w:rsidRPr="006C30A0">
                    <w:t xml:space="preserve">Following the change of government </w:t>
                  </w:r>
                  <w:r>
                    <w:t>at the</w:t>
                  </w:r>
                  <w:r w:rsidRPr="006C30A0">
                    <w:t xml:space="preserve"> 7 September</w:t>
                  </w:r>
                  <w:r>
                    <w:t xml:space="preserve"> 2013 general election</w:t>
                  </w:r>
                  <w:r w:rsidRPr="006C30A0">
                    <w:t xml:space="preserve">, </w:t>
                  </w:r>
                  <w:r>
                    <w:t>a series of administrative changes were announced, including:</w:t>
                  </w:r>
                </w:p>
                <w:p w:rsidR="00246370" w:rsidRDefault="00246370" w:rsidP="00246370">
                  <w:pPr>
                    <w:pStyle w:val="Jurisdictioncommentslistbullet"/>
                  </w:pPr>
                  <w:r>
                    <w:t>the VET portfolio agency became the Department of Industry</w:t>
                  </w:r>
                </w:p>
                <w:p w:rsidR="00246370" w:rsidRDefault="00246370" w:rsidP="00246370">
                  <w:pPr>
                    <w:pStyle w:val="Jurisdictioncommentslistbullet"/>
                  </w:pPr>
                  <w:r>
                    <w:t>Ian Macfarlane MP became the responsible Minister</w:t>
                  </w:r>
                </w:p>
                <w:p w:rsidR="00246370" w:rsidRDefault="00246370" w:rsidP="00246370">
                  <w:pPr>
                    <w:pStyle w:val="Jurisdictioncommentslistbullet"/>
                  </w:pPr>
                  <w:r>
                    <w:t>a VET Reform Taskforce was established in the Department</w:t>
                  </w:r>
                </w:p>
                <w:p w:rsidR="00246370" w:rsidRDefault="00246370" w:rsidP="00246370">
                  <w:pPr>
                    <w:pStyle w:val="Jurisdictioncommentslistbullet"/>
                  </w:pPr>
                  <w:r>
                    <w:t xml:space="preserve">at its December 2013 meeting, COAG replaced </w:t>
                  </w:r>
                  <w:proofErr w:type="spellStart"/>
                  <w:r>
                    <w:t>SCOTESE</w:t>
                  </w:r>
                  <w:proofErr w:type="spellEnd"/>
                  <w:r>
                    <w:t xml:space="preserve"> with the COAG Industry and Skills Council.</w:t>
                  </w:r>
                </w:p>
                <w:p w:rsidR="00246370" w:rsidRDefault="00246370" w:rsidP="00B53B8F">
                  <w:pPr>
                    <w:pStyle w:val="Jurisdictioncommentslistbullet"/>
                    <w:numPr>
                      <w:ilvl w:val="0"/>
                      <w:numId w:val="0"/>
                    </w:numPr>
                    <w:ind w:left="318" w:hanging="318"/>
                  </w:pPr>
                </w:p>
              </w:tc>
            </w:tr>
          </w:tbl>
          <w:p w:rsidR="00BC3E70" w:rsidRPr="00EF5A5F" w:rsidRDefault="00BC3E70" w:rsidP="00611AE8">
            <w:pPr>
              <w:pStyle w:val="Jurisdictioncommentsheading"/>
            </w:pPr>
          </w:p>
        </w:tc>
        <w:tc>
          <w:tcPr>
            <w:tcW w:w="851" w:type="dxa"/>
          </w:tcPr>
          <w:p w:rsidR="000E628F" w:rsidRDefault="000E628F" w:rsidP="00BC3E70">
            <w:pPr>
              <w:pStyle w:val="BodyText"/>
              <w:rPr>
                <w:b/>
                <w:sz w:val="40"/>
                <w:szCs w:val="40"/>
              </w:rPr>
            </w:pPr>
          </w:p>
          <w:p w:rsidR="000E628F" w:rsidRDefault="000E628F" w:rsidP="00BC3E70">
            <w:pPr>
              <w:pStyle w:val="BodyText"/>
              <w:rPr>
                <w:b/>
                <w:sz w:val="40"/>
                <w:szCs w:val="40"/>
              </w:rPr>
            </w:pPr>
          </w:p>
          <w:p w:rsidR="000E628F" w:rsidRDefault="000E628F" w:rsidP="00BC3E70">
            <w:pPr>
              <w:pStyle w:val="BodyText"/>
              <w:rPr>
                <w:b/>
                <w:sz w:val="40"/>
                <w:szCs w:val="40"/>
              </w:rPr>
            </w:pPr>
          </w:p>
          <w:p w:rsidR="000E628F" w:rsidRDefault="000E628F" w:rsidP="00BC3E70">
            <w:pPr>
              <w:pStyle w:val="BodyText"/>
              <w:rPr>
                <w:b/>
                <w:sz w:val="40"/>
                <w:szCs w:val="40"/>
              </w:rPr>
            </w:pPr>
          </w:p>
          <w:p w:rsidR="000E628F" w:rsidRDefault="000E628F" w:rsidP="00BC3E70">
            <w:pPr>
              <w:pStyle w:val="BodyText"/>
              <w:rPr>
                <w:b/>
                <w:sz w:val="40"/>
                <w:szCs w:val="40"/>
              </w:rPr>
            </w:pPr>
          </w:p>
          <w:p w:rsidR="000E628F" w:rsidRDefault="000E628F" w:rsidP="00BC3E70">
            <w:pPr>
              <w:pStyle w:val="BodyText"/>
              <w:rPr>
                <w:b/>
                <w:sz w:val="40"/>
                <w:szCs w:val="40"/>
              </w:rPr>
            </w:pPr>
          </w:p>
          <w:p w:rsidR="000E628F" w:rsidRDefault="000E628F" w:rsidP="00BC3E70">
            <w:pPr>
              <w:pStyle w:val="BodyText"/>
              <w:rPr>
                <w:b/>
                <w:sz w:val="40"/>
                <w:szCs w:val="40"/>
              </w:rPr>
            </w:pPr>
          </w:p>
          <w:p w:rsidR="000E628F" w:rsidRDefault="000E628F" w:rsidP="00BC3E70">
            <w:pPr>
              <w:pStyle w:val="BodyText"/>
              <w:rPr>
                <w:b/>
                <w:sz w:val="40"/>
                <w:szCs w:val="40"/>
              </w:rPr>
            </w:pPr>
          </w:p>
          <w:p w:rsidR="000E628F" w:rsidRDefault="000E628F" w:rsidP="00BC3E70">
            <w:pPr>
              <w:pStyle w:val="BodyText"/>
              <w:rPr>
                <w:b/>
                <w:sz w:val="40"/>
                <w:szCs w:val="40"/>
              </w:rPr>
            </w:pPr>
          </w:p>
          <w:p w:rsidR="000E628F" w:rsidRDefault="000E628F" w:rsidP="00BC3E70">
            <w:pPr>
              <w:pStyle w:val="BodyText"/>
              <w:rPr>
                <w:b/>
                <w:sz w:val="40"/>
                <w:szCs w:val="40"/>
              </w:rPr>
            </w:pPr>
          </w:p>
          <w:p w:rsidR="00BC3E70" w:rsidRPr="00EF5A5F" w:rsidRDefault="00BC3E70" w:rsidP="00BC3E70">
            <w:pPr>
              <w:pStyle w:val="BodyText"/>
              <w:rPr>
                <w:b/>
                <w:sz w:val="132"/>
                <w:szCs w:val="132"/>
              </w:rPr>
            </w:pPr>
            <w:r w:rsidRPr="00EF5A5F">
              <w:rPr>
                <w:b/>
                <w:sz w:val="132"/>
                <w:szCs w:val="132"/>
              </w:rPr>
              <w:t>”</w:t>
            </w:r>
          </w:p>
        </w:tc>
      </w:tr>
    </w:tbl>
    <w:p w:rsidR="00BC4BCF" w:rsidRDefault="00BC4BCF">
      <w:r>
        <w:br w:type="page"/>
      </w:r>
    </w:p>
    <w:tbl>
      <w:tblPr>
        <w:tblW w:w="10632" w:type="dxa"/>
        <w:tblInd w:w="-885" w:type="dxa"/>
        <w:tblLayout w:type="fixed"/>
        <w:tblLook w:val="01E0" w:firstRow="1" w:lastRow="1" w:firstColumn="1" w:lastColumn="1" w:noHBand="0" w:noVBand="0"/>
      </w:tblPr>
      <w:tblGrid>
        <w:gridCol w:w="992"/>
        <w:gridCol w:w="8789"/>
        <w:gridCol w:w="851"/>
      </w:tblGrid>
      <w:tr w:rsidR="00BC4BCF" w:rsidRPr="00BC4BCF" w:rsidTr="002C0A29">
        <w:tc>
          <w:tcPr>
            <w:tcW w:w="992" w:type="dxa"/>
            <w:vMerge w:val="restart"/>
            <w:shd w:val="clear" w:color="auto" w:fill="auto"/>
          </w:tcPr>
          <w:p w:rsidR="00BC4BCF" w:rsidRPr="00BC4BCF" w:rsidRDefault="00BC4BCF" w:rsidP="00BC4BCF">
            <w:pPr>
              <w:spacing w:before="240" w:line="320" w:lineRule="atLeast"/>
              <w:jc w:val="both"/>
              <w:rPr>
                <w:b/>
                <w:sz w:val="132"/>
                <w:szCs w:val="132"/>
              </w:rPr>
            </w:pPr>
            <w:r w:rsidRPr="00BC4BCF">
              <w:rPr>
                <w:b/>
                <w:sz w:val="132"/>
                <w:szCs w:val="132"/>
              </w:rPr>
              <w:lastRenderedPageBreak/>
              <w:t>“</w:t>
            </w:r>
          </w:p>
        </w:tc>
        <w:tc>
          <w:tcPr>
            <w:tcW w:w="8789" w:type="dxa"/>
            <w:shd w:val="clear" w:color="auto" w:fill="auto"/>
          </w:tcPr>
          <w:p w:rsidR="00BC4BCF" w:rsidRPr="00BC4BCF" w:rsidRDefault="00BC4BCF" w:rsidP="00BC4BCF">
            <w:pPr>
              <w:pStyle w:val="Jurisdictioncommentsheading"/>
            </w:pPr>
            <w:r w:rsidRPr="00EF5A5F">
              <w:t>New South Wales Government</w:t>
            </w:r>
            <w:r w:rsidRPr="00BC4BCF">
              <w:t xml:space="preserve"> comments</w:t>
            </w:r>
          </w:p>
        </w:tc>
        <w:tc>
          <w:tcPr>
            <w:tcW w:w="851" w:type="dxa"/>
            <w:vMerge w:val="restart"/>
            <w:shd w:val="clear" w:color="auto" w:fill="auto"/>
          </w:tcPr>
          <w:p w:rsidR="00BC4BCF" w:rsidRPr="00BC4BCF" w:rsidRDefault="00BC4BCF" w:rsidP="00BC4BCF">
            <w:pPr>
              <w:spacing w:before="240" w:line="320" w:lineRule="atLeast"/>
              <w:jc w:val="both"/>
              <w:rPr>
                <w:sz w:val="26"/>
                <w:szCs w:val="20"/>
              </w:rPr>
            </w:pPr>
          </w:p>
          <w:p w:rsidR="00BC4BCF" w:rsidRPr="00BC4BCF" w:rsidRDefault="00BC4BCF" w:rsidP="00BC4BCF">
            <w:pPr>
              <w:spacing w:before="240" w:line="320" w:lineRule="atLeast"/>
              <w:jc w:val="both"/>
              <w:rPr>
                <w:sz w:val="26"/>
                <w:szCs w:val="20"/>
              </w:rPr>
            </w:pPr>
          </w:p>
          <w:p w:rsidR="00BC4BCF" w:rsidRPr="00BC4BCF" w:rsidRDefault="00BC4BCF" w:rsidP="00BC4BCF">
            <w:pPr>
              <w:spacing w:before="240" w:line="320" w:lineRule="atLeast"/>
              <w:jc w:val="both"/>
              <w:rPr>
                <w:sz w:val="26"/>
                <w:szCs w:val="20"/>
              </w:rPr>
            </w:pPr>
          </w:p>
          <w:p w:rsidR="00BC4BCF" w:rsidRPr="00BC4BCF" w:rsidRDefault="00BC4BCF" w:rsidP="00BC4BCF">
            <w:pPr>
              <w:spacing w:before="240" w:line="320" w:lineRule="atLeast"/>
              <w:jc w:val="both"/>
              <w:rPr>
                <w:sz w:val="26"/>
                <w:szCs w:val="20"/>
              </w:rPr>
            </w:pPr>
          </w:p>
          <w:p w:rsidR="00BC4BCF" w:rsidRPr="00BC4BCF" w:rsidRDefault="00BC4BCF" w:rsidP="00BC4BCF">
            <w:pPr>
              <w:spacing w:before="240" w:line="320" w:lineRule="atLeast"/>
              <w:jc w:val="both"/>
              <w:rPr>
                <w:sz w:val="26"/>
                <w:szCs w:val="20"/>
              </w:rPr>
            </w:pPr>
          </w:p>
          <w:p w:rsidR="00BC4BCF" w:rsidRPr="00BC4BCF" w:rsidRDefault="00BC4BCF" w:rsidP="00BC4BCF">
            <w:pPr>
              <w:spacing w:before="240" w:line="320" w:lineRule="atLeast"/>
              <w:jc w:val="both"/>
              <w:rPr>
                <w:sz w:val="26"/>
                <w:szCs w:val="20"/>
              </w:rPr>
            </w:pPr>
          </w:p>
          <w:p w:rsidR="00BC4BCF" w:rsidRPr="00BC4BCF" w:rsidRDefault="00BC4BCF" w:rsidP="00BC4BCF">
            <w:pPr>
              <w:spacing w:before="240" w:line="320" w:lineRule="atLeast"/>
              <w:jc w:val="both"/>
              <w:rPr>
                <w:sz w:val="26"/>
                <w:szCs w:val="20"/>
              </w:rPr>
            </w:pPr>
          </w:p>
          <w:p w:rsidR="00BC4BCF" w:rsidRPr="00BC4BCF" w:rsidRDefault="00BC4BCF" w:rsidP="00BC4BCF">
            <w:pPr>
              <w:spacing w:before="240" w:line="320" w:lineRule="atLeast"/>
              <w:jc w:val="both"/>
              <w:rPr>
                <w:sz w:val="26"/>
                <w:szCs w:val="20"/>
              </w:rPr>
            </w:pPr>
          </w:p>
          <w:p w:rsidR="00BC4BCF" w:rsidRPr="00BC4BCF" w:rsidRDefault="00BC4BCF" w:rsidP="00BC4BCF">
            <w:pPr>
              <w:spacing w:before="240" w:line="320" w:lineRule="atLeast"/>
              <w:jc w:val="both"/>
              <w:rPr>
                <w:sz w:val="26"/>
                <w:szCs w:val="20"/>
              </w:rPr>
            </w:pPr>
          </w:p>
          <w:p w:rsidR="00BC4BCF" w:rsidRPr="00BC4BCF" w:rsidRDefault="00BC4BCF" w:rsidP="00BC4BCF">
            <w:pPr>
              <w:spacing w:before="240" w:line="320" w:lineRule="atLeast"/>
              <w:jc w:val="both"/>
              <w:rPr>
                <w:sz w:val="26"/>
                <w:szCs w:val="20"/>
              </w:rPr>
            </w:pPr>
          </w:p>
          <w:p w:rsidR="00BC4BCF" w:rsidRDefault="00BC4BCF" w:rsidP="00BC4BCF">
            <w:pPr>
              <w:spacing w:before="240" w:line="320" w:lineRule="atLeast"/>
              <w:jc w:val="both"/>
              <w:rPr>
                <w:sz w:val="26"/>
                <w:szCs w:val="20"/>
              </w:rPr>
            </w:pPr>
          </w:p>
          <w:p w:rsidR="002C0A29" w:rsidRPr="00BC4BCF" w:rsidRDefault="002C0A29" w:rsidP="00BC4BCF">
            <w:pPr>
              <w:spacing w:before="240" w:line="320" w:lineRule="atLeast"/>
              <w:jc w:val="both"/>
              <w:rPr>
                <w:sz w:val="26"/>
                <w:szCs w:val="20"/>
              </w:rPr>
            </w:pPr>
          </w:p>
          <w:p w:rsidR="00BC4BCF" w:rsidRPr="00BC4BCF" w:rsidRDefault="00BC4BCF" w:rsidP="00BC4BCF">
            <w:pPr>
              <w:spacing w:before="240" w:line="320" w:lineRule="atLeast"/>
              <w:jc w:val="both"/>
              <w:rPr>
                <w:sz w:val="26"/>
                <w:szCs w:val="20"/>
              </w:rPr>
            </w:pPr>
          </w:p>
          <w:p w:rsidR="00BC4BCF" w:rsidRPr="00BC4BCF" w:rsidRDefault="00BC4BCF" w:rsidP="00BC4BCF">
            <w:pPr>
              <w:spacing w:before="240" w:line="320" w:lineRule="atLeast"/>
              <w:jc w:val="both"/>
              <w:rPr>
                <w:sz w:val="26"/>
                <w:szCs w:val="20"/>
              </w:rPr>
            </w:pPr>
          </w:p>
          <w:p w:rsidR="00BC4BCF" w:rsidRPr="00BC4BCF" w:rsidRDefault="00BC4BCF" w:rsidP="00BC4BCF">
            <w:pPr>
              <w:spacing w:before="240" w:line="320" w:lineRule="atLeast"/>
              <w:jc w:val="both"/>
              <w:rPr>
                <w:sz w:val="26"/>
                <w:szCs w:val="20"/>
              </w:rPr>
            </w:pPr>
          </w:p>
          <w:p w:rsidR="00BC4BCF" w:rsidRPr="00BC4BCF" w:rsidRDefault="00BC4BCF" w:rsidP="00BC4BCF">
            <w:pPr>
              <w:spacing w:before="240" w:line="320" w:lineRule="atLeast"/>
              <w:jc w:val="both"/>
              <w:rPr>
                <w:sz w:val="26"/>
                <w:szCs w:val="20"/>
              </w:rPr>
            </w:pPr>
          </w:p>
          <w:p w:rsidR="00BC4BCF" w:rsidRPr="00BC4BCF" w:rsidRDefault="00BC4BCF" w:rsidP="00BC4BCF">
            <w:pPr>
              <w:spacing w:before="240" w:line="320" w:lineRule="atLeast"/>
              <w:jc w:val="both"/>
              <w:rPr>
                <w:sz w:val="26"/>
                <w:szCs w:val="20"/>
              </w:rPr>
            </w:pPr>
          </w:p>
          <w:p w:rsidR="00BC4BCF" w:rsidRPr="00BC4BCF" w:rsidRDefault="00BC4BCF" w:rsidP="00BC4BCF">
            <w:pPr>
              <w:spacing w:before="240" w:line="320" w:lineRule="atLeast"/>
              <w:jc w:val="both"/>
              <w:rPr>
                <w:sz w:val="26"/>
                <w:szCs w:val="20"/>
              </w:rPr>
            </w:pPr>
          </w:p>
          <w:p w:rsidR="00BC4BCF" w:rsidRPr="00BC4BCF" w:rsidRDefault="00BC4BCF" w:rsidP="00BC4BCF">
            <w:pPr>
              <w:spacing w:before="240" w:line="320" w:lineRule="atLeast"/>
              <w:jc w:val="both"/>
              <w:rPr>
                <w:sz w:val="26"/>
                <w:szCs w:val="20"/>
              </w:rPr>
            </w:pPr>
          </w:p>
          <w:p w:rsidR="00BC4BCF" w:rsidRPr="00BC4BCF" w:rsidRDefault="00BC4BCF" w:rsidP="00BC4BCF">
            <w:pPr>
              <w:spacing w:before="240" w:line="320" w:lineRule="atLeast"/>
              <w:jc w:val="both"/>
              <w:rPr>
                <w:sz w:val="26"/>
                <w:szCs w:val="20"/>
              </w:rPr>
            </w:pPr>
          </w:p>
          <w:p w:rsidR="00BC4BCF" w:rsidRPr="00BC4BCF" w:rsidRDefault="00BC4BCF" w:rsidP="00BC4BCF">
            <w:pPr>
              <w:spacing w:before="240" w:line="320" w:lineRule="atLeast"/>
              <w:jc w:val="both"/>
              <w:rPr>
                <w:sz w:val="26"/>
                <w:szCs w:val="20"/>
              </w:rPr>
            </w:pPr>
          </w:p>
          <w:p w:rsidR="00BC4BCF" w:rsidRPr="00BC4BCF" w:rsidRDefault="00BC4BCF" w:rsidP="00BC4BCF">
            <w:pPr>
              <w:spacing w:before="240" w:line="320" w:lineRule="atLeast"/>
              <w:jc w:val="both"/>
              <w:rPr>
                <w:b/>
                <w:sz w:val="132"/>
                <w:szCs w:val="132"/>
              </w:rPr>
            </w:pPr>
            <w:r w:rsidRPr="00BC4BCF">
              <w:rPr>
                <w:b/>
                <w:sz w:val="132"/>
                <w:szCs w:val="132"/>
              </w:rPr>
              <w:t>”</w:t>
            </w:r>
          </w:p>
        </w:tc>
      </w:tr>
      <w:tr w:rsidR="00BC4BCF" w:rsidRPr="00BC4BCF" w:rsidTr="002C0A29">
        <w:tc>
          <w:tcPr>
            <w:tcW w:w="992" w:type="dxa"/>
            <w:vMerge/>
            <w:shd w:val="clear" w:color="auto" w:fill="auto"/>
          </w:tcPr>
          <w:p w:rsidR="00BC4BCF" w:rsidRPr="00BC4BCF" w:rsidRDefault="00BC4BCF" w:rsidP="00BC4BCF">
            <w:pPr>
              <w:spacing w:before="240" w:line="320" w:lineRule="atLeast"/>
              <w:jc w:val="both"/>
              <w:rPr>
                <w:sz w:val="26"/>
                <w:szCs w:val="20"/>
              </w:rPr>
            </w:pPr>
          </w:p>
        </w:tc>
        <w:tc>
          <w:tcPr>
            <w:tcW w:w="8789" w:type="dxa"/>
            <w:shd w:val="clear" w:color="auto" w:fill="auto"/>
          </w:tcPr>
          <w:p w:rsidR="00BC4BCF" w:rsidRPr="00F91A95" w:rsidRDefault="00BC4BCF" w:rsidP="00BC4BCF">
            <w:pPr>
              <w:pStyle w:val="Jurisdictioncommentsbodytext"/>
            </w:pPr>
            <w:r w:rsidRPr="00F91A95">
              <w:t xml:space="preserve">NSW has an ongoing commitment to deliver high quality vocational education and training (VET) to meet the skill needs of industry and the people of NSW. </w:t>
            </w:r>
            <w:r w:rsidRPr="00F91A95">
              <w:br/>
              <w:t xml:space="preserve">In 2013, 144.4 million hours of training were delivered throughout the state. </w:t>
            </w:r>
          </w:p>
          <w:p w:rsidR="00BC4BCF" w:rsidRPr="00F91A95" w:rsidRDefault="00BC4BCF" w:rsidP="00BC4BCF">
            <w:pPr>
              <w:pStyle w:val="Jurisdictioncommentsbodytext"/>
            </w:pPr>
            <w:r w:rsidRPr="00F91A95">
              <w:t>It is critical that NSW has an educated and skilled workforce to drive a productive and growing economy. The delivery of high quality, accessible and relevant training in NSW continues to support workforce participation and the growth of industry and business. NSW continues to assist young people to gain their first qualifications and support those trying to re-enter the workforce. Training investment needs to be for the right skills for people at the right time to increase productivity and employability. Training should be targeted to respond to the demand for skills in areas of economic importance.</w:t>
            </w:r>
          </w:p>
          <w:p w:rsidR="00BC4BCF" w:rsidRPr="00F91A95" w:rsidRDefault="00BC4BCF" w:rsidP="00BC4BCF">
            <w:pPr>
              <w:pStyle w:val="Jurisdictioncommentsbodytext"/>
            </w:pPr>
            <w:r w:rsidRPr="00F91A95">
              <w:t>The NSW Government is continuing a number of key initiatives to achieve these priorities. The Smart and Skilled reform of the NSW Vocational Education and Training system will enhance the skills of our workforce to meet future demand for jobs. Smart and Skilled will be implemented with an entitlement to government subsidised training commencing from 1 January 2015. This funding is awarded to providers on a contestable basis, ensuring the NSW Government’s investment in VET is used as efficiently as possible and to achieve the best outcomes.</w:t>
            </w:r>
          </w:p>
          <w:p w:rsidR="00BC4BCF" w:rsidRPr="00F91A95" w:rsidRDefault="00BC4BCF" w:rsidP="00BC4BCF">
            <w:pPr>
              <w:pStyle w:val="Jurisdictioncommentsbodytext"/>
            </w:pPr>
            <w:r w:rsidRPr="00F91A95">
              <w:t xml:space="preserve">TAFE NSW is also undergoing reforms, including the separation of TAFE NSW from the Department of Education and Communities from 1 July 2014.  </w:t>
            </w:r>
          </w:p>
          <w:p w:rsidR="00BC4BCF" w:rsidRPr="00F91A95" w:rsidRDefault="00BC4BCF" w:rsidP="00BC4BCF">
            <w:pPr>
              <w:pStyle w:val="Jurisdictioncommentsbodytext"/>
            </w:pPr>
            <w:r w:rsidRPr="00F91A95">
              <w:t xml:space="preserve">Spending in 2014-15 comprises $2.3 billion on vocational education and training, which includes purchasing training through TAFE NSW Institutes and other registered training providers to improve skills and increase higher qualification levels in NSW, and regulating apprenticeships and traineeships. </w:t>
            </w:r>
          </w:p>
          <w:p w:rsidR="00BC4BCF" w:rsidRPr="00F91A95" w:rsidRDefault="00BC4BCF" w:rsidP="00BC4BCF">
            <w:pPr>
              <w:pStyle w:val="Jurisdictioncommentsbodytext"/>
            </w:pPr>
            <w:r w:rsidRPr="00F91A95">
              <w:t>NSW is ensuring that it has an appropriately skilled and educated workforce to support economic growth, strengthen regional and rural economies and to provide ways out of social disadvantage. NSW continues to improve participation and outcomes in higher-level qualifications by disadvantaged groups including Aboriginal people, people from language backgrounds other than English, people with disability and the unemployed. NSW has implemented legislative, policy and administrative arrangements supporting competency</w:t>
            </w:r>
            <w:r>
              <w:noBreakHyphen/>
            </w:r>
            <w:r w:rsidRPr="00F91A95">
              <w:t xml:space="preserve">based completion of apprenticeships and traineeships, allowing more apprentices and trainees to complete their training contracts early. </w:t>
            </w:r>
          </w:p>
          <w:p w:rsidR="00BC4BCF" w:rsidRPr="00BC4BCF" w:rsidRDefault="00BC4BCF" w:rsidP="00B53B8F">
            <w:pPr>
              <w:pStyle w:val="Jurisdictioncommentsbodytext"/>
            </w:pPr>
            <w:r w:rsidRPr="00F91A95">
              <w:t xml:space="preserve">TAFE NSW plays an important role in the NSW Government’s efforts to strengthen the State’s skills base as the public provider of vocational education and training. In 2013, TAFE NSW continued to increase the level of student participation and the number of students graduating with qualifications at Australian Qualifications Framework certificate III to advanced diploma level. TAFE NSW Higher Education also expanded its offerings of qualifications at bachelor degree level. </w:t>
            </w:r>
          </w:p>
        </w:tc>
        <w:tc>
          <w:tcPr>
            <w:tcW w:w="851" w:type="dxa"/>
            <w:vMerge/>
            <w:shd w:val="clear" w:color="auto" w:fill="auto"/>
          </w:tcPr>
          <w:p w:rsidR="00BC4BCF" w:rsidRPr="00BC4BCF" w:rsidRDefault="00BC4BCF" w:rsidP="00BC4BCF">
            <w:pPr>
              <w:spacing w:before="240" w:line="320" w:lineRule="atLeast"/>
              <w:jc w:val="both"/>
              <w:rPr>
                <w:sz w:val="26"/>
                <w:szCs w:val="20"/>
              </w:rPr>
            </w:pPr>
          </w:p>
        </w:tc>
      </w:tr>
      <w:tr w:rsidR="00B53B8F" w:rsidRPr="00BC4BCF" w:rsidTr="002C0A29">
        <w:tc>
          <w:tcPr>
            <w:tcW w:w="992" w:type="dxa"/>
            <w:vMerge w:val="restart"/>
            <w:shd w:val="clear" w:color="auto" w:fill="auto"/>
          </w:tcPr>
          <w:p w:rsidR="00B53B8F" w:rsidRPr="00BC4BCF" w:rsidRDefault="00B53B8F" w:rsidP="00B53B8F">
            <w:pPr>
              <w:spacing w:before="240" w:line="320" w:lineRule="atLeast"/>
              <w:jc w:val="both"/>
              <w:rPr>
                <w:b/>
                <w:sz w:val="132"/>
                <w:szCs w:val="132"/>
              </w:rPr>
            </w:pPr>
            <w:r w:rsidRPr="00BC4BCF">
              <w:rPr>
                <w:b/>
                <w:sz w:val="132"/>
                <w:szCs w:val="132"/>
              </w:rPr>
              <w:lastRenderedPageBreak/>
              <w:t>“</w:t>
            </w:r>
          </w:p>
        </w:tc>
        <w:tc>
          <w:tcPr>
            <w:tcW w:w="8789" w:type="dxa"/>
            <w:shd w:val="clear" w:color="auto" w:fill="auto"/>
          </w:tcPr>
          <w:p w:rsidR="00B53B8F" w:rsidRPr="00BC4BCF" w:rsidRDefault="00D32356" w:rsidP="00B53B8F">
            <w:pPr>
              <w:pStyle w:val="Jurisdictioncommentsheading"/>
            </w:pPr>
            <w:r>
              <w:t>Victorian</w:t>
            </w:r>
            <w:r w:rsidR="00B53B8F" w:rsidRPr="00EF5A5F">
              <w:t xml:space="preserve"> Government</w:t>
            </w:r>
            <w:r w:rsidR="00B53B8F" w:rsidRPr="00BC4BCF">
              <w:t xml:space="preserve"> comments</w:t>
            </w:r>
          </w:p>
        </w:tc>
        <w:tc>
          <w:tcPr>
            <w:tcW w:w="851" w:type="dxa"/>
            <w:vMerge w:val="restart"/>
            <w:shd w:val="clear" w:color="auto" w:fill="auto"/>
          </w:tcPr>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b/>
                <w:sz w:val="132"/>
                <w:szCs w:val="132"/>
              </w:rPr>
            </w:pPr>
            <w:r w:rsidRPr="00BC4BCF">
              <w:rPr>
                <w:b/>
                <w:sz w:val="132"/>
                <w:szCs w:val="132"/>
              </w:rPr>
              <w:t>”</w:t>
            </w:r>
          </w:p>
        </w:tc>
      </w:tr>
      <w:tr w:rsidR="00B53B8F" w:rsidRPr="00BC4BCF" w:rsidTr="002C0A29">
        <w:tc>
          <w:tcPr>
            <w:tcW w:w="992" w:type="dxa"/>
            <w:vMerge/>
            <w:shd w:val="clear" w:color="auto" w:fill="auto"/>
          </w:tcPr>
          <w:p w:rsidR="00B53B8F" w:rsidRPr="00BC4BCF" w:rsidRDefault="00B53B8F" w:rsidP="00B53B8F">
            <w:pPr>
              <w:spacing w:before="240" w:line="320" w:lineRule="atLeast"/>
              <w:jc w:val="both"/>
              <w:rPr>
                <w:sz w:val="26"/>
                <w:szCs w:val="20"/>
              </w:rPr>
            </w:pPr>
          </w:p>
        </w:tc>
        <w:tc>
          <w:tcPr>
            <w:tcW w:w="8789" w:type="dxa"/>
            <w:shd w:val="clear" w:color="auto" w:fill="auto"/>
          </w:tcPr>
          <w:p w:rsidR="007B16FD" w:rsidRDefault="007B16FD" w:rsidP="007B16FD">
            <w:pPr>
              <w:pStyle w:val="Jurisdictioncommentsbodytext"/>
              <w:rPr>
                <w:rFonts w:cs="Arial"/>
                <w:szCs w:val="24"/>
              </w:rPr>
            </w:pPr>
            <w:r w:rsidRPr="00DD58DD">
              <w:rPr>
                <w:rFonts w:cs="Arial"/>
                <w:szCs w:val="24"/>
              </w:rPr>
              <w:t xml:space="preserve">The Victorian training system has undergone sustained </w:t>
            </w:r>
            <w:r>
              <w:rPr>
                <w:rFonts w:cs="Arial"/>
                <w:szCs w:val="24"/>
              </w:rPr>
              <w:t xml:space="preserve">reform over the last 20 years. </w:t>
            </w:r>
            <w:r w:rsidR="000763C4">
              <w:rPr>
                <w:rFonts w:cs="Arial"/>
                <w:szCs w:val="24"/>
              </w:rPr>
              <w:t>The VET system is vital to equip our workforce with the skills it needs and to build a strong economy. The Victorian government is reviewing VET funding arrangements to ensure a stable and sustainable sector.</w:t>
            </w:r>
          </w:p>
          <w:p w:rsidR="007B16FD" w:rsidRDefault="00307661" w:rsidP="007B16FD">
            <w:pPr>
              <w:pStyle w:val="Jurisdictioncommentsbodytext"/>
              <w:rPr>
                <w:rFonts w:cs="Arial"/>
                <w:szCs w:val="24"/>
              </w:rPr>
            </w:pPr>
            <w:r>
              <w:rPr>
                <w:rFonts w:cs="Arial"/>
                <w:szCs w:val="24"/>
              </w:rPr>
              <w:t>T</w:t>
            </w:r>
            <w:r w:rsidR="007B16FD" w:rsidRPr="00DD58DD">
              <w:rPr>
                <w:rFonts w:cs="Arial"/>
                <w:szCs w:val="24"/>
              </w:rPr>
              <w:t xml:space="preserve">he Victorian training system has </w:t>
            </w:r>
            <w:r w:rsidR="007B16FD">
              <w:rPr>
                <w:rFonts w:cs="Arial"/>
                <w:szCs w:val="24"/>
              </w:rPr>
              <w:t>12.6 per cent of 15–64 year olds participating in publicly funded vocational education and training which is higher than the Australian average of 9.4</w:t>
            </w:r>
            <w:r w:rsidR="007B16FD" w:rsidRPr="00DD58DD">
              <w:rPr>
                <w:rFonts w:cs="Arial"/>
                <w:szCs w:val="24"/>
              </w:rPr>
              <w:t xml:space="preserve"> per cent.</w:t>
            </w:r>
            <w:r w:rsidR="007B16FD">
              <w:rPr>
                <w:rFonts w:cs="Arial"/>
                <w:szCs w:val="24"/>
              </w:rPr>
              <w:t xml:space="preserve"> This high participation rate has been driven by significant increases in students engaging in training. In 2013 there were 498</w:t>
            </w:r>
            <w:r w:rsidR="00272EDB">
              <w:rPr>
                <w:rFonts w:cs="Arial"/>
                <w:szCs w:val="24"/>
              </w:rPr>
              <w:t> </w:t>
            </w:r>
            <w:r w:rsidR="007B16FD">
              <w:rPr>
                <w:rFonts w:cs="Arial"/>
                <w:szCs w:val="24"/>
              </w:rPr>
              <w:t>100 students enrolled in government funded training, higher than any other jurisdiction. In addition, Victoria has 22.4 per cent of 15–64 year old Aboriginal and Torres Strait Islander students participating in vocational education and training which is the highest in the country. More than half of these students are enrolled in Certificate III or above qualifications.</w:t>
            </w:r>
          </w:p>
          <w:p w:rsidR="007B16FD" w:rsidRDefault="007B16FD" w:rsidP="00A5560F">
            <w:pPr>
              <w:pStyle w:val="Jurisdictioncommentsbodytext"/>
              <w:shd w:val="clear" w:color="auto" w:fill="FFFFFF" w:themeFill="background1"/>
              <w:rPr>
                <w:rFonts w:cs="Arial"/>
                <w:szCs w:val="24"/>
              </w:rPr>
            </w:pPr>
            <w:r>
              <w:rPr>
                <w:rFonts w:cs="Arial"/>
                <w:szCs w:val="24"/>
              </w:rPr>
              <w:t xml:space="preserve">The Victorian training system works in partnership with employers and industry and encourages </w:t>
            </w:r>
            <w:r w:rsidRPr="00DD58DD">
              <w:rPr>
                <w:rFonts w:cs="Arial"/>
                <w:szCs w:val="24"/>
              </w:rPr>
              <w:t xml:space="preserve">feedback on occupations that are facing critical skill shortages or have high </w:t>
            </w:r>
            <w:r w:rsidRPr="00A5560F">
              <w:rPr>
                <w:rFonts w:cs="Arial"/>
                <w:szCs w:val="24"/>
                <w:shd w:val="clear" w:color="auto" w:fill="FFFFFF" w:themeFill="background1"/>
              </w:rPr>
              <w:t xml:space="preserve">economic value but have long lead times for developing the required skills. </w:t>
            </w:r>
            <w:r w:rsidR="007B01C6" w:rsidRPr="00A5560F">
              <w:rPr>
                <w:rFonts w:cs="Arial"/>
                <w:szCs w:val="24"/>
                <w:shd w:val="clear" w:color="auto" w:fill="FFFFFF" w:themeFill="background1"/>
              </w:rPr>
              <w:t>Consequently the Victorian training system prioritises and supports</w:t>
            </w:r>
            <w:r w:rsidRPr="00A5560F">
              <w:rPr>
                <w:rFonts w:cs="Arial"/>
                <w:szCs w:val="24"/>
                <w:shd w:val="clear" w:color="auto" w:fill="FFFFFF" w:themeFill="background1"/>
              </w:rPr>
              <w:t xml:space="preserve"> government subsidised enrolments in occupations and skill areas that are forecast to grow (in both employment share and output).</w:t>
            </w:r>
          </w:p>
          <w:p w:rsidR="007B16FD" w:rsidRPr="00B11090" w:rsidRDefault="007B16FD" w:rsidP="007B16FD">
            <w:pPr>
              <w:pStyle w:val="Jurisdictioncommentsbodytext"/>
              <w:rPr>
                <w:rFonts w:cs="Arial"/>
                <w:szCs w:val="24"/>
              </w:rPr>
            </w:pPr>
            <w:r w:rsidRPr="00B11090">
              <w:rPr>
                <w:rFonts w:cs="Arial"/>
                <w:szCs w:val="24"/>
              </w:rPr>
              <w:t>A key measure of improvement of economic opportunities for Victorians is the proportion of the population that have a Certificate III or higher qualification, or who are emp</w:t>
            </w:r>
            <w:r>
              <w:rPr>
                <w:rFonts w:cs="Arial"/>
                <w:szCs w:val="24"/>
              </w:rPr>
              <w:t xml:space="preserve">loyed in a skilled occupation. Sixty per cent of vocational education and training students were participating in Certificate III or IV qualifications. </w:t>
            </w:r>
          </w:p>
          <w:p w:rsidR="00B53B8F" w:rsidRPr="00796270" w:rsidRDefault="007B16FD" w:rsidP="00B53B8F">
            <w:pPr>
              <w:pStyle w:val="Jurisdictioncommentsbodytext"/>
              <w:rPr>
                <w:rFonts w:cs="Arial"/>
                <w:szCs w:val="24"/>
              </w:rPr>
            </w:pPr>
            <w:r w:rsidRPr="00DD58DD">
              <w:rPr>
                <w:rFonts w:cs="Arial"/>
                <w:szCs w:val="24"/>
              </w:rPr>
              <w:t xml:space="preserve">The number of Victorians who are undertaking training to help them overcome barriers to workforce participation continues to grow. </w:t>
            </w:r>
            <w:r>
              <w:rPr>
                <w:rFonts w:cs="Arial"/>
                <w:szCs w:val="24"/>
              </w:rPr>
              <w:t>In the first six months of 2014, local Victorian data highlights that there were</w:t>
            </w:r>
            <w:r w:rsidRPr="00DD58DD">
              <w:rPr>
                <w:rFonts w:cs="Arial"/>
                <w:szCs w:val="24"/>
              </w:rPr>
              <w:t xml:space="preserve"> </w:t>
            </w:r>
            <w:r>
              <w:rPr>
                <w:rFonts w:cs="Arial"/>
                <w:szCs w:val="24"/>
              </w:rPr>
              <w:t>165 500</w:t>
            </w:r>
            <w:r w:rsidRPr="00DD58DD">
              <w:rPr>
                <w:rFonts w:cs="Arial"/>
                <w:szCs w:val="24"/>
              </w:rPr>
              <w:t xml:space="preserve"> </w:t>
            </w:r>
            <w:r>
              <w:rPr>
                <w:rFonts w:cs="Arial"/>
                <w:szCs w:val="24"/>
              </w:rPr>
              <w:t>students (53 per cent) in government subsidised training who were</w:t>
            </w:r>
            <w:r w:rsidRPr="00DD58DD">
              <w:rPr>
                <w:rFonts w:cs="Arial"/>
                <w:szCs w:val="24"/>
              </w:rPr>
              <w:t xml:space="preserve"> </w:t>
            </w:r>
            <w:r>
              <w:rPr>
                <w:rFonts w:cs="Arial"/>
                <w:szCs w:val="24"/>
              </w:rPr>
              <w:t>Aboriginal or Torres Strait Islander people</w:t>
            </w:r>
            <w:r w:rsidRPr="00DD58DD">
              <w:rPr>
                <w:rFonts w:cs="Arial"/>
                <w:szCs w:val="24"/>
              </w:rPr>
              <w:t xml:space="preserve">, disabled, </w:t>
            </w:r>
            <w:r>
              <w:rPr>
                <w:rFonts w:cs="Arial"/>
                <w:szCs w:val="24"/>
              </w:rPr>
              <w:t>unemployed or</w:t>
            </w:r>
            <w:r w:rsidRPr="00DD58DD">
              <w:rPr>
                <w:rFonts w:cs="Arial"/>
                <w:szCs w:val="24"/>
              </w:rPr>
              <w:t xml:space="preserve"> culturally and linguistically divers</w:t>
            </w:r>
            <w:r>
              <w:rPr>
                <w:rFonts w:cs="Arial"/>
                <w:szCs w:val="24"/>
              </w:rPr>
              <w:t xml:space="preserve">e (or a combination of these characteristics). </w:t>
            </w:r>
            <w:r w:rsidRPr="00DD58DD">
              <w:rPr>
                <w:rFonts w:cs="Arial"/>
                <w:szCs w:val="24"/>
              </w:rPr>
              <w:t>This is</w:t>
            </w:r>
            <w:r>
              <w:rPr>
                <w:rFonts w:cs="Arial"/>
                <w:szCs w:val="24"/>
              </w:rPr>
              <w:t xml:space="preserve"> 10</w:t>
            </w:r>
            <w:r w:rsidRPr="00DD58DD">
              <w:rPr>
                <w:rFonts w:cs="Arial"/>
                <w:szCs w:val="24"/>
              </w:rPr>
              <w:t xml:space="preserve"> per cent more than</w:t>
            </w:r>
            <w:r>
              <w:rPr>
                <w:rFonts w:cs="Arial"/>
                <w:szCs w:val="24"/>
              </w:rPr>
              <w:t xml:space="preserve"> the same time in 2013, which indicates that this is an ongoing trend. About 89 000 of these students were unemployed and the training that they undertook will assist them in overcoming their barriers to employment.</w:t>
            </w:r>
            <w:bookmarkStart w:id="15" w:name="_GoBack"/>
            <w:bookmarkEnd w:id="15"/>
          </w:p>
        </w:tc>
        <w:tc>
          <w:tcPr>
            <w:tcW w:w="851" w:type="dxa"/>
            <w:vMerge/>
            <w:shd w:val="clear" w:color="auto" w:fill="auto"/>
          </w:tcPr>
          <w:p w:rsidR="00B53B8F" w:rsidRPr="00BC4BCF" w:rsidRDefault="00B53B8F" w:rsidP="00B53B8F">
            <w:pPr>
              <w:spacing w:before="240" w:line="320" w:lineRule="atLeast"/>
              <w:jc w:val="both"/>
              <w:rPr>
                <w:sz w:val="26"/>
                <w:szCs w:val="20"/>
              </w:rPr>
            </w:pPr>
          </w:p>
        </w:tc>
      </w:tr>
    </w:tbl>
    <w:p w:rsidR="00B53B8F" w:rsidRDefault="00B53B8F" w:rsidP="00B53B8F">
      <w:r>
        <w:br w:type="page"/>
      </w:r>
    </w:p>
    <w:tbl>
      <w:tblPr>
        <w:tblW w:w="0" w:type="auto"/>
        <w:tblInd w:w="-885" w:type="dxa"/>
        <w:tblLayout w:type="fixed"/>
        <w:tblLook w:val="01E0" w:firstRow="1" w:lastRow="1" w:firstColumn="1" w:lastColumn="1" w:noHBand="0" w:noVBand="0"/>
      </w:tblPr>
      <w:tblGrid>
        <w:gridCol w:w="992"/>
        <w:gridCol w:w="8789"/>
        <w:gridCol w:w="851"/>
      </w:tblGrid>
      <w:tr w:rsidR="00B53B8F" w:rsidRPr="00BC4BCF" w:rsidTr="00B53B8F">
        <w:tc>
          <w:tcPr>
            <w:tcW w:w="992" w:type="dxa"/>
            <w:vMerge w:val="restart"/>
            <w:shd w:val="clear" w:color="auto" w:fill="auto"/>
          </w:tcPr>
          <w:p w:rsidR="00B53B8F" w:rsidRPr="00BC4BCF" w:rsidRDefault="00B53B8F" w:rsidP="00B53B8F">
            <w:pPr>
              <w:spacing w:before="240" w:line="320" w:lineRule="atLeast"/>
              <w:jc w:val="both"/>
              <w:rPr>
                <w:b/>
                <w:sz w:val="132"/>
                <w:szCs w:val="132"/>
              </w:rPr>
            </w:pPr>
            <w:r w:rsidRPr="00BC4BCF">
              <w:rPr>
                <w:b/>
                <w:sz w:val="132"/>
                <w:szCs w:val="132"/>
              </w:rPr>
              <w:lastRenderedPageBreak/>
              <w:t>“</w:t>
            </w:r>
          </w:p>
        </w:tc>
        <w:tc>
          <w:tcPr>
            <w:tcW w:w="8789" w:type="dxa"/>
            <w:shd w:val="clear" w:color="auto" w:fill="auto"/>
          </w:tcPr>
          <w:p w:rsidR="00B53B8F" w:rsidRPr="00BC4BCF" w:rsidRDefault="00D32356" w:rsidP="00B53B8F">
            <w:pPr>
              <w:pStyle w:val="Jurisdictioncommentsheading"/>
            </w:pPr>
            <w:r>
              <w:t>Queensland</w:t>
            </w:r>
            <w:r w:rsidR="00B53B8F" w:rsidRPr="00EF5A5F">
              <w:t xml:space="preserve"> Government</w:t>
            </w:r>
            <w:r w:rsidR="00B53B8F" w:rsidRPr="00BC4BCF">
              <w:t xml:space="preserve"> comments</w:t>
            </w:r>
          </w:p>
        </w:tc>
        <w:tc>
          <w:tcPr>
            <w:tcW w:w="851" w:type="dxa"/>
            <w:vMerge w:val="restart"/>
            <w:shd w:val="clear" w:color="auto" w:fill="auto"/>
          </w:tcPr>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Default="00B53B8F" w:rsidP="00B53B8F">
            <w:pPr>
              <w:spacing w:before="240" w:line="320" w:lineRule="atLeast"/>
              <w:jc w:val="both"/>
              <w:rPr>
                <w:sz w:val="26"/>
                <w:szCs w:val="20"/>
              </w:rPr>
            </w:pPr>
          </w:p>
          <w:p w:rsidR="002C0A29" w:rsidRPr="00BC4BCF" w:rsidRDefault="002C0A29"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b/>
                <w:sz w:val="132"/>
                <w:szCs w:val="132"/>
              </w:rPr>
            </w:pPr>
            <w:r w:rsidRPr="00BC4BCF">
              <w:rPr>
                <w:b/>
                <w:sz w:val="132"/>
                <w:szCs w:val="132"/>
              </w:rPr>
              <w:t>”</w:t>
            </w:r>
          </w:p>
        </w:tc>
      </w:tr>
      <w:tr w:rsidR="00B53B8F" w:rsidRPr="00BC4BCF" w:rsidTr="00B53B8F">
        <w:tc>
          <w:tcPr>
            <w:tcW w:w="992" w:type="dxa"/>
            <w:vMerge/>
            <w:shd w:val="clear" w:color="auto" w:fill="auto"/>
          </w:tcPr>
          <w:p w:rsidR="00B53B8F" w:rsidRPr="00BC4BCF" w:rsidRDefault="00B53B8F" w:rsidP="00B53B8F">
            <w:pPr>
              <w:spacing w:before="240" w:line="320" w:lineRule="atLeast"/>
              <w:jc w:val="both"/>
              <w:rPr>
                <w:sz w:val="26"/>
                <w:szCs w:val="20"/>
              </w:rPr>
            </w:pPr>
          </w:p>
        </w:tc>
        <w:tc>
          <w:tcPr>
            <w:tcW w:w="8789" w:type="dxa"/>
            <w:shd w:val="clear" w:color="auto" w:fill="auto"/>
          </w:tcPr>
          <w:p w:rsidR="007B16FD" w:rsidRDefault="007B16FD" w:rsidP="007B16FD">
            <w:pPr>
              <w:pStyle w:val="Jurisdictioncommentsbodytext"/>
            </w:pPr>
            <w:r>
              <w:t xml:space="preserve">The Queensland Government is continuing to deliver on its promise to grow a four pillar economy (based on tourism, agriculture, resources and construction) and reduce unemployment in the State. </w:t>
            </w:r>
          </w:p>
          <w:p w:rsidR="007B16FD" w:rsidRPr="0037168B" w:rsidRDefault="007B16FD" w:rsidP="007B16FD">
            <w:pPr>
              <w:pStyle w:val="Jurisdictioncommentsbodytext"/>
            </w:pPr>
            <w:r>
              <w:t>Commencing in July 2013, t</w:t>
            </w:r>
            <w:r w:rsidRPr="007F7A2F">
              <w:t>he Queensland Government's five year action plan for further education and training</w:t>
            </w:r>
            <w:r>
              <w:t xml:space="preserve">, </w:t>
            </w:r>
            <w:r w:rsidRPr="007F7A2F">
              <w:rPr>
                <w:i/>
              </w:rPr>
              <w:t>Great skills. Real opportunities</w:t>
            </w:r>
            <w:r>
              <w:rPr>
                <w:i/>
              </w:rPr>
              <w:t>.,</w:t>
            </w:r>
            <w:r w:rsidRPr="007F7A2F">
              <w:t xml:space="preserve"> </w:t>
            </w:r>
            <w:r w:rsidRPr="0037168B">
              <w:t>introduced significant reforms to support Queenslanders to access fully contestabl</w:t>
            </w:r>
            <w:r>
              <w:t>y</w:t>
            </w:r>
            <w:r w:rsidRPr="0037168B">
              <w:t xml:space="preserve"> delivered training that is a priority for industry and linked to employment. In turn, the changes are driving labour market productivity and individuals are reaping the benefits that come from employment and social inclusion.</w:t>
            </w:r>
          </w:p>
          <w:p w:rsidR="007B16FD" w:rsidRPr="0037168B" w:rsidRDefault="007B16FD" w:rsidP="007B16FD">
            <w:pPr>
              <w:pStyle w:val="Jurisdictioncommentsbodytext"/>
            </w:pPr>
            <w:r w:rsidRPr="0037168B">
              <w:t>The most significant reform is the shift to a demand driven system where government subsidies focus on 455 qualifications linked to skills shortages</w:t>
            </w:r>
            <w:r>
              <w:t xml:space="preserve"> based on advice from industry</w:t>
            </w:r>
            <w:r w:rsidRPr="0037168B">
              <w:t xml:space="preserve">. </w:t>
            </w:r>
          </w:p>
          <w:p w:rsidR="007B16FD" w:rsidRPr="0037168B" w:rsidRDefault="007B16FD" w:rsidP="007B16FD">
            <w:pPr>
              <w:pStyle w:val="Jurisdictioncommentsbodytext"/>
            </w:pPr>
            <w:r w:rsidRPr="0037168B">
              <w:t xml:space="preserve">The Ministerial Industry Commission was established to engage industry and employers in a partnership with government to ensure a more direct match between training and employment. The </w:t>
            </w:r>
            <w:r>
              <w:t>Commission</w:t>
            </w:r>
            <w:r w:rsidRPr="0037168B">
              <w:t xml:space="preserve"> provides advice to </w:t>
            </w:r>
            <w:r>
              <w:t>the Minister for Education, Training and Employment</w:t>
            </w:r>
            <w:r w:rsidRPr="0037168B">
              <w:t xml:space="preserve"> about skills priorities </w:t>
            </w:r>
            <w:r>
              <w:t>that</w:t>
            </w:r>
            <w:r w:rsidRPr="0037168B">
              <w:t xml:space="preserve"> informs Government’s investment in training and </w:t>
            </w:r>
            <w:r>
              <w:t>helps set</w:t>
            </w:r>
            <w:r w:rsidRPr="0037168B">
              <w:t xml:space="preserve"> funding priorities. </w:t>
            </w:r>
          </w:p>
          <w:p w:rsidR="007B16FD" w:rsidRPr="007F7A2F" w:rsidRDefault="007B16FD" w:rsidP="007B16FD">
            <w:pPr>
              <w:pStyle w:val="Jurisdictioncommentsbodytext"/>
            </w:pPr>
            <w:r w:rsidRPr="0037168B">
              <w:t xml:space="preserve">The </w:t>
            </w:r>
            <w:r w:rsidRPr="009C14E9">
              <w:rPr>
                <w:i/>
              </w:rPr>
              <w:t>2014-15 Annual VET Investment Plan</w:t>
            </w:r>
            <w:r w:rsidRPr="0037168B">
              <w:t xml:space="preserve"> outlines funding arran</w:t>
            </w:r>
            <w:r>
              <w:t>gements and training priorities</w:t>
            </w:r>
            <w:r w:rsidRPr="009C14E9">
              <w:t>.</w:t>
            </w:r>
            <w:r>
              <w:t xml:space="preserve"> It implements a new vocational education and training (VET) investment framework for Queensland that focuses on training for employment outcomes; delivers full contestability; and recognises industry’s role in supporting government to establish VET investment priorities.</w:t>
            </w:r>
          </w:p>
          <w:p w:rsidR="007B16FD" w:rsidRDefault="007B16FD" w:rsidP="007B16FD">
            <w:pPr>
              <w:pStyle w:val="Jurisdictioncommentsbodytext"/>
            </w:pPr>
            <w:r w:rsidRPr="0031797E">
              <w:t xml:space="preserve">The first stage of opening up the training market to full contestability in Queensland commenced in July 2013 with a pool of $300 million, including a new $42 million </w:t>
            </w:r>
            <w:r>
              <w:t>allocation to</w:t>
            </w:r>
            <w:r w:rsidRPr="00915C8B">
              <w:t xml:space="preserve"> support the introduction of the Certificate </w:t>
            </w:r>
            <w:r>
              <w:t>3</w:t>
            </w:r>
            <w:r w:rsidRPr="00915C8B">
              <w:t xml:space="preserve"> Guarantee</w:t>
            </w:r>
            <w:r>
              <w:t>.</w:t>
            </w:r>
          </w:p>
          <w:p w:rsidR="007B16FD" w:rsidRDefault="007B16FD" w:rsidP="007B16FD">
            <w:pPr>
              <w:pStyle w:val="Jurisdictioncommentsbodytext"/>
            </w:pPr>
            <w:r w:rsidRPr="0031797E">
              <w:t>Early indications are that training delivered under the new allocation more than doubled participation compared with the previous year, with more than 36</w:t>
            </w:r>
            <w:r>
              <w:t> </w:t>
            </w:r>
            <w:r w:rsidRPr="0031797E">
              <w:t>000</w:t>
            </w:r>
            <w:r>
              <w:t> </w:t>
            </w:r>
            <w:r w:rsidRPr="0031797E">
              <w:t>training places provided in 2013-14 compared with 14</w:t>
            </w:r>
            <w:r>
              <w:t> </w:t>
            </w:r>
            <w:r w:rsidRPr="0031797E">
              <w:t>700 places in 2012-13. In addition, qualification completions more than doubled, with 12</w:t>
            </w:r>
            <w:r>
              <w:t> </w:t>
            </w:r>
            <w:r w:rsidRPr="0031797E">
              <w:t>200</w:t>
            </w:r>
            <w:r>
              <w:t> </w:t>
            </w:r>
            <w:r w:rsidRPr="0031797E">
              <w:t>complet</w:t>
            </w:r>
            <w:r>
              <w:t>ions in 2013-14 compared with 4</w:t>
            </w:r>
            <w:r w:rsidRPr="0031797E">
              <w:t>700 the year before.</w:t>
            </w:r>
          </w:p>
          <w:p w:rsidR="00B53B8F" w:rsidRPr="00BC4BCF" w:rsidRDefault="007B16FD" w:rsidP="007B16FD">
            <w:pPr>
              <w:pStyle w:val="Jurisdictioncommentsbodytext"/>
            </w:pPr>
            <w:r w:rsidRPr="0037168B">
              <w:t xml:space="preserve">The </w:t>
            </w:r>
            <w:r w:rsidRPr="00B700DC">
              <w:rPr>
                <w:i/>
              </w:rPr>
              <w:t xml:space="preserve">Further </w:t>
            </w:r>
            <w:r>
              <w:rPr>
                <w:i/>
              </w:rPr>
              <w:t>Education and Training Act 2014</w:t>
            </w:r>
            <w:r w:rsidRPr="0037168B">
              <w:t>, which came into effect from 1 July 2014, revitalised the apprenticeship and traineeship system in Queensland, removing barriers to engaging apprentices and trainees. The legislative reforms also harmonised Queensland regulation with other jurisdictions and updated the regulatory framework to reflect current practice.</w:t>
            </w:r>
          </w:p>
        </w:tc>
        <w:tc>
          <w:tcPr>
            <w:tcW w:w="851" w:type="dxa"/>
            <w:vMerge/>
            <w:shd w:val="clear" w:color="auto" w:fill="auto"/>
          </w:tcPr>
          <w:p w:rsidR="00B53B8F" w:rsidRPr="00BC4BCF" w:rsidRDefault="00B53B8F" w:rsidP="00B53B8F">
            <w:pPr>
              <w:spacing w:before="240" w:line="320" w:lineRule="atLeast"/>
              <w:jc w:val="both"/>
              <w:rPr>
                <w:sz w:val="26"/>
                <w:szCs w:val="20"/>
              </w:rPr>
            </w:pPr>
          </w:p>
        </w:tc>
      </w:tr>
    </w:tbl>
    <w:p w:rsidR="00B53B8F" w:rsidRDefault="00B53B8F" w:rsidP="00B53B8F">
      <w:r>
        <w:br w:type="page"/>
      </w:r>
    </w:p>
    <w:tbl>
      <w:tblPr>
        <w:tblW w:w="0" w:type="auto"/>
        <w:tblInd w:w="-885" w:type="dxa"/>
        <w:tblLayout w:type="fixed"/>
        <w:tblLook w:val="01E0" w:firstRow="1" w:lastRow="1" w:firstColumn="1" w:lastColumn="1" w:noHBand="0" w:noVBand="0"/>
      </w:tblPr>
      <w:tblGrid>
        <w:gridCol w:w="992"/>
        <w:gridCol w:w="8789"/>
        <w:gridCol w:w="851"/>
      </w:tblGrid>
      <w:tr w:rsidR="00B53B8F" w:rsidRPr="00BC4BCF" w:rsidTr="00B53B8F">
        <w:tc>
          <w:tcPr>
            <w:tcW w:w="992" w:type="dxa"/>
            <w:vMerge w:val="restart"/>
            <w:shd w:val="clear" w:color="auto" w:fill="auto"/>
          </w:tcPr>
          <w:p w:rsidR="00B53B8F" w:rsidRPr="00BC4BCF" w:rsidRDefault="00B53B8F" w:rsidP="00B53B8F">
            <w:pPr>
              <w:spacing w:before="240" w:line="320" w:lineRule="atLeast"/>
              <w:jc w:val="both"/>
              <w:rPr>
                <w:b/>
                <w:sz w:val="132"/>
                <w:szCs w:val="132"/>
              </w:rPr>
            </w:pPr>
            <w:r w:rsidRPr="00BC4BCF">
              <w:rPr>
                <w:b/>
                <w:sz w:val="132"/>
                <w:szCs w:val="132"/>
              </w:rPr>
              <w:lastRenderedPageBreak/>
              <w:t>“</w:t>
            </w:r>
          </w:p>
        </w:tc>
        <w:tc>
          <w:tcPr>
            <w:tcW w:w="8789" w:type="dxa"/>
            <w:shd w:val="clear" w:color="auto" w:fill="auto"/>
          </w:tcPr>
          <w:p w:rsidR="00B53B8F" w:rsidRPr="00BC4BCF" w:rsidRDefault="00D32356" w:rsidP="00B53B8F">
            <w:pPr>
              <w:pStyle w:val="Jurisdictioncommentsheading"/>
            </w:pPr>
            <w:r>
              <w:t>Western Australian</w:t>
            </w:r>
            <w:r w:rsidR="00B53B8F" w:rsidRPr="00EF5A5F">
              <w:t xml:space="preserve"> Government</w:t>
            </w:r>
            <w:r w:rsidR="00B53B8F" w:rsidRPr="00BC4BCF">
              <w:t xml:space="preserve"> comments</w:t>
            </w:r>
          </w:p>
        </w:tc>
        <w:tc>
          <w:tcPr>
            <w:tcW w:w="851" w:type="dxa"/>
            <w:vMerge w:val="restart"/>
            <w:shd w:val="clear" w:color="auto" w:fill="auto"/>
          </w:tcPr>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b/>
                <w:sz w:val="132"/>
                <w:szCs w:val="132"/>
              </w:rPr>
            </w:pPr>
            <w:r w:rsidRPr="00BC4BCF">
              <w:rPr>
                <w:b/>
                <w:sz w:val="132"/>
                <w:szCs w:val="132"/>
              </w:rPr>
              <w:t>”</w:t>
            </w:r>
          </w:p>
        </w:tc>
      </w:tr>
      <w:tr w:rsidR="00B53B8F" w:rsidRPr="00BC4BCF" w:rsidTr="00B53B8F">
        <w:tc>
          <w:tcPr>
            <w:tcW w:w="992" w:type="dxa"/>
            <w:vMerge/>
            <w:shd w:val="clear" w:color="auto" w:fill="auto"/>
          </w:tcPr>
          <w:p w:rsidR="00B53B8F" w:rsidRPr="00BC4BCF" w:rsidRDefault="00B53B8F" w:rsidP="00B53B8F">
            <w:pPr>
              <w:spacing w:before="240" w:line="320" w:lineRule="atLeast"/>
              <w:jc w:val="both"/>
              <w:rPr>
                <w:sz w:val="26"/>
                <w:szCs w:val="20"/>
              </w:rPr>
            </w:pPr>
          </w:p>
        </w:tc>
        <w:tc>
          <w:tcPr>
            <w:tcW w:w="8789" w:type="dxa"/>
            <w:shd w:val="clear" w:color="auto" w:fill="auto"/>
          </w:tcPr>
          <w:p w:rsidR="00173B7E" w:rsidRPr="004508BB" w:rsidRDefault="00173B7E" w:rsidP="00173B7E">
            <w:pPr>
              <w:pStyle w:val="Jurisdictioncommentsbodytext"/>
            </w:pPr>
            <w:r w:rsidRPr="004508BB">
              <w:t>Western Australia continues to deliver positive outcomes in Vocational education and training (VET), with high levels of student satisfaction (85.9</w:t>
            </w:r>
            <w:r>
              <w:t xml:space="preserve"> per cent</w:t>
            </w:r>
            <w:r w:rsidRPr="004508BB">
              <w:t>) and graduates employed after study (81.4</w:t>
            </w:r>
            <w:r>
              <w:t xml:space="preserve"> per cent</w:t>
            </w:r>
            <w:r w:rsidRPr="004508BB">
              <w:t>) in 2013. As in previous years, satisfaction of Aboriginal students in Western Australia is particularly high (93</w:t>
            </w:r>
            <w:r>
              <w:t> per cent</w:t>
            </w:r>
            <w:r w:rsidRPr="004508BB">
              <w:t xml:space="preserve"> in 2013). Furthermore 78.2</w:t>
            </w:r>
            <w:r>
              <w:t xml:space="preserve"> per cent</w:t>
            </w:r>
            <w:r w:rsidRPr="004508BB">
              <w:t xml:space="preserve"> of employers of VET graduates reported being satisfied with the skills of their employees. In 2013, 141 409 government funded students were provided with education and training through a network of 331 registered training organisations.</w:t>
            </w:r>
          </w:p>
          <w:p w:rsidR="00173B7E" w:rsidRPr="004508BB" w:rsidRDefault="00173B7E" w:rsidP="00173B7E">
            <w:pPr>
              <w:pStyle w:val="Jurisdictioncommentsbodytext"/>
            </w:pPr>
            <w:r w:rsidRPr="004508BB">
              <w:t xml:space="preserve">Western Australia is committed to delivering its vision that all Western Australians can be part of a skilled workforce to meet the economic and community needs of Western Australia. To this end the Department of Training and Workforce Development embarked upon a comprehensive review of </w:t>
            </w:r>
            <w:r w:rsidRPr="004508BB">
              <w:rPr>
                <w:i/>
              </w:rPr>
              <w:t xml:space="preserve">Skilling WA </w:t>
            </w:r>
            <w:r>
              <w:rPr>
                <w:i/>
              </w:rPr>
              <w:t>—</w:t>
            </w:r>
            <w:r w:rsidRPr="004508BB">
              <w:rPr>
                <w:i/>
              </w:rPr>
              <w:t xml:space="preserve"> A workforce development plan for Western Australia </w:t>
            </w:r>
            <w:r w:rsidRPr="004508BB">
              <w:t>in 2013. Five discussion papers and an economic overview were published to inform the consultation process.</w:t>
            </w:r>
          </w:p>
          <w:p w:rsidR="00173B7E" w:rsidRPr="004508BB" w:rsidRDefault="00173B7E" w:rsidP="00173B7E">
            <w:pPr>
              <w:pStyle w:val="Jurisdictioncommentsbodytext"/>
            </w:pPr>
            <w:r w:rsidRPr="004508BB">
              <w:t xml:space="preserve">State and national reforms have led to significant changes in the WA training sector. In the context of these reforms, the Minister for Training and Workforce Development commissioned an independent review in October 2013 to provide advice on: </w:t>
            </w:r>
          </w:p>
          <w:p w:rsidR="00173B7E" w:rsidRPr="007E444B" w:rsidRDefault="00173B7E" w:rsidP="00173B7E">
            <w:pPr>
              <w:pStyle w:val="Jurisdictioncommentslistbullet"/>
            </w:pPr>
            <w:r w:rsidRPr="007E444B">
              <w:t>a model for the most appropriate level of autonom</w:t>
            </w:r>
            <w:r w:rsidR="00272EDB">
              <w:t>y for State Training Providers</w:t>
            </w:r>
          </w:p>
          <w:p w:rsidR="00173B7E" w:rsidRPr="007E444B" w:rsidRDefault="00173B7E" w:rsidP="00173B7E">
            <w:pPr>
              <w:pStyle w:val="Jurisdictioncommentslistbullet"/>
            </w:pPr>
            <w:r w:rsidRPr="007E444B">
              <w:t>strategies to support the growth of regional State Training Provi</w:t>
            </w:r>
            <w:r w:rsidR="00272EDB">
              <w:t>ders in a more open market</w:t>
            </w:r>
          </w:p>
          <w:p w:rsidR="00173B7E" w:rsidRDefault="00173B7E" w:rsidP="00173B7E">
            <w:pPr>
              <w:pStyle w:val="Jurisdictioncommentslistbullet"/>
            </w:pPr>
            <w:r w:rsidRPr="007E444B">
              <w:t xml:space="preserve">a framework for streamlined information flows from industry and the VET sector to the Minister. </w:t>
            </w:r>
          </w:p>
          <w:p w:rsidR="00B53B8F" w:rsidRPr="00BC4BCF" w:rsidRDefault="00173B7E" w:rsidP="00173B7E">
            <w:pPr>
              <w:pStyle w:val="Jurisdictioncommentsbodytext"/>
            </w:pPr>
            <w:r>
              <w:t xml:space="preserve">Consistent with the National Partnership Agreement on Skills Reform, Western Australia introduced Future Skills WA on 1 January 2014. Future Skills WA is a new way in which the State Government is prioritising and funding training. Under Future Skills WA, eligible students are guaranteed a subsidised training place in more than 600 State priority qualifications, including over 500 apprenticeships and traineeships and more than 80 qualifications on </w:t>
            </w:r>
            <w:r w:rsidRPr="004639E1">
              <w:t>Western Australia’s</w:t>
            </w:r>
            <w:r w:rsidRPr="004639E1">
              <w:rPr>
                <w:i/>
              </w:rPr>
              <w:t xml:space="preserve"> Priority industry qualifications list</w:t>
            </w:r>
            <w:r>
              <w:t>.</w:t>
            </w:r>
          </w:p>
        </w:tc>
        <w:tc>
          <w:tcPr>
            <w:tcW w:w="851" w:type="dxa"/>
            <w:vMerge/>
            <w:shd w:val="clear" w:color="auto" w:fill="auto"/>
          </w:tcPr>
          <w:p w:rsidR="00B53B8F" w:rsidRPr="00BC4BCF" w:rsidRDefault="00B53B8F" w:rsidP="00B53B8F">
            <w:pPr>
              <w:spacing w:before="240" w:line="320" w:lineRule="atLeast"/>
              <w:jc w:val="both"/>
              <w:rPr>
                <w:sz w:val="26"/>
                <w:szCs w:val="20"/>
              </w:rPr>
            </w:pPr>
          </w:p>
        </w:tc>
      </w:tr>
    </w:tbl>
    <w:p w:rsidR="00B53B8F" w:rsidRDefault="00B53B8F" w:rsidP="00B53B8F">
      <w:r>
        <w:br w:type="page"/>
      </w:r>
    </w:p>
    <w:tbl>
      <w:tblPr>
        <w:tblW w:w="10632" w:type="dxa"/>
        <w:tblInd w:w="-885" w:type="dxa"/>
        <w:tblLayout w:type="fixed"/>
        <w:tblLook w:val="01E0" w:firstRow="1" w:lastRow="1" w:firstColumn="1" w:lastColumn="1" w:noHBand="0" w:noVBand="0"/>
      </w:tblPr>
      <w:tblGrid>
        <w:gridCol w:w="992"/>
        <w:gridCol w:w="8789"/>
        <w:gridCol w:w="851"/>
      </w:tblGrid>
      <w:tr w:rsidR="00B53B8F" w:rsidRPr="00BC4BCF" w:rsidTr="002C0A29">
        <w:tc>
          <w:tcPr>
            <w:tcW w:w="992" w:type="dxa"/>
            <w:vMerge w:val="restart"/>
            <w:shd w:val="clear" w:color="auto" w:fill="auto"/>
          </w:tcPr>
          <w:p w:rsidR="00B53B8F" w:rsidRPr="00BC4BCF" w:rsidRDefault="00B53B8F" w:rsidP="00B53B8F">
            <w:pPr>
              <w:spacing w:before="240" w:line="320" w:lineRule="atLeast"/>
              <w:jc w:val="both"/>
              <w:rPr>
                <w:b/>
                <w:sz w:val="132"/>
                <w:szCs w:val="132"/>
              </w:rPr>
            </w:pPr>
            <w:r w:rsidRPr="00BC4BCF">
              <w:rPr>
                <w:b/>
                <w:sz w:val="132"/>
                <w:szCs w:val="132"/>
              </w:rPr>
              <w:lastRenderedPageBreak/>
              <w:t>“</w:t>
            </w:r>
          </w:p>
        </w:tc>
        <w:tc>
          <w:tcPr>
            <w:tcW w:w="8789" w:type="dxa"/>
            <w:shd w:val="clear" w:color="auto" w:fill="auto"/>
          </w:tcPr>
          <w:p w:rsidR="00B53B8F" w:rsidRPr="00BC4BCF" w:rsidRDefault="00D32356" w:rsidP="00B53B8F">
            <w:pPr>
              <w:pStyle w:val="Jurisdictioncommentsheading"/>
            </w:pPr>
            <w:r>
              <w:t>South Australian</w:t>
            </w:r>
            <w:r w:rsidR="00B53B8F" w:rsidRPr="00EF5A5F">
              <w:t xml:space="preserve"> Government</w:t>
            </w:r>
            <w:r w:rsidR="00B53B8F" w:rsidRPr="00BC4BCF">
              <w:t xml:space="preserve"> comments</w:t>
            </w:r>
          </w:p>
        </w:tc>
        <w:tc>
          <w:tcPr>
            <w:tcW w:w="851" w:type="dxa"/>
            <w:vMerge w:val="restart"/>
            <w:shd w:val="clear" w:color="auto" w:fill="auto"/>
          </w:tcPr>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Default="00B53B8F" w:rsidP="00B53B8F">
            <w:pPr>
              <w:spacing w:before="240" w:line="320" w:lineRule="atLeast"/>
              <w:jc w:val="both"/>
              <w:rPr>
                <w:sz w:val="26"/>
                <w:szCs w:val="20"/>
              </w:rPr>
            </w:pPr>
          </w:p>
          <w:p w:rsidR="002C0A29" w:rsidRPr="00BC4BCF" w:rsidRDefault="002C0A29" w:rsidP="00B53B8F">
            <w:pPr>
              <w:spacing w:before="240" w:line="320" w:lineRule="atLeast"/>
              <w:jc w:val="both"/>
              <w:rPr>
                <w:sz w:val="26"/>
                <w:szCs w:val="20"/>
              </w:rPr>
            </w:pPr>
          </w:p>
          <w:p w:rsidR="00B53B8F" w:rsidRPr="00BC4BCF" w:rsidRDefault="00B53B8F" w:rsidP="00B53B8F">
            <w:pPr>
              <w:spacing w:before="240" w:line="320" w:lineRule="atLeast"/>
              <w:jc w:val="both"/>
              <w:rPr>
                <w:b/>
                <w:sz w:val="132"/>
                <w:szCs w:val="132"/>
              </w:rPr>
            </w:pPr>
            <w:r w:rsidRPr="00BC4BCF">
              <w:rPr>
                <w:b/>
                <w:sz w:val="132"/>
                <w:szCs w:val="132"/>
              </w:rPr>
              <w:t>”</w:t>
            </w:r>
          </w:p>
        </w:tc>
      </w:tr>
      <w:tr w:rsidR="00B53B8F" w:rsidRPr="00BC4BCF" w:rsidTr="002C0A29">
        <w:tc>
          <w:tcPr>
            <w:tcW w:w="992" w:type="dxa"/>
            <w:vMerge/>
            <w:shd w:val="clear" w:color="auto" w:fill="auto"/>
          </w:tcPr>
          <w:p w:rsidR="00B53B8F" w:rsidRPr="00BC4BCF" w:rsidRDefault="00B53B8F" w:rsidP="00B53B8F">
            <w:pPr>
              <w:spacing w:before="240" w:line="320" w:lineRule="atLeast"/>
              <w:jc w:val="both"/>
              <w:rPr>
                <w:sz w:val="26"/>
                <w:szCs w:val="20"/>
              </w:rPr>
            </w:pPr>
          </w:p>
        </w:tc>
        <w:tc>
          <w:tcPr>
            <w:tcW w:w="8789" w:type="dxa"/>
            <w:shd w:val="clear" w:color="auto" w:fill="auto"/>
          </w:tcPr>
          <w:p w:rsidR="00173B7E" w:rsidRPr="0088250A" w:rsidRDefault="00173B7E" w:rsidP="00173B7E">
            <w:pPr>
              <w:pStyle w:val="Jurisdictioncommentsbodytext"/>
            </w:pPr>
            <w:r w:rsidRPr="0088250A">
              <w:t xml:space="preserve">2013 marked the first full year of the </w:t>
            </w:r>
            <w:r w:rsidRPr="0088250A">
              <w:rPr>
                <w:i/>
              </w:rPr>
              <w:t xml:space="preserve">Skills for All </w:t>
            </w:r>
            <w:r w:rsidRPr="0088250A">
              <w:t xml:space="preserve">reforms in South Australia following implementation in July 2012. </w:t>
            </w:r>
            <w:r w:rsidRPr="0088250A">
              <w:rPr>
                <w:i/>
              </w:rPr>
              <w:t>Skills for All</w:t>
            </w:r>
            <w:r w:rsidRPr="0088250A">
              <w:t xml:space="preserve"> has supported greater contestability in the VET market and promoted a demand driven training system that meets the needs of students, industry and businesses, and supports the productivity and participation objectives of the state.</w:t>
            </w:r>
          </w:p>
          <w:p w:rsidR="00173B7E" w:rsidRPr="0088250A" w:rsidRDefault="00173B7E" w:rsidP="00173B7E">
            <w:pPr>
              <w:pStyle w:val="Jurisdictioncommentsbodytext"/>
            </w:pPr>
            <w:r w:rsidRPr="0088250A">
              <w:rPr>
                <w:i/>
              </w:rPr>
              <w:t>Skills for All</w:t>
            </w:r>
            <w:r w:rsidRPr="0088250A">
              <w:t xml:space="preserve"> strives to ensure the VET system is closely aligned to strategic industry demand and that public investment is targeted to skill development of greatest benefit to all South Australians.</w:t>
            </w:r>
          </w:p>
          <w:p w:rsidR="00173B7E" w:rsidRPr="0088250A" w:rsidRDefault="00173B7E" w:rsidP="00173B7E">
            <w:pPr>
              <w:pStyle w:val="Jurisdictioncommentsbodytext"/>
            </w:pPr>
            <w:r w:rsidRPr="0088250A">
              <w:t xml:space="preserve">In 2013 </w:t>
            </w:r>
            <w:r w:rsidRPr="0088250A">
              <w:rPr>
                <w:i/>
              </w:rPr>
              <w:t>Skills for All</w:t>
            </w:r>
            <w:r w:rsidRPr="0088250A">
              <w:t xml:space="preserve"> resulted in significant increases in government-funded VET activity when compared to 2012:</w:t>
            </w:r>
          </w:p>
          <w:p w:rsidR="00173B7E" w:rsidRPr="0088250A" w:rsidRDefault="00272EDB" w:rsidP="00173B7E">
            <w:pPr>
              <w:pStyle w:val="Jurisdictioncommentslistbullet"/>
            </w:pPr>
            <w:r>
              <w:t>s</w:t>
            </w:r>
            <w:r w:rsidR="00173B7E" w:rsidRPr="0088250A">
              <w:t>tudent enrolments: increased by 21.9 per cent, from 123 300 to 150 300</w:t>
            </w:r>
          </w:p>
          <w:p w:rsidR="00173B7E" w:rsidRPr="0088250A" w:rsidRDefault="00272EDB" w:rsidP="00173B7E">
            <w:pPr>
              <w:pStyle w:val="Jurisdictioncommentslistbullet"/>
            </w:pPr>
            <w:r>
              <w:t>c</w:t>
            </w:r>
            <w:r w:rsidR="00173B7E" w:rsidRPr="0088250A">
              <w:t>ourse enrolments: increased by 30.0 per cent, from 145 200 to 188 700</w:t>
            </w:r>
          </w:p>
          <w:p w:rsidR="00173B7E" w:rsidRPr="0088250A" w:rsidRDefault="00272EDB" w:rsidP="00173B7E">
            <w:pPr>
              <w:pStyle w:val="Jurisdictioncommentslistbullet"/>
            </w:pPr>
            <w:r>
              <w:t>s</w:t>
            </w:r>
            <w:r w:rsidR="00173B7E" w:rsidRPr="0088250A">
              <w:t>ubject enrolments: increased by 25.3 per cent, from 1 017 400 to 1 336 500</w:t>
            </w:r>
          </w:p>
          <w:p w:rsidR="00173B7E" w:rsidRPr="0088250A" w:rsidRDefault="00272EDB" w:rsidP="00173B7E">
            <w:pPr>
              <w:pStyle w:val="Jurisdictioncommentslistbullet"/>
            </w:pPr>
            <w:r>
              <w:t>h</w:t>
            </w:r>
            <w:r w:rsidR="00173B7E" w:rsidRPr="0088250A">
              <w:t>ours of delivery: increased by 30.9 per cent, from 32 202 100 to 42 157</w:t>
            </w:r>
            <w:r w:rsidR="00173B7E" w:rsidRPr="0088250A">
              <w:rPr>
                <w:sz w:val="22"/>
              </w:rPr>
              <w:t> </w:t>
            </w:r>
            <w:r w:rsidR="00173B7E" w:rsidRPr="0088250A">
              <w:t>300</w:t>
            </w:r>
            <w:r w:rsidR="00173B7E">
              <w:t>.</w:t>
            </w:r>
          </w:p>
          <w:p w:rsidR="00173B7E" w:rsidRPr="0088250A" w:rsidRDefault="00173B7E" w:rsidP="00173B7E">
            <w:pPr>
              <w:pStyle w:val="Jurisdictioncommentsbodytext"/>
            </w:pPr>
            <w:r w:rsidRPr="0088250A">
              <w:t>During 2013 the South Australian government supported people facing training and employment challenges through a number of programs and initiatives, including:</w:t>
            </w:r>
          </w:p>
          <w:p w:rsidR="00173B7E" w:rsidRPr="0088250A" w:rsidRDefault="00173B7E" w:rsidP="00173B7E">
            <w:pPr>
              <w:pStyle w:val="Jurisdictioncommentslistbullet"/>
            </w:pPr>
            <w:r>
              <w:t>s</w:t>
            </w:r>
            <w:r w:rsidRPr="0088250A">
              <w:t>kills for Jobs in Regions, which provided $9.5 million to assist nearly 10 000 people, contributing to regional employment growth by working with regional employers and industry to fill jobs wit</w:t>
            </w:r>
            <w:r>
              <w:t>h local, work-ready job seekers</w:t>
            </w:r>
          </w:p>
          <w:p w:rsidR="00173B7E" w:rsidRPr="0088250A" w:rsidRDefault="00173B7E" w:rsidP="00173B7E">
            <w:pPr>
              <w:pStyle w:val="Jurisdictioncommentslistbullet"/>
            </w:pPr>
            <w:r>
              <w:t>o</w:t>
            </w:r>
            <w:r w:rsidRPr="0088250A">
              <w:t>verseeing a national drive to boost literacy, numeracy and language skills of working-age people through the $1.5 million Foundation Skills Workforce Development Project, designed to increase the skills of trainers, supporting the National Foundation Skills Strategy for Adults</w:t>
            </w:r>
          </w:p>
          <w:p w:rsidR="00173B7E" w:rsidRPr="0088250A" w:rsidRDefault="00173B7E" w:rsidP="00173B7E">
            <w:pPr>
              <w:pStyle w:val="Jurisdictioncommentslistbullet"/>
            </w:pPr>
            <w:r>
              <w:t>b</w:t>
            </w:r>
            <w:r w:rsidRPr="0088250A">
              <w:t>uilding Family Opportunities (</w:t>
            </w:r>
            <w:proofErr w:type="spellStart"/>
            <w:r w:rsidRPr="0088250A">
              <w:t>BFO</w:t>
            </w:r>
            <w:proofErr w:type="spellEnd"/>
            <w:r w:rsidRPr="0088250A">
              <w:t xml:space="preserve">) program, that brings together long-term jobless families, local community organisations, government, and employers to find solutions to complex issues that prevent families from participating in employment. </w:t>
            </w:r>
            <w:proofErr w:type="spellStart"/>
            <w:r w:rsidRPr="0088250A">
              <w:t>BFO</w:t>
            </w:r>
            <w:proofErr w:type="spellEnd"/>
            <w:r w:rsidRPr="0088250A">
              <w:t xml:space="preserve"> assists young people and adults to complete secondary education and/or participate in pre-vocational, learning and skills development programs that lead to employment</w:t>
            </w:r>
          </w:p>
          <w:p w:rsidR="00173B7E" w:rsidRPr="0088250A" w:rsidRDefault="00173B7E" w:rsidP="00173B7E">
            <w:pPr>
              <w:pStyle w:val="Jurisdictioncommentslistbullet"/>
            </w:pPr>
            <w:r>
              <w:t>a</w:t>
            </w:r>
            <w:r w:rsidRPr="0088250A">
              <w:t xml:space="preserve"> suite of initiatives ensuring that Aboriginal VET students and job seekers have the breadth of employability skills needed to be competitive across a range of industries while at the same time provide employers with work-ready Aboriginal people. Over 3 000 Aboriginal people participated in these initiatives, with 870 gaining a job.</w:t>
            </w:r>
          </w:p>
          <w:p w:rsidR="00B53B8F" w:rsidRPr="00BC4BCF" w:rsidRDefault="00173B7E" w:rsidP="00173B7E">
            <w:pPr>
              <w:pStyle w:val="Jurisdictioncommentsbodytext"/>
            </w:pPr>
            <w:r w:rsidRPr="0088250A">
              <w:t>South Australia saw the completion of the $120 million Sustainable Industries Education Centre, and the $38 million Mining and Engineering Centre. These two ﬂagship projects form part of the $240 million rejuvenation of TAFE SA facilities, the biggest investment ever in training infrastructure in South Australia.</w:t>
            </w:r>
          </w:p>
        </w:tc>
        <w:tc>
          <w:tcPr>
            <w:tcW w:w="851" w:type="dxa"/>
            <w:vMerge/>
            <w:shd w:val="clear" w:color="auto" w:fill="auto"/>
          </w:tcPr>
          <w:p w:rsidR="00B53B8F" w:rsidRPr="00BC4BCF" w:rsidRDefault="00B53B8F" w:rsidP="00B53B8F">
            <w:pPr>
              <w:spacing w:before="240" w:line="320" w:lineRule="atLeast"/>
              <w:jc w:val="both"/>
              <w:rPr>
                <w:sz w:val="26"/>
                <w:szCs w:val="20"/>
              </w:rPr>
            </w:pPr>
          </w:p>
        </w:tc>
      </w:tr>
      <w:tr w:rsidR="00B53B8F" w:rsidRPr="00BC4BCF" w:rsidTr="002C0A29">
        <w:tc>
          <w:tcPr>
            <w:tcW w:w="992" w:type="dxa"/>
            <w:vMerge w:val="restart"/>
            <w:shd w:val="clear" w:color="auto" w:fill="auto"/>
          </w:tcPr>
          <w:p w:rsidR="00B53B8F" w:rsidRPr="00BC4BCF" w:rsidRDefault="00B53B8F" w:rsidP="00B53B8F">
            <w:pPr>
              <w:spacing w:before="240" w:line="320" w:lineRule="atLeast"/>
              <w:jc w:val="both"/>
              <w:rPr>
                <w:b/>
                <w:sz w:val="132"/>
                <w:szCs w:val="132"/>
              </w:rPr>
            </w:pPr>
            <w:r w:rsidRPr="00BC4BCF">
              <w:rPr>
                <w:b/>
                <w:sz w:val="132"/>
                <w:szCs w:val="132"/>
              </w:rPr>
              <w:lastRenderedPageBreak/>
              <w:t>“</w:t>
            </w:r>
          </w:p>
        </w:tc>
        <w:tc>
          <w:tcPr>
            <w:tcW w:w="8789" w:type="dxa"/>
            <w:shd w:val="clear" w:color="auto" w:fill="auto"/>
          </w:tcPr>
          <w:p w:rsidR="00B53B8F" w:rsidRPr="00BC4BCF" w:rsidRDefault="00D32356" w:rsidP="00B53B8F">
            <w:pPr>
              <w:pStyle w:val="Jurisdictioncommentsheading"/>
            </w:pPr>
            <w:r>
              <w:t>Tasmanian</w:t>
            </w:r>
            <w:r w:rsidR="00B53B8F" w:rsidRPr="00EF5A5F">
              <w:t xml:space="preserve"> Government</w:t>
            </w:r>
            <w:r w:rsidR="00B53B8F" w:rsidRPr="00BC4BCF">
              <w:t xml:space="preserve"> comments</w:t>
            </w:r>
          </w:p>
        </w:tc>
        <w:tc>
          <w:tcPr>
            <w:tcW w:w="851" w:type="dxa"/>
            <w:vMerge w:val="restart"/>
            <w:shd w:val="clear" w:color="auto" w:fill="auto"/>
          </w:tcPr>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Default="00B53B8F" w:rsidP="00B53B8F">
            <w:pPr>
              <w:spacing w:before="240" w:line="320" w:lineRule="atLeast"/>
              <w:jc w:val="both"/>
              <w:rPr>
                <w:sz w:val="26"/>
                <w:szCs w:val="20"/>
              </w:rPr>
            </w:pPr>
          </w:p>
          <w:p w:rsidR="00922AA8" w:rsidRPr="00BC4BCF" w:rsidRDefault="00922AA8"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b/>
                <w:sz w:val="132"/>
                <w:szCs w:val="132"/>
              </w:rPr>
            </w:pPr>
            <w:r w:rsidRPr="00BC4BCF">
              <w:rPr>
                <w:b/>
                <w:sz w:val="132"/>
                <w:szCs w:val="132"/>
              </w:rPr>
              <w:t>”</w:t>
            </w:r>
          </w:p>
        </w:tc>
      </w:tr>
      <w:tr w:rsidR="00B53B8F" w:rsidRPr="00BC4BCF" w:rsidTr="002C0A29">
        <w:tc>
          <w:tcPr>
            <w:tcW w:w="992" w:type="dxa"/>
            <w:vMerge/>
            <w:shd w:val="clear" w:color="auto" w:fill="auto"/>
          </w:tcPr>
          <w:p w:rsidR="00B53B8F" w:rsidRPr="00BC4BCF" w:rsidRDefault="00B53B8F" w:rsidP="00B53B8F">
            <w:pPr>
              <w:spacing w:before="240" w:line="320" w:lineRule="atLeast"/>
              <w:jc w:val="both"/>
              <w:rPr>
                <w:sz w:val="26"/>
                <w:szCs w:val="20"/>
              </w:rPr>
            </w:pPr>
          </w:p>
        </w:tc>
        <w:tc>
          <w:tcPr>
            <w:tcW w:w="8789" w:type="dxa"/>
            <w:shd w:val="clear" w:color="auto" w:fill="auto"/>
          </w:tcPr>
          <w:p w:rsidR="00173B7E" w:rsidRDefault="00173B7E" w:rsidP="00173B7E">
            <w:pPr>
              <w:pStyle w:val="Jurisdictioncommentsbodytext"/>
            </w:pPr>
            <w:r>
              <w:t xml:space="preserve">On 23 May 2013 the Tasmanian Parliament passed legislation, the </w:t>
            </w:r>
            <w:r>
              <w:rPr>
                <w:i/>
              </w:rPr>
              <w:t>Training and Workforce Development Act 2013</w:t>
            </w:r>
            <w:r>
              <w:t>, to establish a system of training and workforce development that supports a skilled and productive workforce and contributes to economic and social progress in Tasmania. Significant changes to the system as a result of the Act include:</w:t>
            </w:r>
          </w:p>
          <w:p w:rsidR="00173B7E" w:rsidRDefault="00173B7E" w:rsidP="00173B7E">
            <w:pPr>
              <w:pStyle w:val="Jurisdictioncommentslistbullet"/>
            </w:pPr>
            <w:r>
              <w:t xml:space="preserve">the establishment of </w:t>
            </w:r>
            <w:proofErr w:type="spellStart"/>
            <w:r>
              <w:t>TasTAFE</w:t>
            </w:r>
            <w:proofErr w:type="spellEnd"/>
            <w:r>
              <w:t xml:space="preserve"> on 1 July 2013 as Tasmania’s sole public registered training organisation (</w:t>
            </w:r>
            <w:proofErr w:type="spellStart"/>
            <w:r>
              <w:t>RTO</w:t>
            </w:r>
            <w:proofErr w:type="spellEnd"/>
            <w:r>
              <w:t>)</w:t>
            </w:r>
          </w:p>
          <w:p w:rsidR="00173B7E" w:rsidRDefault="00173B7E" w:rsidP="00173B7E">
            <w:pPr>
              <w:pStyle w:val="Jurisdictioncommentslistbullet"/>
            </w:pPr>
            <w:r>
              <w:t>new formalised strategic industry advice arrangements</w:t>
            </w:r>
          </w:p>
          <w:p w:rsidR="00173B7E" w:rsidRDefault="00173B7E" w:rsidP="00173B7E">
            <w:pPr>
              <w:pStyle w:val="Jurisdictioncommentslistbullet"/>
            </w:pPr>
            <w:r>
              <w:t>a greater focus on workforce development.</w:t>
            </w:r>
          </w:p>
          <w:p w:rsidR="00173B7E" w:rsidRDefault="00173B7E" w:rsidP="00173B7E">
            <w:pPr>
              <w:pStyle w:val="Jurisdictioncommentsbodytext"/>
            </w:pPr>
            <w:r>
              <w:t>During 2013:</w:t>
            </w:r>
          </w:p>
          <w:p w:rsidR="00173B7E" w:rsidRDefault="00173B7E" w:rsidP="00173B7E">
            <w:pPr>
              <w:pStyle w:val="Jurisdictioncommentslistbullet"/>
            </w:pPr>
            <w:r>
              <w:t xml:space="preserve">43 </w:t>
            </w:r>
            <w:r w:rsidRPr="00F85122">
              <w:t xml:space="preserve">000 students participated in </w:t>
            </w:r>
            <w:r>
              <w:t xml:space="preserve">Tasmanian VET training, with 29 </w:t>
            </w:r>
            <w:r w:rsidRPr="00F85122">
              <w:t>839 students directly subsidised by government fu</w:t>
            </w:r>
            <w:r>
              <w:t>nding</w:t>
            </w:r>
          </w:p>
          <w:p w:rsidR="00173B7E" w:rsidRDefault="00173B7E" w:rsidP="00173B7E">
            <w:pPr>
              <w:pStyle w:val="Jurisdictioncommentslistbullet"/>
            </w:pPr>
            <w:r>
              <w:t>9545 Tasmanian apprentices and trainees were in training</w:t>
            </w:r>
          </w:p>
          <w:p w:rsidR="00173B7E" w:rsidRDefault="00173B7E" w:rsidP="00173B7E">
            <w:pPr>
              <w:pStyle w:val="Jurisdictioncommentslistbullet"/>
            </w:pPr>
            <w:r w:rsidRPr="00F85122">
              <w:t>1</w:t>
            </w:r>
            <w:r>
              <w:t>3</w:t>
            </w:r>
            <w:r w:rsidR="00272EDB">
              <w:t xml:space="preserve"> per cent</w:t>
            </w:r>
            <w:r>
              <w:t xml:space="preserve"> of working aged Tasmanians participated in VET.</w:t>
            </w:r>
          </w:p>
          <w:p w:rsidR="00173B7E" w:rsidRDefault="00173B7E" w:rsidP="00173B7E">
            <w:pPr>
              <w:pStyle w:val="Jurisdictioncommentsbodytext"/>
            </w:pPr>
            <w:r>
              <w:t xml:space="preserve">In 2013, Tasmania improved contract management protocols linking subsidised training outcomes to State Government policy objectives and priorities. This is delivered through the Endorsed </w:t>
            </w:r>
            <w:proofErr w:type="spellStart"/>
            <w:r>
              <w:t>RTO</w:t>
            </w:r>
            <w:proofErr w:type="spellEnd"/>
            <w:r>
              <w:t xml:space="preserve"> model.</w:t>
            </w:r>
          </w:p>
          <w:p w:rsidR="00173B7E" w:rsidRDefault="00173B7E" w:rsidP="00173B7E">
            <w:pPr>
              <w:pStyle w:val="Jurisdictioncommentsbodytext"/>
            </w:pPr>
            <w:r>
              <w:t>Tasmanian Government is putting in place formal memorandums of understanding (</w:t>
            </w:r>
            <w:proofErr w:type="spellStart"/>
            <w:r>
              <w:t>MOUs</w:t>
            </w:r>
            <w:proofErr w:type="spellEnd"/>
            <w:r>
              <w:t xml:space="preserve">) with Strategic Industry Partners, who are industry associations who are able to provide high-level strategic advice on training and workforce development in Tasmania on behalf of their constituents. In 2013, the first year of the program, five </w:t>
            </w:r>
            <w:proofErr w:type="spellStart"/>
            <w:r>
              <w:t>MOUs</w:t>
            </w:r>
            <w:proofErr w:type="spellEnd"/>
            <w:r>
              <w:t xml:space="preserve"> were signed with</w:t>
            </w:r>
            <w:r w:rsidR="00272EDB">
              <w:t>:</w:t>
            </w:r>
          </w:p>
          <w:p w:rsidR="00173B7E" w:rsidRDefault="00173B7E" w:rsidP="00173B7E">
            <w:pPr>
              <w:pStyle w:val="Jurisdictioncommentslistbullet"/>
            </w:pPr>
            <w:r>
              <w:t>the Tasmanian Chamber of Commerce and Industry</w:t>
            </w:r>
          </w:p>
          <w:p w:rsidR="00173B7E" w:rsidRDefault="00173B7E" w:rsidP="00173B7E">
            <w:pPr>
              <w:pStyle w:val="Jurisdictioncommentslistbullet"/>
            </w:pPr>
            <w:r>
              <w:t>the Tasmanian Building and Construction Industry Training Board</w:t>
            </w:r>
          </w:p>
          <w:p w:rsidR="00173B7E" w:rsidRDefault="00173B7E" w:rsidP="00173B7E">
            <w:pPr>
              <w:pStyle w:val="Jurisdictioncommentslistbullet"/>
            </w:pPr>
            <w:r>
              <w:t>Aged and Community Care, Tasmania</w:t>
            </w:r>
          </w:p>
          <w:p w:rsidR="00173B7E" w:rsidRDefault="00173B7E" w:rsidP="00173B7E">
            <w:pPr>
              <w:pStyle w:val="Jurisdictioncommentslistbullet"/>
            </w:pPr>
            <w:r>
              <w:t>the Tasmanian Seafood Council</w:t>
            </w:r>
          </w:p>
          <w:p w:rsidR="00173B7E" w:rsidRDefault="00173B7E" w:rsidP="00173B7E">
            <w:pPr>
              <w:pStyle w:val="Jurisdictioncommentslistbullet"/>
            </w:pPr>
            <w:r>
              <w:t>the Tasmanian Farmers and Graziers Association.</w:t>
            </w:r>
          </w:p>
          <w:p w:rsidR="00173B7E" w:rsidRDefault="00173B7E" w:rsidP="00173B7E">
            <w:pPr>
              <w:pStyle w:val="Jurisdictioncommentsbodytext"/>
            </w:pPr>
            <w:r>
              <w:t>Tasmania also began two demand-led programs in 2013 to meet the specific needs of Tasmanian businesses:</w:t>
            </w:r>
          </w:p>
          <w:p w:rsidR="00173B7E" w:rsidRDefault="00173B7E" w:rsidP="00173B7E">
            <w:pPr>
              <w:pStyle w:val="Jurisdictioncommentslistbullet"/>
            </w:pPr>
            <w:r>
              <w:t>the Skills Fund, a demand-led competitive program that has been set up to provide Government subsidised training via a range of options for job seekers, existing workers and people who are experiencing barriers to entering the workforce</w:t>
            </w:r>
            <w:r w:rsidR="00513595">
              <w:t>; and</w:t>
            </w:r>
          </w:p>
          <w:p w:rsidR="00B53B8F" w:rsidRPr="00BC4BCF" w:rsidRDefault="00173B7E" w:rsidP="00173B7E">
            <w:pPr>
              <w:pStyle w:val="Jurisdictioncommentslistbullet"/>
            </w:pPr>
            <w:r>
              <w:t>the Rapid Response Skills Initiative, which provides immediate support to retrenched workers and their partners. The Initiative can be used to provide fast training and licencing solutions for immediate job outcomes.</w:t>
            </w:r>
          </w:p>
        </w:tc>
        <w:tc>
          <w:tcPr>
            <w:tcW w:w="851" w:type="dxa"/>
            <w:vMerge/>
            <w:shd w:val="clear" w:color="auto" w:fill="auto"/>
          </w:tcPr>
          <w:p w:rsidR="00B53B8F" w:rsidRPr="00BC4BCF" w:rsidRDefault="00B53B8F" w:rsidP="00B53B8F">
            <w:pPr>
              <w:spacing w:before="240" w:line="320" w:lineRule="atLeast"/>
              <w:jc w:val="both"/>
              <w:rPr>
                <w:sz w:val="26"/>
                <w:szCs w:val="20"/>
              </w:rPr>
            </w:pPr>
          </w:p>
        </w:tc>
      </w:tr>
      <w:tr w:rsidR="00B53B8F" w:rsidRPr="00BC4BCF" w:rsidTr="002C0A29">
        <w:tc>
          <w:tcPr>
            <w:tcW w:w="992" w:type="dxa"/>
            <w:vMerge w:val="restart"/>
            <w:shd w:val="clear" w:color="auto" w:fill="auto"/>
          </w:tcPr>
          <w:p w:rsidR="00B53B8F" w:rsidRPr="00BC4BCF" w:rsidRDefault="00B53B8F" w:rsidP="00B53B8F">
            <w:pPr>
              <w:spacing w:before="240" w:line="320" w:lineRule="atLeast"/>
              <w:jc w:val="both"/>
              <w:rPr>
                <w:b/>
                <w:sz w:val="132"/>
                <w:szCs w:val="132"/>
              </w:rPr>
            </w:pPr>
            <w:r w:rsidRPr="00BC4BCF">
              <w:rPr>
                <w:b/>
                <w:sz w:val="132"/>
                <w:szCs w:val="132"/>
              </w:rPr>
              <w:lastRenderedPageBreak/>
              <w:t>“</w:t>
            </w:r>
          </w:p>
        </w:tc>
        <w:tc>
          <w:tcPr>
            <w:tcW w:w="8789" w:type="dxa"/>
            <w:shd w:val="clear" w:color="auto" w:fill="auto"/>
          </w:tcPr>
          <w:p w:rsidR="00B53B8F" w:rsidRPr="00BC4BCF" w:rsidRDefault="00D32356" w:rsidP="00D32356">
            <w:pPr>
              <w:pStyle w:val="Jurisdictioncommentsheading"/>
            </w:pPr>
            <w:r>
              <w:t>Australian Capital Territory</w:t>
            </w:r>
            <w:r w:rsidR="00B53B8F" w:rsidRPr="00EF5A5F">
              <w:t xml:space="preserve"> Government</w:t>
            </w:r>
            <w:r w:rsidR="00B53B8F" w:rsidRPr="00BC4BCF">
              <w:t xml:space="preserve"> comments</w:t>
            </w:r>
          </w:p>
        </w:tc>
        <w:tc>
          <w:tcPr>
            <w:tcW w:w="851" w:type="dxa"/>
            <w:vMerge w:val="restart"/>
            <w:shd w:val="clear" w:color="auto" w:fill="auto"/>
          </w:tcPr>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b/>
                <w:sz w:val="132"/>
                <w:szCs w:val="132"/>
              </w:rPr>
            </w:pPr>
            <w:r w:rsidRPr="00BC4BCF">
              <w:rPr>
                <w:b/>
                <w:sz w:val="132"/>
                <w:szCs w:val="132"/>
              </w:rPr>
              <w:t>”</w:t>
            </w:r>
          </w:p>
        </w:tc>
      </w:tr>
      <w:tr w:rsidR="00B53B8F" w:rsidRPr="00BC4BCF" w:rsidTr="002C0A29">
        <w:tc>
          <w:tcPr>
            <w:tcW w:w="992" w:type="dxa"/>
            <w:vMerge/>
            <w:shd w:val="clear" w:color="auto" w:fill="auto"/>
          </w:tcPr>
          <w:p w:rsidR="00B53B8F" w:rsidRPr="00BC4BCF" w:rsidRDefault="00B53B8F" w:rsidP="00B53B8F">
            <w:pPr>
              <w:spacing w:before="240" w:line="320" w:lineRule="atLeast"/>
              <w:jc w:val="both"/>
              <w:rPr>
                <w:sz w:val="26"/>
                <w:szCs w:val="20"/>
              </w:rPr>
            </w:pPr>
          </w:p>
        </w:tc>
        <w:tc>
          <w:tcPr>
            <w:tcW w:w="8789" w:type="dxa"/>
            <w:shd w:val="clear" w:color="auto" w:fill="auto"/>
          </w:tcPr>
          <w:p w:rsidR="00173B7E" w:rsidRDefault="00173B7E" w:rsidP="00173B7E">
            <w:pPr>
              <w:pStyle w:val="Jurisdictioncommentsbodytext"/>
            </w:pPr>
            <w:r>
              <w:t>In 2013 the ACT Government continued its commitment to ongoing reforms of the ACT VET system. Central to this reform agenda were strategies to improve access to training in areas of skill demand and industry and community engagement with the VET sector.</w:t>
            </w:r>
          </w:p>
          <w:p w:rsidR="00173B7E" w:rsidRDefault="00173B7E" w:rsidP="00173B7E">
            <w:pPr>
              <w:pStyle w:val="Jurisdictioncommentsbodytext"/>
            </w:pPr>
            <w:r>
              <w:t xml:space="preserve">The Forecasting of Industry Needs and Entitlement (FINE) modelling tool to identify areas of skills shortage within the ACT was developed in 2013. FINE is a dynamic, evidence-based approach to establishing priorities and levels of relative need for all ACT occupations and the VET qualifications typically required for employment in these occupations. FINE informs the </w:t>
            </w:r>
            <w:r w:rsidRPr="00E22C43">
              <w:rPr>
                <w:i/>
              </w:rPr>
              <w:t>ACT Skills Needs List</w:t>
            </w:r>
            <w:r>
              <w:t xml:space="preserve">, developed to ensure that government-subsidised training will be directed towards areas of genuine skills shortages. This list has the added advantage of providing job seekers with information about which qualifications are most likely to lead to employment. FINE and the </w:t>
            </w:r>
            <w:r w:rsidRPr="00E22C43">
              <w:rPr>
                <w:i/>
              </w:rPr>
              <w:t>ACT Skills Needs List</w:t>
            </w:r>
            <w:r>
              <w:t xml:space="preserve"> inform the evidence base for the third avenue of the </w:t>
            </w:r>
            <w:proofErr w:type="spellStart"/>
            <w:r>
              <w:t>ACT’s</w:t>
            </w:r>
            <w:proofErr w:type="spellEnd"/>
            <w:r>
              <w:t xml:space="preserve"> entitlement to training—</w:t>
            </w:r>
            <w:r w:rsidRPr="00E22C43">
              <w:rPr>
                <w:i/>
              </w:rPr>
              <w:t>Skilled Capital</w:t>
            </w:r>
            <w:r>
              <w:t>—designed to contribute towards:</w:t>
            </w:r>
          </w:p>
          <w:p w:rsidR="00173B7E" w:rsidRDefault="00173B7E" w:rsidP="00173B7E">
            <w:pPr>
              <w:pStyle w:val="Jurisdictioncommentslistbullet"/>
            </w:pPr>
            <w:r>
              <w:t xml:space="preserve">removing barriers to participation in VET study </w:t>
            </w:r>
          </w:p>
          <w:p w:rsidR="00173B7E" w:rsidRDefault="00173B7E" w:rsidP="00173B7E">
            <w:pPr>
              <w:pStyle w:val="Jurisdictioncommentslistbullet"/>
            </w:pPr>
            <w:r>
              <w:t xml:space="preserve">increasing participants’ chances of success in achieving a VET qualification </w:t>
            </w:r>
          </w:p>
          <w:p w:rsidR="00173B7E" w:rsidRDefault="00173B7E" w:rsidP="00173B7E">
            <w:pPr>
              <w:pStyle w:val="Jurisdictioncommentslistbullet"/>
            </w:pPr>
            <w:r>
              <w:t>improving graduates’ employment status after training.</w:t>
            </w:r>
          </w:p>
          <w:p w:rsidR="00173B7E" w:rsidRDefault="00173B7E" w:rsidP="00173B7E">
            <w:pPr>
              <w:pStyle w:val="Jurisdictioncommentsbodytext"/>
            </w:pPr>
            <w:r>
              <w:t>The engagement of industry and the community is vital for improving access to VET opportunities. New engagement initiatives implemented by the ACT in 2013 included:</w:t>
            </w:r>
          </w:p>
          <w:p w:rsidR="00173B7E" w:rsidRDefault="00173B7E" w:rsidP="00173B7E">
            <w:pPr>
              <w:pStyle w:val="Jurisdictioncommentslistbullet"/>
            </w:pPr>
            <w:r>
              <w:t>the Better Linkages between Employment and Training Initiative</w:t>
            </w:r>
          </w:p>
          <w:p w:rsidR="00173B7E" w:rsidRDefault="00173B7E" w:rsidP="00173B7E">
            <w:pPr>
              <w:pStyle w:val="Jurisdictioncommentslistbullet"/>
            </w:pPr>
            <w:r>
              <w:t>expansion of the Education and Training Directorate‘s industry liaison function to include field officers</w:t>
            </w:r>
          </w:p>
          <w:p w:rsidR="00173B7E" w:rsidRDefault="00173B7E" w:rsidP="00173B7E">
            <w:pPr>
              <w:pStyle w:val="Jurisdictioncommentslistbullet"/>
            </w:pPr>
            <w:r>
              <w:t>Independent Industry Validation of Assessment Practices pilot projects</w:t>
            </w:r>
          </w:p>
          <w:p w:rsidR="00173B7E" w:rsidRDefault="00173B7E" w:rsidP="00173B7E">
            <w:pPr>
              <w:pStyle w:val="Jurisdictioncommentslistbullet"/>
            </w:pPr>
            <w:r>
              <w:t>industry, employer and community consultations on the FINE model.</w:t>
            </w:r>
          </w:p>
          <w:p w:rsidR="00B53B8F" w:rsidRPr="00BC4BCF" w:rsidRDefault="00173B7E" w:rsidP="00173B7E">
            <w:pPr>
              <w:pStyle w:val="Jurisdictioncommentsbodytext"/>
            </w:pPr>
            <w:r>
              <w:t xml:space="preserve">An indicator of the effectiveness of the ACT VET sector to deliver the skills and capabilities needed for improved economic participation is the employment and further study outcomes for VET graduates. According to NCVER </w:t>
            </w:r>
            <w:r w:rsidRPr="00E22C43">
              <w:rPr>
                <w:i/>
              </w:rPr>
              <w:t>Student Outcomes 2013</w:t>
            </w:r>
            <w:r>
              <w:t>, ACT graduates and module completers report a range of above average employment and further study outcomes. For example, an ACT VET graduate is significantly more likely to be employed after training compared with Australian VET graduates as a whole. The ACT also has consistently higher proportions of module completers enrolling in further study after training. Further, a significantly higher proportion of VET students report being employed or in further study six months after completing qualifications at the Canberra Institute of Technology, compared with TAFE graduates across Australia. The continuing challenge for the ACT is to sustain and improve on the good employment outcomes for its VET graduates.</w:t>
            </w:r>
          </w:p>
        </w:tc>
        <w:tc>
          <w:tcPr>
            <w:tcW w:w="851" w:type="dxa"/>
            <w:vMerge/>
            <w:shd w:val="clear" w:color="auto" w:fill="auto"/>
          </w:tcPr>
          <w:p w:rsidR="00B53B8F" w:rsidRPr="00BC4BCF" w:rsidRDefault="00B53B8F" w:rsidP="00B53B8F">
            <w:pPr>
              <w:spacing w:before="240" w:line="320" w:lineRule="atLeast"/>
              <w:jc w:val="both"/>
              <w:rPr>
                <w:sz w:val="26"/>
                <w:szCs w:val="20"/>
              </w:rPr>
            </w:pPr>
          </w:p>
        </w:tc>
      </w:tr>
    </w:tbl>
    <w:p w:rsidR="00B53B8F" w:rsidRDefault="00B53B8F" w:rsidP="00B53B8F">
      <w:r>
        <w:br w:type="page"/>
      </w:r>
    </w:p>
    <w:tbl>
      <w:tblPr>
        <w:tblW w:w="0" w:type="auto"/>
        <w:tblInd w:w="-885" w:type="dxa"/>
        <w:tblLayout w:type="fixed"/>
        <w:tblLook w:val="01E0" w:firstRow="1" w:lastRow="1" w:firstColumn="1" w:lastColumn="1" w:noHBand="0" w:noVBand="0"/>
      </w:tblPr>
      <w:tblGrid>
        <w:gridCol w:w="992"/>
        <w:gridCol w:w="8789"/>
        <w:gridCol w:w="851"/>
      </w:tblGrid>
      <w:tr w:rsidR="00B53B8F" w:rsidRPr="00BC4BCF" w:rsidTr="00B53B8F">
        <w:tc>
          <w:tcPr>
            <w:tcW w:w="992" w:type="dxa"/>
            <w:vMerge w:val="restart"/>
            <w:shd w:val="clear" w:color="auto" w:fill="auto"/>
          </w:tcPr>
          <w:p w:rsidR="00B53B8F" w:rsidRPr="00BC4BCF" w:rsidRDefault="00B53B8F" w:rsidP="00B53B8F">
            <w:pPr>
              <w:spacing w:before="240" w:line="320" w:lineRule="atLeast"/>
              <w:jc w:val="both"/>
              <w:rPr>
                <w:b/>
                <w:sz w:val="132"/>
                <w:szCs w:val="132"/>
              </w:rPr>
            </w:pPr>
            <w:r w:rsidRPr="00BC4BCF">
              <w:rPr>
                <w:b/>
                <w:sz w:val="132"/>
                <w:szCs w:val="132"/>
              </w:rPr>
              <w:lastRenderedPageBreak/>
              <w:t>“</w:t>
            </w:r>
          </w:p>
        </w:tc>
        <w:tc>
          <w:tcPr>
            <w:tcW w:w="8789" w:type="dxa"/>
            <w:shd w:val="clear" w:color="auto" w:fill="auto"/>
          </w:tcPr>
          <w:p w:rsidR="00B53B8F" w:rsidRPr="00BC4BCF" w:rsidRDefault="00D32356" w:rsidP="00D32356">
            <w:pPr>
              <w:pStyle w:val="Jurisdictioncommentsheading"/>
            </w:pPr>
            <w:r>
              <w:t>Northern Territory</w:t>
            </w:r>
            <w:r w:rsidR="00B53B8F" w:rsidRPr="00EF5A5F">
              <w:t xml:space="preserve"> Government</w:t>
            </w:r>
            <w:r w:rsidR="00B53B8F" w:rsidRPr="00BC4BCF">
              <w:t xml:space="preserve"> comments</w:t>
            </w:r>
          </w:p>
        </w:tc>
        <w:tc>
          <w:tcPr>
            <w:tcW w:w="851" w:type="dxa"/>
            <w:vMerge w:val="restart"/>
            <w:shd w:val="clear" w:color="auto" w:fill="auto"/>
          </w:tcPr>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Pr="00BC4BCF" w:rsidRDefault="00B53B8F" w:rsidP="00B53B8F">
            <w:pPr>
              <w:spacing w:before="240" w:line="320" w:lineRule="atLeast"/>
              <w:jc w:val="both"/>
              <w:rPr>
                <w:sz w:val="26"/>
                <w:szCs w:val="20"/>
              </w:rPr>
            </w:pPr>
          </w:p>
          <w:p w:rsidR="00B53B8F" w:rsidRDefault="00B53B8F" w:rsidP="00B53B8F">
            <w:pPr>
              <w:spacing w:before="240" w:line="320" w:lineRule="atLeast"/>
              <w:jc w:val="both"/>
              <w:rPr>
                <w:sz w:val="26"/>
                <w:szCs w:val="20"/>
              </w:rPr>
            </w:pPr>
          </w:p>
          <w:p w:rsidR="00A701AB" w:rsidRPr="00BC4BCF" w:rsidRDefault="00A701AB" w:rsidP="00B53B8F">
            <w:pPr>
              <w:spacing w:before="240" w:line="320" w:lineRule="atLeast"/>
              <w:jc w:val="both"/>
              <w:rPr>
                <w:sz w:val="26"/>
                <w:szCs w:val="20"/>
              </w:rPr>
            </w:pPr>
          </w:p>
          <w:p w:rsidR="00B53B8F" w:rsidRPr="00BC4BCF" w:rsidRDefault="00B53B8F" w:rsidP="00B53B8F">
            <w:pPr>
              <w:spacing w:before="240" w:line="320" w:lineRule="atLeast"/>
              <w:jc w:val="both"/>
              <w:rPr>
                <w:b/>
                <w:sz w:val="132"/>
                <w:szCs w:val="132"/>
              </w:rPr>
            </w:pPr>
            <w:r w:rsidRPr="00BC4BCF">
              <w:rPr>
                <w:b/>
                <w:sz w:val="132"/>
                <w:szCs w:val="132"/>
              </w:rPr>
              <w:t>”</w:t>
            </w:r>
          </w:p>
        </w:tc>
      </w:tr>
      <w:tr w:rsidR="00B53B8F" w:rsidRPr="00BC4BCF" w:rsidTr="00B53B8F">
        <w:tc>
          <w:tcPr>
            <w:tcW w:w="992" w:type="dxa"/>
            <w:vMerge/>
            <w:shd w:val="clear" w:color="auto" w:fill="auto"/>
          </w:tcPr>
          <w:p w:rsidR="00B53B8F" w:rsidRPr="00BC4BCF" w:rsidRDefault="00B53B8F" w:rsidP="00B53B8F">
            <w:pPr>
              <w:spacing w:before="240" w:line="320" w:lineRule="atLeast"/>
              <w:jc w:val="both"/>
              <w:rPr>
                <w:sz w:val="26"/>
                <w:szCs w:val="20"/>
              </w:rPr>
            </w:pPr>
          </w:p>
        </w:tc>
        <w:tc>
          <w:tcPr>
            <w:tcW w:w="8789" w:type="dxa"/>
            <w:shd w:val="clear" w:color="auto" w:fill="auto"/>
          </w:tcPr>
          <w:p w:rsidR="00173B7E" w:rsidRPr="00537682" w:rsidRDefault="00173B7E" w:rsidP="00A83112">
            <w:pPr>
              <w:pStyle w:val="Jurisdictioncommentsbodytext"/>
            </w:pPr>
            <w:r>
              <w:t>During 2013 t</w:t>
            </w:r>
            <w:r w:rsidRPr="00537682">
              <w:t xml:space="preserve">he Northern Territory </w:t>
            </w:r>
            <w:r>
              <w:t>experienced</w:t>
            </w:r>
            <w:r w:rsidRPr="00537682">
              <w:t xml:space="preserve"> significant economic growth with major projects such as the </w:t>
            </w:r>
            <w:proofErr w:type="spellStart"/>
            <w:r w:rsidRPr="00537682">
              <w:t>Ichthys</w:t>
            </w:r>
            <w:proofErr w:type="spellEnd"/>
            <w:r w:rsidRPr="00537682">
              <w:t xml:space="preserve"> Liquefied Natural Gas Project</w:t>
            </w:r>
            <w:r>
              <w:t xml:space="preserve"> well underway</w:t>
            </w:r>
            <w:r w:rsidRPr="00537682">
              <w:t xml:space="preserve">. With such rapid growth a unique opportunity </w:t>
            </w:r>
            <w:r>
              <w:t xml:space="preserve">arose </w:t>
            </w:r>
            <w:r w:rsidRPr="00537682">
              <w:t xml:space="preserve">for the Territory to realise its full potential </w:t>
            </w:r>
            <w:r>
              <w:t xml:space="preserve">and </w:t>
            </w:r>
            <w:r w:rsidRPr="00537682">
              <w:t xml:space="preserve">to strategically plan </w:t>
            </w:r>
            <w:r>
              <w:t>the</w:t>
            </w:r>
            <w:r w:rsidRPr="00537682">
              <w:t xml:space="preserve"> way forward</w:t>
            </w:r>
            <w:r>
              <w:t xml:space="preserve"> for a prosperous future</w:t>
            </w:r>
            <w:r w:rsidRPr="00537682">
              <w:t>.</w:t>
            </w:r>
          </w:p>
          <w:p w:rsidR="00173B7E" w:rsidRPr="000E56BC" w:rsidRDefault="00173B7E" w:rsidP="00A83112">
            <w:pPr>
              <w:pStyle w:val="Jurisdictioncommentsbodytext"/>
            </w:pPr>
            <w:r w:rsidRPr="00537682">
              <w:rPr>
                <w:color w:val="222222"/>
              </w:rPr>
              <w:t xml:space="preserve">In August 2013 the Northern Territory Government unveiled the strategic blueprint for the Territory’s future “Framing the Future”. This strategy laid the foundations to build a prosperous economy, strong society, confident culture and balanced environment. </w:t>
            </w:r>
            <w:r>
              <w:t>An important o</w:t>
            </w:r>
            <w:r w:rsidRPr="00537682">
              <w:t xml:space="preserve">bjective </w:t>
            </w:r>
            <w:r>
              <w:t xml:space="preserve">relating to training </w:t>
            </w:r>
            <w:r w:rsidRPr="00537682">
              <w:t>i</w:t>
            </w:r>
            <w:r>
              <w:t>s</w:t>
            </w:r>
            <w:r w:rsidRPr="00537682">
              <w:t xml:space="preserve"> “An economy that is built on strong local businesses and a skilled and flexible workforce”</w:t>
            </w:r>
            <w:r>
              <w:t>.</w:t>
            </w:r>
            <w:r w:rsidRPr="00537682">
              <w:t xml:space="preserve"> </w:t>
            </w:r>
            <w:r>
              <w:t>T</w:t>
            </w:r>
            <w:r w:rsidRPr="00537682">
              <w:t xml:space="preserve">he </w:t>
            </w:r>
            <w:r>
              <w:t>outcomes sought include the g</w:t>
            </w:r>
            <w:r w:rsidRPr="000E56BC">
              <w:t>row</w:t>
            </w:r>
            <w:r>
              <w:t>th</w:t>
            </w:r>
            <w:r w:rsidRPr="000E56BC">
              <w:t xml:space="preserve"> </w:t>
            </w:r>
            <w:r>
              <w:t xml:space="preserve">of </w:t>
            </w:r>
            <w:r w:rsidRPr="000E56BC">
              <w:t>world class education and training institutions</w:t>
            </w:r>
            <w:r>
              <w:t xml:space="preserve"> and to i</w:t>
            </w:r>
            <w:r w:rsidRPr="000E56BC">
              <w:t>mprove the productivity of our workforce</w:t>
            </w:r>
            <w:r>
              <w:t>.</w:t>
            </w:r>
          </w:p>
          <w:p w:rsidR="00173B7E" w:rsidRPr="00537682" w:rsidRDefault="00173B7E" w:rsidP="00A83112">
            <w:pPr>
              <w:pStyle w:val="Jurisdictioncommentsbodytext"/>
            </w:pPr>
            <w:r>
              <w:t>The Employment Strategy 2012—</w:t>
            </w:r>
            <w:r w:rsidRPr="00537682">
              <w:t>2015 remained as the Territory Government’s endorsed strategy to build a skilled and dynamic workforce</w:t>
            </w:r>
            <w:r>
              <w:t xml:space="preserve"> by </w:t>
            </w:r>
            <w:r w:rsidRPr="00537682">
              <w:t>growing our own workforce capability, support for sector specific workforce strategies, increased responsiveness in the training system, increased Indigenous workforce participation and support for businesses and industry to improve productivity.</w:t>
            </w:r>
          </w:p>
          <w:p w:rsidR="00173B7E" w:rsidRPr="00537682" w:rsidRDefault="00173B7E" w:rsidP="00A83112">
            <w:pPr>
              <w:pStyle w:val="Jurisdictioncommentsbodytext"/>
            </w:pPr>
            <w:r w:rsidRPr="00537682">
              <w:t>The Indigenous Workforce Participation Initiatives function was introduced in 2012-13 to support the Employment Strategy 2012</w:t>
            </w:r>
            <w:r>
              <w:t>–</w:t>
            </w:r>
            <w:r w:rsidRPr="00537682">
              <w:t xml:space="preserve">2015. This </w:t>
            </w:r>
            <w:r>
              <w:t>p</w:t>
            </w:r>
            <w:r w:rsidRPr="00537682">
              <w:t>rogram continued to offer business, including those in the not-for-profit sector, support for projects that strengthen Indigenous employment and workplace practices. In 2013-14, the program funded 13 projects across the NT, 11 of which are still in progress.</w:t>
            </w:r>
          </w:p>
          <w:p w:rsidR="00173B7E" w:rsidRPr="00537682" w:rsidRDefault="00173B7E" w:rsidP="00A83112">
            <w:pPr>
              <w:pStyle w:val="Jurisdictioncommentsbodytext"/>
              <w:rPr>
                <w:rFonts w:cs="Arial"/>
              </w:rPr>
            </w:pPr>
            <w:r w:rsidRPr="00537682">
              <w:rPr>
                <w:rFonts w:cs="Arial"/>
              </w:rPr>
              <w:t xml:space="preserve">The </w:t>
            </w:r>
            <w:proofErr w:type="spellStart"/>
            <w:r w:rsidRPr="00537682">
              <w:rPr>
                <w:rFonts w:cs="Arial"/>
              </w:rPr>
              <w:t>Ichthys</w:t>
            </w:r>
            <w:proofErr w:type="spellEnd"/>
            <w:r w:rsidRPr="00537682">
              <w:rPr>
                <w:rFonts w:cs="Arial"/>
              </w:rPr>
              <w:t xml:space="preserve"> Industry Participation Plan delivered real and significant benefits to the Northern Territory economy across a broad range of small to medium enterprises and through local employment and training.</w:t>
            </w:r>
          </w:p>
          <w:p w:rsidR="00173B7E" w:rsidRDefault="00173B7E" w:rsidP="00A83112">
            <w:pPr>
              <w:pStyle w:val="Jurisdictioncommentsbodytext"/>
            </w:pPr>
            <w:r>
              <w:t xml:space="preserve">Other programs introduced include the Student Entitlement to support the development of skills for working age individuals through a government subsidised training place for their first Certificate III qualification with a set target of additional 2585 NT VET students to complete their qualifications by 2016-17, including those from disadvantaged groups. </w:t>
            </w:r>
          </w:p>
          <w:p w:rsidR="00173B7E" w:rsidRDefault="00173B7E" w:rsidP="00A83112">
            <w:pPr>
              <w:pStyle w:val="Jurisdictioncommentsbodytext"/>
            </w:pPr>
            <w:r w:rsidRPr="00EE302B">
              <w:t>The Northern Territory ha</w:t>
            </w:r>
            <w:r>
              <w:t>d</w:t>
            </w:r>
            <w:r w:rsidRPr="00EE302B">
              <w:t xml:space="preserve"> </w:t>
            </w:r>
            <w:r>
              <w:t>the highest level of Graduates that were in employment or undertaking further training after completing VET at 91.8 per cent, 4.3 per cent above the national level of 87.5 per cent.</w:t>
            </w:r>
          </w:p>
          <w:p w:rsidR="00173B7E" w:rsidRPr="00D968C1" w:rsidRDefault="00173B7E" w:rsidP="00A83112">
            <w:pPr>
              <w:pStyle w:val="Jurisdictioncommentsbodytext"/>
            </w:pPr>
            <w:r>
              <w:t>Apprentice</w:t>
            </w:r>
            <w:r w:rsidRPr="00D968C1">
              <w:t>/Trainee commencements for 19 years and under for 2013 was 861 (37.</w:t>
            </w:r>
            <w:r>
              <w:t>7 per cent</w:t>
            </w:r>
            <w:r w:rsidRPr="00D968C1">
              <w:t xml:space="preserve">) and of those 230 were school based, the highest level achieved </w:t>
            </w:r>
            <w:r>
              <w:t xml:space="preserve">ever </w:t>
            </w:r>
            <w:r w:rsidRPr="00D968C1">
              <w:t>and 33.7</w:t>
            </w:r>
            <w:r>
              <w:t xml:space="preserve"> per cent</w:t>
            </w:r>
            <w:r w:rsidRPr="00D968C1">
              <w:t xml:space="preserve"> higher than 2012.</w:t>
            </w:r>
            <w:r>
              <w:t xml:space="preserve"> Apprentice/Trainee cancellations dropped by 16.6 per cent from 1973 in 2012 to 1646 in 2013, demonstrating that retention strategies are effective.</w:t>
            </w:r>
          </w:p>
          <w:p w:rsidR="00173B7E" w:rsidRDefault="00173B7E" w:rsidP="00A83112">
            <w:pPr>
              <w:pStyle w:val="Jurisdictioncommentsbodytext"/>
            </w:pPr>
            <w:r w:rsidRPr="00EE302B">
              <w:t>VET participation rate</w:t>
            </w:r>
            <w:r>
              <w:t>s for all students</w:t>
            </w:r>
            <w:r w:rsidRPr="00EE302B">
              <w:t xml:space="preserve"> </w:t>
            </w:r>
            <w:r>
              <w:t xml:space="preserve">in the Northern Territory was </w:t>
            </w:r>
            <w:r w:rsidRPr="00EE302B">
              <w:t>at 8.5</w:t>
            </w:r>
            <w:r>
              <w:t xml:space="preserve"> per cent far above the reported </w:t>
            </w:r>
            <w:r w:rsidRPr="00EE302B">
              <w:t>nation</w:t>
            </w:r>
            <w:r>
              <w:t>al</w:t>
            </w:r>
            <w:r w:rsidRPr="00EE302B">
              <w:t xml:space="preserve"> </w:t>
            </w:r>
            <w:r>
              <w:t xml:space="preserve">rate of 6.4 per cent. </w:t>
            </w:r>
          </w:p>
          <w:p w:rsidR="00B53B8F" w:rsidRPr="00BC4BCF" w:rsidRDefault="00B53B8F" w:rsidP="00B53B8F">
            <w:pPr>
              <w:pStyle w:val="Jurisdictioncommentsbodytext"/>
            </w:pPr>
          </w:p>
        </w:tc>
        <w:tc>
          <w:tcPr>
            <w:tcW w:w="851" w:type="dxa"/>
            <w:vMerge/>
            <w:shd w:val="clear" w:color="auto" w:fill="auto"/>
          </w:tcPr>
          <w:p w:rsidR="00B53B8F" w:rsidRPr="00BC4BCF" w:rsidRDefault="00B53B8F" w:rsidP="00B53B8F">
            <w:pPr>
              <w:spacing w:before="240" w:line="320" w:lineRule="atLeast"/>
              <w:jc w:val="both"/>
              <w:rPr>
                <w:sz w:val="26"/>
                <w:szCs w:val="20"/>
              </w:rPr>
            </w:pPr>
          </w:p>
        </w:tc>
      </w:tr>
    </w:tbl>
    <w:p w:rsidR="00C57336" w:rsidRPr="00EA6B27" w:rsidRDefault="008D401C" w:rsidP="00EA6B27">
      <w:pPr>
        <w:pStyle w:val="Heading2"/>
        <w:spacing w:before="0"/>
      </w:pPr>
      <w:bookmarkStart w:id="16" w:name="_Toc341279244"/>
      <w:bookmarkStart w:id="17" w:name="_Toc401829963"/>
      <w:r>
        <w:lastRenderedPageBreak/>
        <w:t xml:space="preserve">5.6 </w:t>
      </w:r>
      <w:r w:rsidR="0009650F">
        <w:tab/>
      </w:r>
      <w:r w:rsidR="00C57336" w:rsidRPr="00EA6B27">
        <w:t>Definitions of key terms</w:t>
      </w:r>
      <w:bookmarkEnd w:id="16"/>
      <w:bookmarkEnd w:id="17"/>
    </w:p>
    <w:p w:rsidR="004F3A94" w:rsidRPr="00EF5A5F" w:rsidRDefault="004F3A94" w:rsidP="004F3A94">
      <w:pPr>
        <w:pStyle w:val="BoxSpace"/>
      </w:pPr>
    </w:p>
    <w:tbl>
      <w:tblPr>
        <w:tblW w:w="0" w:type="auto"/>
        <w:tblInd w:w="108" w:type="dxa"/>
        <w:tblLook w:val="01E0" w:firstRow="1" w:lastRow="1" w:firstColumn="1" w:lastColumn="1" w:noHBand="0" w:noVBand="0"/>
      </w:tblPr>
      <w:tblGrid>
        <w:gridCol w:w="2127"/>
        <w:gridCol w:w="6662"/>
      </w:tblGrid>
      <w:tr w:rsidR="00DE4470" w:rsidRPr="00EF5A5F" w:rsidTr="0041035E">
        <w:tc>
          <w:tcPr>
            <w:tcW w:w="2127" w:type="dxa"/>
          </w:tcPr>
          <w:p w:rsidR="00DE4470" w:rsidRPr="00EF5A5F" w:rsidRDefault="00DE4470" w:rsidP="00282176">
            <w:pPr>
              <w:pStyle w:val="TableBodyText"/>
              <w:spacing w:before="60" w:after="60"/>
              <w:jc w:val="left"/>
              <w:rPr>
                <w:b/>
              </w:rPr>
            </w:pPr>
            <w:r w:rsidRPr="00EF5A5F">
              <w:rPr>
                <w:b/>
              </w:rPr>
              <w:t>Adult and community education providers</w:t>
            </w:r>
          </w:p>
        </w:tc>
        <w:tc>
          <w:tcPr>
            <w:tcW w:w="6662" w:type="dxa"/>
          </w:tcPr>
          <w:p w:rsidR="00DE4470" w:rsidRPr="00EF5A5F" w:rsidRDefault="00DE4470" w:rsidP="00282176">
            <w:pPr>
              <w:pStyle w:val="TableBodyText"/>
              <w:spacing w:before="60" w:after="60"/>
              <w:jc w:val="left"/>
            </w:pPr>
            <w:r w:rsidRPr="00EF5A5F">
              <w:t xml:space="preserve">Organisations </w:t>
            </w:r>
            <w:r w:rsidR="000C7F1C" w:rsidRPr="00EF5A5F">
              <w:t>that</w:t>
            </w:r>
            <w:r w:rsidRPr="00EF5A5F">
              <w:t xml:space="preserve"> deliver community-based adult education and training intended principally for adults, including general, vocational, basic and community education, and recreation, leisure and personal enrichment programs.</w:t>
            </w:r>
          </w:p>
        </w:tc>
      </w:tr>
      <w:tr w:rsidR="00D34C36" w:rsidRPr="00EF5A5F" w:rsidTr="0041035E">
        <w:tc>
          <w:tcPr>
            <w:tcW w:w="2127" w:type="dxa"/>
          </w:tcPr>
          <w:p w:rsidR="00D34C36" w:rsidRPr="00EF5A5F" w:rsidRDefault="00D34C36" w:rsidP="00282176">
            <w:pPr>
              <w:pStyle w:val="TableBodyText"/>
              <w:spacing w:before="60" w:after="60"/>
              <w:jc w:val="left"/>
              <w:rPr>
                <w:b/>
              </w:rPr>
            </w:pPr>
            <w:r w:rsidRPr="00EF5A5F">
              <w:rPr>
                <w:b/>
              </w:rPr>
              <w:t>Annual hours</w:t>
            </w:r>
          </w:p>
        </w:tc>
        <w:tc>
          <w:tcPr>
            <w:tcW w:w="6662" w:type="dxa"/>
          </w:tcPr>
          <w:p w:rsidR="00D34C36" w:rsidRPr="00EF5A5F" w:rsidRDefault="00D34C36" w:rsidP="00282176">
            <w:pPr>
              <w:pStyle w:val="TableBodyText"/>
              <w:spacing w:before="60" w:after="60"/>
              <w:jc w:val="left"/>
            </w:pPr>
            <w:r w:rsidRPr="00EF5A5F">
              <w:t>The total hours of delivery based on the standard nominal hour value for each subject undertaken. These represent the hours of supervised training under a traditional delivery strategy</w:t>
            </w:r>
            <w:r w:rsidR="004043CD" w:rsidRPr="00EF5A5F">
              <w:t>. Annual hours are adjusted to account for invalid module enrolments.</w:t>
            </w:r>
          </w:p>
        </w:tc>
      </w:tr>
      <w:tr w:rsidR="00D34C36" w:rsidRPr="00EF5A5F" w:rsidTr="0041035E">
        <w:tc>
          <w:tcPr>
            <w:tcW w:w="2127" w:type="dxa"/>
          </w:tcPr>
          <w:p w:rsidR="00D34C36" w:rsidRPr="00EF5A5F" w:rsidRDefault="00D34C36" w:rsidP="00282176">
            <w:pPr>
              <w:pStyle w:val="TableBodyText"/>
              <w:spacing w:before="60" w:after="60"/>
              <w:jc w:val="left"/>
              <w:rPr>
                <w:b/>
              </w:rPr>
            </w:pPr>
            <w:proofErr w:type="spellStart"/>
            <w:r w:rsidRPr="00EF5A5F">
              <w:rPr>
                <w:b/>
              </w:rPr>
              <w:t>AVETMISS</w:t>
            </w:r>
            <w:proofErr w:type="spellEnd"/>
          </w:p>
        </w:tc>
        <w:tc>
          <w:tcPr>
            <w:tcW w:w="6662" w:type="dxa"/>
          </w:tcPr>
          <w:p w:rsidR="00D34C36" w:rsidRPr="00EF5A5F" w:rsidRDefault="00D34C36" w:rsidP="00282176">
            <w:pPr>
              <w:pStyle w:val="TableBodyText"/>
              <w:spacing w:before="60" w:after="60"/>
              <w:jc w:val="left"/>
            </w:pPr>
            <w:r w:rsidRPr="00EF5A5F">
              <w:t>Australian Vocational Education and Training Management Information Statistical Standard. A nationally consistent standard for the collection, analysis and reporting of vocational education and training information throughout Australia. This standard was observed in the collection and preparation of data for this Report.</w:t>
            </w:r>
          </w:p>
        </w:tc>
      </w:tr>
      <w:tr w:rsidR="0000489F" w:rsidRPr="00CD50C4" w:rsidTr="00513595">
        <w:tblPrEx>
          <w:tblLook w:val="0000" w:firstRow="0" w:lastRow="0" w:firstColumn="0" w:lastColumn="0" w:noHBand="0" w:noVBand="0"/>
        </w:tblPrEx>
        <w:trPr>
          <w:cantSplit/>
        </w:trPr>
        <w:tc>
          <w:tcPr>
            <w:tcW w:w="2127" w:type="dxa"/>
            <w:shd w:val="clear" w:color="auto" w:fill="auto"/>
          </w:tcPr>
          <w:p w:rsidR="0000489F" w:rsidRPr="00CD50C4" w:rsidRDefault="0000489F" w:rsidP="00982135">
            <w:pPr>
              <w:pStyle w:val="TableBodyText"/>
              <w:jc w:val="left"/>
              <w:rPr>
                <w:b/>
              </w:rPr>
            </w:pPr>
            <w:r w:rsidRPr="00CD50C4">
              <w:rPr>
                <w:b/>
              </w:rPr>
              <w:t>Comparability</w:t>
            </w:r>
          </w:p>
        </w:tc>
        <w:tc>
          <w:tcPr>
            <w:tcW w:w="6662" w:type="dxa"/>
            <w:shd w:val="clear" w:color="auto" w:fill="auto"/>
          </w:tcPr>
          <w:p w:rsidR="0000489F" w:rsidRPr="00CD50C4" w:rsidRDefault="0041035E" w:rsidP="0041035E">
            <w:pPr>
              <w:pStyle w:val="TableBodyText"/>
              <w:spacing w:before="60" w:after="60"/>
              <w:jc w:val="left"/>
            </w:pPr>
            <w:r w:rsidRPr="0041035E">
              <w:t>Data are considered comparable if, (subject to caveats) they can be used to inform an assessment of comparative performance. Typically, data are considered comparable when they are collected in the same way and in accordance with the same definitions. For comparable indicators or measures, significant differences in reported results allow an assessment of differences in performance, rather than being the result of anomalies in the data.</w:t>
            </w:r>
          </w:p>
        </w:tc>
      </w:tr>
      <w:tr w:rsidR="0000489F" w:rsidRPr="00CD50C4" w:rsidTr="00513595">
        <w:tblPrEx>
          <w:tblLook w:val="0000" w:firstRow="0" w:lastRow="0" w:firstColumn="0" w:lastColumn="0" w:noHBand="0" w:noVBand="0"/>
        </w:tblPrEx>
        <w:trPr>
          <w:cantSplit/>
        </w:trPr>
        <w:tc>
          <w:tcPr>
            <w:tcW w:w="2127" w:type="dxa"/>
            <w:shd w:val="clear" w:color="auto" w:fill="auto"/>
          </w:tcPr>
          <w:p w:rsidR="0000489F" w:rsidRPr="00CD50C4" w:rsidRDefault="0000489F" w:rsidP="00982135">
            <w:pPr>
              <w:pStyle w:val="TableBodyText"/>
              <w:jc w:val="left"/>
              <w:rPr>
                <w:b/>
              </w:rPr>
            </w:pPr>
            <w:r w:rsidRPr="00CD50C4">
              <w:rPr>
                <w:b/>
              </w:rPr>
              <w:t>Completeness</w:t>
            </w:r>
          </w:p>
        </w:tc>
        <w:tc>
          <w:tcPr>
            <w:tcW w:w="6662" w:type="dxa"/>
            <w:shd w:val="clear" w:color="auto" w:fill="auto"/>
          </w:tcPr>
          <w:p w:rsidR="0000489F" w:rsidRPr="00CD50C4" w:rsidRDefault="0041035E" w:rsidP="0041035E">
            <w:pPr>
              <w:pStyle w:val="TableBodyText"/>
              <w:spacing w:before="60" w:after="60"/>
              <w:jc w:val="left"/>
            </w:pPr>
            <w:r w:rsidRPr="0041035E">
              <w:t>Data are considered complete if all required data are available for all jurisdictions that provide the service.</w:t>
            </w:r>
          </w:p>
        </w:tc>
      </w:tr>
      <w:tr w:rsidR="00D34C36" w:rsidRPr="00EF5A5F" w:rsidTr="0041035E">
        <w:tc>
          <w:tcPr>
            <w:tcW w:w="2127" w:type="dxa"/>
          </w:tcPr>
          <w:p w:rsidR="00D34C36" w:rsidRPr="00EF5A5F" w:rsidRDefault="00D34C36" w:rsidP="00282176">
            <w:pPr>
              <w:pStyle w:val="TableBodyText"/>
              <w:spacing w:before="60" w:after="60"/>
              <w:jc w:val="left"/>
              <w:rPr>
                <w:b/>
              </w:rPr>
            </w:pPr>
            <w:r w:rsidRPr="00EF5A5F">
              <w:rPr>
                <w:b/>
              </w:rPr>
              <w:t>Completions</w:t>
            </w:r>
          </w:p>
        </w:tc>
        <w:tc>
          <w:tcPr>
            <w:tcW w:w="6662" w:type="dxa"/>
          </w:tcPr>
          <w:p w:rsidR="00D34C36" w:rsidRPr="00EF5A5F" w:rsidRDefault="00D34C36" w:rsidP="0052379E">
            <w:pPr>
              <w:pStyle w:val="TableBodyText"/>
              <w:spacing w:before="60" w:after="60"/>
              <w:jc w:val="left"/>
            </w:pPr>
            <w:r w:rsidRPr="00EF5A5F">
              <w:t>Fulfilment of all of the requirements of a course enrolment or module enrolment. Completion of a qualification or course is indicated by acknowledging eligibility for a qualification (whether or not the student physically received the acknowledgment).</w:t>
            </w:r>
          </w:p>
          <w:p w:rsidR="00DA20A2" w:rsidRPr="00EF5A5F" w:rsidRDefault="00E562E7" w:rsidP="0052379E">
            <w:pPr>
              <w:pStyle w:val="TableBodyText"/>
              <w:spacing w:before="60" w:after="60"/>
              <w:jc w:val="left"/>
            </w:pPr>
            <w:r w:rsidRPr="0014685B">
              <w:t xml:space="preserve">Data on qualifications completed includes both government and </w:t>
            </w:r>
            <w:r w:rsidR="00565A39" w:rsidRPr="0014685B">
              <w:br/>
            </w:r>
            <w:r w:rsidRPr="0014685B">
              <w:t>non-government funded VET students attending TAFE, and only government funded students from private providers</w:t>
            </w:r>
            <w:r w:rsidRPr="00EF5A5F">
              <w:rPr>
                <w:shd w:val="pct25" w:color="auto" w:fill="auto"/>
              </w:rPr>
              <w:t>.</w:t>
            </w:r>
            <w:r w:rsidR="00DA20A2" w:rsidRPr="00EF5A5F">
              <w:t xml:space="preserve"> This differs to other </w:t>
            </w:r>
            <w:r w:rsidRPr="00EF5A5F">
              <w:t>data under the outcome indicator ‘</w:t>
            </w:r>
            <w:r w:rsidR="00DA20A2" w:rsidRPr="00EF5A5F">
              <w:t>skill profile'</w:t>
            </w:r>
            <w:r w:rsidRPr="00EF5A5F">
              <w:t xml:space="preserve">, </w:t>
            </w:r>
            <w:r w:rsidR="00DA20A2" w:rsidRPr="00EF5A5F">
              <w:t xml:space="preserve">such as data for units of competency and modules </w:t>
            </w:r>
            <w:r w:rsidR="00033A0B" w:rsidRPr="00EF5A5F">
              <w:t>completed</w:t>
            </w:r>
            <w:r w:rsidR="00DA20A2" w:rsidRPr="00EF5A5F">
              <w:t>, which are reported for government-funded students only (in keeping with the scope of the VET chapter focusing on government-funded activity). This is due to a limitation of the data, that does not enable correct disaggregation of completions by funding source.</w:t>
            </w:r>
          </w:p>
        </w:tc>
      </w:tr>
      <w:tr w:rsidR="00D34C36" w:rsidRPr="00EF5A5F" w:rsidTr="0041035E">
        <w:tc>
          <w:tcPr>
            <w:tcW w:w="2127" w:type="dxa"/>
          </w:tcPr>
          <w:p w:rsidR="00D34C36" w:rsidRPr="00EF5A5F" w:rsidRDefault="00D34C36" w:rsidP="00282176">
            <w:pPr>
              <w:pStyle w:val="TableBodyText"/>
              <w:spacing w:before="60" w:after="60"/>
              <w:jc w:val="left"/>
              <w:rPr>
                <w:b/>
              </w:rPr>
            </w:pPr>
            <w:r w:rsidRPr="00EF5A5F">
              <w:rPr>
                <w:b/>
              </w:rPr>
              <w:t>Course</w:t>
            </w:r>
          </w:p>
        </w:tc>
        <w:tc>
          <w:tcPr>
            <w:tcW w:w="6662" w:type="dxa"/>
          </w:tcPr>
          <w:p w:rsidR="00D34C36" w:rsidRPr="00EF5A5F" w:rsidRDefault="00D34C36" w:rsidP="00282176">
            <w:pPr>
              <w:pStyle w:val="TableBodyText"/>
              <w:spacing w:before="60" w:after="60"/>
              <w:jc w:val="left"/>
            </w:pPr>
            <w:r w:rsidRPr="00EF5A5F">
              <w:t>A structured program of study that leads to the acquisition of identified competencies and includes assessment leading to a qualification.</w:t>
            </w:r>
          </w:p>
        </w:tc>
      </w:tr>
      <w:tr w:rsidR="00D34C36" w:rsidRPr="00EF5A5F" w:rsidTr="0041035E">
        <w:tc>
          <w:tcPr>
            <w:tcW w:w="2127" w:type="dxa"/>
          </w:tcPr>
          <w:p w:rsidR="00D34C36" w:rsidRPr="00EF5A5F" w:rsidRDefault="00D34C36" w:rsidP="00282176">
            <w:pPr>
              <w:pStyle w:val="TableBodyText"/>
              <w:spacing w:before="60" w:after="60"/>
              <w:jc w:val="left"/>
              <w:rPr>
                <w:b/>
              </w:rPr>
            </w:pPr>
            <w:r w:rsidRPr="00EF5A5F">
              <w:rPr>
                <w:b/>
              </w:rPr>
              <w:t>Course mix weight</w:t>
            </w:r>
          </w:p>
        </w:tc>
        <w:tc>
          <w:tcPr>
            <w:tcW w:w="6662" w:type="dxa"/>
          </w:tcPr>
          <w:p w:rsidR="00E63198" w:rsidRPr="00EF5A5F" w:rsidRDefault="00A97788" w:rsidP="00A97788">
            <w:pPr>
              <w:pStyle w:val="TableBodyText"/>
              <w:spacing w:before="60" w:after="60"/>
              <w:jc w:val="left"/>
            </w:pPr>
            <w:r w:rsidRPr="00A97788">
              <w:t xml:space="preserve">Expenditure per annual hour is weighted to recognise the different proportions of relatively more expensive and less expensive training programs </w:t>
            </w:r>
            <w:r w:rsidRPr="009F0F4A">
              <w:t xml:space="preserve">which occur across jurisdictions. One method of calculating these course mix weights applies to all years in this Report. Under this method, cost relativities by subject field of education are applied to tabulations of annual hours by subject field of education and state/territory. </w:t>
            </w:r>
            <w:r w:rsidR="00E63198" w:rsidRPr="009F0F4A">
              <w:t>A course mix weighting greater than 1.000 indicates</w:t>
            </w:r>
            <w:r w:rsidR="00E63198" w:rsidRPr="00EF5A5F">
              <w:t xml:space="preserve"> that the </w:t>
            </w:r>
            <w:r w:rsidR="00B1111A" w:rsidRPr="00EF5A5F">
              <w:t>S</w:t>
            </w:r>
            <w:r w:rsidR="00E63198" w:rsidRPr="00EF5A5F">
              <w:t xml:space="preserve">tate or </w:t>
            </w:r>
            <w:r w:rsidR="00B1111A" w:rsidRPr="00EF5A5F">
              <w:t>T</w:t>
            </w:r>
            <w:r w:rsidR="00E63198" w:rsidRPr="00EF5A5F">
              <w:t xml:space="preserve">erritory is offering relatively more expensive programs </w:t>
            </w:r>
            <w:r w:rsidR="00E5210A" w:rsidRPr="00EF5A5F">
              <w:t>compared with</w:t>
            </w:r>
            <w:r w:rsidR="00E63198" w:rsidRPr="00EF5A5F">
              <w:t xml:space="preserve"> the national profile.</w:t>
            </w:r>
          </w:p>
        </w:tc>
      </w:tr>
      <w:tr w:rsidR="00EA6B27" w:rsidRPr="00EF5A5F" w:rsidTr="0041035E">
        <w:tc>
          <w:tcPr>
            <w:tcW w:w="2127" w:type="dxa"/>
          </w:tcPr>
          <w:p w:rsidR="00EA6B27" w:rsidRPr="00EF5A5F" w:rsidRDefault="00EA6B27" w:rsidP="001C0F0F">
            <w:pPr>
              <w:pStyle w:val="TableBodyText"/>
              <w:spacing w:before="60" w:after="60"/>
              <w:jc w:val="left"/>
              <w:rPr>
                <w:b/>
              </w:rPr>
            </w:pPr>
            <w:r w:rsidRPr="00EF5A5F">
              <w:rPr>
                <w:b/>
              </w:rPr>
              <w:t>Employer engagement with VET</w:t>
            </w:r>
          </w:p>
        </w:tc>
        <w:tc>
          <w:tcPr>
            <w:tcW w:w="6662" w:type="dxa"/>
          </w:tcPr>
          <w:p w:rsidR="00EA6B27" w:rsidRPr="00EF5A5F" w:rsidRDefault="00EA6B27" w:rsidP="001C0F0F">
            <w:pPr>
              <w:pStyle w:val="TableBodyText"/>
              <w:spacing w:before="60" w:after="60"/>
              <w:jc w:val="left"/>
            </w:pPr>
            <w:r w:rsidRPr="00EF5A5F">
              <w:t xml:space="preserve">The proportion of Australian employers who in the last 12 months had employees undertaking apprenticeships/traineeships (now referred to as Australian Apprenticeships), </w:t>
            </w:r>
            <w:r>
              <w:t xml:space="preserve">or </w:t>
            </w:r>
            <w:r w:rsidRPr="00EF5A5F">
              <w:t>arranged or provided nationally recognised training (other than apprenticeships</w:t>
            </w:r>
            <w:r>
              <w:t xml:space="preserve"> </w:t>
            </w:r>
            <w:r w:rsidRPr="00EF5A5F">
              <w:t>/traineeships) for employees, or had employees with formal vocational qualification as a requirement of their job.</w:t>
            </w:r>
          </w:p>
        </w:tc>
      </w:tr>
    </w:tbl>
    <w:p w:rsidR="00EA6B27" w:rsidRDefault="00EA6B27"/>
    <w:tbl>
      <w:tblPr>
        <w:tblW w:w="0" w:type="auto"/>
        <w:tblInd w:w="108" w:type="dxa"/>
        <w:tblLook w:val="01E0" w:firstRow="1" w:lastRow="1" w:firstColumn="1" w:lastColumn="1" w:noHBand="0" w:noVBand="0"/>
      </w:tblPr>
      <w:tblGrid>
        <w:gridCol w:w="2293"/>
        <w:gridCol w:w="9"/>
        <w:gridCol w:w="6446"/>
        <w:gridCol w:w="41"/>
      </w:tblGrid>
      <w:tr w:rsidR="00D34C36" w:rsidRPr="00EF5A5F" w:rsidTr="00282176">
        <w:tc>
          <w:tcPr>
            <w:tcW w:w="2302" w:type="dxa"/>
            <w:gridSpan w:val="2"/>
          </w:tcPr>
          <w:p w:rsidR="00D34C36" w:rsidRPr="00EF5A5F" w:rsidRDefault="00D34C36" w:rsidP="00282176">
            <w:pPr>
              <w:pStyle w:val="TableBodyText"/>
              <w:spacing w:before="60" w:after="60"/>
              <w:jc w:val="left"/>
              <w:rPr>
                <w:b/>
              </w:rPr>
            </w:pPr>
            <w:r w:rsidRPr="00EF5A5F">
              <w:rPr>
                <w:b/>
              </w:rPr>
              <w:lastRenderedPageBreak/>
              <w:t>Employer satisfaction with VET</w:t>
            </w:r>
          </w:p>
        </w:tc>
        <w:tc>
          <w:tcPr>
            <w:tcW w:w="6487" w:type="dxa"/>
            <w:gridSpan w:val="2"/>
          </w:tcPr>
          <w:p w:rsidR="00D34C36" w:rsidRPr="00EF5A5F" w:rsidRDefault="00D34C36" w:rsidP="00282176">
            <w:pPr>
              <w:pStyle w:val="TableBodyText"/>
              <w:spacing w:before="60" w:after="60"/>
              <w:jc w:val="left"/>
            </w:pPr>
            <w:r w:rsidRPr="00EF5A5F">
              <w:t xml:space="preserve">The proportion of Australian employers who </w:t>
            </w:r>
            <w:r w:rsidR="0072272E">
              <w:t xml:space="preserve">engaged in an aspect of VET, and who were </w:t>
            </w:r>
            <w:r w:rsidRPr="00EF5A5F">
              <w:t>satisfied with VET in meeting the skill needs of their workforce. The components of satisfaction with the VET system are satisfaction with apprentices/trainees, nationally recognised training</w:t>
            </w:r>
            <w:r w:rsidR="000C7F1C" w:rsidRPr="00EF5A5F">
              <w:t>,</w:t>
            </w:r>
            <w:r w:rsidRPr="00EF5A5F">
              <w:t xml:space="preserve"> and formal vocational qualifications as a job requirement. Satisfaction is measured on a 5 point scale, ‘satisfied’ includes employers who were satisfied or very satisfied and ‘dissatisfied’ includes employers who were dissatisfied or very dissatisfied.</w:t>
            </w:r>
          </w:p>
        </w:tc>
      </w:tr>
      <w:tr w:rsidR="00D34C36" w:rsidRPr="00EF5A5F" w:rsidTr="00282176">
        <w:tc>
          <w:tcPr>
            <w:tcW w:w="2302" w:type="dxa"/>
            <w:gridSpan w:val="2"/>
          </w:tcPr>
          <w:p w:rsidR="00D34C36" w:rsidRPr="00EF5A5F" w:rsidRDefault="00D34C36" w:rsidP="00282176">
            <w:pPr>
              <w:pStyle w:val="TableBodyText"/>
              <w:spacing w:before="60" w:after="60"/>
              <w:jc w:val="left"/>
              <w:rPr>
                <w:b/>
              </w:rPr>
            </w:pPr>
            <w:r w:rsidRPr="00EF5A5F">
              <w:rPr>
                <w:b/>
              </w:rPr>
              <w:t>Enrolment</w:t>
            </w:r>
          </w:p>
        </w:tc>
        <w:tc>
          <w:tcPr>
            <w:tcW w:w="6487" w:type="dxa"/>
            <w:gridSpan w:val="2"/>
          </w:tcPr>
          <w:p w:rsidR="00F758BD" w:rsidRPr="00EF5A5F" w:rsidRDefault="00D34C36" w:rsidP="0052379E">
            <w:pPr>
              <w:pStyle w:val="TableBodyText"/>
              <w:spacing w:before="60" w:after="60"/>
              <w:jc w:val="left"/>
            </w:pPr>
            <w:r w:rsidRPr="00EF5A5F">
              <w:t>The registration of a student at a training organisation’s delivery location for the purpose of undertaking a program of study. The enrolment is considered valid only if the student has undertaken enrolment procedures, met their fee obligations, and has engaged in learning activity regardless of the mode of delivery.</w:t>
            </w:r>
            <w:r w:rsidR="00F758BD" w:rsidRPr="00EF5A5F">
              <w:t xml:space="preserve"> </w:t>
            </w:r>
          </w:p>
          <w:p w:rsidR="00E51F0B" w:rsidRPr="00EF5A5F" w:rsidRDefault="00F758BD" w:rsidP="0052379E">
            <w:pPr>
              <w:pStyle w:val="TableBodyText"/>
              <w:spacing w:before="60" w:after="60"/>
              <w:jc w:val="left"/>
            </w:pPr>
            <w:r w:rsidRPr="00EF5A5F">
              <w:t>A VET student may be enrolled in more than one VET training program, and therefore there are more ‘enrolments’ in the VET system than ‘students’. This may be of importance if comparing VET data in this chapter with other VET data.</w:t>
            </w:r>
          </w:p>
        </w:tc>
      </w:tr>
      <w:tr w:rsidR="00D34C36" w:rsidRPr="00EF5A5F" w:rsidTr="00282176">
        <w:tc>
          <w:tcPr>
            <w:tcW w:w="2302" w:type="dxa"/>
            <w:gridSpan w:val="2"/>
          </w:tcPr>
          <w:p w:rsidR="00D34C36" w:rsidRPr="00EF5A5F" w:rsidRDefault="00D34C36" w:rsidP="00282176">
            <w:pPr>
              <w:pStyle w:val="TableBodyText"/>
              <w:spacing w:before="60" w:after="60"/>
              <w:jc w:val="left"/>
              <w:rPr>
                <w:b/>
              </w:rPr>
            </w:pPr>
            <w:r w:rsidRPr="00EF5A5F">
              <w:rPr>
                <w:b/>
              </w:rPr>
              <w:t>Fee-for-service activity</w:t>
            </w:r>
          </w:p>
        </w:tc>
        <w:tc>
          <w:tcPr>
            <w:tcW w:w="6487" w:type="dxa"/>
            <w:gridSpan w:val="2"/>
          </w:tcPr>
          <w:p w:rsidR="00D34C36" w:rsidRPr="00EF5A5F" w:rsidRDefault="00D34C36" w:rsidP="00282176">
            <w:pPr>
              <w:pStyle w:val="TableBodyText"/>
              <w:spacing w:before="60" w:after="60"/>
              <w:jc w:val="left"/>
            </w:pPr>
            <w:r w:rsidRPr="00EF5A5F">
              <w:t>Training for which most or all of the cost is borne by the student or a person or organisation on behalf of the student.</w:t>
            </w:r>
          </w:p>
        </w:tc>
      </w:tr>
      <w:tr w:rsidR="00D34C36" w:rsidRPr="00EF5A5F" w:rsidTr="00282176">
        <w:tc>
          <w:tcPr>
            <w:tcW w:w="2302" w:type="dxa"/>
            <w:gridSpan w:val="2"/>
          </w:tcPr>
          <w:p w:rsidR="00D34C36" w:rsidRPr="00EF5A5F" w:rsidRDefault="00D34C36" w:rsidP="00282176">
            <w:pPr>
              <w:pStyle w:val="TableBodyText"/>
              <w:spacing w:before="60" w:after="60"/>
              <w:jc w:val="left"/>
              <w:rPr>
                <w:b/>
              </w:rPr>
            </w:pPr>
            <w:r w:rsidRPr="00EF5A5F">
              <w:rPr>
                <w:b/>
              </w:rPr>
              <w:t>Government funded VET students</w:t>
            </w:r>
          </w:p>
        </w:tc>
        <w:tc>
          <w:tcPr>
            <w:tcW w:w="6487" w:type="dxa"/>
            <w:gridSpan w:val="2"/>
          </w:tcPr>
          <w:p w:rsidR="00CB1385" w:rsidRPr="00293967" w:rsidRDefault="00CB1385" w:rsidP="00A97788">
            <w:pPr>
              <w:spacing w:before="60" w:after="60"/>
              <w:rPr>
                <w:rFonts w:ascii="Arial" w:hAnsi="Arial"/>
                <w:sz w:val="18"/>
                <w:szCs w:val="18"/>
              </w:rPr>
            </w:pPr>
            <w:r w:rsidRPr="00293967">
              <w:rPr>
                <w:rFonts w:ascii="Arial" w:hAnsi="Arial"/>
                <w:sz w:val="18"/>
                <w:szCs w:val="18"/>
              </w:rPr>
              <w:t>Government funded VET students who are funded under Commonwealth and State recurrent, Commonwealth specific and State specific funding. This includes activity funded under the NASWD, and excludes students participating in VET programs delivered in schools (where the delivery was undertaken by schools) or who undertook ‘recreation, leisure or personal enrichment’ education programs. Fee for-service by private providers, delivery undertaken at overseas campuses of Australian VET institutions, and credit transfer are also excluded.</w:t>
            </w:r>
          </w:p>
        </w:tc>
      </w:tr>
      <w:tr w:rsidR="00D34C36" w:rsidRPr="00EF5A5F" w:rsidTr="00282176">
        <w:tc>
          <w:tcPr>
            <w:tcW w:w="2302" w:type="dxa"/>
            <w:gridSpan w:val="2"/>
          </w:tcPr>
          <w:p w:rsidR="00D34C36" w:rsidRPr="00EF5A5F" w:rsidRDefault="00D34C36" w:rsidP="00282176">
            <w:pPr>
              <w:pStyle w:val="TableBodyText"/>
              <w:spacing w:before="60" w:after="60"/>
              <w:jc w:val="left"/>
              <w:rPr>
                <w:b/>
              </w:rPr>
            </w:pPr>
            <w:r w:rsidRPr="00EF5A5F">
              <w:rPr>
                <w:b/>
              </w:rPr>
              <w:t>Government recurrent expenditure per annual hour</w:t>
            </w:r>
          </w:p>
        </w:tc>
        <w:tc>
          <w:tcPr>
            <w:tcW w:w="6487" w:type="dxa"/>
            <w:gridSpan w:val="2"/>
          </w:tcPr>
          <w:p w:rsidR="00D34C36" w:rsidRPr="00EF5A5F" w:rsidRDefault="00D34C36" w:rsidP="00282176">
            <w:pPr>
              <w:pStyle w:val="TableBodyText"/>
              <w:spacing w:before="60" w:after="60"/>
              <w:jc w:val="left"/>
            </w:pPr>
            <w:r w:rsidRPr="00EF5A5F">
              <w:t xml:space="preserve">Government recurrent expenditure </w:t>
            </w:r>
            <w:r w:rsidR="00C06854" w:rsidRPr="00EF5A5F">
              <w:t>divided by</w:t>
            </w:r>
            <w:r w:rsidRPr="00EF5A5F">
              <w:t xml:space="preserve"> </w:t>
            </w:r>
            <w:r w:rsidR="00D60801" w:rsidRPr="00EF5A5F">
              <w:t xml:space="preserve">the number of </w:t>
            </w:r>
            <w:r w:rsidRPr="00EF5A5F">
              <w:t>government funded annual hours</w:t>
            </w:r>
            <w:r w:rsidR="00C06854" w:rsidRPr="00EF5A5F">
              <w:t xml:space="preserve"> (adjusted for invalid enrolment rates)</w:t>
            </w:r>
            <w:r w:rsidRPr="00EF5A5F">
              <w:t>. Expenditure is adjusted for course mix weight.</w:t>
            </w:r>
          </w:p>
        </w:tc>
      </w:tr>
      <w:tr w:rsidR="00D34C36" w:rsidRPr="00EF5A5F" w:rsidTr="00282176">
        <w:tc>
          <w:tcPr>
            <w:tcW w:w="2302" w:type="dxa"/>
            <w:gridSpan w:val="2"/>
          </w:tcPr>
          <w:p w:rsidR="00D34C36" w:rsidRPr="00EF5A5F" w:rsidRDefault="00D34C36" w:rsidP="00282176">
            <w:pPr>
              <w:pStyle w:val="TableBodyText"/>
              <w:spacing w:before="60" w:after="60"/>
              <w:jc w:val="left"/>
              <w:rPr>
                <w:b/>
              </w:rPr>
            </w:pPr>
            <w:r w:rsidRPr="00EF5A5F">
              <w:rPr>
                <w:b/>
              </w:rPr>
              <w:t>Government recurrent expenditure per load pass</w:t>
            </w:r>
          </w:p>
        </w:tc>
        <w:tc>
          <w:tcPr>
            <w:tcW w:w="6487" w:type="dxa"/>
            <w:gridSpan w:val="2"/>
          </w:tcPr>
          <w:p w:rsidR="00D34C36" w:rsidRPr="00EF5A5F" w:rsidRDefault="00D60801" w:rsidP="00282176">
            <w:pPr>
              <w:pStyle w:val="TableBodyText"/>
              <w:spacing w:before="60" w:after="60"/>
              <w:jc w:val="left"/>
            </w:pPr>
            <w:r w:rsidRPr="00EF5A5F">
              <w:t>G</w:t>
            </w:r>
            <w:r w:rsidR="00D34C36" w:rsidRPr="00EF5A5F">
              <w:t xml:space="preserve">overnment recurrent expenditure divided by the number of hours successfully completed from assessable </w:t>
            </w:r>
            <w:r w:rsidR="00D4658A" w:rsidRPr="00EF5A5F">
              <w:t xml:space="preserve">government funded </w:t>
            </w:r>
            <w:r w:rsidR="00D34C36" w:rsidRPr="00EF5A5F">
              <w:t xml:space="preserve">enrolments of modules and units of competency achieved/passed and </w:t>
            </w:r>
            <w:proofErr w:type="spellStart"/>
            <w:r w:rsidR="00D34C36" w:rsidRPr="00EF5A5F">
              <w:t>RPL</w:t>
            </w:r>
            <w:proofErr w:type="spellEnd"/>
            <w:r w:rsidR="00D34C36" w:rsidRPr="00EF5A5F">
              <w:t>.</w:t>
            </w:r>
          </w:p>
        </w:tc>
      </w:tr>
      <w:tr w:rsidR="00D34C36" w:rsidRPr="00EF5A5F" w:rsidTr="00282176">
        <w:tc>
          <w:tcPr>
            <w:tcW w:w="2302" w:type="dxa"/>
            <w:gridSpan w:val="2"/>
          </w:tcPr>
          <w:p w:rsidR="00D34C36" w:rsidRPr="00EF5A5F" w:rsidRDefault="00D34C36" w:rsidP="00282176">
            <w:pPr>
              <w:pStyle w:val="TableBodyText"/>
              <w:spacing w:before="60" w:after="60"/>
              <w:jc w:val="left"/>
              <w:rPr>
                <w:b/>
              </w:rPr>
            </w:pPr>
            <w:r w:rsidRPr="00EF5A5F">
              <w:rPr>
                <w:b/>
              </w:rPr>
              <w:t>Graduate</w:t>
            </w:r>
          </w:p>
        </w:tc>
        <w:tc>
          <w:tcPr>
            <w:tcW w:w="6487" w:type="dxa"/>
            <w:gridSpan w:val="2"/>
          </w:tcPr>
          <w:p w:rsidR="00D34C36" w:rsidRPr="00EF5A5F" w:rsidRDefault="00D34C36" w:rsidP="00282176">
            <w:pPr>
              <w:pStyle w:val="TableBodyText"/>
              <w:spacing w:before="60" w:after="60"/>
              <w:jc w:val="left"/>
            </w:pPr>
            <w:r w:rsidRPr="00EF5A5F">
              <w:t>A person who has completed a VET program.</w:t>
            </w:r>
          </w:p>
        </w:tc>
      </w:tr>
      <w:tr w:rsidR="00D34C36" w:rsidRPr="00EF5A5F" w:rsidTr="00282176">
        <w:tc>
          <w:tcPr>
            <w:tcW w:w="2302" w:type="dxa"/>
            <w:gridSpan w:val="2"/>
          </w:tcPr>
          <w:p w:rsidR="00D34C36" w:rsidRPr="00EF5A5F" w:rsidRDefault="00D34C36" w:rsidP="00282176">
            <w:pPr>
              <w:pStyle w:val="TableBodyText"/>
              <w:spacing w:before="60" w:after="60"/>
              <w:jc w:val="left"/>
              <w:rPr>
                <w:b/>
              </w:rPr>
            </w:pPr>
            <w:r w:rsidRPr="00EF5A5F">
              <w:rPr>
                <w:b/>
              </w:rPr>
              <w:t>Graduates’ main reason for undertaking a VET course</w:t>
            </w:r>
          </w:p>
        </w:tc>
        <w:tc>
          <w:tcPr>
            <w:tcW w:w="6487" w:type="dxa"/>
            <w:gridSpan w:val="2"/>
          </w:tcPr>
          <w:p w:rsidR="00D34C36" w:rsidRPr="00EF5A5F" w:rsidRDefault="00D34C36" w:rsidP="00282176">
            <w:pPr>
              <w:pStyle w:val="TableBodyText"/>
              <w:spacing w:before="60" w:after="60"/>
              <w:jc w:val="left"/>
            </w:pPr>
            <w:r w:rsidRPr="00EF5A5F">
              <w:t>Eithe</w:t>
            </w:r>
            <w:r w:rsidR="00D60801" w:rsidRPr="00EF5A5F">
              <w:t>r seeking an employment–</w:t>
            </w:r>
            <w:r w:rsidRPr="00EF5A5F">
              <w:t>related outcome (to get a job, to try for a different career, to meet job requirements, to get extra job skills), seeking a further study outcome (to get into another course) or seeking a personal development outcome (for personal interest, for other reasons).</w:t>
            </w:r>
          </w:p>
        </w:tc>
      </w:tr>
      <w:tr w:rsidR="00EA6B27" w:rsidRPr="00EF5A5F" w:rsidTr="00EA6B27">
        <w:tc>
          <w:tcPr>
            <w:tcW w:w="2302" w:type="dxa"/>
            <w:gridSpan w:val="2"/>
          </w:tcPr>
          <w:p w:rsidR="00EA6B27" w:rsidRPr="00EF5A5F" w:rsidRDefault="00EA6B27" w:rsidP="001C0F0F">
            <w:pPr>
              <w:pStyle w:val="TableBodyText"/>
              <w:spacing w:before="60" w:after="60"/>
              <w:jc w:val="left"/>
              <w:rPr>
                <w:b/>
              </w:rPr>
            </w:pPr>
            <w:r w:rsidRPr="00EF5A5F">
              <w:rPr>
                <w:b/>
              </w:rPr>
              <w:t xml:space="preserve">Language </w:t>
            </w:r>
            <w:r>
              <w:rPr>
                <w:b/>
              </w:rPr>
              <w:t>other than English (</w:t>
            </w:r>
            <w:proofErr w:type="spellStart"/>
            <w:r>
              <w:rPr>
                <w:b/>
              </w:rPr>
              <w:t>LOTE</w:t>
            </w:r>
            <w:proofErr w:type="spellEnd"/>
            <w:r>
              <w:rPr>
                <w:b/>
              </w:rPr>
              <w:t xml:space="preserve">) </w:t>
            </w:r>
            <w:r w:rsidRPr="00EF5A5F">
              <w:rPr>
                <w:b/>
              </w:rPr>
              <w:t>spoken at home</w:t>
            </w:r>
          </w:p>
        </w:tc>
        <w:tc>
          <w:tcPr>
            <w:tcW w:w="6487" w:type="dxa"/>
            <w:gridSpan w:val="2"/>
          </w:tcPr>
          <w:p w:rsidR="00EA6B27" w:rsidRPr="00EF5A5F" w:rsidRDefault="00EA6B27" w:rsidP="001C0F0F">
            <w:pPr>
              <w:pStyle w:val="TableBodyText"/>
              <w:spacing w:before="60" w:after="60"/>
              <w:jc w:val="left"/>
            </w:pPr>
            <w:r w:rsidRPr="00EF5A5F">
              <w:t>Students speaking a language other than English at home are those who self-identify on their enrolment form that they speak a language other than English at home.</w:t>
            </w:r>
          </w:p>
        </w:tc>
      </w:tr>
      <w:tr w:rsidR="00EA6B27" w:rsidRPr="00EF5A5F" w:rsidTr="00EA6B27">
        <w:tc>
          <w:tcPr>
            <w:tcW w:w="2302" w:type="dxa"/>
            <w:gridSpan w:val="2"/>
          </w:tcPr>
          <w:p w:rsidR="00EA6B27" w:rsidRPr="00EF5A5F" w:rsidRDefault="00EA6B27" w:rsidP="001C0F0F">
            <w:pPr>
              <w:pStyle w:val="TableBodyText"/>
              <w:spacing w:before="60" w:after="60"/>
              <w:jc w:val="left"/>
              <w:rPr>
                <w:b/>
              </w:rPr>
            </w:pPr>
            <w:r w:rsidRPr="00EF5A5F">
              <w:rPr>
                <w:b/>
              </w:rPr>
              <w:t>Load pass rate</w:t>
            </w:r>
          </w:p>
        </w:tc>
        <w:tc>
          <w:tcPr>
            <w:tcW w:w="6487" w:type="dxa"/>
            <w:gridSpan w:val="2"/>
          </w:tcPr>
          <w:p w:rsidR="00EA6B27" w:rsidRPr="00EF5A5F" w:rsidRDefault="00EA6B27" w:rsidP="001C0F0F">
            <w:pPr>
              <w:pStyle w:val="TableBodyText"/>
              <w:spacing w:before="60" w:after="60"/>
              <w:jc w:val="left"/>
            </w:pPr>
            <w:r w:rsidRPr="00EF5A5F">
              <w:t xml:space="preserve">The ratio of hours attributed to students who gained competencies/passed assessment in an assessable module or unit of competency to the hours of all students who were assessed and either passed, failed or withdrew. Load pass rate is calculated as the total competency achieved/passed and </w:t>
            </w:r>
            <w:proofErr w:type="spellStart"/>
            <w:r w:rsidRPr="00EF5A5F">
              <w:t>RPL</w:t>
            </w:r>
            <w:proofErr w:type="spellEnd"/>
            <w:r w:rsidRPr="00EF5A5F">
              <w:t xml:space="preserve"> divided by the total competency achieved/passed, </w:t>
            </w:r>
            <w:proofErr w:type="spellStart"/>
            <w:r w:rsidRPr="00EF5A5F">
              <w:t>RPL</w:t>
            </w:r>
            <w:proofErr w:type="spellEnd"/>
            <w:r w:rsidRPr="00EF5A5F">
              <w:t>, competency not achieved/failed and withdrawn.</w:t>
            </w:r>
          </w:p>
        </w:tc>
      </w:tr>
      <w:tr w:rsidR="00D34C36" w:rsidRPr="00EF5A5F" w:rsidTr="00282176">
        <w:tc>
          <w:tcPr>
            <w:tcW w:w="2302" w:type="dxa"/>
            <w:gridSpan w:val="2"/>
          </w:tcPr>
          <w:p w:rsidR="00D34C36" w:rsidRPr="00EF5A5F" w:rsidRDefault="00D34C36" w:rsidP="00282176">
            <w:pPr>
              <w:pStyle w:val="TableBodyText"/>
              <w:spacing w:before="60" w:after="60"/>
              <w:jc w:val="left"/>
              <w:rPr>
                <w:b/>
              </w:rPr>
            </w:pPr>
            <w:r w:rsidRPr="00EF5A5F">
              <w:rPr>
                <w:b/>
              </w:rPr>
              <w:t>Module</w:t>
            </w:r>
          </w:p>
        </w:tc>
        <w:tc>
          <w:tcPr>
            <w:tcW w:w="6487" w:type="dxa"/>
            <w:gridSpan w:val="2"/>
          </w:tcPr>
          <w:p w:rsidR="00D34C36" w:rsidRPr="00EF5A5F" w:rsidRDefault="00D34C36" w:rsidP="00282176">
            <w:pPr>
              <w:pStyle w:val="TableBodyText"/>
              <w:spacing w:before="60" w:after="60"/>
              <w:jc w:val="left"/>
            </w:pPr>
            <w:r w:rsidRPr="00EF5A5F">
              <w:t>A unit of training in which a student can enrol and be assessed.</w:t>
            </w:r>
          </w:p>
        </w:tc>
      </w:tr>
      <w:tr w:rsidR="00D34C36" w:rsidRPr="00EF5A5F" w:rsidTr="00282176">
        <w:tc>
          <w:tcPr>
            <w:tcW w:w="2302" w:type="dxa"/>
            <w:gridSpan w:val="2"/>
          </w:tcPr>
          <w:p w:rsidR="00D34C36" w:rsidRPr="00EF5A5F" w:rsidRDefault="00D34C36" w:rsidP="00282176">
            <w:pPr>
              <w:pStyle w:val="TableBodyText"/>
              <w:spacing w:before="60" w:after="60"/>
              <w:jc w:val="left"/>
              <w:rPr>
                <w:b/>
              </w:rPr>
            </w:pPr>
            <w:r w:rsidRPr="00EF5A5F">
              <w:rPr>
                <w:b/>
              </w:rPr>
              <w:t>Private provider</w:t>
            </w:r>
          </w:p>
        </w:tc>
        <w:tc>
          <w:tcPr>
            <w:tcW w:w="6487" w:type="dxa"/>
            <w:gridSpan w:val="2"/>
          </w:tcPr>
          <w:p w:rsidR="00D34C36" w:rsidRPr="00EF5A5F" w:rsidRDefault="00D34C36" w:rsidP="00282176">
            <w:pPr>
              <w:pStyle w:val="TableBodyText"/>
              <w:spacing w:before="60" w:after="60"/>
              <w:jc w:val="left"/>
            </w:pPr>
            <w:r w:rsidRPr="00EF5A5F">
              <w:t>A commercial organisation that provides training to individuals and industry</w:t>
            </w:r>
            <w:r w:rsidR="006A51DB" w:rsidRPr="00EF5A5F">
              <w:t>.</w:t>
            </w:r>
          </w:p>
        </w:tc>
      </w:tr>
      <w:tr w:rsidR="00D34C36" w:rsidRPr="00EF5A5F" w:rsidTr="00282176">
        <w:trPr>
          <w:trHeight w:val="187"/>
        </w:trPr>
        <w:tc>
          <w:tcPr>
            <w:tcW w:w="2302" w:type="dxa"/>
            <w:gridSpan w:val="2"/>
          </w:tcPr>
          <w:p w:rsidR="00D34C36" w:rsidRPr="00EF5A5F" w:rsidRDefault="00BF6E12" w:rsidP="00282176">
            <w:pPr>
              <w:pStyle w:val="TableBodyText"/>
              <w:spacing w:before="60" w:after="60"/>
              <w:jc w:val="left"/>
              <w:rPr>
                <w:b/>
              </w:rPr>
            </w:pPr>
            <w:r w:rsidRPr="00EF5A5F">
              <w:rPr>
                <w:rFonts w:ascii="Times New Roman" w:hAnsi="Times New Roman"/>
                <w:sz w:val="26"/>
                <w:szCs w:val="24"/>
              </w:rPr>
              <w:br w:type="page"/>
            </w:r>
            <w:r w:rsidR="00D34C36" w:rsidRPr="00EF5A5F">
              <w:rPr>
                <w:b/>
              </w:rPr>
              <w:t>Program of study</w:t>
            </w:r>
          </w:p>
        </w:tc>
        <w:tc>
          <w:tcPr>
            <w:tcW w:w="6487" w:type="dxa"/>
            <w:gridSpan w:val="2"/>
          </w:tcPr>
          <w:p w:rsidR="00D34C36" w:rsidRPr="00EF5A5F" w:rsidRDefault="00D34C36" w:rsidP="00282176">
            <w:pPr>
              <w:pStyle w:val="TableBodyText"/>
              <w:spacing w:before="60" w:after="60"/>
              <w:jc w:val="left"/>
            </w:pPr>
            <w:r w:rsidRPr="00EF5A5F">
              <w:t>A generic term to describe Training Package qualifications, nationally recognised accredited courses, other courses (not nationally recognised accredited courses), units of competency and modules.</w:t>
            </w:r>
          </w:p>
        </w:tc>
      </w:tr>
      <w:tr w:rsidR="008E2391" w:rsidRPr="00EF5A5F" w:rsidTr="00282176">
        <w:tc>
          <w:tcPr>
            <w:tcW w:w="2302" w:type="dxa"/>
            <w:gridSpan w:val="2"/>
          </w:tcPr>
          <w:p w:rsidR="00DF02DD" w:rsidRPr="00EF5A5F" w:rsidRDefault="008E2391" w:rsidP="00282176">
            <w:pPr>
              <w:pStyle w:val="TableBodyText"/>
              <w:spacing w:before="60" w:after="60"/>
              <w:jc w:val="left"/>
              <w:rPr>
                <w:b/>
                <w:u w:val="single"/>
              </w:rPr>
            </w:pPr>
            <w:r w:rsidRPr="00EF5A5F">
              <w:rPr>
                <w:b/>
              </w:rPr>
              <w:t>Qualification Equivalents (QE)</w:t>
            </w:r>
          </w:p>
        </w:tc>
        <w:tc>
          <w:tcPr>
            <w:tcW w:w="6487" w:type="dxa"/>
            <w:gridSpan w:val="2"/>
          </w:tcPr>
          <w:p w:rsidR="00A97788" w:rsidRDefault="00A97788" w:rsidP="009F0F4A">
            <w:pPr>
              <w:pStyle w:val="TableBodyText"/>
              <w:spacing w:before="60" w:after="60"/>
              <w:jc w:val="left"/>
            </w:pPr>
            <w:r w:rsidRPr="00A97788">
              <w:t>Qualification Equivalents (QE) is a measure of the quantum of training relative to the effort required to fully complete a VET qualification.</w:t>
            </w:r>
          </w:p>
          <w:p w:rsidR="008E2391" w:rsidRPr="00EF5A5F" w:rsidRDefault="008E2391" w:rsidP="009F0F4A">
            <w:pPr>
              <w:pStyle w:val="TableBodyText"/>
              <w:spacing w:before="60" w:after="60"/>
              <w:jc w:val="left"/>
            </w:pPr>
            <w:r w:rsidRPr="009F0F4A">
              <w:t>QE expresses</w:t>
            </w:r>
            <w:r w:rsidRPr="00EF5A5F">
              <w:t xml:space="preserve"> skill outputs in terms of equivalent qualifications within each </w:t>
            </w:r>
            <w:proofErr w:type="spellStart"/>
            <w:r w:rsidRPr="00EF5A5F">
              <w:t>AQF</w:t>
            </w:r>
            <w:proofErr w:type="spellEnd"/>
            <w:r w:rsidRPr="00EF5A5F">
              <w:t xml:space="preserve"> level and </w:t>
            </w:r>
            <w:r w:rsidR="00B0608E" w:rsidRPr="00EF5A5F">
              <w:t>f</w:t>
            </w:r>
            <w:r w:rsidRPr="00EF5A5F">
              <w:t xml:space="preserve">ield of </w:t>
            </w:r>
            <w:r w:rsidR="00B0608E" w:rsidRPr="00EF5A5F">
              <w:t>e</w:t>
            </w:r>
            <w:r w:rsidRPr="00EF5A5F">
              <w:t xml:space="preserve">ducation. </w:t>
            </w:r>
            <w:proofErr w:type="spellStart"/>
            <w:r w:rsidRPr="00EF5A5F">
              <w:t>QEs</w:t>
            </w:r>
            <w:proofErr w:type="spellEnd"/>
            <w:r w:rsidRPr="00EF5A5F">
              <w:t xml:space="preserve"> are based on the training activity </w:t>
            </w:r>
            <w:r w:rsidRPr="00EF5A5F">
              <w:lastRenderedPageBreak/>
              <w:t>(annual hours) associated with completions of modules and units of competency, divided by an agreed value of training activity representing a qualification.</w:t>
            </w:r>
          </w:p>
          <w:p w:rsidR="00D13903" w:rsidRPr="00EF5A5F" w:rsidRDefault="00BD0457" w:rsidP="0052379E">
            <w:pPr>
              <w:pStyle w:val="TableBodyText"/>
              <w:spacing w:before="60" w:after="60"/>
              <w:jc w:val="left"/>
            </w:pPr>
            <w:r w:rsidRPr="00EF5A5F">
              <w:t>All courses have a nominal hour value reported as part of the national VET provider collection. This value provides a guide to the amount of activity that is required to complete the qualifications. These courses are classified by Australian Standard Classification of Education (</w:t>
            </w:r>
            <w:proofErr w:type="spellStart"/>
            <w:r w:rsidRPr="00EF5A5F">
              <w:t>ASCED</w:t>
            </w:r>
            <w:proofErr w:type="spellEnd"/>
            <w:r w:rsidRPr="00EF5A5F">
              <w:t>) field of education and qualification level.</w:t>
            </w:r>
            <w:r w:rsidR="00C11C53" w:rsidRPr="00EF5A5F">
              <w:t xml:space="preserve"> </w:t>
            </w:r>
            <w:r w:rsidR="00D13903" w:rsidRPr="00EF5A5F">
              <w:t xml:space="preserve">For example, the median hours associated with a course in the field of education Food, Hospitality and Personal Services at </w:t>
            </w:r>
            <w:r w:rsidR="00EE045F" w:rsidRPr="00EF5A5F">
              <w:t>d</w:t>
            </w:r>
            <w:r w:rsidR="00D13903" w:rsidRPr="00EF5A5F">
              <w:t>iploma level for 2005 was 1660 hours. The number of hours successfully completed in modules and units of competency from these courses was 353 052. These 353 052 nominal hours represent 213 equivalent diploma qualifications.</w:t>
            </w:r>
          </w:p>
        </w:tc>
      </w:tr>
      <w:tr w:rsidR="00D34C36" w:rsidRPr="00EF5A5F" w:rsidTr="00282176">
        <w:tc>
          <w:tcPr>
            <w:tcW w:w="2302" w:type="dxa"/>
            <w:gridSpan w:val="2"/>
          </w:tcPr>
          <w:p w:rsidR="00D34C36" w:rsidRPr="00EF5A5F" w:rsidRDefault="00D34C36" w:rsidP="00282176">
            <w:pPr>
              <w:pStyle w:val="TableBodyText"/>
              <w:spacing w:before="60" w:after="60"/>
              <w:jc w:val="left"/>
              <w:rPr>
                <w:b/>
              </w:rPr>
            </w:pPr>
            <w:r w:rsidRPr="00EF5A5F">
              <w:rPr>
                <w:b/>
              </w:rPr>
              <w:lastRenderedPageBreak/>
              <w:t>Real</w:t>
            </w:r>
          </w:p>
        </w:tc>
        <w:tc>
          <w:tcPr>
            <w:tcW w:w="6487" w:type="dxa"/>
            <w:gridSpan w:val="2"/>
          </w:tcPr>
          <w:p w:rsidR="00D34C36" w:rsidRPr="00EF5A5F" w:rsidRDefault="00D34C36" w:rsidP="00282176">
            <w:pPr>
              <w:pStyle w:val="TableBodyText"/>
              <w:spacing w:before="60" w:after="60"/>
              <w:jc w:val="left"/>
            </w:pPr>
            <w:r w:rsidRPr="00EF5A5F">
              <w:t>Actual expenditure/funding/assets adjusted for changes in prices. Adjustments are made using the GDP chain price deflator and expressed in terms of final year prices.</w:t>
            </w:r>
          </w:p>
        </w:tc>
      </w:tr>
      <w:tr w:rsidR="00D34C36" w:rsidRPr="00EF5A5F" w:rsidTr="00282176">
        <w:tc>
          <w:tcPr>
            <w:tcW w:w="2302" w:type="dxa"/>
            <w:gridSpan w:val="2"/>
          </w:tcPr>
          <w:p w:rsidR="00D34C36" w:rsidRPr="00EF5A5F" w:rsidRDefault="00D34C36" w:rsidP="00282176">
            <w:pPr>
              <w:pStyle w:val="TableBodyText"/>
              <w:spacing w:before="60" w:after="60"/>
              <w:jc w:val="left"/>
              <w:rPr>
                <w:b/>
              </w:rPr>
            </w:pPr>
            <w:r w:rsidRPr="00EF5A5F">
              <w:rPr>
                <w:b/>
              </w:rPr>
              <w:t>Recognition of prior learning</w:t>
            </w:r>
            <w:r w:rsidR="000C7F1C" w:rsidRPr="00EF5A5F">
              <w:rPr>
                <w:b/>
              </w:rPr>
              <w:t xml:space="preserve"> (</w:t>
            </w:r>
            <w:proofErr w:type="spellStart"/>
            <w:r w:rsidR="000C7F1C" w:rsidRPr="00EF5A5F">
              <w:rPr>
                <w:b/>
              </w:rPr>
              <w:t>RPL</w:t>
            </w:r>
            <w:proofErr w:type="spellEnd"/>
            <w:r w:rsidR="000C7F1C" w:rsidRPr="00EF5A5F">
              <w:rPr>
                <w:b/>
              </w:rPr>
              <w:t>)</w:t>
            </w:r>
          </w:p>
        </w:tc>
        <w:tc>
          <w:tcPr>
            <w:tcW w:w="6487" w:type="dxa"/>
            <w:gridSpan w:val="2"/>
          </w:tcPr>
          <w:p w:rsidR="00D34C36" w:rsidRPr="00EF5A5F" w:rsidRDefault="00D34C36" w:rsidP="00282176">
            <w:pPr>
              <w:pStyle w:val="TableBodyText"/>
              <w:spacing w:before="60" w:after="60"/>
              <w:jc w:val="left"/>
            </w:pPr>
            <w:proofErr w:type="spellStart"/>
            <w:r w:rsidRPr="00EF5A5F">
              <w:t>RPL</w:t>
            </w:r>
            <w:proofErr w:type="spellEnd"/>
            <w:r w:rsidRPr="00EF5A5F">
              <w:t xml:space="preserve"> is an assessment process through which students may gain formal recognition for the skills they already have. An enrolment where the student has been assessed competent for the whole unit of competency or module by a trainer. The result of the assessment is on the basis of the student’s prior skills and knowledge acquired through previous training, work or life experience.</w:t>
            </w:r>
          </w:p>
        </w:tc>
      </w:tr>
      <w:tr w:rsidR="00D34C36" w:rsidRPr="00EF5A5F" w:rsidTr="00282176">
        <w:tc>
          <w:tcPr>
            <w:tcW w:w="2302" w:type="dxa"/>
            <w:gridSpan w:val="2"/>
          </w:tcPr>
          <w:p w:rsidR="00D34C36" w:rsidRPr="00EF5A5F" w:rsidRDefault="00D34C36" w:rsidP="00282176">
            <w:pPr>
              <w:pStyle w:val="TableBodyText"/>
              <w:spacing w:before="60" w:after="60"/>
              <w:jc w:val="left"/>
              <w:rPr>
                <w:b/>
              </w:rPr>
            </w:pPr>
            <w:r w:rsidRPr="00EF5A5F">
              <w:rPr>
                <w:b/>
              </w:rPr>
              <w:t>Recurrent funding</w:t>
            </w:r>
          </w:p>
        </w:tc>
        <w:tc>
          <w:tcPr>
            <w:tcW w:w="6487" w:type="dxa"/>
            <w:gridSpan w:val="2"/>
          </w:tcPr>
          <w:p w:rsidR="00D34C36" w:rsidRPr="00EF5A5F" w:rsidRDefault="00D34C36" w:rsidP="00282176">
            <w:pPr>
              <w:pStyle w:val="TableBodyText"/>
              <w:spacing w:before="60" w:after="60"/>
              <w:jc w:val="left"/>
            </w:pPr>
            <w:r w:rsidRPr="00EF5A5F">
              <w:t>Funding provided by the Australian, State and Territory governments to cover operating costs, salaries and rent.</w:t>
            </w:r>
          </w:p>
        </w:tc>
      </w:tr>
      <w:tr w:rsidR="00D34C36" w:rsidRPr="00EF5A5F" w:rsidTr="00282176">
        <w:tc>
          <w:tcPr>
            <w:tcW w:w="2302" w:type="dxa"/>
            <w:gridSpan w:val="2"/>
          </w:tcPr>
          <w:p w:rsidR="00D34C36" w:rsidRPr="00EF5A5F" w:rsidRDefault="00D34C36" w:rsidP="00282176">
            <w:pPr>
              <w:pStyle w:val="TableBodyText"/>
              <w:spacing w:before="60" w:after="60"/>
              <w:jc w:val="left"/>
              <w:rPr>
                <w:b/>
              </w:rPr>
            </w:pPr>
            <w:r w:rsidRPr="00EF5A5F">
              <w:rPr>
                <w:b/>
              </w:rPr>
              <w:t>Registered training organisation</w:t>
            </w:r>
            <w:r w:rsidR="000C7F1C" w:rsidRPr="00EF5A5F">
              <w:rPr>
                <w:b/>
              </w:rPr>
              <w:t xml:space="preserve"> (</w:t>
            </w:r>
            <w:proofErr w:type="spellStart"/>
            <w:r w:rsidR="000C7F1C" w:rsidRPr="00EF5A5F">
              <w:rPr>
                <w:b/>
              </w:rPr>
              <w:t>RTO</w:t>
            </w:r>
            <w:proofErr w:type="spellEnd"/>
            <w:r w:rsidR="000C7F1C" w:rsidRPr="00EF5A5F">
              <w:rPr>
                <w:b/>
              </w:rPr>
              <w:t>)</w:t>
            </w:r>
          </w:p>
        </w:tc>
        <w:tc>
          <w:tcPr>
            <w:tcW w:w="6487" w:type="dxa"/>
            <w:gridSpan w:val="2"/>
          </w:tcPr>
          <w:p w:rsidR="00376460" w:rsidRPr="00EF5A5F" w:rsidRDefault="00D34C36" w:rsidP="00282176">
            <w:pPr>
              <w:pStyle w:val="TableBodyText"/>
              <w:spacing w:before="60" w:after="60"/>
              <w:jc w:val="left"/>
            </w:pPr>
            <w:proofErr w:type="spellStart"/>
            <w:r w:rsidRPr="00EF5A5F">
              <w:t>RTOs</w:t>
            </w:r>
            <w:proofErr w:type="spellEnd"/>
            <w:r w:rsidRPr="00EF5A5F">
              <w:t xml:space="preserve"> are organisations registered by a State or Territory recognition authority to deliver specified VET and/or assessment services, and issue nationally recognised qualifications in accordance with the </w:t>
            </w:r>
            <w:proofErr w:type="spellStart"/>
            <w:r w:rsidRPr="00EF5A5F">
              <w:t>AQTF</w:t>
            </w:r>
            <w:proofErr w:type="spellEnd"/>
            <w:r w:rsidRPr="00EF5A5F">
              <w:t xml:space="preserve">. </w:t>
            </w:r>
            <w:proofErr w:type="spellStart"/>
            <w:r w:rsidRPr="00EF5A5F">
              <w:t>RTOs</w:t>
            </w:r>
            <w:proofErr w:type="spellEnd"/>
            <w:r w:rsidRPr="00EF5A5F">
              <w:t xml:space="preserve"> include TAFE colleges and institutes, adult and community education providers, private providers, community organisations, schools, higher education institutions, commercial and enterprise training providers, industry bodies and other organisations meeting the registration requirements.</w:t>
            </w:r>
          </w:p>
        </w:tc>
      </w:tr>
      <w:tr w:rsidR="00376460" w:rsidRPr="00EF5A5F" w:rsidTr="000C682B">
        <w:tc>
          <w:tcPr>
            <w:tcW w:w="2302" w:type="dxa"/>
            <w:gridSpan w:val="2"/>
            <w:shd w:val="clear" w:color="auto" w:fill="FFFFFF" w:themeFill="background1"/>
          </w:tcPr>
          <w:p w:rsidR="00376460" w:rsidRPr="00EF5A5F" w:rsidRDefault="00376460" w:rsidP="00282176">
            <w:pPr>
              <w:pStyle w:val="TableBodyText"/>
              <w:spacing w:before="60" w:after="60"/>
              <w:jc w:val="left"/>
              <w:rPr>
                <w:b/>
              </w:rPr>
            </w:pPr>
            <w:r>
              <w:rPr>
                <w:b/>
              </w:rPr>
              <w:t>Remoteness</w:t>
            </w:r>
          </w:p>
        </w:tc>
        <w:tc>
          <w:tcPr>
            <w:tcW w:w="6487" w:type="dxa"/>
            <w:gridSpan w:val="2"/>
            <w:shd w:val="clear" w:color="auto" w:fill="FFFFFF" w:themeFill="background1"/>
          </w:tcPr>
          <w:p w:rsidR="00376460" w:rsidRDefault="00376460" w:rsidP="00282176">
            <w:pPr>
              <w:pStyle w:val="TableBodyText"/>
              <w:spacing w:before="60" w:after="60"/>
              <w:jc w:val="left"/>
            </w:pPr>
            <w:r>
              <w:t xml:space="preserve">Remoteness is described using ARIA+, which is </w:t>
            </w:r>
            <w:r w:rsidRPr="00376460">
              <w:t>published as a 1 kilometre grid or matrix that covers the whole of Australia</w:t>
            </w:r>
            <w:r>
              <w:t xml:space="preserve">. </w:t>
            </w:r>
            <w:r w:rsidRPr="00376460">
              <w:t>The ABS calculated the arithmetic mean ARIA+ values for each Census Collection Districts (</w:t>
            </w:r>
            <w:proofErr w:type="spellStart"/>
            <w:r w:rsidRPr="00376460">
              <w:t>CCD</w:t>
            </w:r>
            <w:proofErr w:type="spellEnd"/>
            <w:r w:rsidRPr="00376460">
              <w:t>) that formed the base level of the Remoteness Structure.</w:t>
            </w:r>
          </w:p>
          <w:p w:rsidR="00376460" w:rsidRDefault="00376460" w:rsidP="00282176">
            <w:pPr>
              <w:pStyle w:val="TableBodyText"/>
              <w:spacing w:before="60" w:after="60"/>
              <w:jc w:val="left"/>
              <w:rPr>
                <w:b/>
                <w:bCs/>
              </w:rPr>
            </w:pPr>
            <w:proofErr w:type="spellStart"/>
            <w:r>
              <w:rPr>
                <w:b/>
                <w:bCs/>
              </w:rPr>
              <w:t>CCD</w:t>
            </w:r>
            <w:proofErr w:type="spellEnd"/>
            <w:r>
              <w:rPr>
                <w:b/>
                <w:bCs/>
              </w:rPr>
              <w:t xml:space="preserve"> Average ARIA+ value ranges</w:t>
            </w:r>
          </w:p>
          <w:p w:rsidR="00376460" w:rsidRPr="00EF5A5F" w:rsidRDefault="00376460" w:rsidP="00376460">
            <w:pPr>
              <w:pStyle w:val="TableBodyText"/>
              <w:spacing w:before="60" w:after="60"/>
              <w:jc w:val="left"/>
            </w:pPr>
            <w:r>
              <w:t xml:space="preserve">Major Cities: </w:t>
            </w:r>
            <w:r w:rsidRPr="00376460">
              <w:t>0 to 0.2</w:t>
            </w:r>
            <w:r>
              <w:br/>
              <w:t>Inner Regional: greater than 0.2 and less than or equal to 2.4</w:t>
            </w:r>
            <w:r>
              <w:br/>
              <w:t>Outer Regional: greater than 2.4 and less than or equal to 5.92</w:t>
            </w:r>
            <w:r>
              <w:br/>
              <w:t>Remote: greater than 5.92 and less than or equal to 10.53</w:t>
            </w:r>
            <w:r>
              <w:br/>
              <w:t>Very remote: greater than 10.53</w:t>
            </w:r>
          </w:p>
        </w:tc>
      </w:tr>
      <w:tr w:rsidR="00D34C36" w:rsidRPr="00EF5A5F" w:rsidTr="00282176">
        <w:tc>
          <w:tcPr>
            <w:tcW w:w="2302" w:type="dxa"/>
            <w:gridSpan w:val="2"/>
          </w:tcPr>
          <w:p w:rsidR="00D34C36" w:rsidRPr="00EF5A5F" w:rsidRDefault="00D34C36" w:rsidP="00282176">
            <w:pPr>
              <w:pStyle w:val="TableBodyText"/>
              <w:spacing w:before="60" w:after="60"/>
              <w:jc w:val="left"/>
              <w:rPr>
                <w:b/>
              </w:rPr>
            </w:pPr>
            <w:r w:rsidRPr="00EF5A5F">
              <w:rPr>
                <w:b/>
              </w:rPr>
              <w:t>TAFE</w:t>
            </w:r>
          </w:p>
        </w:tc>
        <w:tc>
          <w:tcPr>
            <w:tcW w:w="6487" w:type="dxa"/>
            <w:gridSpan w:val="2"/>
          </w:tcPr>
          <w:p w:rsidR="00D34C36" w:rsidRPr="00EF5A5F" w:rsidRDefault="00D34C36" w:rsidP="00282176">
            <w:pPr>
              <w:pStyle w:val="TableBodyText"/>
              <w:spacing w:before="60" w:after="60"/>
              <w:jc w:val="left"/>
            </w:pPr>
            <w:r w:rsidRPr="00EF5A5F">
              <w:t>Technical and further education colleges and institutes, which are the primary providers of government funded VET.</w:t>
            </w:r>
          </w:p>
        </w:tc>
      </w:tr>
      <w:tr w:rsidR="00D34C36" w:rsidRPr="00EF5A5F" w:rsidTr="00282176">
        <w:tc>
          <w:tcPr>
            <w:tcW w:w="2302" w:type="dxa"/>
            <w:gridSpan w:val="2"/>
          </w:tcPr>
          <w:p w:rsidR="00D34C36" w:rsidRPr="00EF5A5F" w:rsidRDefault="00D34C36" w:rsidP="00282176">
            <w:pPr>
              <w:pStyle w:val="TableBodyText"/>
              <w:spacing w:before="60" w:after="60"/>
              <w:jc w:val="left"/>
              <w:rPr>
                <w:b/>
              </w:rPr>
            </w:pPr>
            <w:r w:rsidRPr="00EF5A5F">
              <w:rPr>
                <w:b/>
              </w:rPr>
              <w:t>Training packages</w:t>
            </w:r>
          </w:p>
        </w:tc>
        <w:tc>
          <w:tcPr>
            <w:tcW w:w="6487" w:type="dxa"/>
            <w:gridSpan w:val="2"/>
          </w:tcPr>
          <w:p w:rsidR="00D34C36" w:rsidRPr="00EF5A5F" w:rsidRDefault="00D34C36" w:rsidP="00282176">
            <w:pPr>
              <w:pStyle w:val="TableBodyText"/>
              <w:spacing w:before="60" w:after="60"/>
              <w:jc w:val="left"/>
            </w:pPr>
            <w:r w:rsidRPr="00EF5A5F">
              <w:t xml:space="preserve">An integrated set of nationally endorsed standards, guidelines and qualifications for training, assessing and recognising people’s skills, developed by industry to meet the training needs of an industry or group of industries. Training packages consist of core endorsed components of competency standards, assessment guidelines and qualifications, and optional non-endorsed components of support materials such as learning strategies, assessment resources and professional development materials. </w:t>
            </w:r>
          </w:p>
          <w:p w:rsidR="00D34C36" w:rsidRPr="00EF5A5F" w:rsidRDefault="00D34C36" w:rsidP="00282176">
            <w:pPr>
              <w:pStyle w:val="TableBodyText"/>
              <w:spacing w:before="60" w:after="60"/>
              <w:jc w:val="left"/>
            </w:pPr>
            <w:r w:rsidRPr="00EF5A5F">
              <w:t>A Training Package is the grouping together of the training components designed to assist in achieving the competencies for a specific industry. Units of competency are packaged together which, when combined at various levels, can form qualifications (Certificate, Diploma etc.).</w:t>
            </w:r>
          </w:p>
        </w:tc>
      </w:tr>
      <w:tr w:rsidR="00D34C36" w:rsidRPr="00EF5A5F" w:rsidTr="00282176">
        <w:tc>
          <w:tcPr>
            <w:tcW w:w="2302" w:type="dxa"/>
            <w:gridSpan w:val="2"/>
          </w:tcPr>
          <w:p w:rsidR="00D34C36" w:rsidRPr="00EF5A5F" w:rsidRDefault="00D34C36" w:rsidP="00282176">
            <w:pPr>
              <w:pStyle w:val="TableBodyText"/>
              <w:spacing w:before="60" w:after="60"/>
              <w:jc w:val="left"/>
              <w:rPr>
                <w:b/>
              </w:rPr>
            </w:pPr>
            <w:r w:rsidRPr="00EF5A5F">
              <w:rPr>
                <w:b/>
              </w:rPr>
              <w:t>Unit of competency</w:t>
            </w:r>
          </w:p>
        </w:tc>
        <w:tc>
          <w:tcPr>
            <w:tcW w:w="6487" w:type="dxa"/>
            <w:gridSpan w:val="2"/>
          </w:tcPr>
          <w:p w:rsidR="00D34C36" w:rsidRPr="00EF5A5F" w:rsidRDefault="00D34C36" w:rsidP="00282176">
            <w:pPr>
              <w:pStyle w:val="TableBodyText"/>
              <w:spacing w:before="60" w:after="60"/>
              <w:jc w:val="left"/>
            </w:pPr>
            <w:r w:rsidRPr="00EF5A5F">
              <w:t xml:space="preserve">A unit of competency is the smallest component </w:t>
            </w:r>
            <w:r w:rsidR="00E629A5" w:rsidRPr="00EF5A5F">
              <w:t>of a VET program that</w:t>
            </w:r>
            <w:r w:rsidRPr="00EF5A5F">
              <w:t xml:space="preserve"> can be assessed and recognised in the VET system for collection purposes.</w:t>
            </w:r>
          </w:p>
        </w:tc>
      </w:tr>
      <w:tr w:rsidR="003F412D" w:rsidRPr="00EF5A5F" w:rsidTr="00282176">
        <w:trPr>
          <w:gridAfter w:val="1"/>
          <w:wAfter w:w="41" w:type="dxa"/>
        </w:trPr>
        <w:tc>
          <w:tcPr>
            <w:tcW w:w="2293" w:type="dxa"/>
          </w:tcPr>
          <w:p w:rsidR="003F412D" w:rsidRPr="00EF5A5F" w:rsidRDefault="003F412D" w:rsidP="00282176">
            <w:pPr>
              <w:pStyle w:val="TableBodyText"/>
              <w:spacing w:before="60" w:after="60"/>
              <w:jc w:val="left"/>
              <w:rPr>
                <w:b/>
              </w:rPr>
            </w:pPr>
            <w:r w:rsidRPr="00EF5A5F">
              <w:rPr>
                <w:b/>
              </w:rPr>
              <w:t>User cost of capital per annual hour</w:t>
            </w:r>
          </w:p>
        </w:tc>
        <w:tc>
          <w:tcPr>
            <w:tcW w:w="6455" w:type="dxa"/>
            <w:gridSpan w:val="2"/>
          </w:tcPr>
          <w:p w:rsidR="007000E7" w:rsidRPr="00EF5A5F" w:rsidRDefault="007000E7" w:rsidP="00282176">
            <w:pPr>
              <w:pStyle w:val="TableBodyText"/>
              <w:spacing w:before="60" w:after="60"/>
              <w:jc w:val="left"/>
            </w:pPr>
            <w:r w:rsidRPr="00EF5A5F">
              <w:t xml:space="preserve">User cost of capital (which is the opportunity cost of funds tied up in the capital used to deliver services, calculated as 8 per cent of the total value of the physical non-current assets) divided by government funded annual hours </w:t>
            </w:r>
            <w:r w:rsidRPr="00EF5A5F">
              <w:lastRenderedPageBreak/>
              <w:t>and course mix weight</w:t>
            </w:r>
            <w:r w:rsidR="0091113B">
              <w:t>.</w:t>
            </w:r>
          </w:p>
        </w:tc>
      </w:tr>
      <w:tr w:rsidR="003F412D" w:rsidRPr="00EF5A5F" w:rsidTr="00282176">
        <w:trPr>
          <w:gridAfter w:val="1"/>
          <w:wAfter w:w="41" w:type="dxa"/>
        </w:trPr>
        <w:tc>
          <w:tcPr>
            <w:tcW w:w="2293" w:type="dxa"/>
          </w:tcPr>
          <w:p w:rsidR="003F412D" w:rsidRPr="00EF5A5F" w:rsidRDefault="003F412D" w:rsidP="00282176">
            <w:pPr>
              <w:pStyle w:val="TableBodyText"/>
              <w:spacing w:before="60" w:after="60"/>
              <w:jc w:val="left"/>
              <w:rPr>
                <w:b/>
              </w:rPr>
            </w:pPr>
            <w:r w:rsidRPr="00EF5A5F">
              <w:rPr>
                <w:b/>
              </w:rPr>
              <w:lastRenderedPageBreak/>
              <w:t>User cost of capital per load pass</w:t>
            </w:r>
          </w:p>
        </w:tc>
        <w:tc>
          <w:tcPr>
            <w:tcW w:w="6455" w:type="dxa"/>
            <w:gridSpan w:val="2"/>
          </w:tcPr>
          <w:p w:rsidR="003F412D" w:rsidRPr="00EF5A5F" w:rsidRDefault="007000E7" w:rsidP="00282176">
            <w:pPr>
              <w:pStyle w:val="TableBodyText"/>
              <w:spacing w:before="60" w:after="60"/>
              <w:jc w:val="left"/>
            </w:pPr>
            <w:r w:rsidRPr="00EF5A5F">
              <w:t xml:space="preserve">User cost of capital (which is the opportunity cost of funds tied up in the capital used to deliver services, calculated as 8 per cent of the total value of the physical non-current assets) </w:t>
            </w:r>
            <w:r w:rsidR="003F412D" w:rsidRPr="00EF5A5F">
              <w:t xml:space="preserve">divided by successfully completed </w:t>
            </w:r>
            <w:r w:rsidR="00E63198" w:rsidRPr="00EF5A5F">
              <w:t xml:space="preserve">government funded </w:t>
            </w:r>
            <w:r w:rsidR="003F412D" w:rsidRPr="00EF5A5F">
              <w:t>VET modules or units of competency.</w:t>
            </w:r>
          </w:p>
        </w:tc>
      </w:tr>
      <w:tr w:rsidR="00D34C36" w:rsidRPr="00EF5A5F" w:rsidTr="00282176">
        <w:tc>
          <w:tcPr>
            <w:tcW w:w="2302" w:type="dxa"/>
            <w:gridSpan w:val="2"/>
          </w:tcPr>
          <w:p w:rsidR="00D34C36" w:rsidRPr="00EF5A5F" w:rsidRDefault="00D34C36" w:rsidP="00282176">
            <w:pPr>
              <w:pStyle w:val="TableBodyText"/>
              <w:spacing w:before="60" w:after="60"/>
              <w:jc w:val="left"/>
              <w:rPr>
                <w:b/>
              </w:rPr>
            </w:pPr>
            <w:r w:rsidRPr="00EF5A5F">
              <w:rPr>
                <w:b/>
              </w:rPr>
              <w:t>VET participation</w:t>
            </w:r>
          </w:p>
        </w:tc>
        <w:tc>
          <w:tcPr>
            <w:tcW w:w="6487" w:type="dxa"/>
            <w:gridSpan w:val="2"/>
          </w:tcPr>
          <w:p w:rsidR="00F758BD" w:rsidRPr="00EF5A5F" w:rsidRDefault="00D34C36" w:rsidP="00282176">
            <w:pPr>
              <w:pStyle w:val="TableBodyText"/>
              <w:spacing w:before="60" w:after="60"/>
              <w:jc w:val="left"/>
            </w:pPr>
            <w:r w:rsidRPr="00EF5A5F">
              <w:t xml:space="preserve">VET student participation data presented in this Report refer only to VET students who were funded </w:t>
            </w:r>
            <w:r w:rsidRPr="0014685B">
              <w:t>by government expenditure</w:t>
            </w:r>
            <w:r w:rsidRPr="00EF5A5F">
              <w:t xml:space="preserve"> and delivered by TAFE and other government providers (including multi</w:t>
            </w:r>
            <w:r w:rsidR="005B543F" w:rsidRPr="00EF5A5F">
              <w:t>-</w:t>
            </w:r>
            <w:r w:rsidRPr="00EF5A5F">
              <w:t>sector higher education institutions), registered community providers and registered private providers. They do not include students who participated in VET programs delivered in schools (where the delivery was undertaken by schools) or undertook ‘recreation, leisure or personal enrichment’ education programs. Fee-for-service by private providers</w:t>
            </w:r>
            <w:r w:rsidR="006A51DB" w:rsidRPr="00EF5A5F">
              <w:t>,</w:t>
            </w:r>
            <w:r w:rsidRPr="00EF5A5F">
              <w:t xml:space="preserve"> delivery undertaken at overseas campuses of Australian VET institutions</w:t>
            </w:r>
            <w:r w:rsidR="006A51DB" w:rsidRPr="00EF5A5F">
              <w:t>,</w:t>
            </w:r>
            <w:r w:rsidRPr="00EF5A5F">
              <w:t xml:space="preserve"> and credit transfer are also excluded.</w:t>
            </w:r>
            <w:r w:rsidR="00F758BD" w:rsidRPr="00EF5A5F">
              <w:t xml:space="preserve"> </w:t>
            </w:r>
          </w:p>
          <w:p w:rsidR="00744EE9" w:rsidRPr="00EF5A5F" w:rsidRDefault="00F758BD" w:rsidP="00282176">
            <w:pPr>
              <w:pStyle w:val="TableBodyText"/>
              <w:spacing w:before="60" w:after="60"/>
              <w:jc w:val="left"/>
            </w:pPr>
            <w:r w:rsidRPr="00EF5A5F">
              <w:t>A VET student may be enrolled in more than one VET training program, and therefore there are more ‘enrolments’ in the VET system than ‘students’. This distinction between ‘student’ numbers and the number of ‘enrolments’ (or ‘student enrolments’) may be of importance if comparing VET data in this chapter with other VET data.</w:t>
            </w:r>
          </w:p>
        </w:tc>
      </w:tr>
      <w:tr w:rsidR="00EA6B27" w:rsidRPr="00EF5A5F" w:rsidTr="00EA6B27">
        <w:tc>
          <w:tcPr>
            <w:tcW w:w="2302" w:type="dxa"/>
            <w:gridSpan w:val="2"/>
          </w:tcPr>
          <w:p w:rsidR="00EA6B27" w:rsidRPr="00EF5A5F" w:rsidRDefault="00EA6B27" w:rsidP="001C0F0F">
            <w:pPr>
              <w:pStyle w:val="TableBodyText"/>
              <w:spacing w:before="60" w:after="60"/>
              <w:jc w:val="left"/>
              <w:rPr>
                <w:b/>
              </w:rPr>
            </w:pPr>
            <w:r w:rsidRPr="00EF5A5F">
              <w:rPr>
                <w:b/>
              </w:rPr>
              <w:t xml:space="preserve">VET participation by </w:t>
            </w:r>
            <w:r w:rsidR="00804C04">
              <w:rPr>
                <w:b/>
              </w:rPr>
              <w:t>Aboriginal and Torres Strait Islander people</w:t>
            </w:r>
          </w:p>
        </w:tc>
        <w:tc>
          <w:tcPr>
            <w:tcW w:w="6487" w:type="dxa"/>
            <w:gridSpan w:val="2"/>
          </w:tcPr>
          <w:p w:rsidR="00EA6B27" w:rsidRDefault="00EA6B27" w:rsidP="001C0F0F">
            <w:pPr>
              <w:pStyle w:val="TableBodyText"/>
              <w:spacing w:before="60" w:after="60"/>
              <w:jc w:val="left"/>
            </w:pPr>
            <w:r w:rsidRPr="00EF5A5F">
              <w:t>The number of government funded participants of all ages in the VET system reported as</w:t>
            </w:r>
            <w:r w:rsidR="00804C04">
              <w:t xml:space="preserve"> Aboriginal and Torres Strait Islander </w:t>
            </w:r>
            <w:r w:rsidRPr="00EF5A5F">
              <w:t xml:space="preserve">as a proportion of the number of </w:t>
            </w:r>
            <w:r w:rsidR="00804C04">
              <w:t>Aboriginal and Torres Strait Islander people</w:t>
            </w:r>
            <w:r w:rsidRPr="00EF5A5F">
              <w:t xml:space="preserve"> aged 15–64 years in the Australian population.</w:t>
            </w:r>
          </w:p>
          <w:p w:rsidR="00EA6B27" w:rsidRPr="00EF5A5F" w:rsidRDefault="009604DC" w:rsidP="009604DC">
            <w:pPr>
              <w:pStyle w:val="TableBodyText"/>
              <w:spacing w:before="60" w:after="60"/>
              <w:jc w:val="left"/>
            </w:pPr>
            <w:r>
              <w:t xml:space="preserve">Aboriginal and Torres Strait Islander </w:t>
            </w:r>
            <w:r w:rsidR="00EA6B27" w:rsidRPr="009F0F4A">
              <w:t>students are defined as those who self-identify on enrolment forms that they are of Aboriginal and/or Torres Strait Islander background. Not all students respond to the relevant question on the enrolment form.</w:t>
            </w:r>
          </w:p>
        </w:tc>
      </w:tr>
      <w:tr w:rsidR="00EA6B27" w:rsidRPr="00EF5A5F" w:rsidTr="00EA6B27">
        <w:tc>
          <w:tcPr>
            <w:tcW w:w="2302" w:type="dxa"/>
            <w:gridSpan w:val="2"/>
          </w:tcPr>
          <w:p w:rsidR="00EA6B27" w:rsidRPr="00EF5A5F" w:rsidRDefault="00EA6B27" w:rsidP="001C0F0F">
            <w:pPr>
              <w:pStyle w:val="TableBodyText"/>
              <w:spacing w:before="60" w:after="60"/>
              <w:jc w:val="left"/>
              <w:rPr>
                <w:b/>
              </w:rPr>
            </w:pPr>
            <w:r w:rsidRPr="00EF5A5F">
              <w:rPr>
                <w:b/>
              </w:rPr>
              <w:t>VET participation by students speaking a language other than English</w:t>
            </w:r>
          </w:p>
        </w:tc>
        <w:tc>
          <w:tcPr>
            <w:tcW w:w="6487" w:type="dxa"/>
            <w:gridSpan w:val="2"/>
          </w:tcPr>
          <w:p w:rsidR="00EA6B27" w:rsidRPr="00EF5A5F" w:rsidRDefault="00EA6B27" w:rsidP="001C0F0F">
            <w:pPr>
              <w:pStyle w:val="TableBodyText"/>
              <w:spacing w:before="60" w:after="60"/>
              <w:jc w:val="left"/>
            </w:pPr>
            <w:r w:rsidRPr="00EF5A5F">
              <w:t>The number of government funded participants of all ages in the VET system speaking a language other than English at home as a proportion of the number of all people in the Australian population speaking a language other than English at home.</w:t>
            </w:r>
          </w:p>
        </w:tc>
      </w:tr>
      <w:tr w:rsidR="00D34C36" w:rsidRPr="00EF5A5F" w:rsidTr="00282176">
        <w:tc>
          <w:tcPr>
            <w:tcW w:w="2302" w:type="dxa"/>
            <w:gridSpan w:val="2"/>
          </w:tcPr>
          <w:p w:rsidR="00D34C36" w:rsidRPr="00EF5A5F" w:rsidRDefault="00D34C36" w:rsidP="00282176">
            <w:pPr>
              <w:pStyle w:val="TableBodyText"/>
              <w:spacing w:before="60" w:after="60"/>
              <w:jc w:val="left"/>
              <w:rPr>
                <w:b/>
              </w:rPr>
            </w:pPr>
            <w:r w:rsidRPr="00EF5A5F">
              <w:rPr>
                <w:b/>
              </w:rPr>
              <w:t xml:space="preserve">VET participation rate for people aged </w:t>
            </w:r>
            <w:r w:rsidR="006A51DB" w:rsidRPr="00EF5A5F">
              <w:rPr>
                <w:b/>
              </w:rPr>
              <w:br/>
            </w:r>
            <w:r w:rsidRPr="00EF5A5F">
              <w:rPr>
                <w:b/>
              </w:rPr>
              <w:t>15–64 years</w:t>
            </w:r>
          </w:p>
        </w:tc>
        <w:tc>
          <w:tcPr>
            <w:tcW w:w="6487" w:type="dxa"/>
            <w:gridSpan w:val="2"/>
          </w:tcPr>
          <w:p w:rsidR="00D34C36" w:rsidRPr="00EF5A5F" w:rsidRDefault="00D34C36" w:rsidP="00282176">
            <w:pPr>
              <w:pStyle w:val="TableBodyText"/>
              <w:spacing w:before="60" w:after="60"/>
              <w:jc w:val="left"/>
            </w:pPr>
            <w:r w:rsidRPr="00EF5A5F">
              <w:t>The number of government funded participants aged 15–64 years in the VET system as a proportion of the number of people in Australia (or each jurisdiction) aged 15–64 years.</w:t>
            </w:r>
          </w:p>
        </w:tc>
      </w:tr>
      <w:tr w:rsidR="00D34C36" w:rsidRPr="00EF5A5F" w:rsidTr="00282176">
        <w:tc>
          <w:tcPr>
            <w:tcW w:w="2302" w:type="dxa"/>
            <w:gridSpan w:val="2"/>
          </w:tcPr>
          <w:p w:rsidR="00D34C36" w:rsidRPr="00EF5A5F" w:rsidRDefault="00D34C36" w:rsidP="00282176">
            <w:pPr>
              <w:pStyle w:val="TableBodyText"/>
              <w:spacing w:before="60" w:after="60"/>
              <w:jc w:val="left"/>
              <w:rPr>
                <w:b/>
              </w:rPr>
            </w:pPr>
            <w:r w:rsidRPr="00EF5A5F">
              <w:rPr>
                <w:b/>
              </w:rPr>
              <w:t>VET participation rate for people of all ages by region</w:t>
            </w:r>
          </w:p>
        </w:tc>
        <w:tc>
          <w:tcPr>
            <w:tcW w:w="6487" w:type="dxa"/>
            <w:gridSpan w:val="2"/>
          </w:tcPr>
          <w:p w:rsidR="00D34C36" w:rsidRPr="00EF5A5F" w:rsidRDefault="00D34C36" w:rsidP="00282176">
            <w:pPr>
              <w:pStyle w:val="TableBodyText"/>
              <w:spacing w:before="60" w:after="60"/>
              <w:jc w:val="left"/>
            </w:pPr>
            <w:r w:rsidRPr="00EF5A5F">
              <w:t>The number of government funded participants of all ages in the VET system based on students</w:t>
            </w:r>
            <w:r w:rsidR="000C7F1C" w:rsidRPr="00EF5A5F">
              <w:t>’</w:t>
            </w:r>
            <w:r w:rsidRPr="00EF5A5F">
              <w:t xml:space="preserve"> home postcode</w:t>
            </w:r>
            <w:r w:rsidR="000C7F1C" w:rsidRPr="00EF5A5F">
              <w:t>s</w:t>
            </w:r>
            <w:r w:rsidRPr="00EF5A5F">
              <w:t xml:space="preserve"> using the Accessibility and Remoteness Index for Australia (that is, major cities; inner regional areas; outer regional areas; remote and very remote areas) as a proportion of the total population of people in those geographic areas</w:t>
            </w:r>
            <w:r w:rsidR="006A51DB" w:rsidRPr="00EF5A5F">
              <w:t>.</w:t>
            </w:r>
          </w:p>
        </w:tc>
      </w:tr>
      <w:tr w:rsidR="00D34C36" w:rsidRPr="00EF5A5F" w:rsidTr="00282176">
        <w:tc>
          <w:tcPr>
            <w:tcW w:w="2302" w:type="dxa"/>
            <w:gridSpan w:val="2"/>
          </w:tcPr>
          <w:p w:rsidR="00D34C36" w:rsidRPr="00EF5A5F" w:rsidRDefault="00D34C36" w:rsidP="00282176">
            <w:pPr>
              <w:pStyle w:val="TableBodyText"/>
              <w:spacing w:before="60" w:after="60"/>
              <w:jc w:val="left"/>
              <w:rPr>
                <w:b/>
              </w:rPr>
            </w:pPr>
            <w:r w:rsidRPr="00EF5A5F">
              <w:rPr>
                <w:b/>
              </w:rPr>
              <w:t>VET program</w:t>
            </w:r>
          </w:p>
        </w:tc>
        <w:tc>
          <w:tcPr>
            <w:tcW w:w="6487" w:type="dxa"/>
            <w:gridSpan w:val="2"/>
          </w:tcPr>
          <w:p w:rsidR="00D34C36" w:rsidRPr="00EF5A5F" w:rsidRDefault="00D34C36" w:rsidP="00282176">
            <w:pPr>
              <w:pStyle w:val="TableBodyText"/>
              <w:spacing w:before="60" w:after="60"/>
              <w:jc w:val="left"/>
            </w:pPr>
            <w:r w:rsidRPr="00EF5A5F">
              <w:t>A course or module offered by a training organisation in which students may enrol and gives people work-related knowledge and skills.</w:t>
            </w:r>
          </w:p>
        </w:tc>
      </w:tr>
      <w:tr w:rsidR="00D34C36" w:rsidRPr="00EF5A5F" w:rsidTr="00282176">
        <w:tc>
          <w:tcPr>
            <w:tcW w:w="2302" w:type="dxa"/>
            <w:gridSpan w:val="2"/>
          </w:tcPr>
          <w:p w:rsidR="00D34C36" w:rsidRPr="00EF5A5F" w:rsidRDefault="00D34C36" w:rsidP="00282176">
            <w:pPr>
              <w:pStyle w:val="TableBodyText"/>
              <w:spacing w:before="60" w:after="60"/>
              <w:jc w:val="left"/>
              <w:rPr>
                <w:b/>
              </w:rPr>
            </w:pPr>
            <w:r w:rsidRPr="00EF5A5F">
              <w:rPr>
                <w:b/>
              </w:rPr>
              <w:t>Whether the VET course helped graduates achieve their main reason for doing the course</w:t>
            </w:r>
          </w:p>
        </w:tc>
        <w:tc>
          <w:tcPr>
            <w:tcW w:w="6487" w:type="dxa"/>
            <w:gridSpan w:val="2"/>
          </w:tcPr>
          <w:p w:rsidR="00D34C36" w:rsidRPr="00EF5A5F" w:rsidRDefault="00D34C36" w:rsidP="00282176">
            <w:pPr>
              <w:pStyle w:val="TableBodyText"/>
              <w:spacing w:before="60" w:after="60"/>
              <w:jc w:val="left"/>
            </w:pPr>
            <w:r w:rsidRPr="00EF5A5F">
              <w:t>Whether ‘the course helped’, ‘the course partly helped’, ‘the course did not help’ or the graduates ‘cannot say’.</w:t>
            </w:r>
          </w:p>
        </w:tc>
      </w:tr>
    </w:tbl>
    <w:p w:rsidR="00C41C5E" w:rsidRDefault="00C41C5E" w:rsidP="00C41C5E">
      <w:pPr>
        <w:pStyle w:val="BodyText"/>
      </w:pPr>
      <w:bookmarkStart w:id="18" w:name="_Toc341279245"/>
      <w:bookmarkStart w:id="19" w:name="_Toc401829964"/>
    </w:p>
    <w:p w:rsidR="00C57336" w:rsidRPr="00EF5A5F" w:rsidRDefault="00FA7BB6" w:rsidP="00281C53">
      <w:pPr>
        <w:pStyle w:val="Heading2"/>
      </w:pPr>
      <w:r w:rsidRPr="00EF5A5F">
        <w:lastRenderedPageBreak/>
        <w:t>5</w:t>
      </w:r>
      <w:r w:rsidR="00C57336" w:rsidRPr="00EF5A5F">
        <w:t>.7</w:t>
      </w:r>
      <w:r w:rsidR="00C57336" w:rsidRPr="00EF5A5F">
        <w:tab/>
      </w:r>
      <w:r w:rsidR="009A5AEF" w:rsidRPr="00EF5A5F">
        <w:t>List of a</w:t>
      </w:r>
      <w:r w:rsidR="00C57336" w:rsidRPr="00EF5A5F">
        <w:t>ttachment tables</w:t>
      </w:r>
      <w:bookmarkEnd w:id="18"/>
      <w:bookmarkEnd w:id="19"/>
    </w:p>
    <w:p w:rsidR="00E33319" w:rsidRPr="008B3751" w:rsidRDefault="00ED09E4" w:rsidP="00E33319">
      <w:pPr>
        <w:pStyle w:val="BodyText"/>
        <w:spacing w:after="120"/>
      </w:pPr>
      <w:r w:rsidRPr="00EF5A5F">
        <w:t xml:space="preserve">Attachment tables are identified in references throughout this </w:t>
      </w:r>
      <w:r w:rsidR="00034A56" w:rsidRPr="00EF5A5F">
        <w:t>chapter</w:t>
      </w:r>
      <w:r w:rsidRPr="00EF5A5F">
        <w:t xml:space="preserve"> by a ‘</w:t>
      </w:r>
      <w:proofErr w:type="spellStart"/>
      <w:r w:rsidR="00001DB0" w:rsidRPr="00EF5A5F">
        <w:t>5</w:t>
      </w:r>
      <w:r w:rsidRPr="00EF5A5F">
        <w:t>A</w:t>
      </w:r>
      <w:proofErr w:type="spellEnd"/>
      <w:r w:rsidRPr="00EF5A5F">
        <w:t xml:space="preserve">’ </w:t>
      </w:r>
      <w:r w:rsidR="00B10143">
        <w:t>prefix</w:t>
      </w:r>
      <w:r w:rsidR="00B10143" w:rsidRPr="00EF5A5F">
        <w:t xml:space="preserve"> </w:t>
      </w:r>
      <w:r w:rsidRPr="00EF5A5F">
        <w:t xml:space="preserve">(for example, table </w:t>
      </w:r>
      <w:proofErr w:type="spellStart"/>
      <w:r w:rsidRPr="00EF5A5F">
        <w:t>5A.</w:t>
      </w:r>
      <w:r w:rsidR="00C32878">
        <w:t>1</w:t>
      </w:r>
      <w:proofErr w:type="spellEnd"/>
      <w:r w:rsidRPr="00EF5A5F">
        <w:t xml:space="preserve">). </w:t>
      </w:r>
      <w:r w:rsidR="003F6103" w:rsidRPr="00EF5A5F">
        <w:t>Attachment tables are a</w:t>
      </w:r>
      <w:r w:rsidR="00F71F6F">
        <w:t xml:space="preserve">vailable on the </w:t>
      </w:r>
      <w:r w:rsidR="00E33319" w:rsidRPr="008B3751">
        <w:t>Review website (</w:t>
      </w:r>
      <w:r w:rsidR="00E33319" w:rsidRPr="00780A84">
        <w:t>www.pc.gov.au/</w:t>
      </w:r>
      <w:proofErr w:type="spellStart"/>
      <w:r w:rsidR="00E33319" w:rsidRPr="00780A84">
        <w:t>gsp</w:t>
      </w:r>
      <w:proofErr w:type="spellEnd"/>
      <w:r w:rsidR="00E33319" w:rsidRPr="008B3751">
        <w:t>).</w:t>
      </w:r>
    </w:p>
    <w:tbl>
      <w:tblPr>
        <w:tblW w:w="8860" w:type="dxa"/>
        <w:tblInd w:w="108" w:type="dxa"/>
        <w:tblLook w:val="04A0" w:firstRow="1" w:lastRow="0" w:firstColumn="1" w:lastColumn="0" w:noHBand="0" w:noVBand="1"/>
      </w:tblPr>
      <w:tblGrid>
        <w:gridCol w:w="1456"/>
        <w:gridCol w:w="7404"/>
      </w:tblGrid>
      <w:tr w:rsidR="00255954" w:rsidRPr="00255954" w:rsidTr="00255954">
        <w:trPr>
          <w:trHeight w:val="357"/>
        </w:trPr>
        <w:tc>
          <w:tcPr>
            <w:tcW w:w="1456" w:type="dxa"/>
            <w:tcBorders>
              <w:top w:val="nil"/>
              <w:left w:val="nil"/>
              <w:bottom w:val="nil"/>
              <w:right w:val="nil"/>
            </w:tcBorders>
            <w:shd w:val="clear" w:color="auto" w:fill="auto"/>
            <w:noWrap/>
            <w:hideMark/>
          </w:tcPr>
          <w:p w:rsidR="00255954" w:rsidRPr="00181B96" w:rsidRDefault="00255954" w:rsidP="00255954">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5A.1</w:t>
            </w:r>
            <w:proofErr w:type="spellEnd"/>
          </w:p>
        </w:tc>
        <w:tc>
          <w:tcPr>
            <w:tcW w:w="7404" w:type="dxa"/>
            <w:tcBorders>
              <w:top w:val="nil"/>
              <w:left w:val="nil"/>
              <w:bottom w:val="nil"/>
              <w:right w:val="nil"/>
            </w:tcBorders>
            <w:shd w:val="clear" w:color="auto" w:fill="auto"/>
            <w:hideMark/>
          </w:tcPr>
          <w:p w:rsidR="00255954" w:rsidRPr="00255954" w:rsidRDefault="00255954" w:rsidP="00255954">
            <w:pPr>
              <w:jc w:val="both"/>
              <w:rPr>
                <w:rFonts w:ascii="Arial" w:hAnsi="Arial" w:cs="Arial"/>
                <w:sz w:val="20"/>
                <w:szCs w:val="20"/>
              </w:rPr>
            </w:pPr>
            <w:r w:rsidRPr="00255954">
              <w:rPr>
                <w:rFonts w:ascii="Arial" w:hAnsi="Arial" w:cs="Arial"/>
                <w:sz w:val="20"/>
                <w:szCs w:val="20"/>
              </w:rPr>
              <w:t>Government real recurrent expenditure, (2013 dollars) ($ million)</w:t>
            </w:r>
            <w:r w:rsidR="00181B96">
              <w:rPr>
                <w:rFonts w:ascii="Arial" w:hAnsi="Arial" w:cs="Arial"/>
                <w:sz w:val="20"/>
                <w:szCs w:val="20"/>
              </w:rPr>
              <w:t xml:space="preserve"> </w:t>
            </w:r>
          </w:p>
        </w:tc>
      </w:tr>
      <w:tr w:rsidR="00255954" w:rsidRPr="00255954" w:rsidTr="004B13EC">
        <w:trPr>
          <w:trHeight w:val="564"/>
        </w:trPr>
        <w:tc>
          <w:tcPr>
            <w:tcW w:w="1456" w:type="dxa"/>
            <w:tcBorders>
              <w:top w:val="nil"/>
              <w:left w:val="nil"/>
              <w:bottom w:val="nil"/>
              <w:right w:val="nil"/>
            </w:tcBorders>
            <w:shd w:val="clear" w:color="auto" w:fill="auto"/>
            <w:noWrap/>
            <w:hideMark/>
          </w:tcPr>
          <w:p w:rsidR="00255954" w:rsidRPr="00181B96" w:rsidRDefault="00255954" w:rsidP="00255954">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5A.2</w:t>
            </w:r>
            <w:proofErr w:type="spellEnd"/>
          </w:p>
        </w:tc>
        <w:tc>
          <w:tcPr>
            <w:tcW w:w="7404" w:type="dxa"/>
            <w:tcBorders>
              <w:top w:val="nil"/>
              <w:left w:val="nil"/>
              <w:bottom w:val="nil"/>
              <w:right w:val="nil"/>
            </w:tcBorders>
            <w:shd w:val="clear" w:color="auto" w:fill="auto"/>
            <w:hideMark/>
          </w:tcPr>
          <w:p w:rsidR="00255954" w:rsidRPr="00255954" w:rsidRDefault="00255954" w:rsidP="00255954">
            <w:pPr>
              <w:jc w:val="both"/>
              <w:rPr>
                <w:rFonts w:ascii="Arial" w:hAnsi="Arial" w:cs="Arial"/>
                <w:sz w:val="20"/>
                <w:szCs w:val="20"/>
              </w:rPr>
            </w:pPr>
            <w:r w:rsidRPr="00255954">
              <w:rPr>
                <w:rFonts w:ascii="Arial" w:hAnsi="Arial" w:cs="Arial"/>
                <w:sz w:val="20"/>
                <w:szCs w:val="20"/>
              </w:rPr>
              <w:t>Government real recurrent expenditure, (2013 dollars) ($ per person aged 15–64 years)</w:t>
            </w:r>
            <w:r w:rsidR="00181B96">
              <w:rPr>
                <w:rFonts w:ascii="Arial" w:hAnsi="Arial" w:cs="Arial"/>
                <w:sz w:val="20"/>
                <w:szCs w:val="20"/>
              </w:rPr>
              <w:t xml:space="preserve"> </w:t>
            </w:r>
          </w:p>
        </w:tc>
      </w:tr>
      <w:tr w:rsidR="00255954" w:rsidRPr="00255954" w:rsidTr="00255954">
        <w:trPr>
          <w:trHeight w:val="330"/>
        </w:trPr>
        <w:tc>
          <w:tcPr>
            <w:tcW w:w="1456" w:type="dxa"/>
            <w:tcBorders>
              <w:top w:val="nil"/>
              <w:left w:val="nil"/>
              <w:bottom w:val="nil"/>
              <w:right w:val="nil"/>
            </w:tcBorders>
            <w:shd w:val="clear" w:color="auto" w:fill="auto"/>
            <w:noWrap/>
            <w:hideMark/>
          </w:tcPr>
          <w:p w:rsidR="00255954" w:rsidRPr="00181B96" w:rsidRDefault="00255954" w:rsidP="00255954">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5A.3</w:t>
            </w:r>
            <w:proofErr w:type="spellEnd"/>
          </w:p>
        </w:tc>
        <w:tc>
          <w:tcPr>
            <w:tcW w:w="7404" w:type="dxa"/>
            <w:tcBorders>
              <w:top w:val="nil"/>
              <w:left w:val="nil"/>
              <w:bottom w:val="nil"/>
              <w:right w:val="nil"/>
            </w:tcBorders>
            <w:shd w:val="clear" w:color="auto" w:fill="auto"/>
            <w:hideMark/>
          </w:tcPr>
          <w:p w:rsidR="00255954" w:rsidRPr="00255954" w:rsidRDefault="00255954" w:rsidP="00255954">
            <w:pPr>
              <w:jc w:val="both"/>
              <w:rPr>
                <w:rFonts w:ascii="Arial" w:hAnsi="Arial" w:cs="Arial"/>
                <w:sz w:val="20"/>
                <w:szCs w:val="20"/>
              </w:rPr>
            </w:pPr>
            <w:r w:rsidRPr="00255954">
              <w:rPr>
                <w:rFonts w:ascii="Arial" w:hAnsi="Arial" w:cs="Arial"/>
                <w:sz w:val="20"/>
                <w:szCs w:val="20"/>
              </w:rPr>
              <w:t>VET activity, 2013</w:t>
            </w:r>
            <w:r w:rsidR="00181B96">
              <w:rPr>
                <w:rFonts w:ascii="Arial" w:hAnsi="Arial" w:cs="Arial"/>
                <w:sz w:val="20"/>
                <w:szCs w:val="20"/>
              </w:rPr>
              <w:t xml:space="preserve"> </w:t>
            </w:r>
          </w:p>
        </w:tc>
      </w:tr>
      <w:tr w:rsidR="00255954" w:rsidRPr="00255954" w:rsidTr="00255954">
        <w:trPr>
          <w:trHeight w:val="357"/>
        </w:trPr>
        <w:tc>
          <w:tcPr>
            <w:tcW w:w="1456" w:type="dxa"/>
            <w:tcBorders>
              <w:top w:val="nil"/>
              <w:left w:val="nil"/>
              <w:bottom w:val="nil"/>
              <w:right w:val="nil"/>
            </w:tcBorders>
            <w:shd w:val="clear" w:color="auto" w:fill="auto"/>
            <w:noWrap/>
            <w:hideMark/>
          </w:tcPr>
          <w:p w:rsidR="00255954" w:rsidRPr="00181B96" w:rsidRDefault="00255954" w:rsidP="00255954">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5A.4</w:t>
            </w:r>
            <w:proofErr w:type="spellEnd"/>
          </w:p>
        </w:tc>
        <w:tc>
          <w:tcPr>
            <w:tcW w:w="7404" w:type="dxa"/>
            <w:tcBorders>
              <w:top w:val="nil"/>
              <w:left w:val="nil"/>
              <w:bottom w:val="nil"/>
              <w:right w:val="nil"/>
            </w:tcBorders>
            <w:shd w:val="clear" w:color="auto" w:fill="auto"/>
            <w:hideMark/>
          </w:tcPr>
          <w:p w:rsidR="00255954" w:rsidRPr="00255954" w:rsidRDefault="00255954" w:rsidP="00255954">
            <w:pPr>
              <w:jc w:val="both"/>
              <w:rPr>
                <w:rFonts w:ascii="Arial" w:hAnsi="Arial" w:cs="Arial"/>
                <w:sz w:val="20"/>
                <w:szCs w:val="20"/>
              </w:rPr>
            </w:pPr>
            <w:r w:rsidRPr="00255954">
              <w:rPr>
                <w:rFonts w:ascii="Arial" w:hAnsi="Arial" w:cs="Arial"/>
                <w:sz w:val="20"/>
                <w:szCs w:val="20"/>
              </w:rPr>
              <w:t xml:space="preserve">Government funded VET activity, 2013 </w:t>
            </w:r>
          </w:p>
        </w:tc>
      </w:tr>
      <w:tr w:rsidR="00255954" w:rsidRPr="00255954" w:rsidTr="00255954">
        <w:trPr>
          <w:trHeight w:val="357"/>
        </w:trPr>
        <w:tc>
          <w:tcPr>
            <w:tcW w:w="1456" w:type="dxa"/>
            <w:tcBorders>
              <w:top w:val="nil"/>
              <w:left w:val="nil"/>
              <w:bottom w:val="nil"/>
              <w:right w:val="nil"/>
            </w:tcBorders>
            <w:shd w:val="clear" w:color="auto" w:fill="auto"/>
            <w:noWrap/>
            <w:hideMark/>
          </w:tcPr>
          <w:p w:rsidR="00255954" w:rsidRPr="00181B96" w:rsidRDefault="00255954" w:rsidP="00255954">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5A.5</w:t>
            </w:r>
            <w:proofErr w:type="spellEnd"/>
          </w:p>
        </w:tc>
        <w:tc>
          <w:tcPr>
            <w:tcW w:w="7404" w:type="dxa"/>
            <w:tcBorders>
              <w:top w:val="nil"/>
              <w:left w:val="nil"/>
              <w:bottom w:val="nil"/>
              <w:right w:val="nil"/>
            </w:tcBorders>
            <w:shd w:val="clear" w:color="auto" w:fill="auto"/>
            <w:hideMark/>
          </w:tcPr>
          <w:p w:rsidR="00255954" w:rsidRPr="00255954" w:rsidRDefault="00255954" w:rsidP="00255954">
            <w:pPr>
              <w:jc w:val="both"/>
              <w:rPr>
                <w:rFonts w:ascii="Arial" w:hAnsi="Arial" w:cs="Arial"/>
                <w:sz w:val="20"/>
                <w:szCs w:val="20"/>
              </w:rPr>
            </w:pPr>
            <w:r w:rsidRPr="00255954">
              <w:rPr>
                <w:rFonts w:ascii="Arial" w:hAnsi="Arial" w:cs="Arial"/>
                <w:sz w:val="20"/>
                <w:szCs w:val="20"/>
              </w:rPr>
              <w:t>VET students, all ages, by course level</w:t>
            </w:r>
            <w:r w:rsidR="00181B96">
              <w:rPr>
                <w:rFonts w:ascii="Arial" w:hAnsi="Arial" w:cs="Arial"/>
                <w:sz w:val="20"/>
                <w:szCs w:val="20"/>
              </w:rPr>
              <w:t xml:space="preserve"> </w:t>
            </w:r>
            <w:r w:rsidRPr="00255954">
              <w:rPr>
                <w:rFonts w:ascii="Arial" w:hAnsi="Arial" w:cs="Arial"/>
                <w:sz w:val="20"/>
                <w:szCs w:val="20"/>
              </w:rPr>
              <w:t xml:space="preserve"> </w:t>
            </w:r>
          </w:p>
        </w:tc>
      </w:tr>
      <w:tr w:rsidR="00255954" w:rsidRPr="00255954" w:rsidTr="00255954">
        <w:trPr>
          <w:trHeight w:val="612"/>
        </w:trPr>
        <w:tc>
          <w:tcPr>
            <w:tcW w:w="1456" w:type="dxa"/>
            <w:tcBorders>
              <w:top w:val="nil"/>
              <w:left w:val="nil"/>
              <w:bottom w:val="nil"/>
              <w:right w:val="nil"/>
            </w:tcBorders>
            <w:shd w:val="clear" w:color="auto" w:fill="auto"/>
            <w:noWrap/>
            <w:hideMark/>
          </w:tcPr>
          <w:p w:rsidR="00255954" w:rsidRPr="00181B96" w:rsidRDefault="00255954" w:rsidP="00255954">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5A.6</w:t>
            </w:r>
            <w:proofErr w:type="spellEnd"/>
          </w:p>
        </w:tc>
        <w:tc>
          <w:tcPr>
            <w:tcW w:w="7404" w:type="dxa"/>
            <w:tcBorders>
              <w:top w:val="nil"/>
              <w:left w:val="nil"/>
              <w:bottom w:val="nil"/>
              <w:right w:val="nil"/>
            </w:tcBorders>
            <w:shd w:val="clear" w:color="auto" w:fill="auto"/>
            <w:hideMark/>
          </w:tcPr>
          <w:p w:rsidR="00255954" w:rsidRPr="00255954" w:rsidRDefault="00255954" w:rsidP="00255954">
            <w:pPr>
              <w:jc w:val="both"/>
              <w:rPr>
                <w:rFonts w:ascii="Arial" w:hAnsi="Arial" w:cs="Arial"/>
                <w:sz w:val="20"/>
                <w:szCs w:val="20"/>
              </w:rPr>
            </w:pPr>
            <w:r w:rsidRPr="00255954">
              <w:rPr>
                <w:rFonts w:ascii="Arial" w:hAnsi="Arial" w:cs="Arial"/>
                <w:sz w:val="20"/>
                <w:szCs w:val="20"/>
              </w:rPr>
              <w:t xml:space="preserve">Real net assets of public VET providers per person aged 15–64 years (2013 dollars), ($ per person)  </w:t>
            </w:r>
          </w:p>
        </w:tc>
      </w:tr>
      <w:tr w:rsidR="00255954" w:rsidRPr="00255954" w:rsidTr="00255954">
        <w:trPr>
          <w:trHeight w:val="357"/>
        </w:trPr>
        <w:tc>
          <w:tcPr>
            <w:tcW w:w="1456" w:type="dxa"/>
            <w:tcBorders>
              <w:top w:val="nil"/>
              <w:left w:val="nil"/>
              <w:bottom w:val="nil"/>
              <w:right w:val="nil"/>
            </w:tcBorders>
            <w:shd w:val="clear" w:color="auto" w:fill="auto"/>
            <w:noWrap/>
            <w:hideMark/>
          </w:tcPr>
          <w:p w:rsidR="00255954" w:rsidRPr="00181B96" w:rsidRDefault="00293967" w:rsidP="00293967">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5A.7</w:t>
            </w:r>
            <w:proofErr w:type="spellEnd"/>
          </w:p>
        </w:tc>
        <w:tc>
          <w:tcPr>
            <w:tcW w:w="7404" w:type="dxa"/>
            <w:tcBorders>
              <w:top w:val="nil"/>
              <w:left w:val="nil"/>
              <w:bottom w:val="nil"/>
              <w:right w:val="nil"/>
            </w:tcBorders>
            <w:shd w:val="clear" w:color="auto" w:fill="auto"/>
            <w:hideMark/>
          </w:tcPr>
          <w:p w:rsidR="00255954" w:rsidRPr="00255954" w:rsidRDefault="00255954" w:rsidP="00255954">
            <w:pPr>
              <w:jc w:val="both"/>
              <w:rPr>
                <w:rFonts w:ascii="Arial" w:hAnsi="Arial" w:cs="Arial"/>
                <w:sz w:val="20"/>
                <w:szCs w:val="20"/>
              </w:rPr>
            </w:pPr>
            <w:r w:rsidRPr="00255954">
              <w:rPr>
                <w:rFonts w:ascii="Arial" w:hAnsi="Arial" w:cs="Arial"/>
                <w:sz w:val="20"/>
                <w:szCs w:val="20"/>
              </w:rPr>
              <w:t xml:space="preserve">Government payments to non-TAFE providers for VET delivery  </w:t>
            </w:r>
          </w:p>
        </w:tc>
      </w:tr>
      <w:tr w:rsidR="00255954" w:rsidRPr="00255954" w:rsidTr="00255954">
        <w:trPr>
          <w:trHeight w:val="357"/>
        </w:trPr>
        <w:tc>
          <w:tcPr>
            <w:tcW w:w="1456" w:type="dxa"/>
            <w:tcBorders>
              <w:top w:val="nil"/>
              <w:left w:val="nil"/>
              <w:bottom w:val="nil"/>
              <w:right w:val="nil"/>
            </w:tcBorders>
            <w:shd w:val="clear" w:color="auto" w:fill="auto"/>
            <w:noWrap/>
            <w:hideMark/>
          </w:tcPr>
          <w:p w:rsidR="00255954" w:rsidRPr="00181B96" w:rsidRDefault="00255954" w:rsidP="00255954">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5A.8</w:t>
            </w:r>
            <w:proofErr w:type="spellEnd"/>
          </w:p>
        </w:tc>
        <w:tc>
          <w:tcPr>
            <w:tcW w:w="7404" w:type="dxa"/>
            <w:tcBorders>
              <w:top w:val="nil"/>
              <w:left w:val="nil"/>
              <w:bottom w:val="nil"/>
              <w:right w:val="nil"/>
            </w:tcBorders>
            <w:shd w:val="clear" w:color="auto" w:fill="auto"/>
            <w:hideMark/>
          </w:tcPr>
          <w:p w:rsidR="00255954" w:rsidRPr="00255954" w:rsidRDefault="00255954" w:rsidP="00255954">
            <w:pPr>
              <w:jc w:val="both"/>
              <w:rPr>
                <w:rFonts w:ascii="Arial" w:hAnsi="Arial" w:cs="Arial"/>
                <w:sz w:val="20"/>
                <w:szCs w:val="20"/>
              </w:rPr>
            </w:pPr>
            <w:r w:rsidRPr="00255954">
              <w:rPr>
                <w:rFonts w:ascii="Arial" w:hAnsi="Arial" w:cs="Arial"/>
                <w:sz w:val="20"/>
                <w:szCs w:val="20"/>
              </w:rPr>
              <w:t xml:space="preserve">Allocation of government real funds for VET (2013 dollars)  </w:t>
            </w:r>
          </w:p>
        </w:tc>
      </w:tr>
      <w:tr w:rsidR="00255954" w:rsidRPr="00255954" w:rsidTr="00255954">
        <w:trPr>
          <w:trHeight w:val="357"/>
        </w:trPr>
        <w:tc>
          <w:tcPr>
            <w:tcW w:w="1456" w:type="dxa"/>
            <w:tcBorders>
              <w:top w:val="nil"/>
              <w:left w:val="nil"/>
              <w:bottom w:val="nil"/>
              <w:right w:val="nil"/>
            </w:tcBorders>
            <w:shd w:val="clear" w:color="auto" w:fill="auto"/>
            <w:noWrap/>
            <w:hideMark/>
          </w:tcPr>
          <w:p w:rsidR="00255954" w:rsidRPr="00181B96" w:rsidRDefault="00255954" w:rsidP="00255954">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5A.9</w:t>
            </w:r>
            <w:proofErr w:type="spellEnd"/>
          </w:p>
        </w:tc>
        <w:tc>
          <w:tcPr>
            <w:tcW w:w="7404" w:type="dxa"/>
            <w:tcBorders>
              <w:top w:val="nil"/>
              <w:left w:val="nil"/>
              <w:bottom w:val="nil"/>
              <w:right w:val="nil"/>
            </w:tcBorders>
            <w:shd w:val="clear" w:color="auto" w:fill="auto"/>
            <w:hideMark/>
          </w:tcPr>
          <w:p w:rsidR="00255954" w:rsidRPr="00255954" w:rsidRDefault="00255954" w:rsidP="00255954">
            <w:pPr>
              <w:jc w:val="both"/>
              <w:rPr>
                <w:rFonts w:ascii="Arial" w:hAnsi="Arial" w:cs="Arial"/>
                <w:sz w:val="20"/>
                <w:szCs w:val="20"/>
              </w:rPr>
            </w:pPr>
            <w:r w:rsidRPr="00255954">
              <w:rPr>
                <w:rFonts w:ascii="Arial" w:hAnsi="Arial" w:cs="Arial"/>
                <w:sz w:val="20"/>
                <w:szCs w:val="20"/>
              </w:rPr>
              <w:t xml:space="preserve">VET participation by age group </w:t>
            </w:r>
          </w:p>
        </w:tc>
      </w:tr>
      <w:tr w:rsidR="00255954" w:rsidRPr="00255954" w:rsidTr="00255954">
        <w:trPr>
          <w:trHeight w:val="357"/>
        </w:trPr>
        <w:tc>
          <w:tcPr>
            <w:tcW w:w="1456" w:type="dxa"/>
            <w:tcBorders>
              <w:top w:val="nil"/>
              <w:left w:val="nil"/>
              <w:bottom w:val="nil"/>
              <w:right w:val="nil"/>
            </w:tcBorders>
            <w:shd w:val="clear" w:color="auto" w:fill="auto"/>
            <w:noWrap/>
            <w:hideMark/>
          </w:tcPr>
          <w:p w:rsidR="00255954" w:rsidRPr="00181B96" w:rsidRDefault="00255954" w:rsidP="00255954">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5A.10</w:t>
            </w:r>
            <w:proofErr w:type="spellEnd"/>
          </w:p>
        </w:tc>
        <w:tc>
          <w:tcPr>
            <w:tcW w:w="7404" w:type="dxa"/>
            <w:tcBorders>
              <w:top w:val="nil"/>
              <w:left w:val="nil"/>
              <w:bottom w:val="nil"/>
              <w:right w:val="nil"/>
            </w:tcBorders>
            <w:shd w:val="clear" w:color="auto" w:fill="auto"/>
            <w:hideMark/>
          </w:tcPr>
          <w:p w:rsidR="00255954" w:rsidRPr="00255954" w:rsidRDefault="00255954" w:rsidP="00255954">
            <w:pPr>
              <w:jc w:val="both"/>
              <w:rPr>
                <w:rFonts w:ascii="Arial" w:hAnsi="Arial" w:cs="Arial"/>
                <w:sz w:val="20"/>
                <w:szCs w:val="20"/>
              </w:rPr>
            </w:pPr>
            <w:r w:rsidRPr="00255954">
              <w:rPr>
                <w:rFonts w:ascii="Arial" w:hAnsi="Arial" w:cs="Arial"/>
                <w:sz w:val="20"/>
                <w:szCs w:val="20"/>
              </w:rPr>
              <w:t xml:space="preserve">VET participation by target age group and Indigenous status  </w:t>
            </w:r>
          </w:p>
        </w:tc>
      </w:tr>
      <w:tr w:rsidR="00255954" w:rsidRPr="00255954" w:rsidTr="00255954">
        <w:trPr>
          <w:trHeight w:val="357"/>
        </w:trPr>
        <w:tc>
          <w:tcPr>
            <w:tcW w:w="1456" w:type="dxa"/>
            <w:tcBorders>
              <w:top w:val="nil"/>
              <w:left w:val="nil"/>
              <w:bottom w:val="nil"/>
              <w:right w:val="nil"/>
            </w:tcBorders>
            <w:shd w:val="clear" w:color="auto" w:fill="auto"/>
            <w:noWrap/>
            <w:hideMark/>
          </w:tcPr>
          <w:p w:rsidR="00255954" w:rsidRPr="00181B96" w:rsidRDefault="00255954" w:rsidP="00255954">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5A.11</w:t>
            </w:r>
            <w:proofErr w:type="spellEnd"/>
          </w:p>
        </w:tc>
        <w:tc>
          <w:tcPr>
            <w:tcW w:w="7404" w:type="dxa"/>
            <w:tcBorders>
              <w:top w:val="nil"/>
              <w:left w:val="nil"/>
              <w:bottom w:val="nil"/>
              <w:right w:val="nil"/>
            </w:tcBorders>
            <w:shd w:val="clear" w:color="auto" w:fill="auto"/>
            <w:hideMark/>
          </w:tcPr>
          <w:p w:rsidR="00255954" w:rsidRPr="00255954" w:rsidRDefault="00255954" w:rsidP="00255954">
            <w:pPr>
              <w:jc w:val="both"/>
              <w:rPr>
                <w:rFonts w:ascii="Arial" w:hAnsi="Arial" w:cs="Arial"/>
                <w:sz w:val="20"/>
                <w:szCs w:val="20"/>
              </w:rPr>
            </w:pPr>
            <w:r w:rsidRPr="00255954">
              <w:rPr>
                <w:rFonts w:ascii="Arial" w:hAnsi="Arial" w:cs="Arial"/>
                <w:sz w:val="20"/>
                <w:szCs w:val="20"/>
              </w:rPr>
              <w:t>VET participation of people aged 15–64 years, by sex</w:t>
            </w:r>
            <w:r w:rsidR="00181B96">
              <w:rPr>
                <w:rFonts w:ascii="Arial" w:hAnsi="Arial" w:cs="Arial"/>
                <w:sz w:val="20"/>
                <w:szCs w:val="20"/>
              </w:rPr>
              <w:t xml:space="preserve"> </w:t>
            </w:r>
          </w:p>
        </w:tc>
      </w:tr>
      <w:tr w:rsidR="00255954" w:rsidRPr="00255954" w:rsidTr="00255954">
        <w:trPr>
          <w:trHeight w:val="357"/>
        </w:trPr>
        <w:tc>
          <w:tcPr>
            <w:tcW w:w="1456" w:type="dxa"/>
            <w:tcBorders>
              <w:top w:val="nil"/>
              <w:left w:val="nil"/>
              <w:bottom w:val="nil"/>
              <w:right w:val="nil"/>
            </w:tcBorders>
            <w:shd w:val="clear" w:color="auto" w:fill="auto"/>
            <w:noWrap/>
            <w:hideMark/>
          </w:tcPr>
          <w:p w:rsidR="00255954" w:rsidRPr="00181B96" w:rsidRDefault="00255954" w:rsidP="00255954">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5A.12</w:t>
            </w:r>
            <w:proofErr w:type="spellEnd"/>
          </w:p>
        </w:tc>
        <w:tc>
          <w:tcPr>
            <w:tcW w:w="7404" w:type="dxa"/>
            <w:tcBorders>
              <w:top w:val="nil"/>
              <w:left w:val="nil"/>
              <w:bottom w:val="nil"/>
              <w:right w:val="nil"/>
            </w:tcBorders>
            <w:shd w:val="clear" w:color="auto" w:fill="auto"/>
            <w:hideMark/>
          </w:tcPr>
          <w:p w:rsidR="00255954" w:rsidRPr="00255954" w:rsidRDefault="00255954" w:rsidP="00255954">
            <w:pPr>
              <w:jc w:val="both"/>
              <w:rPr>
                <w:rFonts w:ascii="Arial" w:hAnsi="Arial" w:cs="Arial"/>
                <w:sz w:val="20"/>
                <w:szCs w:val="20"/>
              </w:rPr>
            </w:pPr>
            <w:r w:rsidRPr="00255954">
              <w:rPr>
                <w:rFonts w:ascii="Arial" w:hAnsi="Arial" w:cs="Arial"/>
                <w:sz w:val="20"/>
                <w:szCs w:val="20"/>
              </w:rPr>
              <w:t>VET participation, all ages, by region</w:t>
            </w:r>
            <w:r w:rsidR="00181B96">
              <w:rPr>
                <w:rFonts w:ascii="Arial" w:hAnsi="Arial" w:cs="Arial"/>
                <w:sz w:val="20"/>
                <w:szCs w:val="20"/>
              </w:rPr>
              <w:t xml:space="preserve"> </w:t>
            </w:r>
          </w:p>
        </w:tc>
      </w:tr>
      <w:tr w:rsidR="00255954" w:rsidRPr="00255954" w:rsidTr="00255954">
        <w:trPr>
          <w:trHeight w:val="357"/>
        </w:trPr>
        <w:tc>
          <w:tcPr>
            <w:tcW w:w="1456" w:type="dxa"/>
            <w:tcBorders>
              <w:top w:val="nil"/>
              <w:left w:val="nil"/>
              <w:bottom w:val="nil"/>
              <w:right w:val="nil"/>
            </w:tcBorders>
            <w:shd w:val="clear" w:color="auto" w:fill="auto"/>
            <w:noWrap/>
            <w:hideMark/>
          </w:tcPr>
          <w:p w:rsidR="00255954" w:rsidRPr="00181B96" w:rsidRDefault="00255954" w:rsidP="00255954">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5A.13</w:t>
            </w:r>
            <w:proofErr w:type="spellEnd"/>
          </w:p>
        </w:tc>
        <w:tc>
          <w:tcPr>
            <w:tcW w:w="7404" w:type="dxa"/>
            <w:tcBorders>
              <w:top w:val="nil"/>
              <w:left w:val="nil"/>
              <w:bottom w:val="nil"/>
              <w:right w:val="nil"/>
            </w:tcBorders>
            <w:shd w:val="clear" w:color="auto" w:fill="auto"/>
            <w:hideMark/>
          </w:tcPr>
          <w:p w:rsidR="00255954" w:rsidRPr="00255954" w:rsidRDefault="00255954" w:rsidP="00255954">
            <w:pPr>
              <w:jc w:val="both"/>
              <w:rPr>
                <w:rFonts w:ascii="Arial" w:hAnsi="Arial" w:cs="Arial"/>
                <w:sz w:val="20"/>
                <w:szCs w:val="20"/>
              </w:rPr>
            </w:pPr>
            <w:r w:rsidRPr="00255954">
              <w:rPr>
                <w:rFonts w:ascii="Arial" w:hAnsi="Arial" w:cs="Arial"/>
                <w:sz w:val="20"/>
                <w:szCs w:val="20"/>
              </w:rPr>
              <w:t xml:space="preserve">VET students, all ages, by disability status (per cent)  </w:t>
            </w:r>
          </w:p>
        </w:tc>
      </w:tr>
      <w:tr w:rsidR="00255954" w:rsidRPr="00255954" w:rsidTr="00255954">
        <w:trPr>
          <w:trHeight w:val="357"/>
        </w:trPr>
        <w:tc>
          <w:tcPr>
            <w:tcW w:w="1456" w:type="dxa"/>
            <w:tcBorders>
              <w:top w:val="nil"/>
              <w:left w:val="nil"/>
              <w:bottom w:val="nil"/>
              <w:right w:val="nil"/>
            </w:tcBorders>
            <w:shd w:val="clear" w:color="auto" w:fill="auto"/>
            <w:noWrap/>
            <w:hideMark/>
          </w:tcPr>
          <w:p w:rsidR="00255954" w:rsidRPr="00181B96" w:rsidRDefault="00255954" w:rsidP="00255954">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5A.14</w:t>
            </w:r>
            <w:proofErr w:type="spellEnd"/>
          </w:p>
        </w:tc>
        <w:tc>
          <w:tcPr>
            <w:tcW w:w="7404" w:type="dxa"/>
            <w:tcBorders>
              <w:top w:val="nil"/>
              <w:left w:val="nil"/>
              <w:bottom w:val="nil"/>
              <w:right w:val="nil"/>
            </w:tcBorders>
            <w:shd w:val="clear" w:color="auto" w:fill="auto"/>
            <w:hideMark/>
          </w:tcPr>
          <w:p w:rsidR="00255954" w:rsidRPr="00255954" w:rsidRDefault="00255954" w:rsidP="00255954">
            <w:pPr>
              <w:jc w:val="both"/>
              <w:rPr>
                <w:rFonts w:ascii="Arial" w:hAnsi="Arial" w:cs="Arial"/>
                <w:sz w:val="20"/>
                <w:szCs w:val="20"/>
              </w:rPr>
            </w:pPr>
            <w:r w:rsidRPr="00255954">
              <w:rPr>
                <w:rFonts w:ascii="Arial" w:hAnsi="Arial" w:cs="Arial"/>
                <w:sz w:val="20"/>
                <w:szCs w:val="20"/>
              </w:rPr>
              <w:t xml:space="preserve">VET students, all ages, by language spoken at home (per cent) </w:t>
            </w:r>
          </w:p>
        </w:tc>
      </w:tr>
      <w:tr w:rsidR="00255954" w:rsidRPr="00255954" w:rsidTr="00255954">
        <w:trPr>
          <w:trHeight w:val="357"/>
        </w:trPr>
        <w:tc>
          <w:tcPr>
            <w:tcW w:w="1456" w:type="dxa"/>
            <w:tcBorders>
              <w:top w:val="nil"/>
              <w:left w:val="nil"/>
              <w:bottom w:val="nil"/>
              <w:right w:val="nil"/>
            </w:tcBorders>
            <w:shd w:val="clear" w:color="auto" w:fill="auto"/>
            <w:noWrap/>
            <w:hideMark/>
          </w:tcPr>
          <w:p w:rsidR="00255954" w:rsidRPr="00181B96" w:rsidRDefault="00255954" w:rsidP="00255954">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5A.15</w:t>
            </w:r>
            <w:proofErr w:type="spellEnd"/>
          </w:p>
        </w:tc>
        <w:tc>
          <w:tcPr>
            <w:tcW w:w="7404" w:type="dxa"/>
            <w:tcBorders>
              <w:top w:val="nil"/>
              <w:left w:val="nil"/>
              <w:bottom w:val="nil"/>
              <w:right w:val="nil"/>
            </w:tcBorders>
            <w:shd w:val="clear" w:color="auto" w:fill="auto"/>
            <w:hideMark/>
          </w:tcPr>
          <w:p w:rsidR="00255954" w:rsidRPr="00255954" w:rsidRDefault="00255954" w:rsidP="00255954">
            <w:pPr>
              <w:jc w:val="both"/>
              <w:rPr>
                <w:rFonts w:ascii="Arial" w:hAnsi="Arial" w:cs="Arial"/>
                <w:sz w:val="20"/>
                <w:szCs w:val="20"/>
              </w:rPr>
            </w:pPr>
            <w:r w:rsidRPr="00255954">
              <w:rPr>
                <w:rFonts w:ascii="Arial" w:hAnsi="Arial" w:cs="Arial"/>
                <w:sz w:val="20"/>
                <w:szCs w:val="20"/>
              </w:rPr>
              <w:t xml:space="preserve">VET participation, all ages, by language spoken at home  </w:t>
            </w:r>
          </w:p>
        </w:tc>
      </w:tr>
      <w:tr w:rsidR="00255954" w:rsidRPr="00255954" w:rsidTr="00255954">
        <w:trPr>
          <w:trHeight w:val="357"/>
        </w:trPr>
        <w:tc>
          <w:tcPr>
            <w:tcW w:w="1456" w:type="dxa"/>
            <w:tcBorders>
              <w:top w:val="nil"/>
              <w:left w:val="nil"/>
              <w:bottom w:val="nil"/>
              <w:right w:val="nil"/>
            </w:tcBorders>
            <w:shd w:val="clear" w:color="auto" w:fill="auto"/>
            <w:noWrap/>
            <w:hideMark/>
          </w:tcPr>
          <w:p w:rsidR="00255954" w:rsidRPr="00181B96" w:rsidRDefault="00255954" w:rsidP="00255954">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5A.16</w:t>
            </w:r>
            <w:proofErr w:type="spellEnd"/>
          </w:p>
        </w:tc>
        <w:tc>
          <w:tcPr>
            <w:tcW w:w="7404" w:type="dxa"/>
            <w:tcBorders>
              <w:top w:val="nil"/>
              <w:left w:val="nil"/>
              <w:bottom w:val="nil"/>
              <w:right w:val="nil"/>
            </w:tcBorders>
            <w:shd w:val="clear" w:color="auto" w:fill="auto"/>
            <w:hideMark/>
          </w:tcPr>
          <w:p w:rsidR="00255954" w:rsidRPr="00255954" w:rsidRDefault="00255954" w:rsidP="00255954">
            <w:pPr>
              <w:jc w:val="both"/>
              <w:rPr>
                <w:rFonts w:ascii="Arial" w:hAnsi="Arial" w:cs="Arial"/>
                <w:sz w:val="20"/>
                <w:szCs w:val="20"/>
              </w:rPr>
            </w:pPr>
            <w:r w:rsidRPr="00255954">
              <w:rPr>
                <w:rFonts w:ascii="Arial" w:hAnsi="Arial" w:cs="Arial"/>
                <w:sz w:val="20"/>
                <w:szCs w:val="20"/>
              </w:rPr>
              <w:t xml:space="preserve">VET participation by Indigenous status (per cent)  </w:t>
            </w:r>
          </w:p>
        </w:tc>
      </w:tr>
      <w:tr w:rsidR="00255954" w:rsidRPr="00255954" w:rsidTr="00255954">
        <w:trPr>
          <w:trHeight w:val="615"/>
        </w:trPr>
        <w:tc>
          <w:tcPr>
            <w:tcW w:w="1456" w:type="dxa"/>
            <w:tcBorders>
              <w:top w:val="nil"/>
              <w:left w:val="nil"/>
              <w:bottom w:val="nil"/>
              <w:right w:val="nil"/>
            </w:tcBorders>
            <w:shd w:val="clear" w:color="auto" w:fill="auto"/>
            <w:noWrap/>
            <w:hideMark/>
          </w:tcPr>
          <w:p w:rsidR="00255954" w:rsidRPr="00181B96" w:rsidRDefault="00255954" w:rsidP="00255954">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5A.17</w:t>
            </w:r>
            <w:proofErr w:type="spellEnd"/>
          </w:p>
        </w:tc>
        <w:tc>
          <w:tcPr>
            <w:tcW w:w="7404" w:type="dxa"/>
            <w:tcBorders>
              <w:top w:val="nil"/>
              <w:left w:val="nil"/>
              <w:bottom w:val="nil"/>
              <w:right w:val="nil"/>
            </w:tcBorders>
            <w:shd w:val="clear" w:color="auto" w:fill="auto"/>
            <w:hideMark/>
          </w:tcPr>
          <w:p w:rsidR="00255954" w:rsidRPr="00255954" w:rsidRDefault="00255954" w:rsidP="00255954">
            <w:pPr>
              <w:jc w:val="both"/>
              <w:rPr>
                <w:rFonts w:ascii="Arial" w:hAnsi="Arial" w:cs="Arial"/>
                <w:sz w:val="20"/>
                <w:szCs w:val="20"/>
              </w:rPr>
            </w:pPr>
            <w:r w:rsidRPr="00255954">
              <w:rPr>
                <w:rFonts w:ascii="Arial" w:hAnsi="Arial" w:cs="Arial"/>
                <w:sz w:val="20"/>
                <w:szCs w:val="20"/>
              </w:rPr>
              <w:t>VET participation in Certificate III and above, by target age group and Indigenous status</w:t>
            </w:r>
            <w:r w:rsidR="00181B96">
              <w:rPr>
                <w:rFonts w:ascii="Arial" w:hAnsi="Arial" w:cs="Arial"/>
                <w:sz w:val="20"/>
                <w:szCs w:val="20"/>
              </w:rPr>
              <w:t xml:space="preserve"> </w:t>
            </w:r>
          </w:p>
        </w:tc>
      </w:tr>
      <w:tr w:rsidR="00255954" w:rsidRPr="00255954" w:rsidTr="00255954">
        <w:trPr>
          <w:trHeight w:val="330"/>
        </w:trPr>
        <w:tc>
          <w:tcPr>
            <w:tcW w:w="1456" w:type="dxa"/>
            <w:tcBorders>
              <w:top w:val="nil"/>
              <w:left w:val="nil"/>
              <w:bottom w:val="nil"/>
              <w:right w:val="nil"/>
            </w:tcBorders>
            <w:shd w:val="clear" w:color="auto" w:fill="auto"/>
            <w:noWrap/>
            <w:hideMark/>
          </w:tcPr>
          <w:p w:rsidR="00255954" w:rsidRPr="00181B96" w:rsidRDefault="00255954" w:rsidP="00255954">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5A.18</w:t>
            </w:r>
            <w:proofErr w:type="spellEnd"/>
          </w:p>
        </w:tc>
        <w:tc>
          <w:tcPr>
            <w:tcW w:w="7404" w:type="dxa"/>
            <w:tcBorders>
              <w:top w:val="nil"/>
              <w:left w:val="nil"/>
              <w:bottom w:val="nil"/>
              <w:right w:val="nil"/>
            </w:tcBorders>
            <w:shd w:val="clear" w:color="auto" w:fill="auto"/>
            <w:hideMark/>
          </w:tcPr>
          <w:p w:rsidR="00255954" w:rsidRPr="00255954" w:rsidRDefault="00255954" w:rsidP="00255954">
            <w:pPr>
              <w:jc w:val="both"/>
              <w:rPr>
                <w:rFonts w:ascii="Arial" w:hAnsi="Arial" w:cs="Arial"/>
                <w:sz w:val="20"/>
                <w:szCs w:val="20"/>
              </w:rPr>
            </w:pPr>
            <w:r w:rsidRPr="00255954">
              <w:rPr>
                <w:rFonts w:ascii="Arial" w:hAnsi="Arial" w:cs="Arial"/>
                <w:sz w:val="20"/>
                <w:szCs w:val="20"/>
              </w:rPr>
              <w:t>VET participation in Diploma and above, by target age group and Indigenous status</w:t>
            </w:r>
            <w:r w:rsidR="00181B96">
              <w:rPr>
                <w:rFonts w:ascii="Arial" w:hAnsi="Arial" w:cs="Arial"/>
                <w:sz w:val="20"/>
                <w:szCs w:val="20"/>
              </w:rPr>
              <w:t xml:space="preserve"> </w:t>
            </w:r>
          </w:p>
        </w:tc>
      </w:tr>
      <w:tr w:rsidR="00255954" w:rsidRPr="00255954" w:rsidTr="00255954">
        <w:trPr>
          <w:trHeight w:val="357"/>
        </w:trPr>
        <w:tc>
          <w:tcPr>
            <w:tcW w:w="1456" w:type="dxa"/>
            <w:tcBorders>
              <w:top w:val="nil"/>
              <w:left w:val="nil"/>
              <w:bottom w:val="nil"/>
              <w:right w:val="nil"/>
            </w:tcBorders>
            <w:shd w:val="clear" w:color="auto" w:fill="auto"/>
            <w:noWrap/>
            <w:hideMark/>
          </w:tcPr>
          <w:p w:rsidR="00255954" w:rsidRPr="00181B96" w:rsidRDefault="00255954" w:rsidP="00255954">
            <w:pPr>
              <w:rPr>
                <w:rFonts w:ascii="Arial" w:hAnsi="Arial" w:cs="Arial"/>
                <w:b/>
                <w:bCs/>
                <w:sz w:val="20"/>
                <w:szCs w:val="20"/>
              </w:rPr>
            </w:pPr>
            <w:r w:rsidRPr="00181B96">
              <w:rPr>
                <w:rFonts w:ascii="Arial" w:hAnsi="Arial" w:cs="Arial"/>
                <w:b/>
                <w:bCs/>
                <w:sz w:val="20"/>
                <w:szCs w:val="20"/>
              </w:rPr>
              <w:t>Table 5A.19</w:t>
            </w:r>
          </w:p>
        </w:tc>
        <w:tc>
          <w:tcPr>
            <w:tcW w:w="7404" w:type="dxa"/>
            <w:tcBorders>
              <w:top w:val="nil"/>
              <w:left w:val="nil"/>
              <w:bottom w:val="nil"/>
              <w:right w:val="nil"/>
            </w:tcBorders>
            <w:shd w:val="clear" w:color="auto" w:fill="auto"/>
            <w:hideMark/>
          </w:tcPr>
          <w:p w:rsidR="00255954" w:rsidRPr="00255954" w:rsidRDefault="00255954" w:rsidP="00255954">
            <w:pPr>
              <w:jc w:val="both"/>
              <w:rPr>
                <w:rFonts w:ascii="Arial" w:hAnsi="Arial" w:cs="Arial"/>
                <w:sz w:val="20"/>
                <w:szCs w:val="20"/>
              </w:rPr>
            </w:pPr>
            <w:r w:rsidRPr="00255954">
              <w:rPr>
                <w:rFonts w:ascii="Arial" w:hAnsi="Arial" w:cs="Arial"/>
                <w:sz w:val="20"/>
                <w:szCs w:val="20"/>
              </w:rPr>
              <w:t>Government real recurrent expenditure per annual hour (2013 dollars) ($ per hour)</w:t>
            </w:r>
            <w:r w:rsidR="00181B96">
              <w:rPr>
                <w:rFonts w:ascii="Arial" w:hAnsi="Arial" w:cs="Arial"/>
                <w:sz w:val="20"/>
                <w:szCs w:val="20"/>
              </w:rPr>
              <w:t xml:space="preserve"> </w:t>
            </w:r>
          </w:p>
        </w:tc>
      </w:tr>
      <w:tr w:rsidR="00255954" w:rsidRPr="00255954" w:rsidTr="00255954">
        <w:trPr>
          <w:trHeight w:val="615"/>
        </w:trPr>
        <w:tc>
          <w:tcPr>
            <w:tcW w:w="1456" w:type="dxa"/>
            <w:tcBorders>
              <w:top w:val="nil"/>
              <w:left w:val="nil"/>
              <w:bottom w:val="nil"/>
              <w:right w:val="nil"/>
            </w:tcBorders>
            <w:shd w:val="clear" w:color="auto" w:fill="auto"/>
            <w:noWrap/>
            <w:hideMark/>
          </w:tcPr>
          <w:p w:rsidR="00255954" w:rsidRPr="00181B96" w:rsidRDefault="00255954" w:rsidP="00255954">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5A.20</w:t>
            </w:r>
            <w:proofErr w:type="spellEnd"/>
          </w:p>
        </w:tc>
        <w:tc>
          <w:tcPr>
            <w:tcW w:w="7404" w:type="dxa"/>
            <w:tcBorders>
              <w:top w:val="nil"/>
              <w:left w:val="nil"/>
              <w:bottom w:val="nil"/>
              <w:right w:val="nil"/>
            </w:tcBorders>
            <w:shd w:val="clear" w:color="auto" w:fill="auto"/>
            <w:hideMark/>
          </w:tcPr>
          <w:p w:rsidR="00255954" w:rsidRPr="00255954" w:rsidRDefault="00255954" w:rsidP="00255954">
            <w:pPr>
              <w:jc w:val="both"/>
              <w:rPr>
                <w:rFonts w:ascii="Arial" w:hAnsi="Arial" w:cs="Arial"/>
                <w:sz w:val="20"/>
                <w:szCs w:val="20"/>
              </w:rPr>
            </w:pPr>
            <w:r w:rsidRPr="00255954">
              <w:rPr>
                <w:rFonts w:ascii="Arial" w:hAnsi="Arial" w:cs="Arial"/>
                <w:sz w:val="20"/>
                <w:szCs w:val="20"/>
              </w:rPr>
              <w:t>Government real recurrent expenditure per hour of government funded load pass, (2013 dollars) ($ per hour)</w:t>
            </w:r>
            <w:r w:rsidR="00181B96">
              <w:rPr>
                <w:rFonts w:ascii="Arial" w:hAnsi="Arial" w:cs="Arial"/>
                <w:sz w:val="20"/>
                <w:szCs w:val="20"/>
              </w:rPr>
              <w:t xml:space="preserve"> </w:t>
            </w:r>
          </w:p>
        </w:tc>
      </w:tr>
      <w:tr w:rsidR="00255954" w:rsidRPr="00255954" w:rsidTr="00255954">
        <w:trPr>
          <w:trHeight w:val="357"/>
        </w:trPr>
        <w:tc>
          <w:tcPr>
            <w:tcW w:w="1456" w:type="dxa"/>
            <w:tcBorders>
              <w:top w:val="nil"/>
              <w:left w:val="nil"/>
              <w:bottom w:val="nil"/>
              <w:right w:val="nil"/>
            </w:tcBorders>
            <w:shd w:val="clear" w:color="auto" w:fill="auto"/>
            <w:noWrap/>
            <w:hideMark/>
          </w:tcPr>
          <w:p w:rsidR="00255954" w:rsidRPr="00181B96" w:rsidRDefault="00255954" w:rsidP="00255954">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5A.21</w:t>
            </w:r>
            <w:proofErr w:type="spellEnd"/>
          </w:p>
        </w:tc>
        <w:tc>
          <w:tcPr>
            <w:tcW w:w="7404" w:type="dxa"/>
            <w:tcBorders>
              <w:top w:val="nil"/>
              <w:left w:val="nil"/>
              <w:bottom w:val="nil"/>
              <w:right w:val="nil"/>
            </w:tcBorders>
            <w:shd w:val="clear" w:color="auto" w:fill="auto"/>
            <w:hideMark/>
          </w:tcPr>
          <w:p w:rsidR="00255954" w:rsidRPr="00255954" w:rsidRDefault="00255954" w:rsidP="00255954">
            <w:pPr>
              <w:jc w:val="both"/>
              <w:rPr>
                <w:rFonts w:ascii="Arial" w:hAnsi="Arial" w:cs="Arial"/>
                <w:sz w:val="20"/>
                <w:szCs w:val="20"/>
              </w:rPr>
            </w:pPr>
            <w:r w:rsidRPr="00255954">
              <w:rPr>
                <w:rFonts w:ascii="Arial" w:hAnsi="Arial" w:cs="Arial"/>
                <w:sz w:val="20"/>
                <w:szCs w:val="20"/>
              </w:rPr>
              <w:t xml:space="preserve">Value of physical non-current assets and user cost of capital, 2013 </w:t>
            </w:r>
          </w:p>
        </w:tc>
      </w:tr>
      <w:tr w:rsidR="00255954" w:rsidRPr="00255954" w:rsidTr="00255954">
        <w:trPr>
          <w:trHeight w:val="357"/>
        </w:trPr>
        <w:tc>
          <w:tcPr>
            <w:tcW w:w="1456" w:type="dxa"/>
            <w:tcBorders>
              <w:top w:val="nil"/>
              <w:left w:val="nil"/>
              <w:bottom w:val="nil"/>
              <w:right w:val="nil"/>
            </w:tcBorders>
            <w:shd w:val="clear" w:color="auto" w:fill="auto"/>
            <w:noWrap/>
            <w:hideMark/>
          </w:tcPr>
          <w:p w:rsidR="00255954" w:rsidRPr="00181B96" w:rsidRDefault="00255954" w:rsidP="00255954">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5A.22</w:t>
            </w:r>
            <w:proofErr w:type="spellEnd"/>
          </w:p>
        </w:tc>
        <w:tc>
          <w:tcPr>
            <w:tcW w:w="7404" w:type="dxa"/>
            <w:tcBorders>
              <w:top w:val="nil"/>
              <w:left w:val="nil"/>
              <w:bottom w:val="nil"/>
              <w:right w:val="nil"/>
            </w:tcBorders>
            <w:shd w:val="clear" w:color="auto" w:fill="auto"/>
            <w:hideMark/>
          </w:tcPr>
          <w:p w:rsidR="00255954" w:rsidRPr="00255954" w:rsidRDefault="00255954" w:rsidP="00255954">
            <w:pPr>
              <w:jc w:val="both"/>
              <w:rPr>
                <w:rFonts w:ascii="Arial" w:hAnsi="Arial" w:cs="Arial"/>
                <w:sz w:val="20"/>
                <w:szCs w:val="20"/>
              </w:rPr>
            </w:pPr>
            <w:r w:rsidRPr="00255954">
              <w:rPr>
                <w:rFonts w:ascii="Arial" w:hAnsi="Arial" w:cs="Arial"/>
                <w:sz w:val="20"/>
                <w:szCs w:val="20"/>
              </w:rPr>
              <w:t xml:space="preserve">Total government costs per annual hour, 2013 ($ per hour)  </w:t>
            </w:r>
          </w:p>
        </w:tc>
      </w:tr>
      <w:tr w:rsidR="00255954" w:rsidRPr="00255954" w:rsidTr="00255954">
        <w:trPr>
          <w:trHeight w:val="612"/>
        </w:trPr>
        <w:tc>
          <w:tcPr>
            <w:tcW w:w="1456" w:type="dxa"/>
            <w:tcBorders>
              <w:top w:val="nil"/>
              <w:left w:val="nil"/>
              <w:bottom w:val="nil"/>
              <w:right w:val="nil"/>
            </w:tcBorders>
            <w:shd w:val="clear" w:color="auto" w:fill="auto"/>
            <w:noWrap/>
            <w:hideMark/>
          </w:tcPr>
          <w:p w:rsidR="00255954" w:rsidRPr="00181B96" w:rsidRDefault="00255954" w:rsidP="00255954">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5A.23</w:t>
            </w:r>
            <w:proofErr w:type="spellEnd"/>
          </w:p>
        </w:tc>
        <w:tc>
          <w:tcPr>
            <w:tcW w:w="7404" w:type="dxa"/>
            <w:tcBorders>
              <w:top w:val="nil"/>
              <w:left w:val="nil"/>
              <w:bottom w:val="nil"/>
              <w:right w:val="nil"/>
            </w:tcBorders>
            <w:shd w:val="clear" w:color="auto" w:fill="auto"/>
            <w:hideMark/>
          </w:tcPr>
          <w:p w:rsidR="00255954" w:rsidRPr="00255954" w:rsidRDefault="00255954" w:rsidP="00255954">
            <w:pPr>
              <w:jc w:val="both"/>
              <w:rPr>
                <w:rFonts w:ascii="Arial" w:hAnsi="Arial" w:cs="Arial"/>
                <w:sz w:val="20"/>
                <w:szCs w:val="20"/>
              </w:rPr>
            </w:pPr>
            <w:r w:rsidRPr="00255954">
              <w:rPr>
                <w:rFonts w:ascii="Arial" w:hAnsi="Arial" w:cs="Arial"/>
                <w:sz w:val="20"/>
                <w:szCs w:val="20"/>
              </w:rPr>
              <w:t xml:space="preserve">Total government VET costs per hour of government funded load pass, 2013 ($ per hour) </w:t>
            </w:r>
          </w:p>
        </w:tc>
      </w:tr>
      <w:tr w:rsidR="00255954" w:rsidRPr="00255954" w:rsidTr="00255954">
        <w:trPr>
          <w:trHeight w:val="612"/>
        </w:trPr>
        <w:tc>
          <w:tcPr>
            <w:tcW w:w="1456" w:type="dxa"/>
            <w:tcBorders>
              <w:top w:val="nil"/>
              <w:left w:val="nil"/>
              <w:bottom w:val="nil"/>
              <w:right w:val="nil"/>
            </w:tcBorders>
            <w:shd w:val="clear" w:color="auto" w:fill="auto"/>
            <w:noWrap/>
            <w:hideMark/>
          </w:tcPr>
          <w:p w:rsidR="00255954" w:rsidRPr="00181B96" w:rsidRDefault="00255954" w:rsidP="00255954">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5A.24</w:t>
            </w:r>
            <w:proofErr w:type="spellEnd"/>
          </w:p>
        </w:tc>
        <w:tc>
          <w:tcPr>
            <w:tcW w:w="7404" w:type="dxa"/>
            <w:tcBorders>
              <w:top w:val="nil"/>
              <w:left w:val="nil"/>
              <w:bottom w:val="nil"/>
              <w:right w:val="nil"/>
            </w:tcBorders>
            <w:shd w:val="clear" w:color="auto" w:fill="auto"/>
            <w:hideMark/>
          </w:tcPr>
          <w:p w:rsidR="00255954" w:rsidRPr="00255954" w:rsidRDefault="00255954" w:rsidP="00255954">
            <w:pPr>
              <w:jc w:val="both"/>
              <w:rPr>
                <w:rFonts w:ascii="Arial" w:hAnsi="Arial" w:cs="Arial"/>
                <w:sz w:val="20"/>
                <w:szCs w:val="20"/>
              </w:rPr>
            </w:pPr>
            <w:r w:rsidRPr="00255954">
              <w:rPr>
                <w:rFonts w:ascii="Arial" w:hAnsi="Arial" w:cs="Arial"/>
                <w:sz w:val="20"/>
                <w:szCs w:val="20"/>
              </w:rPr>
              <w:t xml:space="preserve">User cost of capital per hour of government funded load pass, ($ per hour) (2013 dollars) </w:t>
            </w:r>
          </w:p>
        </w:tc>
      </w:tr>
      <w:tr w:rsidR="00561E7D" w:rsidRPr="00561E7D" w:rsidTr="00561E7D">
        <w:trPr>
          <w:trHeight w:val="612"/>
        </w:trPr>
        <w:tc>
          <w:tcPr>
            <w:tcW w:w="1456" w:type="dxa"/>
            <w:tcBorders>
              <w:top w:val="nil"/>
              <w:left w:val="nil"/>
              <w:bottom w:val="nil"/>
              <w:right w:val="nil"/>
            </w:tcBorders>
            <w:shd w:val="clear" w:color="auto" w:fill="auto"/>
            <w:noWrap/>
            <w:hideMark/>
          </w:tcPr>
          <w:p w:rsidR="00561E7D" w:rsidRPr="00181B96" w:rsidRDefault="00561E7D" w:rsidP="00561E7D">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5A.25</w:t>
            </w:r>
            <w:proofErr w:type="spellEnd"/>
          </w:p>
        </w:tc>
        <w:tc>
          <w:tcPr>
            <w:tcW w:w="7404" w:type="dxa"/>
            <w:tcBorders>
              <w:top w:val="nil"/>
              <w:left w:val="nil"/>
              <w:bottom w:val="nil"/>
              <w:right w:val="nil"/>
            </w:tcBorders>
            <w:shd w:val="clear" w:color="auto" w:fill="auto"/>
            <w:hideMark/>
          </w:tcPr>
          <w:p w:rsidR="00561E7D" w:rsidRPr="00561E7D" w:rsidRDefault="00561E7D" w:rsidP="00561E7D">
            <w:pPr>
              <w:jc w:val="both"/>
              <w:rPr>
                <w:rFonts w:ascii="Arial" w:hAnsi="Arial" w:cs="Arial"/>
                <w:sz w:val="20"/>
                <w:szCs w:val="20"/>
              </w:rPr>
            </w:pPr>
            <w:r w:rsidRPr="00561E7D">
              <w:rPr>
                <w:rFonts w:ascii="Arial" w:hAnsi="Arial" w:cs="Arial"/>
                <w:sz w:val="20"/>
                <w:szCs w:val="20"/>
              </w:rPr>
              <w:t>Proportion of VET graduates in employment and/or continued on to further study after completing a course (per cent)</w:t>
            </w:r>
            <w:r w:rsidR="00181B96">
              <w:rPr>
                <w:rFonts w:ascii="Arial" w:hAnsi="Arial" w:cs="Arial"/>
                <w:sz w:val="20"/>
                <w:szCs w:val="20"/>
              </w:rPr>
              <w:t xml:space="preserve"> </w:t>
            </w:r>
            <w:r w:rsidRPr="00561E7D">
              <w:rPr>
                <w:rFonts w:ascii="Arial" w:hAnsi="Arial" w:cs="Arial"/>
                <w:sz w:val="20"/>
                <w:szCs w:val="20"/>
              </w:rPr>
              <w:t xml:space="preserve"> </w:t>
            </w:r>
          </w:p>
        </w:tc>
      </w:tr>
      <w:tr w:rsidR="00561E7D" w:rsidRPr="00561E7D" w:rsidTr="00561E7D">
        <w:trPr>
          <w:trHeight w:val="855"/>
        </w:trPr>
        <w:tc>
          <w:tcPr>
            <w:tcW w:w="1456" w:type="dxa"/>
            <w:tcBorders>
              <w:top w:val="nil"/>
              <w:left w:val="nil"/>
              <w:bottom w:val="nil"/>
              <w:right w:val="nil"/>
            </w:tcBorders>
            <w:shd w:val="clear" w:color="auto" w:fill="auto"/>
            <w:noWrap/>
            <w:hideMark/>
          </w:tcPr>
          <w:p w:rsidR="00561E7D" w:rsidRPr="00181B96" w:rsidRDefault="00561E7D" w:rsidP="00561E7D">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5A.26</w:t>
            </w:r>
            <w:proofErr w:type="spellEnd"/>
          </w:p>
        </w:tc>
        <w:tc>
          <w:tcPr>
            <w:tcW w:w="7404" w:type="dxa"/>
            <w:tcBorders>
              <w:top w:val="nil"/>
              <w:left w:val="nil"/>
              <w:bottom w:val="nil"/>
              <w:right w:val="nil"/>
            </w:tcBorders>
            <w:shd w:val="clear" w:color="auto" w:fill="auto"/>
            <w:hideMark/>
          </w:tcPr>
          <w:p w:rsidR="00561E7D" w:rsidRPr="00561E7D" w:rsidRDefault="00561E7D" w:rsidP="00561E7D">
            <w:pPr>
              <w:jc w:val="both"/>
              <w:rPr>
                <w:rFonts w:ascii="Arial" w:hAnsi="Arial" w:cs="Arial"/>
                <w:sz w:val="20"/>
                <w:szCs w:val="20"/>
              </w:rPr>
            </w:pPr>
            <w:r w:rsidRPr="00561E7D">
              <w:rPr>
                <w:rFonts w:ascii="Arial" w:hAnsi="Arial" w:cs="Arial"/>
                <w:sz w:val="20"/>
                <w:szCs w:val="20"/>
              </w:rPr>
              <w:t xml:space="preserve">Proportion of Aboriginal and Torres Strait Islander government funded VET graduates in employment and/or continued on to further study after completing a course (per cent) </w:t>
            </w:r>
          </w:p>
        </w:tc>
      </w:tr>
      <w:tr w:rsidR="00561E7D" w:rsidRPr="00561E7D" w:rsidTr="00561E7D">
        <w:trPr>
          <w:trHeight w:val="612"/>
        </w:trPr>
        <w:tc>
          <w:tcPr>
            <w:tcW w:w="1456" w:type="dxa"/>
            <w:tcBorders>
              <w:top w:val="nil"/>
              <w:left w:val="nil"/>
              <w:bottom w:val="nil"/>
              <w:right w:val="nil"/>
            </w:tcBorders>
            <w:shd w:val="clear" w:color="auto" w:fill="auto"/>
            <w:noWrap/>
            <w:hideMark/>
          </w:tcPr>
          <w:p w:rsidR="00561E7D" w:rsidRPr="00181B96" w:rsidRDefault="00561E7D" w:rsidP="00561E7D">
            <w:pPr>
              <w:rPr>
                <w:rFonts w:ascii="Arial" w:hAnsi="Arial" w:cs="Arial"/>
                <w:b/>
                <w:bCs/>
                <w:sz w:val="20"/>
                <w:szCs w:val="20"/>
              </w:rPr>
            </w:pPr>
            <w:r w:rsidRPr="00181B96">
              <w:rPr>
                <w:rFonts w:ascii="Arial" w:hAnsi="Arial" w:cs="Arial"/>
                <w:b/>
                <w:bCs/>
                <w:sz w:val="20"/>
                <w:szCs w:val="20"/>
              </w:rPr>
              <w:lastRenderedPageBreak/>
              <w:t xml:space="preserve">Table </w:t>
            </w:r>
            <w:proofErr w:type="spellStart"/>
            <w:r w:rsidRPr="00181B96">
              <w:rPr>
                <w:rFonts w:ascii="Arial" w:hAnsi="Arial" w:cs="Arial"/>
                <w:b/>
                <w:bCs/>
                <w:sz w:val="20"/>
                <w:szCs w:val="20"/>
              </w:rPr>
              <w:t>5A.27</w:t>
            </w:r>
            <w:proofErr w:type="spellEnd"/>
          </w:p>
        </w:tc>
        <w:tc>
          <w:tcPr>
            <w:tcW w:w="7404" w:type="dxa"/>
            <w:tcBorders>
              <w:top w:val="nil"/>
              <w:left w:val="nil"/>
              <w:bottom w:val="nil"/>
              <w:right w:val="nil"/>
            </w:tcBorders>
            <w:shd w:val="clear" w:color="auto" w:fill="auto"/>
            <w:hideMark/>
          </w:tcPr>
          <w:p w:rsidR="00561E7D" w:rsidRPr="00561E7D" w:rsidRDefault="00561E7D" w:rsidP="00561E7D">
            <w:pPr>
              <w:jc w:val="both"/>
              <w:rPr>
                <w:rFonts w:ascii="Arial" w:hAnsi="Arial" w:cs="Arial"/>
                <w:sz w:val="20"/>
                <w:szCs w:val="20"/>
              </w:rPr>
            </w:pPr>
            <w:r w:rsidRPr="00561E7D">
              <w:rPr>
                <w:rFonts w:ascii="Arial" w:hAnsi="Arial" w:cs="Arial"/>
                <w:sz w:val="20"/>
                <w:szCs w:val="20"/>
              </w:rPr>
              <w:t>Proportion of non-Indigenous VET graduates in employment and/or continued on to further study after completing a course (per cent)</w:t>
            </w:r>
            <w:r w:rsidR="00181B96">
              <w:rPr>
                <w:rFonts w:ascii="Arial" w:hAnsi="Arial" w:cs="Arial"/>
                <w:sz w:val="20"/>
                <w:szCs w:val="20"/>
              </w:rPr>
              <w:t xml:space="preserve"> </w:t>
            </w:r>
          </w:p>
        </w:tc>
      </w:tr>
      <w:tr w:rsidR="00561E7D" w:rsidRPr="00561E7D" w:rsidTr="00561E7D">
        <w:trPr>
          <w:trHeight w:val="612"/>
        </w:trPr>
        <w:tc>
          <w:tcPr>
            <w:tcW w:w="1456" w:type="dxa"/>
            <w:tcBorders>
              <w:top w:val="nil"/>
              <w:left w:val="nil"/>
              <w:bottom w:val="nil"/>
              <w:right w:val="nil"/>
            </w:tcBorders>
            <w:shd w:val="clear" w:color="auto" w:fill="auto"/>
            <w:noWrap/>
            <w:hideMark/>
          </w:tcPr>
          <w:p w:rsidR="00561E7D" w:rsidRPr="00181B96" w:rsidRDefault="00561E7D" w:rsidP="00561E7D">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5A.28</w:t>
            </w:r>
            <w:proofErr w:type="spellEnd"/>
          </w:p>
        </w:tc>
        <w:tc>
          <w:tcPr>
            <w:tcW w:w="7404" w:type="dxa"/>
            <w:tcBorders>
              <w:top w:val="nil"/>
              <w:left w:val="nil"/>
              <w:bottom w:val="nil"/>
              <w:right w:val="nil"/>
            </w:tcBorders>
            <w:shd w:val="clear" w:color="auto" w:fill="auto"/>
            <w:hideMark/>
          </w:tcPr>
          <w:p w:rsidR="00561E7D" w:rsidRPr="00561E7D" w:rsidRDefault="00561E7D" w:rsidP="00561E7D">
            <w:pPr>
              <w:jc w:val="both"/>
              <w:rPr>
                <w:rFonts w:ascii="Arial" w:hAnsi="Arial" w:cs="Arial"/>
                <w:sz w:val="20"/>
                <w:szCs w:val="20"/>
              </w:rPr>
            </w:pPr>
            <w:r w:rsidRPr="00561E7D">
              <w:rPr>
                <w:rFonts w:ascii="Arial" w:hAnsi="Arial" w:cs="Arial"/>
                <w:sz w:val="20"/>
                <w:szCs w:val="20"/>
              </w:rPr>
              <w:t>Proportion of VET graduates from major cities in employment and/or continued on to further study after completing a course (per cent)</w:t>
            </w:r>
            <w:r w:rsidR="00181B96">
              <w:rPr>
                <w:rFonts w:ascii="Arial" w:hAnsi="Arial" w:cs="Arial"/>
                <w:sz w:val="20"/>
                <w:szCs w:val="20"/>
              </w:rPr>
              <w:t xml:space="preserve"> </w:t>
            </w:r>
          </w:p>
        </w:tc>
      </w:tr>
      <w:tr w:rsidR="00561E7D" w:rsidRPr="00561E7D" w:rsidTr="00561E7D">
        <w:trPr>
          <w:trHeight w:val="612"/>
        </w:trPr>
        <w:tc>
          <w:tcPr>
            <w:tcW w:w="1456" w:type="dxa"/>
            <w:tcBorders>
              <w:top w:val="nil"/>
              <w:left w:val="nil"/>
              <w:bottom w:val="nil"/>
              <w:right w:val="nil"/>
            </w:tcBorders>
            <w:shd w:val="clear" w:color="auto" w:fill="auto"/>
            <w:noWrap/>
            <w:hideMark/>
          </w:tcPr>
          <w:p w:rsidR="00561E7D" w:rsidRPr="00181B96" w:rsidRDefault="00561E7D" w:rsidP="00561E7D">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5A.29</w:t>
            </w:r>
            <w:proofErr w:type="spellEnd"/>
          </w:p>
        </w:tc>
        <w:tc>
          <w:tcPr>
            <w:tcW w:w="7404" w:type="dxa"/>
            <w:tcBorders>
              <w:top w:val="nil"/>
              <w:left w:val="nil"/>
              <w:bottom w:val="nil"/>
              <w:right w:val="nil"/>
            </w:tcBorders>
            <w:shd w:val="clear" w:color="auto" w:fill="auto"/>
            <w:hideMark/>
          </w:tcPr>
          <w:p w:rsidR="00561E7D" w:rsidRPr="00561E7D" w:rsidRDefault="00561E7D" w:rsidP="00561E7D">
            <w:pPr>
              <w:jc w:val="both"/>
              <w:rPr>
                <w:rFonts w:ascii="Arial" w:hAnsi="Arial" w:cs="Arial"/>
                <w:sz w:val="20"/>
                <w:szCs w:val="20"/>
              </w:rPr>
            </w:pPr>
            <w:r w:rsidRPr="00561E7D">
              <w:rPr>
                <w:rFonts w:ascii="Arial" w:hAnsi="Arial" w:cs="Arial"/>
                <w:sz w:val="20"/>
                <w:szCs w:val="20"/>
              </w:rPr>
              <w:t>Proportion of VET graduates from inner regional areas in employment and/or continued on to further study after completing a course (per cent)</w:t>
            </w:r>
            <w:r w:rsidR="00181B96">
              <w:rPr>
                <w:rFonts w:ascii="Arial" w:hAnsi="Arial" w:cs="Arial"/>
                <w:sz w:val="20"/>
                <w:szCs w:val="20"/>
              </w:rPr>
              <w:t xml:space="preserve"> </w:t>
            </w:r>
          </w:p>
        </w:tc>
      </w:tr>
      <w:tr w:rsidR="00561E7D" w:rsidRPr="00561E7D" w:rsidTr="00561E7D">
        <w:trPr>
          <w:trHeight w:val="612"/>
        </w:trPr>
        <w:tc>
          <w:tcPr>
            <w:tcW w:w="1456" w:type="dxa"/>
            <w:tcBorders>
              <w:top w:val="nil"/>
              <w:left w:val="nil"/>
              <w:bottom w:val="nil"/>
              <w:right w:val="nil"/>
            </w:tcBorders>
            <w:shd w:val="clear" w:color="auto" w:fill="auto"/>
            <w:noWrap/>
            <w:hideMark/>
          </w:tcPr>
          <w:p w:rsidR="00561E7D" w:rsidRPr="00181B96" w:rsidRDefault="00561E7D" w:rsidP="00561E7D">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5A.30</w:t>
            </w:r>
            <w:proofErr w:type="spellEnd"/>
          </w:p>
        </w:tc>
        <w:tc>
          <w:tcPr>
            <w:tcW w:w="7404" w:type="dxa"/>
            <w:tcBorders>
              <w:top w:val="nil"/>
              <w:left w:val="nil"/>
              <w:bottom w:val="nil"/>
              <w:right w:val="nil"/>
            </w:tcBorders>
            <w:shd w:val="clear" w:color="auto" w:fill="auto"/>
            <w:hideMark/>
          </w:tcPr>
          <w:p w:rsidR="00561E7D" w:rsidRPr="00561E7D" w:rsidRDefault="00561E7D" w:rsidP="00561E7D">
            <w:pPr>
              <w:jc w:val="both"/>
              <w:rPr>
                <w:rFonts w:ascii="Arial" w:hAnsi="Arial" w:cs="Arial"/>
                <w:sz w:val="20"/>
                <w:szCs w:val="20"/>
              </w:rPr>
            </w:pPr>
            <w:r w:rsidRPr="00561E7D">
              <w:rPr>
                <w:rFonts w:ascii="Arial" w:hAnsi="Arial" w:cs="Arial"/>
                <w:sz w:val="20"/>
                <w:szCs w:val="20"/>
              </w:rPr>
              <w:t>Proportion of VET graduates from outer regional areas in employment and/or continued on to further study after completing a course (per cent)</w:t>
            </w:r>
            <w:r w:rsidR="00181B96">
              <w:rPr>
                <w:rFonts w:ascii="Arial" w:hAnsi="Arial" w:cs="Arial"/>
                <w:sz w:val="20"/>
                <w:szCs w:val="20"/>
              </w:rPr>
              <w:t xml:space="preserve"> </w:t>
            </w:r>
          </w:p>
        </w:tc>
      </w:tr>
      <w:tr w:rsidR="00561E7D" w:rsidRPr="00561E7D" w:rsidTr="00561E7D">
        <w:trPr>
          <w:trHeight w:val="612"/>
        </w:trPr>
        <w:tc>
          <w:tcPr>
            <w:tcW w:w="1456" w:type="dxa"/>
            <w:tcBorders>
              <w:top w:val="nil"/>
              <w:left w:val="nil"/>
              <w:bottom w:val="nil"/>
              <w:right w:val="nil"/>
            </w:tcBorders>
            <w:shd w:val="clear" w:color="auto" w:fill="auto"/>
            <w:noWrap/>
            <w:hideMark/>
          </w:tcPr>
          <w:p w:rsidR="00561E7D" w:rsidRPr="00181B96" w:rsidRDefault="00561E7D" w:rsidP="00561E7D">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5A.31</w:t>
            </w:r>
            <w:proofErr w:type="spellEnd"/>
          </w:p>
        </w:tc>
        <w:tc>
          <w:tcPr>
            <w:tcW w:w="7404" w:type="dxa"/>
            <w:tcBorders>
              <w:top w:val="nil"/>
              <w:left w:val="nil"/>
              <w:bottom w:val="nil"/>
              <w:right w:val="nil"/>
            </w:tcBorders>
            <w:shd w:val="clear" w:color="auto" w:fill="auto"/>
            <w:hideMark/>
          </w:tcPr>
          <w:p w:rsidR="00561E7D" w:rsidRPr="00561E7D" w:rsidRDefault="00561E7D" w:rsidP="00561E7D">
            <w:pPr>
              <w:jc w:val="both"/>
              <w:rPr>
                <w:rFonts w:ascii="Arial" w:hAnsi="Arial" w:cs="Arial"/>
                <w:sz w:val="20"/>
                <w:szCs w:val="20"/>
              </w:rPr>
            </w:pPr>
            <w:r w:rsidRPr="00561E7D">
              <w:rPr>
                <w:rFonts w:ascii="Arial" w:hAnsi="Arial" w:cs="Arial"/>
                <w:sz w:val="20"/>
                <w:szCs w:val="20"/>
              </w:rPr>
              <w:t>Proportion of VET graduates from remote and very remote areas in employment and/or continued on to further study after completing a course (per cent)</w:t>
            </w:r>
            <w:r w:rsidR="00181B96">
              <w:rPr>
                <w:rFonts w:ascii="Arial" w:hAnsi="Arial" w:cs="Arial"/>
                <w:sz w:val="20"/>
                <w:szCs w:val="20"/>
              </w:rPr>
              <w:t xml:space="preserve">  </w:t>
            </w:r>
          </w:p>
        </w:tc>
      </w:tr>
      <w:tr w:rsidR="00561E7D" w:rsidRPr="00561E7D" w:rsidTr="00561E7D">
        <w:trPr>
          <w:trHeight w:val="612"/>
        </w:trPr>
        <w:tc>
          <w:tcPr>
            <w:tcW w:w="1456" w:type="dxa"/>
            <w:tcBorders>
              <w:top w:val="nil"/>
              <w:left w:val="nil"/>
              <w:bottom w:val="nil"/>
              <w:right w:val="nil"/>
            </w:tcBorders>
            <w:shd w:val="clear" w:color="auto" w:fill="auto"/>
            <w:noWrap/>
            <w:hideMark/>
          </w:tcPr>
          <w:p w:rsidR="00561E7D" w:rsidRPr="00181B96" w:rsidRDefault="00561E7D" w:rsidP="00561E7D">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5A.32</w:t>
            </w:r>
            <w:proofErr w:type="spellEnd"/>
          </w:p>
        </w:tc>
        <w:tc>
          <w:tcPr>
            <w:tcW w:w="7404" w:type="dxa"/>
            <w:tcBorders>
              <w:top w:val="nil"/>
              <w:left w:val="nil"/>
              <w:bottom w:val="nil"/>
              <w:right w:val="nil"/>
            </w:tcBorders>
            <w:shd w:val="clear" w:color="auto" w:fill="auto"/>
            <w:hideMark/>
          </w:tcPr>
          <w:p w:rsidR="00561E7D" w:rsidRPr="00561E7D" w:rsidRDefault="00561E7D" w:rsidP="00561E7D">
            <w:pPr>
              <w:jc w:val="both"/>
              <w:rPr>
                <w:rFonts w:ascii="Arial" w:hAnsi="Arial" w:cs="Arial"/>
                <w:sz w:val="20"/>
                <w:szCs w:val="20"/>
              </w:rPr>
            </w:pPr>
            <w:r w:rsidRPr="00561E7D">
              <w:rPr>
                <w:rFonts w:ascii="Arial" w:hAnsi="Arial" w:cs="Arial"/>
                <w:sz w:val="20"/>
                <w:szCs w:val="20"/>
              </w:rPr>
              <w:t>Proportion of VET graduates reporting disability in employment and/or continued on to further study after completing a course (per cent)</w:t>
            </w:r>
            <w:r w:rsidR="00181B96">
              <w:rPr>
                <w:rFonts w:ascii="Arial" w:hAnsi="Arial" w:cs="Arial"/>
                <w:sz w:val="20"/>
                <w:szCs w:val="20"/>
              </w:rPr>
              <w:t xml:space="preserve">  </w:t>
            </w:r>
          </w:p>
        </w:tc>
      </w:tr>
      <w:tr w:rsidR="00561E7D" w:rsidRPr="00561E7D" w:rsidTr="00561E7D">
        <w:trPr>
          <w:trHeight w:val="867"/>
        </w:trPr>
        <w:tc>
          <w:tcPr>
            <w:tcW w:w="1456" w:type="dxa"/>
            <w:tcBorders>
              <w:top w:val="nil"/>
              <w:left w:val="nil"/>
              <w:bottom w:val="nil"/>
              <w:right w:val="nil"/>
            </w:tcBorders>
            <w:shd w:val="clear" w:color="auto" w:fill="auto"/>
            <w:noWrap/>
            <w:hideMark/>
          </w:tcPr>
          <w:p w:rsidR="00561E7D" w:rsidRPr="00181B96" w:rsidRDefault="00561E7D" w:rsidP="00561E7D">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5A.33</w:t>
            </w:r>
            <w:proofErr w:type="spellEnd"/>
          </w:p>
        </w:tc>
        <w:tc>
          <w:tcPr>
            <w:tcW w:w="7404" w:type="dxa"/>
            <w:tcBorders>
              <w:top w:val="nil"/>
              <w:left w:val="nil"/>
              <w:bottom w:val="nil"/>
              <w:right w:val="nil"/>
            </w:tcBorders>
            <w:shd w:val="clear" w:color="auto" w:fill="auto"/>
            <w:hideMark/>
          </w:tcPr>
          <w:p w:rsidR="00561E7D" w:rsidRPr="00561E7D" w:rsidRDefault="00561E7D" w:rsidP="00561E7D">
            <w:pPr>
              <w:jc w:val="both"/>
              <w:rPr>
                <w:rFonts w:ascii="Arial" w:hAnsi="Arial" w:cs="Arial"/>
                <w:sz w:val="20"/>
                <w:szCs w:val="20"/>
              </w:rPr>
            </w:pPr>
            <w:r w:rsidRPr="00561E7D">
              <w:rPr>
                <w:rFonts w:ascii="Arial" w:hAnsi="Arial" w:cs="Arial"/>
                <w:sz w:val="20"/>
                <w:szCs w:val="20"/>
              </w:rPr>
              <w:t>Proportion of VET graduates speaking a language other than English at home in employment and/or continued on to further study after completing a course (per cent)</w:t>
            </w:r>
            <w:r w:rsidR="00181B96">
              <w:rPr>
                <w:rFonts w:ascii="Arial" w:hAnsi="Arial" w:cs="Arial"/>
                <w:sz w:val="20"/>
                <w:szCs w:val="20"/>
              </w:rPr>
              <w:t xml:space="preserve">  </w:t>
            </w:r>
          </w:p>
        </w:tc>
      </w:tr>
      <w:tr w:rsidR="00561E7D" w:rsidRPr="00561E7D" w:rsidTr="00561E7D">
        <w:trPr>
          <w:trHeight w:val="612"/>
        </w:trPr>
        <w:tc>
          <w:tcPr>
            <w:tcW w:w="1456" w:type="dxa"/>
            <w:tcBorders>
              <w:top w:val="nil"/>
              <w:left w:val="nil"/>
              <w:bottom w:val="nil"/>
              <w:right w:val="nil"/>
            </w:tcBorders>
            <w:shd w:val="clear" w:color="auto" w:fill="auto"/>
            <w:noWrap/>
            <w:hideMark/>
          </w:tcPr>
          <w:p w:rsidR="00561E7D" w:rsidRPr="00181B96" w:rsidRDefault="00561E7D" w:rsidP="00561E7D">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5A.34</w:t>
            </w:r>
            <w:proofErr w:type="spellEnd"/>
          </w:p>
        </w:tc>
        <w:tc>
          <w:tcPr>
            <w:tcW w:w="7404" w:type="dxa"/>
            <w:tcBorders>
              <w:top w:val="nil"/>
              <w:left w:val="nil"/>
              <w:bottom w:val="nil"/>
              <w:right w:val="nil"/>
            </w:tcBorders>
            <w:shd w:val="clear" w:color="auto" w:fill="auto"/>
            <w:hideMark/>
          </w:tcPr>
          <w:p w:rsidR="00561E7D" w:rsidRPr="00561E7D" w:rsidRDefault="00561E7D" w:rsidP="00561E7D">
            <w:pPr>
              <w:jc w:val="both"/>
              <w:rPr>
                <w:rFonts w:ascii="Arial" w:hAnsi="Arial" w:cs="Arial"/>
                <w:sz w:val="20"/>
                <w:szCs w:val="20"/>
              </w:rPr>
            </w:pPr>
            <w:r w:rsidRPr="00561E7D">
              <w:rPr>
                <w:rFonts w:ascii="Arial" w:hAnsi="Arial" w:cs="Arial"/>
                <w:sz w:val="20"/>
                <w:szCs w:val="20"/>
              </w:rPr>
              <w:t>Labour force status after the course of VET graduates who were unemployed prior to the course (per cent)</w:t>
            </w:r>
            <w:r w:rsidR="00181B96">
              <w:rPr>
                <w:rFonts w:ascii="Arial" w:hAnsi="Arial" w:cs="Arial"/>
                <w:sz w:val="20"/>
                <w:szCs w:val="20"/>
              </w:rPr>
              <w:t xml:space="preserve">  </w:t>
            </w:r>
          </w:p>
        </w:tc>
      </w:tr>
      <w:tr w:rsidR="00561E7D" w:rsidRPr="00561E7D" w:rsidTr="00561E7D">
        <w:trPr>
          <w:trHeight w:val="612"/>
        </w:trPr>
        <w:tc>
          <w:tcPr>
            <w:tcW w:w="1456" w:type="dxa"/>
            <w:tcBorders>
              <w:top w:val="nil"/>
              <w:left w:val="nil"/>
              <w:bottom w:val="nil"/>
              <w:right w:val="nil"/>
            </w:tcBorders>
            <w:shd w:val="clear" w:color="auto" w:fill="auto"/>
            <w:noWrap/>
            <w:hideMark/>
          </w:tcPr>
          <w:p w:rsidR="00561E7D" w:rsidRPr="00181B96" w:rsidRDefault="00561E7D" w:rsidP="00561E7D">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5A.35</w:t>
            </w:r>
            <w:proofErr w:type="spellEnd"/>
          </w:p>
        </w:tc>
        <w:tc>
          <w:tcPr>
            <w:tcW w:w="7404" w:type="dxa"/>
            <w:tcBorders>
              <w:top w:val="nil"/>
              <w:left w:val="nil"/>
              <w:bottom w:val="nil"/>
              <w:right w:val="nil"/>
            </w:tcBorders>
            <w:shd w:val="clear" w:color="auto" w:fill="auto"/>
            <w:hideMark/>
          </w:tcPr>
          <w:p w:rsidR="00561E7D" w:rsidRPr="00561E7D" w:rsidRDefault="00561E7D" w:rsidP="00561E7D">
            <w:pPr>
              <w:jc w:val="both"/>
              <w:rPr>
                <w:rFonts w:ascii="Arial" w:hAnsi="Arial" w:cs="Arial"/>
                <w:sz w:val="20"/>
                <w:szCs w:val="20"/>
              </w:rPr>
            </w:pPr>
            <w:r w:rsidRPr="00561E7D">
              <w:rPr>
                <w:rFonts w:ascii="Arial" w:hAnsi="Arial" w:cs="Arial"/>
                <w:sz w:val="20"/>
                <w:szCs w:val="20"/>
              </w:rPr>
              <w:t>Labour force status after the course of Aboriginal and Torres Strait Islander VET graduates who were unemployed prior to the course (per cent)</w:t>
            </w:r>
            <w:r w:rsidR="00181B96">
              <w:rPr>
                <w:rFonts w:ascii="Arial" w:hAnsi="Arial" w:cs="Arial"/>
                <w:sz w:val="20"/>
                <w:szCs w:val="20"/>
              </w:rPr>
              <w:t xml:space="preserve"> </w:t>
            </w:r>
          </w:p>
        </w:tc>
      </w:tr>
      <w:tr w:rsidR="00561E7D" w:rsidRPr="00561E7D" w:rsidTr="00561E7D">
        <w:trPr>
          <w:trHeight w:val="612"/>
        </w:trPr>
        <w:tc>
          <w:tcPr>
            <w:tcW w:w="1456" w:type="dxa"/>
            <w:tcBorders>
              <w:top w:val="nil"/>
              <w:left w:val="nil"/>
              <w:bottom w:val="nil"/>
              <w:right w:val="nil"/>
            </w:tcBorders>
            <w:shd w:val="clear" w:color="auto" w:fill="auto"/>
            <w:noWrap/>
            <w:hideMark/>
          </w:tcPr>
          <w:p w:rsidR="00561E7D" w:rsidRPr="00181B96" w:rsidRDefault="00561E7D" w:rsidP="00561E7D">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5A.36</w:t>
            </w:r>
            <w:proofErr w:type="spellEnd"/>
          </w:p>
        </w:tc>
        <w:tc>
          <w:tcPr>
            <w:tcW w:w="7404" w:type="dxa"/>
            <w:tcBorders>
              <w:top w:val="nil"/>
              <w:left w:val="nil"/>
              <w:bottom w:val="nil"/>
              <w:right w:val="nil"/>
            </w:tcBorders>
            <w:shd w:val="clear" w:color="auto" w:fill="auto"/>
            <w:hideMark/>
          </w:tcPr>
          <w:p w:rsidR="00561E7D" w:rsidRPr="00561E7D" w:rsidRDefault="00561E7D" w:rsidP="00561E7D">
            <w:pPr>
              <w:jc w:val="both"/>
              <w:rPr>
                <w:rFonts w:ascii="Arial" w:hAnsi="Arial" w:cs="Arial"/>
                <w:sz w:val="20"/>
                <w:szCs w:val="20"/>
              </w:rPr>
            </w:pPr>
            <w:r w:rsidRPr="00561E7D">
              <w:rPr>
                <w:rFonts w:ascii="Arial" w:hAnsi="Arial" w:cs="Arial"/>
                <w:sz w:val="20"/>
                <w:szCs w:val="20"/>
              </w:rPr>
              <w:t>Labour force status after the course of non-Indigenous VET graduates who were unemployed prior to the course (per cent)</w:t>
            </w:r>
            <w:r w:rsidR="00181B96">
              <w:rPr>
                <w:rFonts w:ascii="Arial" w:hAnsi="Arial" w:cs="Arial"/>
                <w:sz w:val="20"/>
                <w:szCs w:val="20"/>
              </w:rPr>
              <w:t xml:space="preserve"> </w:t>
            </w:r>
          </w:p>
        </w:tc>
      </w:tr>
      <w:tr w:rsidR="00561E7D" w:rsidRPr="00561E7D" w:rsidTr="00561E7D">
        <w:trPr>
          <w:trHeight w:val="612"/>
        </w:trPr>
        <w:tc>
          <w:tcPr>
            <w:tcW w:w="1456" w:type="dxa"/>
            <w:tcBorders>
              <w:top w:val="nil"/>
              <w:left w:val="nil"/>
              <w:bottom w:val="nil"/>
              <w:right w:val="nil"/>
            </w:tcBorders>
            <w:shd w:val="clear" w:color="auto" w:fill="auto"/>
            <w:noWrap/>
            <w:hideMark/>
          </w:tcPr>
          <w:p w:rsidR="00561E7D" w:rsidRPr="00181B96" w:rsidRDefault="00561E7D" w:rsidP="00561E7D">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5A.37</w:t>
            </w:r>
            <w:proofErr w:type="spellEnd"/>
          </w:p>
        </w:tc>
        <w:tc>
          <w:tcPr>
            <w:tcW w:w="7404" w:type="dxa"/>
            <w:tcBorders>
              <w:top w:val="nil"/>
              <w:left w:val="nil"/>
              <w:bottom w:val="nil"/>
              <w:right w:val="nil"/>
            </w:tcBorders>
            <w:shd w:val="clear" w:color="auto" w:fill="auto"/>
            <w:hideMark/>
          </w:tcPr>
          <w:p w:rsidR="00561E7D" w:rsidRPr="00561E7D" w:rsidRDefault="00561E7D" w:rsidP="00561E7D">
            <w:pPr>
              <w:jc w:val="both"/>
              <w:rPr>
                <w:rFonts w:ascii="Arial" w:hAnsi="Arial" w:cs="Arial"/>
                <w:sz w:val="20"/>
                <w:szCs w:val="20"/>
              </w:rPr>
            </w:pPr>
            <w:r w:rsidRPr="00561E7D">
              <w:rPr>
                <w:rFonts w:ascii="Arial" w:hAnsi="Arial" w:cs="Arial"/>
                <w:sz w:val="20"/>
                <w:szCs w:val="20"/>
              </w:rPr>
              <w:t>Labour force status after the course of VET graduates who were employed prior to the course (per cent)</w:t>
            </w:r>
            <w:r w:rsidR="00181B96">
              <w:rPr>
                <w:rFonts w:ascii="Arial" w:hAnsi="Arial" w:cs="Arial"/>
                <w:sz w:val="20"/>
                <w:szCs w:val="20"/>
              </w:rPr>
              <w:t xml:space="preserve"> </w:t>
            </w:r>
          </w:p>
        </w:tc>
      </w:tr>
      <w:tr w:rsidR="00561E7D" w:rsidRPr="00561E7D" w:rsidTr="00561E7D">
        <w:trPr>
          <w:trHeight w:val="612"/>
        </w:trPr>
        <w:tc>
          <w:tcPr>
            <w:tcW w:w="1456" w:type="dxa"/>
            <w:tcBorders>
              <w:top w:val="nil"/>
              <w:left w:val="nil"/>
              <w:bottom w:val="nil"/>
              <w:right w:val="nil"/>
            </w:tcBorders>
            <w:shd w:val="clear" w:color="auto" w:fill="auto"/>
            <w:noWrap/>
            <w:hideMark/>
          </w:tcPr>
          <w:p w:rsidR="00561E7D" w:rsidRPr="00181B96" w:rsidRDefault="00561E7D" w:rsidP="00561E7D">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5A.38</w:t>
            </w:r>
            <w:proofErr w:type="spellEnd"/>
          </w:p>
        </w:tc>
        <w:tc>
          <w:tcPr>
            <w:tcW w:w="7404" w:type="dxa"/>
            <w:tcBorders>
              <w:top w:val="nil"/>
              <w:left w:val="nil"/>
              <w:bottom w:val="nil"/>
              <w:right w:val="nil"/>
            </w:tcBorders>
            <w:shd w:val="clear" w:color="auto" w:fill="auto"/>
            <w:hideMark/>
          </w:tcPr>
          <w:p w:rsidR="00561E7D" w:rsidRPr="00561E7D" w:rsidRDefault="00561E7D" w:rsidP="00561E7D">
            <w:pPr>
              <w:jc w:val="both"/>
              <w:rPr>
                <w:rFonts w:ascii="Arial" w:hAnsi="Arial" w:cs="Arial"/>
                <w:sz w:val="20"/>
                <w:szCs w:val="20"/>
              </w:rPr>
            </w:pPr>
            <w:r w:rsidRPr="00561E7D">
              <w:rPr>
                <w:rFonts w:ascii="Arial" w:hAnsi="Arial" w:cs="Arial"/>
                <w:sz w:val="20"/>
                <w:szCs w:val="20"/>
              </w:rPr>
              <w:t>VET graduates employed after their course who undertook their course for employment related reasons, relevance of course to main job (per cent)</w:t>
            </w:r>
            <w:r w:rsidR="00181B96">
              <w:rPr>
                <w:rFonts w:ascii="Arial" w:hAnsi="Arial" w:cs="Arial"/>
                <w:sz w:val="20"/>
                <w:szCs w:val="20"/>
              </w:rPr>
              <w:t xml:space="preserve"> </w:t>
            </w:r>
          </w:p>
        </w:tc>
      </w:tr>
      <w:tr w:rsidR="00561E7D" w:rsidRPr="00561E7D" w:rsidTr="00561E7D">
        <w:trPr>
          <w:trHeight w:val="612"/>
        </w:trPr>
        <w:tc>
          <w:tcPr>
            <w:tcW w:w="1456" w:type="dxa"/>
            <w:tcBorders>
              <w:top w:val="nil"/>
              <w:left w:val="nil"/>
              <w:bottom w:val="nil"/>
              <w:right w:val="nil"/>
            </w:tcBorders>
            <w:shd w:val="clear" w:color="auto" w:fill="auto"/>
            <w:noWrap/>
            <w:hideMark/>
          </w:tcPr>
          <w:p w:rsidR="00561E7D" w:rsidRPr="00181B96" w:rsidRDefault="00561E7D" w:rsidP="00561E7D">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5A.39</w:t>
            </w:r>
            <w:proofErr w:type="spellEnd"/>
          </w:p>
        </w:tc>
        <w:tc>
          <w:tcPr>
            <w:tcW w:w="7404" w:type="dxa"/>
            <w:tcBorders>
              <w:top w:val="nil"/>
              <w:left w:val="nil"/>
              <w:bottom w:val="nil"/>
              <w:right w:val="nil"/>
            </w:tcBorders>
            <w:shd w:val="clear" w:color="auto" w:fill="auto"/>
            <w:hideMark/>
          </w:tcPr>
          <w:p w:rsidR="00561E7D" w:rsidRPr="00561E7D" w:rsidRDefault="00561E7D" w:rsidP="00561E7D">
            <w:pPr>
              <w:jc w:val="both"/>
              <w:rPr>
                <w:rFonts w:ascii="Arial" w:hAnsi="Arial" w:cs="Arial"/>
                <w:sz w:val="20"/>
                <w:szCs w:val="20"/>
              </w:rPr>
            </w:pPr>
            <w:r w:rsidRPr="00561E7D">
              <w:rPr>
                <w:rFonts w:ascii="Arial" w:hAnsi="Arial" w:cs="Arial"/>
                <w:sz w:val="20"/>
                <w:szCs w:val="20"/>
              </w:rPr>
              <w:t>VET graduates who undertook their course for employment related reasons, by job related benefits (per cent)</w:t>
            </w:r>
            <w:r w:rsidR="00181B96">
              <w:rPr>
                <w:rFonts w:ascii="Arial" w:hAnsi="Arial" w:cs="Arial"/>
                <w:sz w:val="20"/>
                <w:szCs w:val="20"/>
              </w:rPr>
              <w:t xml:space="preserve"> </w:t>
            </w:r>
          </w:p>
        </w:tc>
      </w:tr>
      <w:tr w:rsidR="00561E7D" w:rsidRPr="00561E7D" w:rsidTr="00561E7D">
        <w:trPr>
          <w:trHeight w:val="612"/>
        </w:trPr>
        <w:tc>
          <w:tcPr>
            <w:tcW w:w="1456" w:type="dxa"/>
            <w:tcBorders>
              <w:top w:val="nil"/>
              <w:left w:val="nil"/>
              <w:bottom w:val="nil"/>
              <w:right w:val="nil"/>
            </w:tcBorders>
            <w:shd w:val="clear" w:color="auto" w:fill="auto"/>
            <w:noWrap/>
            <w:hideMark/>
          </w:tcPr>
          <w:p w:rsidR="00561E7D" w:rsidRPr="00181B96" w:rsidRDefault="00561E7D" w:rsidP="00561E7D">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5A.40</w:t>
            </w:r>
            <w:proofErr w:type="spellEnd"/>
          </w:p>
        </w:tc>
        <w:tc>
          <w:tcPr>
            <w:tcW w:w="7404" w:type="dxa"/>
            <w:tcBorders>
              <w:top w:val="nil"/>
              <w:left w:val="nil"/>
              <w:bottom w:val="nil"/>
              <w:right w:val="nil"/>
            </w:tcBorders>
            <w:shd w:val="clear" w:color="auto" w:fill="auto"/>
            <w:hideMark/>
          </w:tcPr>
          <w:p w:rsidR="00561E7D" w:rsidRPr="00561E7D" w:rsidRDefault="00561E7D" w:rsidP="00561E7D">
            <w:pPr>
              <w:jc w:val="both"/>
              <w:rPr>
                <w:rFonts w:ascii="Arial" w:hAnsi="Arial" w:cs="Arial"/>
                <w:sz w:val="20"/>
                <w:szCs w:val="20"/>
              </w:rPr>
            </w:pPr>
            <w:r w:rsidRPr="00561E7D">
              <w:rPr>
                <w:rFonts w:ascii="Arial" w:hAnsi="Arial" w:cs="Arial"/>
                <w:sz w:val="20"/>
                <w:szCs w:val="20"/>
              </w:rPr>
              <w:t>Aboriginal and Torres Strait Islander VET graduates who undertook their course for employment related reasons, by job related benefits (per cent)</w:t>
            </w:r>
            <w:r w:rsidR="00181B96">
              <w:rPr>
                <w:rFonts w:ascii="Arial" w:hAnsi="Arial" w:cs="Arial"/>
                <w:sz w:val="20"/>
                <w:szCs w:val="20"/>
              </w:rPr>
              <w:t xml:space="preserve">  </w:t>
            </w:r>
          </w:p>
        </w:tc>
      </w:tr>
      <w:tr w:rsidR="00561E7D" w:rsidRPr="00561E7D" w:rsidTr="00561E7D">
        <w:trPr>
          <w:trHeight w:val="612"/>
        </w:trPr>
        <w:tc>
          <w:tcPr>
            <w:tcW w:w="1456" w:type="dxa"/>
            <w:tcBorders>
              <w:top w:val="nil"/>
              <w:left w:val="nil"/>
              <w:bottom w:val="nil"/>
              <w:right w:val="nil"/>
            </w:tcBorders>
            <w:shd w:val="clear" w:color="auto" w:fill="auto"/>
            <w:noWrap/>
            <w:hideMark/>
          </w:tcPr>
          <w:p w:rsidR="00561E7D" w:rsidRPr="00181B96" w:rsidRDefault="00561E7D" w:rsidP="00561E7D">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5A.41</w:t>
            </w:r>
            <w:proofErr w:type="spellEnd"/>
          </w:p>
        </w:tc>
        <w:tc>
          <w:tcPr>
            <w:tcW w:w="7404" w:type="dxa"/>
            <w:tcBorders>
              <w:top w:val="nil"/>
              <w:left w:val="nil"/>
              <w:bottom w:val="nil"/>
              <w:right w:val="nil"/>
            </w:tcBorders>
            <w:shd w:val="clear" w:color="auto" w:fill="auto"/>
            <w:hideMark/>
          </w:tcPr>
          <w:p w:rsidR="00561E7D" w:rsidRPr="00561E7D" w:rsidRDefault="00561E7D" w:rsidP="00561E7D">
            <w:pPr>
              <w:jc w:val="both"/>
              <w:rPr>
                <w:rFonts w:ascii="Arial" w:hAnsi="Arial" w:cs="Arial"/>
                <w:sz w:val="20"/>
                <w:szCs w:val="20"/>
              </w:rPr>
            </w:pPr>
            <w:r w:rsidRPr="00561E7D">
              <w:rPr>
                <w:rFonts w:ascii="Arial" w:hAnsi="Arial" w:cs="Arial"/>
                <w:sz w:val="20"/>
                <w:szCs w:val="20"/>
              </w:rPr>
              <w:t>Proportion of VET graduates who improved their employment circumstances after training, (per cent)</w:t>
            </w:r>
            <w:r w:rsidR="00181B96">
              <w:rPr>
                <w:rFonts w:ascii="Arial" w:hAnsi="Arial" w:cs="Arial"/>
                <w:sz w:val="20"/>
                <w:szCs w:val="20"/>
              </w:rPr>
              <w:t xml:space="preserve"> </w:t>
            </w:r>
          </w:p>
        </w:tc>
      </w:tr>
      <w:tr w:rsidR="00561E7D" w:rsidRPr="00561E7D" w:rsidTr="00561E7D">
        <w:trPr>
          <w:trHeight w:val="612"/>
        </w:trPr>
        <w:tc>
          <w:tcPr>
            <w:tcW w:w="1456" w:type="dxa"/>
            <w:tcBorders>
              <w:top w:val="nil"/>
              <w:left w:val="nil"/>
              <w:bottom w:val="nil"/>
              <w:right w:val="nil"/>
            </w:tcBorders>
            <w:shd w:val="clear" w:color="auto" w:fill="auto"/>
            <w:noWrap/>
            <w:hideMark/>
          </w:tcPr>
          <w:p w:rsidR="00561E7D" w:rsidRPr="00181B96" w:rsidRDefault="00561E7D" w:rsidP="00561E7D">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5A.42</w:t>
            </w:r>
            <w:proofErr w:type="spellEnd"/>
          </w:p>
        </w:tc>
        <w:tc>
          <w:tcPr>
            <w:tcW w:w="7404" w:type="dxa"/>
            <w:tcBorders>
              <w:top w:val="nil"/>
              <w:left w:val="nil"/>
              <w:bottom w:val="nil"/>
              <w:right w:val="nil"/>
            </w:tcBorders>
            <w:shd w:val="clear" w:color="auto" w:fill="auto"/>
            <w:hideMark/>
          </w:tcPr>
          <w:p w:rsidR="00561E7D" w:rsidRPr="00561E7D" w:rsidRDefault="00561E7D" w:rsidP="00561E7D">
            <w:pPr>
              <w:jc w:val="both"/>
              <w:rPr>
                <w:rFonts w:ascii="Arial" w:hAnsi="Arial" w:cs="Arial"/>
                <w:sz w:val="20"/>
                <w:szCs w:val="20"/>
              </w:rPr>
            </w:pPr>
            <w:r w:rsidRPr="00561E7D">
              <w:rPr>
                <w:rFonts w:ascii="Arial" w:hAnsi="Arial" w:cs="Arial"/>
                <w:sz w:val="20"/>
                <w:szCs w:val="20"/>
              </w:rPr>
              <w:t>VET graduates who improved their employment circumstances after training, (per cent)</w:t>
            </w:r>
            <w:r w:rsidR="00181B96">
              <w:rPr>
                <w:rFonts w:ascii="Arial" w:hAnsi="Arial" w:cs="Arial"/>
                <w:sz w:val="20"/>
                <w:szCs w:val="20"/>
              </w:rPr>
              <w:t xml:space="preserve"> </w:t>
            </w:r>
          </w:p>
        </w:tc>
      </w:tr>
      <w:tr w:rsidR="00561E7D" w:rsidRPr="00561E7D" w:rsidTr="00561E7D">
        <w:trPr>
          <w:trHeight w:val="612"/>
        </w:trPr>
        <w:tc>
          <w:tcPr>
            <w:tcW w:w="1456" w:type="dxa"/>
            <w:tcBorders>
              <w:top w:val="nil"/>
              <w:left w:val="nil"/>
              <w:bottom w:val="nil"/>
              <w:right w:val="nil"/>
            </w:tcBorders>
            <w:shd w:val="clear" w:color="auto" w:fill="auto"/>
            <w:noWrap/>
            <w:hideMark/>
          </w:tcPr>
          <w:p w:rsidR="00561E7D" w:rsidRPr="00181B96" w:rsidRDefault="00561E7D" w:rsidP="00561E7D">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5A.43</w:t>
            </w:r>
            <w:proofErr w:type="spellEnd"/>
          </w:p>
        </w:tc>
        <w:tc>
          <w:tcPr>
            <w:tcW w:w="7404" w:type="dxa"/>
            <w:tcBorders>
              <w:top w:val="nil"/>
              <w:left w:val="nil"/>
              <w:bottom w:val="nil"/>
              <w:right w:val="nil"/>
            </w:tcBorders>
            <w:shd w:val="clear" w:color="auto" w:fill="auto"/>
            <w:hideMark/>
          </w:tcPr>
          <w:p w:rsidR="00561E7D" w:rsidRPr="00561E7D" w:rsidRDefault="00561E7D" w:rsidP="00561E7D">
            <w:pPr>
              <w:jc w:val="both"/>
              <w:rPr>
                <w:rFonts w:ascii="Arial" w:hAnsi="Arial" w:cs="Arial"/>
                <w:sz w:val="20"/>
                <w:szCs w:val="20"/>
              </w:rPr>
            </w:pPr>
            <w:r w:rsidRPr="00561E7D">
              <w:rPr>
                <w:rFonts w:ascii="Arial" w:hAnsi="Arial" w:cs="Arial"/>
                <w:sz w:val="20"/>
                <w:szCs w:val="20"/>
              </w:rPr>
              <w:t>Proportion of Aboriginal and Torres Strait Islander VET graduates who improved their employment circumstances after training, (per cent)</w:t>
            </w:r>
            <w:r w:rsidR="00181B96">
              <w:rPr>
                <w:rFonts w:ascii="Arial" w:hAnsi="Arial" w:cs="Arial"/>
                <w:sz w:val="20"/>
                <w:szCs w:val="20"/>
              </w:rPr>
              <w:t xml:space="preserve">  </w:t>
            </w:r>
          </w:p>
        </w:tc>
      </w:tr>
      <w:tr w:rsidR="00561E7D" w:rsidRPr="00561E7D" w:rsidTr="00561E7D">
        <w:trPr>
          <w:trHeight w:val="612"/>
        </w:trPr>
        <w:tc>
          <w:tcPr>
            <w:tcW w:w="1456" w:type="dxa"/>
            <w:tcBorders>
              <w:top w:val="nil"/>
              <w:left w:val="nil"/>
              <w:bottom w:val="nil"/>
              <w:right w:val="nil"/>
            </w:tcBorders>
            <w:shd w:val="clear" w:color="auto" w:fill="auto"/>
            <w:noWrap/>
            <w:hideMark/>
          </w:tcPr>
          <w:p w:rsidR="00561E7D" w:rsidRPr="00181B96" w:rsidRDefault="00561E7D" w:rsidP="00561E7D">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5A.44</w:t>
            </w:r>
            <w:proofErr w:type="spellEnd"/>
          </w:p>
        </w:tc>
        <w:tc>
          <w:tcPr>
            <w:tcW w:w="7404" w:type="dxa"/>
            <w:tcBorders>
              <w:top w:val="nil"/>
              <w:left w:val="nil"/>
              <w:bottom w:val="nil"/>
              <w:right w:val="nil"/>
            </w:tcBorders>
            <w:shd w:val="clear" w:color="auto" w:fill="auto"/>
            <w:hideMark/>
          </w:tcPr>
          <w:p w:rsidR="00561E7D" w:rsidRPr="00561E7D" w:rsidRDefault="00561E7D" w:rsidP="00561E7D">
            <w:pPr>
              <w:jc w:val="both"/>
              <w:rPr>
                <w:rFonts w:ascii="Arial" w:hAnsi="Arial" w:cs="Arial"/>
                <w:sz w:val="20"/>
                <w:szCs w:val="20"/>
              </w:rPr>
            </w:pPr>
            <w:r w:rsidRPr="00561E7D">
              <w:rPr>
                <w:rFonts w:ascii="Arial" w:hAnsi="Arial" w:cs="Arial"/>
                <w:sz w:val="20"/>
                <w:szCs w:val="20"/>
              </w:rPr>
              <w:t>Proportion of non-Indigenous VET graduates who improved their employment circumstances after training, (per cent)</w:t>
            </w:r>
            <w:r w:rsidR="00181B96">
              <w:rPr>
                <w:rFonts w:ascii="Arial" w:hAnsi="Arial" w:cs="Arial"/>
                <w:sz w:val="20"/>
                <w:szCs w:val="20"/>
              </w:rPr>
              <w:t xml:space="preserve"> </w:t>
            </w:r>
          </w:p>
        </w:tc>
      </w:tr>
      <w:tr w:rsidR="00561E7D" w:rsidRPr="00561E7D" w:rsidTr="00561E7D">
        <w:trPr>
          <w:trHeight w:val="612"/>
        </w:trPr>
        <w:tc>
          <w:tcPr>
            <w:tcW w:w="1456" w:type="dxa"/>
            <w:tcBorders>
              <w:top w:val="nil"/>
              <w:left w:val="nil"/>
              <w:bottom w:val="nil"/>
              <w:right w:val="nil"/>
            </w:tcBorders>
            <w:shd w:val="clear" w:color="auto" w:fill="auto"/>
            <w:noWrap/>
            <w:hideMark/>
          </w:tcPr>
          <w:p w:rsidR="00561E7D" w:rsidRPr="00181B96" w:rsidRDefault="00561E7D" w:rsidP="00561E7D">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5A.45</w:t>
            </w:r>
            <w:proofErr w:type="spellEnd"/>
          </w:p>
        </w:tc>
        <w:tc>
          <w:tcPr>
            <w:tcW w:w="7404" w:type="dxa"/>
            <w:tcBorders>
              <w:top w:val="nil"/>
              <w:left w:val="nil"/>
              <w:bottom w:val="nil"/>
              <w:right w:val="nil"/>
            </w:tcBorders>
            <w:shd w:val="clear" w:color="auto" w:fill="auto"/>
            <w:hideMark/>
          </w:tcPr>
          <w:p w:rsidR="00561E7D" w:rsidRPr="00561E7D" w:rsidRDefault="00561E7D" w:rsidP="00561E7D">
            <w:pPr>
              <w:jc w:val="both"/>
              <w:rPr>
                <w:rFonts w:ascii="Arial" w:hAnsi="Arial" w:cs="Arial"/>
                <w:sz w:val="20"/>
                <w:szCs w:val="20"/>
              </w:rPr>
            </w:pPr>
            <w:r w:rsidRPr="00561E7D">
              <w:rPr>
                <w:rFonts w:ascii="Arial" w:hAnsi="Arial" w:cs="Arial"/>
                <w:sz w:val="20"/>
                <w:szCs w:val="20"/>
              </w:rPr>
              <w:t>Proportion of VET graduates who improved their employment circumstances after training, by Indigenous status (per cent)</w:t>
            </w:r>
            <w:r w:rsidR="00181B96">
              <w:rPr>
                <w:rFonts w:ascii="Arial" w:hAnsi="Arial" w:cs="Arial"/>
                <w:sz w:val="20"/>
                <w:szCs w:val="20"/>
              </w:rPr>
              <w:t xml:space="preserve"> </w:t>
            </w:r>
          </w:p>
        </w:tc>
      </w:tr>
      <w:tr w:rsidR="00561E7D" w:rsidRPr="00561E7D" w:rsidTr="00561E7D">
        <w:trPr>
          <w:trHeight w:val="612"/>
        </w:trPr>
        <w:tc>
          <w:tcPr>
            <w:tcW w:w="1456" w:type="dxa"/>
            <w:tcBorders>
              <w:top w:val="nil"/>
              <w:left w:val="nil"/>
              <w:bottom w:val="nil"/>
              <w:right w:val="nil"/>
            </w:tcBorders>
            <w:shd w:val="clear" w:color="auto" w:fill="auto"/>
            <w:noWrap/>
            <w:hideMark/>
          </w:tcPr>
          <w:p w:rsidR="00561E7D" w:rsidRPr="00181B96" w:rsidRDefault="00561E7D" w:rsidP="00561E7D">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5A.46</w:t>
            </w:r>
            <w:proofErr w:type="spellEnd"/>
          </w:p>
        </w:tc>
        <w:tc>
          <w:tcPr>
            <w:tcW w:w="7404" w:type="dxa"/>
            <w:tcBorders>
              <w:top w:val="nil"/>
              <w:left w:val="nil"/>
              <w:bottom w:val="nil"/>
              <w:right w:val="nil"/>
            </w:tcBorders>
            <w:shd w:val="clear" w:color="auto" w:fill="auto"/>
            <w:hideMark/>
          </w:tcPr>
          <w:p w:rsidR="00561E7D" w:rsidRPr="00561E7D" w:rsidRDefault="00561E7D" w:rsidP="00561E7D">
            <w:pPr>
              <w:jc w:val="both"/>
              <w:rPr>
                <w:rFonts w:ascii="Arial" w:hAnsi="Arial" w:cs="Arial"/>
                <w:sz w:val="20"/>
                <w:szCs w:val="20"/>
              </w:rPr>
            </w:pPr>
            <w:r w:rsidRPr="00561E7D">
              <w:rPr>
                <w:rFonts w:ascii="Arial" w:hAnsi="Arial" w:cs="Arial"/>
                <w:sz w:val="20"/>
                <w:szCs w:val="20"/>
              </w:rPr>
              <w:t>Proportion of  VET graduates who improved their employment circumstances after training, (per cent) by remoteness  (ARIA)</w:t>
            </w:r>
            <w:r w:rsidR="00181B96">
              <w:rPr>
                <w:rFonts w:ascii="Arial" w:hAnsi="Arial" w:cs="Arial"/>
                <w:sz w:val="20"/>
                <w:szCs w:val="20"/>
              </w:rPr>
              <w:t xml:space="preserve">  </w:t>
            </w:r>
          </w:p>
        </w:tc>
      </w:tr>
      <w:tr w:rsidR="00561E7D" w:rsidRPr="00561E7D" w:rsidTr="00561E7D">
        <w:trPr>
          <w:trHeight w:val="612"/>
        </w:trPr>
        <w:tc>
          <w:tcPr>
            <w:tcW w:w="1456" w:type="dxa"/>
            <w:tcBorders>
              <w:top w:val="nil"/>
              <w:left w:val="nil"/>
              <w:bottom w:val="nil"/>
              <w:right w:val="nil"/>
            </w:tcBorders>
            <w:shd w:val="clear" w:color="auto" w:fill="auto"/>
            <w:noWrap/>
            <w:hideMark/>
          </w:tcPr>
          <w:p w:rsidR="00561E7D" w:rsidRPr="00181B96" w:rsidRDefault="00561E7D" w:rsidP="00561E7D">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5A.47</w:t>
            </w:r>
            <w:proofErr w:type="spellEnd"/>
          </w:p>
        </w:tc>
        <w:tc>
          <w:tcPr>
            <w:tcW w:w="7404" w:type="dxa"/>
            <w:tcBorders>
              <w:top w:val="nil"/>
              <w:left w:val="nil"/>
              <w:bottom w:val="nil"/>
              <w:right w:val="nil"/>
            </w:tcBorders>
            <w:shd w:val="clear" w:color="auto" w:fill="auto"/>
            <w:hideMark/>
          </w:tcPr>
          <w:p w:rsidR="00561E7D" w:rsidRPr="00561E7D" w:rsidRDefault="00561E7D" w:rsidP="00561E7D">
            <w:pPr>
              <w:jc w:val="both"/>
              <w:rPr>
                <w:rFonts w:ascii="Arial" w:hAnsi="Arial" w:cs="Arial"/>
                <w:sz w:val="20"/>
                <w:szCs w:val="20"/>
              </w:rPr>
            </w:pPr>
            <w:r w:rsidRPr="00561E7D">
              <w:rPr>
                <w:rFonts w:ascii="Arial" w:hAnsi="Arial" w:cs="Arial"/>
                <w:sz w:val="20"/>
                <w:szCs w:val="20"/>
              </w:rPr>
              <w:t>Proportion of VET graduates aged 20-64 years who improved their employment circumstances after training, by Indigenous status (per cent)</w:t>
            </w:r>
            <w:r w:rsidR="00181B96">
              <w:rPr>
                <w:rFonts w:ascii="Arial" w:hAnsi="Arial" w:cs="Arial"/>
                <w:sz w:val="20"/>
                <w:szCs w:val="20"/>
              </w:rPr>
              <w:t xml:space="preserve"> </w:t>
            </w:r>
          </w:p>
        </w:tc>
      </w:tr>
      <w:tr w:rsidR="00561E7D" w:rsidRPr="00561E7D" w:rsidTr="00561E7D">
        <w:trPr>
          <w:trHeight w:val="612"/>
        </w:trPr>
        <w:tc>
          <w:tcPr>
            <w:tcW w:w="1456" w:type="dxa"/>
            <w:tcBorders>
              <w:top w:val="nil"/>
              <w:left w:val="nil"/>
              <w:bottom w:val="nil"/>
              <w:right w:val="nil"/>
            </w:tcBorders>
            <w:shd w:val="clear" w:color="auto" w:fill="auto"/>
            <w:noWrap/>
            <w:hideMark/>
          </w:tcPr>
          <w:p w:rsidR="00561E7D" w:rsidRPr="00181B96" w:rsidRDefault="00561E7D" w:rsidP="00561E7D">
            <w:pPr>
              <w:rPr>
                <w:rFonts w:ascii="Arial" w:hAnsi="Arial" w:cs="Arial"/>
                <w:b/>
                <w:bCs/>
                <w:sz w:val="20"/>
                <w:szCs w:val="20"/>
              </w:rPr>
            </w:pPr>
            <w:r w:rsidRPr="00181B96">
              <w:rPr>
                <w:rFonts w:ascii="Arial" w:hAnsi="Arial" w:cs="Arial"/>
                <w:b/>
                <w:bCs/>
                <w:sz w:val="20"/>
                <w:szCs w:val="20"/>
              </w:rPr>
              <w:lastRenderedPageBreak/>
              <w:t xml:space="preserve">Table </w:t>
            </w:r>
            <w:proofErr w:type="spellStart"/>
            <w:r w:rsidRPr="00181B96">
              <w:rPr>
                <w:rFonts w:ascii="Arial" w:hAnsi="Arial" w:cs="Arial"/>
                <w:b/>
                <w:bCs/>
                <w:sz w:val="20"/>
                <w:szCs w:val="20"/>
              </w:rPr>
              <w:t>5A.48</w:t>
            </w:r>
            <w:proofErr w:type="spellEnd"/>
          </w:p>
        </w:tc>
        <w:tc>
          <w:tcPr>
            <w:tcW w:w="7404" w:type="dxa"/>
            <w:tcBorders>
              <w:top w:val="nil"/>
              <w:left w:val="nil"/>
              <w:bottom w:val="nil"/>
              <w:right w:val="nil"/>
            </w:tcBorders>
            <w:shd w:val="clear" w:color="auto" w:fill="auto"/>
            <w:hideMark/>
          </w:tcPr>
          <w:p w:rsidR="00561E7D" w:rsidRPr="00561E7D" w:rsidRDefault="00561E7D" w:rsidP="00561E7D">
            <w:pPr>
              <w:jc w:val="both"/>
              <w:rPr>
                <w:rFonts w:ascii="Arial" w:hAnsi="Arial" w:cs="Arial"/>
                <w:sz w:val="20"/>
                <w:szCs w:val="20"/>
              </w:rPr>
            </w:pPr>
            <w:r w:rsidRPr="00561E7D">
              <w:rPr>
                <w:rFonts w:ascii="Arial" w:hAnsi="Arial" w:cs="Arial"/>
                <w:sz w:val="20"/>
                <w:szCs w:val="20"/>
              </w:rPr>
              <w:t>Proportion of graduates with improved employment status after training (completed study only), by level</w:t>
            </w:r>
            <w:r w:rsidR="00181B96">
              <w:rPr>
                <w:rFonts w:ascii="Arial" w:hAnsi="Arial" w:cs="Arial"/>
                <w:sz w:val="20"/>
                <w:szCs w:val="20"/>
              </w:rPr>
              <w:t xml:space="preserve">  </w:t>
            </w:r>
          </w:p>
        </w:tc>
      </w:tr>
      <w:tr w:rsidR="00561E7D" w:rsidRPr="00561E7D" w:rsidTr="00561E7D">
        <w:trPr>
          <w:trHeight w:val="612"/>
        </w:trPr>
        <w:tc>
          <w:tcPr>
            <w:tcW w:w="1456" w:type="dxa"/>
            <w:tcBorders>
              <w:top w:val="nil"/>
              <w:left w:val="nil"/>
              <w:bottom w:val="nil"/>
              <w:right w:val="nil"/>
            </w:tcBorders>
            <w:shd w:val="clear" w:color="auto" w:fill="auto"/>
            <w:noWrap/>
            <w:hideMark/>
          </w:tcPr>
          <w:p w:rsidR="00561E7D" w:rsidRPr="00181B96" w:rsidRDefault="00561E7D" w:rsidP="00561E7D">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5A.49</w:t>
            </w:r>
            <w:proofErr w:type="spellEnd"/>
          </w:p>
        </w:tc>
        <w:tc>
          <w:tcPr>
            <w:tcW w:w="7404" w:type="dxa"/>
            <w:tcBorders>
              <w:top w:val="nil"/>
              <w:left w:val="nil"/>
              <w:bottom w:val="nil"/>
              <w:right w:val="nil"/>
            </w:tcBorders>
            <w:shd w:val="clear" w:color="auto" w:fill="auto"/>
            <w:hideMark/>
          </w:tcPr>
          <w:p w:rsidR="00561E7D" w:rsidRPr="00561E7D" w:rsidRDefault="00561E7D" w:rsidP="00561E7D">
            <w:pPr>
              <w:jc w:val="both"/>
              <w:rPr>
                <w:rFonts w:ascii="Arial" w:hAnsi="Arial" w:cs="Arial"/>
                <w:sz w:val="20"/>
                <w:szCs w:val="20"/>
              </w:rPr>
            </w:pPr>
            <w:r w:rsidRPr="00561E7D">
              <w:rPr>
                <w:rFonts w:ascii="Arial" w:hAnsi="Arial" w:cs="Arial"/>
                <w:sz w:val="20"/>
                <w:szCs w:val="20"/>
              </w:rPr>
              <w:t>Proportion of graduates aged 20-64 years with improved employment status after training (completed study only), by level</w:t>
            </w:r>
            <w:r w:rsidR="00181B96">
              <w:rPr>
                <w:rFonts w:ascii="Arial" w:hAnsi="Arial" w:cs="Arial"/>
                <w:sz w:val="20"/>
                <w:szCs w:val="20"/>
              </w:rPr>
              <w:t xml:space="preserve">  </w:t>
            </w:r>
          </w:p>
        </w:tc>
      </w:tr>
      <w:tr w:rsidR="00561E7D" w:rsidRPr="00561E7D" w:rsidTr="00561E7D">
        <w:trPr>
          <w:trHeight w:val="357"/>
        </w:trPr>
        <w:tc>
          <w:tcPr>
            <w:tcW w:w="1456" w:type="dxa"/>
            <w:tcBorders>
              <w:top w:val="nil"/>
              <w:left w:val="nil"/>
              <w:bottom w:val="nil"/>
              <w:right w:val="nil"/>
            </w:tcBorders>
            <w:shd w:val="clear" w:color="auto" w:fill="auto"/>
            <w:noWrap/>
            <w:hideMark/>
          </w:tcPr>
          <w:p w:rsidR="00561E7D" w:rsidRPr="00181B96" w:rsidRDefault="00561E7D" w:rsidP="00561E7D">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5A.50</w:t>
            </w:r>
            <w:proofErr w:type="spellEnd"/>
          </w:p>
        </w:tc>
        <w:tc>
          <w:tcPr>
            <w:tcW w:w="7404" w:type="dxa"/>
            <w:tcBorders>
              <w:top w:val="nil"/>
              <w:left w:val="nil"/>
              <w:bottom w:val="nil"/>
              <w:right w:val="nil"/>
            </w:tcBorders>
            <w:shd w:val="clear" w:color="auto" w:fill="auto"/>
            <w:hideMark/>
          </w:tcPr>
          <w:p w:rsidR="00561E7D" w:rsidRPr="00561E7D" w:rsidRDefault="00561E7D" w:rsidP="00561E7D">
            <w:pPr>
              <w:jc w:val="both"/>
              <w:rPr>
                <w:rFonts w:ascii="Arial" w:hAnsi="Arial" w:cs="Arial"/>
                <w:sz w:val="20"/>
                <w:szCs w:val="20"/>
              </w:rPr>
            </w:pPr>
            <w:r w:rsidRPr="00561E7D">
              <w:rPr>
                <w:rFonts w:ascii="Arial" w:hAnsi="Arial" w:cs="Arial"/>
                <w:sz w:val="20"/>
                <w:szCs w:val="20"/>
              </w:rPr>
              <w:t>Load pass rates by Indigenous status (per cent)</w:t>
            </w:r>
            <w:r w:rsidR="00181B96">
              <w:rPr>
                <w:rFonts w:ascii="Arial" w:hAnsi="Arial" w:cs="Arial"/>
                <w:sz w:val="20"/>
                <w:szCs w:val="20"/>
              </w:rPr>
              <w:t xml:space="preserve"> </w:t>
            </w:r>
          </w:p>
        </w:tc>
      </w:tr>
      <w:tr w:rsidR="00561E7D" w:rsidRPr="00561E7D" w:rsidTr="00561E7D">
        <w:trPr>
          <w:trHeight w:val="357"/>
        </w:trPr>
        <w:tc>
          <w:tcPr>
            <w:tcW w:w="1456" w:type="dxa"/>
            <w:tcBorders>
              <w:top w:val="nil"/>
              <w:left w:val="nil"/>
              <w:bottom w:val="nil"/>
              <w:right w:val="nil"/>
            </w:tcBorders>
            <w:shd w:val="clear" w:color="auto" w:fill="auto"/>
            <w:noWrap/>
            <w:hideMark/>
          </w:tcPr>
          <w:p w:rsidR="00561E7D" w:rsidRPr="00181B96" w:rsidRDefault="00561E7D" w:rsidP="00561E7D">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5A.51</w:t>
            </w:r>
            <w:proofErr w:type="spellEnd"/>
          </w:p>
        </w:tc>
        <w:tc>
          <w:tcPr>
            <w:tcW w:w="7404" w:type="dxa"/>
            <w:tcBorders>
              <w:top w:val="nil"/>
              <w:left w:val="nil"/>
              <w:bottom w:val="nil"/>
              <w:right w:val="nil"/>
            </w:tcBorders>
            <w:shd w:val="clear" w:color="auto" w:fill="auto"/>
            <w:hideMark/>
          </w:tcPr>
          <w:p w:rsidR="00561E7D" w:rsidRPr="00561E7D" w:rsidRDefault="00561E7D" w:rsidP="00561E7D">
            <w:pPr>
              <w:jc w:val="both"/>
              <w:rPr>
                <w:rFonts w:ascii="Arial" w:hAnsi="Arial" w:cs="Arial"/>
                <w:sz w:val="20"/>
                <w:szCs w:val="20"/>
              </w:rPr>
            </w:pPr>
            <w:r w:rsidRPr="00561E7D">
              <w:rPr>
                <w:rFonts w:ascii="Arial" w:hAnsi="Arial" w:cs="Arial"/>
                <w:sz w:val="20"/>
                <w:szCs w:val="20"/>
              </w:rPr>
              <w:t>Load pass rates by region (per cent)</w:t>
            </w:r>
            <w:r w:rsidR="00181B96">
              <w:rPr>
                <w:rFonts w:ascii="Arial" w:hAnsi="Arial" w:cs="Arial"/>
                <w:sz w:val="20"/>
                <w:szCs w:val="20"/>
              </w:rPr>
              <w:t xml:space="preserve"> </w:t>
            </w:r>
          </w:p>
        </w:tc>
      </w:tr>
      <w:tr w:rsidR="00561E7D" w:rsidRPr="00561E7D" w:rsidTr="00561E7D">
        <w:trPr>
          <w:trHeight w:val="357"/>
        </w:trPr>
        <w:tc>
          <w:tcPr>
            <w:tcW w:w="1456" w:type="dxa"/>
            <w:tcBorders>
              <w:top w:val="nil"/>
              <w:left w:val="nil"/>
              <w:bottom w:val="nil"/>
              <w:right w:val="nil"/>
            </w:tcBorders>
            <w:shd w:val="clear" w:color="auto" w:fill="auto"/>
            <w:noWrap/>
            <w:hideMark/>
          </w:tcPr>
          <w:p w:rsidR="00561E7D" w:rsidRPr="00181B96" w:rsidRDefault="00561E7D" w:rsidP="00561E7D">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5A.52</w:t>
            </w:r>
            <w:proofErr w:type="spellEnd"/>
          </w:p>
        </w:tc>
        <w:tc>
          <w:tcPr>
            <w:tcW w:w="7404" w:type="dxa"/>
            <w:tcBorders>
              <w:top w:val="nil"/>
              <w:left w:val="nil"/>
              <w:bottom w:val="nil"/>
              <w:right w:val="nil"/>
            </w:tcBorders>
            <w:shd w:val="clear" w:color="auto" w:fill="auto"/>
            <w:hideMark/>
          </w:tcPr>
          <w:p w:rsidR="00561E7D" w:rsidRPr="00561E7D" w:rsidRDefault="00561E7D" w:rsidP="00561E7D">
            <w:pPr>
              <w:jc w:val="both"/>
              <w:rPr>
                <w:rFonts w:ascii="Arial" w:hAnsi="Arial" w:cs="Arial"/>
                <w:sz w:val="20"/>
                <w:szCs w:val="20"/>
              </w:rPr>
            </w:pPr>
            <w:r w:rsidRPr="00561E7D">
              <w:rPr>
                <w:rFonts w:ascii="Arial" w:hAnsi="Arial" w:cs="Arial"/>
                <w:sz w:val="20"/>
                <w:szCs w:val="20"/>
              </w:rPr>
              <w:t>Load pass rates by disability status (per cent)</w:t>
            </w:r>
            <w:r w:rsidR="00181B96">
              <w:rPr>
                <w:rFonts w:ascii="Arial" w:hAnsi="Arial" w:cs="Arial"/>
                <w:sz w:val="20"/>
                <w:szCs w:val="20"/>
              </w:rPr>
              <w:t xml:space="preserve"> </w:t>
            </w:r>
            <w:r w:rsidRPr="00561E7D">
              <w:rPr>
                <w:rFonts w:ascii="Arial" w:hAnsi="Arial" w:cs="Arial"/>
                <w:sz w:val="20"/>
                <w:szCs w:val="20"/>
              </w:rPr>
              <w:t xml:space="preserve"> </w:t>
            </w:r>
          </w:p>
        </w:tc>
      </w:tr>
      <w:tr w:rsidR="00561E7D" w:rsidRPr="00561E7D" w:rsidTr="00561E7D">
        <w:trPr>
          <w:trHeight w:val="357"/>
        </w:trPr>
        <w:tc>
          <w:tcPr>
            <w:tcW w:w="1456" w:type="dxa"/>
            <w:tcBorders>
              <w:top w:val="nil"/>
              <w:left w:val="nil"/>
              <w:bottom w:val="nil"/>
              <w:right w:val="nil"/>
            </w:tcBorders>
            <w:shd w:val="clear" w:color="auto" w:fill="auto"/>
            <w:noWrap/>
            <w:hideMark/>
          </w:tcPr>
          <w:p w:rsidR="00561E7D" w:rsidRPr="00181B96" w:rsidRDefault="00561E7D" w:rsidP="00561E7D">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5A.53</w:t>
            </w:r>
            <w:proofErr w:type="spellEnd"/>
          </w:p>
        </w:tc>
        <w:tc>
          <w:tcPr>
            <w:tcW w:w="7404" w:type="dxa"/>
            <w:tcBorders>
              <w:top w:val="nil"/>
              <w:left w:val="nil"/>
              <w:bottom w:val="nil"/>
              <w:right w:val="nil"/>
            </w:tcBorders>
            <w:shd w:val="clear" w:color="auto" w:fill="auto"/>
            <w:hideMark/>
          </w:tcPr>
          <w:p w:rsidR="00561E7D" w:rsidRPr="00561E7D" w:rsidRDefault="00561E7D" w:rsidP="00561E7D">
            <w:pPr>
              <w:jc w:val="both"/>
              <w:rPr>
                <w:rFonts w:ascii="Arial" w:hAnsi="Arial" w:cs="Arial"/>
                <w:sz w:val="20"/>
                <w:szCs w:val="20"/>
              </w:rPr>
            </w:pPr>
            <w:r w:rsidRPr="00561E7D">
              <w:rPr>
                <w:rFonts w:ascii="Arial" w:hAnsi="Arial" w:cs="Arial"/>
                <w:sz w:val="20"/>
                <w:szCs w:val="20"/>
              </w:rPr>
              <w:t>Load pass rates by language spoken at home (per cent)</w:t>
            </w:r>
            <w:r w:rsidR="00181B96">
              <w:rPr>
                <w:rFonts w:ascii="Arial" w:hAnsi="Arial" w:cs="Arial"/>
                <w:sz w:val="20"/>
                <w:szCs w:val="20"/>
              </w:rPr>
              <w:t xml:space="preserve"> </w:t>
            </w:r>
            <w:r w:rsidRPr="00561E7D">
              <w:rPr>
                <w:rFonts w:ascii="Arial" w:hAnsi="Arial" w:cs="Arial"/>
                <w:sz w:val="20"/>
                <w:szCs w:val="20"/>
              </w:rPr>
              <w:t xml:space="preserve"> </w:t>
            </w:r>
          </w:p>
        </w:tc>
      </w:tr>
      <w:tr w:rsidR="00561E7D" w:rsidRPr="00561E7D" w:rsidTr="00561E7D">
        <w:trPr>
          <w:trHeight w:val="867"/>
        </w:trPr>
        <w:tc>
          <w:tcPr>
            <w:tcW w:w="1456" w:type="dxa"/>
            <w:tcBorders>
              <w:top w:val="nil"/>
              <w:left w:val="nil"/>
              <w:bottom w:val="nil"/>
              <w:right w:val="nil"/>
            </w:tcBorders>
            <w:shd w:val="clear" w:color="auto" w:fill="auto"/>
            <w:noWrap/>
            <w:hideMark/>
          </w:tcPr>
          <w:p w:rsidR="00561E7D" w:rsidRPr="00181B96" w:rsidRDefault="00561E7D" w:rsidP="00561E7D">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5A.54</w:t>
            </w:r>
            <w:proofErr w:type="spellEnd"/>
          </w:p>
        </w:tc>
        <w:tc>
          <w:tcPr>
            <w:tcW w:w="7404" w:type="dxa"/>
            <w:tcBorders>
              <w:top w:val="nil"/>
              <w:left w:val="nil"/>
              <w:bottom w:val="nil"/>
              <w:right w:val="nil"/>
            </w:tcBorders>
            <w:shd w:val="clear" w:color="auto" w:fill="auto"/>
            <w:hideMark/>
          </w:tcPr>
          <w:p w:rsidR="00561E7D" w:rsidRPr="00561E7D" w:rsidRDefault="00561E7D" w:rsidP="00561E7D">
            <w:pPr>
              <w:jc w:val="both"/>
              <w:rPr>
                <w:rFonts w:ascii="Arial" w:hAnsi="Arial" w:cs="Arial"/>
                <w:sz w:val="20"/>
                <w:szCs w:val="20"/>
              </w:rPr>
            </w:pPr>
            <w:r w:rsidRPr="00561E7D">
              <w:rPr>
                <w:rFonts w:ascii="Arial" w:hAnsi="Arial" w:cs="Arial"/>
                <w:sz w:val="20"/>
                <w:szCs w:val="20"/>
              </w:rPr>
              <w:t xml:space="preserve">VET qualification completions by all students with improved education/training status after training, as a per cent of course enrolments by all students undertaking </w:t>
            </w:r>
            <w:proofErr w:type="spellStart"/>
            <w:r w:rsidRPr="00561E7D">
              <w:rPr>
                <w:rFonts w:ascii="Arial" w:hAnsi="Arial" w:cs="Arial"/>
                <w:sz w:val="20"/>
                <w:szCs w:val="20"/>
              </w:rPr>
              <w:t>AQF</w:t>
            </w:r>
            <w:proofErr w:type="spellEnd"/>
            <w:r w:rsidRPr="00561E7D">
              <w:rPr>
                <w:rFonts w:ascii="Arial" w:hAnsi="Arial" w:cs="Arial"/>
                <w:sz w:val="20"/>
                <w:szCs w:val="20"/>
              </w:rPr>
              <w:t xml:space="preserve"> qualifications, by Indigenous status</w:t>
            </w:r>
            <w:r w:rsidR="00181B96">
              <w:rPr>
                <w:rFonts w:ascii="Arial" w:hAnsi="Arial" w:cs="Arial"/>
                <w:sz w:val="20"/>
                <w:szCs w:val="20"/>
              </w:rPr>
              <w:t xml:space="preserve"> </w:t>
            </w:r>
          </w:p>
        </w:tc>
      </w:tr>
      <w:tr w:rsidR="00561E7D" w:rsidRPr="00561E7D" w:rsidTr="00561E7D">
        <w:trPr>
          <w:trHeight w:val="867"/>
        </w:trPr>
        <w:tc>
          <w:tcPr>
            <w:tcW w:w="1456" w:type="dxa"/>
            <w:tcBorders>
              <w:top w:val="nil"/>
              <w:left w:val="nil"/>
              <w:bottom w:val="nil"/>
              <w:right w:val="nil"/>
            </w:tcBorders>
            <w:shd w:val="clear" w:color="auto" w:fill="auto"/>
            <w:noWrap/>
            <w:hideMark/>
          </w:tcPr>
          <w:p w:rsidR="00561E7D" w:rsidRPr="00181B96" w:rsidRDefault="00561E7D" w:rsidP="00561E7D">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5A.55</w:t>
            </w:r>
            <w:proofErr w:type="spellEnd"/>
          </w:p>
        </w:tc>
        <w:tc>
          <w:tcPr>
            <w:tcW w:w="7404" w:type="dxa"/>
            <w:tcBorders>
              <w:top w:val="nil"/>
              <w:left w:val="nil"/>
              <w:bottom w:val="nil"/>
              <w:right w:val="nil"/>
            </w:tcBorders>
            <w:shd w:val="clear" w:color="auto" w:fill="auto"/>
            <w:hideMark/>
          </w:tcPr>
          <w:p w:rsidR="00561E7D" w:rsidRPr="00561E7D" w:rsidRDefault="00561E7D" w:rsidP="00561E7D">
            <w:pPr>
              <w:jc w:val="both"/>
              <w:rPr>
                <w:rFonts w:ascii="Arial" w:hAnsi="Arial" w:cs="Arial"/>
                <w:sz w:val="20"/>
                <w:szCs w:val="20"/>
              </w:rPr>
            </w:pPr>
            <w:r w:rsidRPr="00561E7D">
              <w:rPr>
                <w:rFonts w:ascii="Arial" w:hAnsi="Arial" w:cs="Arial"/>
                <w:sz w:val="20"/>
                <w:szCs w:val="20"/>
              </w:rPr>
              <w:t xml:space="preserve">VET qualification completions by students aged 20–64 years with improved education/training status after training, as a per cent of course enrolments by students aged 20–64 years undertaking </w:t>
            </w:r>
            <w:proofErr w:type="spellStart"/>
            <w:r w:rsidRPr="00561E7D">
              <w:rPr>
                <w:rFonts w:ascii="Arial" w:hAnsi="Arial" w:cs="Arial"/>
                <w:sz w:val="20"/>
                <w:szCs w:val="20"/>
              </w:rPr>
              <w:t>AQF</w:t>
            </w:r>
            <w:proofErr w:type="spellEnd"/>
            <w:r w:rsidRPr="00561E7D">
              <w:rPr>
                <w:rFonts w:ascii="Arial" w:hAnsi="Arial" w:cs="Arial"/>
                <w:sz w:val="20"/>
                <w:szCs w:val="20"/>
              </w:rPr>
              <w:t xml:space="preserve"> qualifications, by Indigenous status</w:t>
            </w:r>
            <w:r w:rsidR="00181B96">
              <w:rPr>
                <w:rFonts w:ascii="Arial" w:hAnsi="Arial" w:cs="Arial"/>
                <w:sz w:val="20"/>
                <w:szCs w:val="20"/>
              </w:rPr>
              <w:t xml:space="preserve"> </w:t>
            </w:r>
          </w:p>
        </w:tc>
      </w:tr>
      <w:tr w:rsidR="00561E7D" w:rsidRPr="00561E7D" w:rsidTr="00561E7D">
        <w:trPr>
          <w:trHeight w:val="867"/>
        </w:trPr>
        <w:tc>
          <w:tcPr>
            <w:tcW w:w="1456" w:type="dxa"/>
            <w:tcBorders>
              <w:top w:val="nil"/>
              <w:left w:val="nil"/>
              <w:bottom w:val="nil"/>
              <w:right w:val="nil"/>
            </w:tcBorders>
            <w:shd w:val="clear" w:color="auto" w:fill="auto"/>
            <w:noWrap/>
            <w:hideMark/>
          </w:tcPr>
          <w:p w:rsidR="00561E7D" w:rsidRPr="00181B96" w:rsidRDefault="00561E7D" w:rsidP="00561E7D">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5A.56</w:t>
            </w:r>
            <w:proofErr w:type="spellEnd"/>
          </w:p>
        </w:tc>
        <w:tc>
          <w:tcPr>
            <w:tcW w:w="7404" w:type="dxa"/>
            <w:tcBorders>
              <w:top w:val="nil"/>
              <w:left w:val="nil"/>
              <w:bottom w:val="nil"/>
              <w:right w:val="nil"/>
            </w:tcBorders>
            <w:shd w:val="clear" w:color="auto" w:fill="auto"/>
            <w:hideMark/>
          </w:tcPr>
          <w:p w:rsidR="00561E7D" w:rsidRPr="00561E7D" w:rsidRDefault="00561E7D" w:rsidP="00561E7D">
            <w:pPr>
              <w:jc w:val="both"/>
              <w:rPr>
                <w:rFonts w:ascii="Arial" w:hAnsi="Arial" w:cs="Arial"/>
                <w:sz w:val="20"/>
                <w:szCs w:val="20"/>
              </w:rPr>
            </w:pPr>
            <w:r w:rsidRPr="00561E7D">
              <w:rPr>
                <w:rFonts w:ascii="Arial" w:hAnsi="Arial" w:cs="Arial"/>
                <w:sz w:val="20"/>
                <w:szCs w:val="20"/>
              </w:rPr>
              <w:t xml:space="preserve">VET qualification completions by all students with improved education/training status after training, as a per cent of course enrolments by all students undertaking </w:t>
            </w:r>
            <w:proofErr w:type="spellStart"/>
            <w:r w:rsidRPr="00561E7D">
              <w:rPr>
                <w:rFonts w:ascii="Arial" w:hAnsi="Arial" w:cs="Arial"/>
                <w:sz w:val="20"/>
                <w:szCs w:val="20"/>
              </w:rPr>
              <w:t>AQF</w:t>
            </w:r>
            <w:proofErr w:type="spellEnd"/>
            <w:r w:rsidRPr="00561E7D">
              <w:rPr>
                <w:rFonts w:ascii="Arial" w:hAnsi="Arial" w:cs="Arial"/>
                <w:sz w:val="20"/>
                <w:szCs w:val="20"/>
              </w:rPr>
              <w:t xml:space="preserve"> qualifications, by remoteness  (ARIA)</w:t>
            </w:r>
            <w:r w:rsidR="00181B96">
              <w:rPr>
                <w:rFonts w:ascii="Arial" w:hAnsi="Arial" w:cs="Arial"/>
                <w:sz w:val="20"/>
                <w:szCs w:val="20"/>
              </w:rPr>
              <w:t xml:space="preserve">  </w:t>
            </w:r>
          </w:p>
        </w:tc>
      </w:tr>
      <w:tr w:rsidR="00561E7D" w:rsidRPr="00561E7D" w:rsidTr="00561E7D">
        <w:trPr>
          <w:trHeight w:val="867"/>
        </w:trPr>
        <w:tc>
          <w:tcPr>
            <w:tcW w:w="1456" w:type="dxa"/>
            <w:tcBorders>
              <w:top w:val="nil"/>
              <w:left w:val="nil"/>
              <w:bottom w:val="nil"/>
              <w:right w:val="nil"/>
            </w:tcBorders>
            <w:shd w:val="clear" w:color="auto" w:fill="auto"/>
            <w:noWrap/>
            <w:hideMark/>
          </w:tcPr>
          <w:p w:rsidR="00561E7D" w:rsidRPr="00181B96" w:rsidRDefault="00561E7D" w:rsidP="00561E7D">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5A.57</w:t>
            </w:r>
            <w:proofErr w:type="spellEnd"/>
          </w:p>
        </w:tc>
        <w:tc>
          <w:tcPr>
            <w:tcW w:w="7404" w:type="dxa"/>
            <w:tcBorders>
              <w:top w:val="nil"/>
              <w:left w:val="nil"/>
              <w:bottom w:val="nil"/>
              <w:right w:val="nil"/>
            </w:tcBorders>
            <w:shd w:val="clear" w:color="auto" w:fill="auto"/>
            <w:hideMark/>
          </w:tcPr>
          <w:p w:rsidR="00561E7D" w:rsidRPr="00561E7D" w:rsidRDefault="00561E7D" w:rsidP="00561E7D">
            <w:pPr>
              <w:jc w:val="both"/>
              <w:rPr>
                <w:rFonts w:ascii="Arial" w:hAnsi="Arial" w:cs="Arial"/>
                <w:sz w:val="20"/>
                <w:szCs w:val="20"/>
              </w:rPr>
            </w:pPr>
            <w:r w:rsidRPr="00561E7D">
              <w:rPr>
                <w:rFonts w:ascii="Arial" w:hAnsi="Arial" w:cs="Arial"/>
                <w:sz w:val="20"/>
                <w:szCs w:val="20"/>
              </w:rPr>
              <w:t xml:space="preserve">VET qualification completions by students aged 20–64 years with improved education/training status after training, as a per cent of course enrolments by students aged 20–64 years undertaking </w:t>
            </w:r>
            <w:proofErr w:type="spellStart"/>
            <w:r w:rsidRPr="00561E7D">
              <w:rPr>
                <w:rFonts w:ascii="Arial" w:hAnsi="Arial" w:cs="Arial"/>
                <w:sz w:val="20"/>
                <w:szCs w:val="20"/>
              </w:rPr>
              <w:t>AQF</w:t>
            </w:r>
            <w:proofErr w:type="spellEnd"/>
            <w:r w:rsidRPr="00561E7D">
              <w:rPr>
                <w:rFonts w:ascii="Arial" w:hAnsi="Arial" w:cs="Arial"/>
                <w:sz w:val="20"/>
                <w:szCs w:val="20"/>
              </w:rPr>
              <w:t xml:space="preserve"> qualifications, by remoteness (ARIA)</w:t>
            </w:r>
            <w:r w:rsidR="00181B96">
              <w:rPr>
                <w:rFonts w:ascii="Arial" w:hAnsi="Arial" w:cs="Arial"/>
                <w:sz w:val="20"/>
                <w:szCs w:val="20"/>
              </w:rPr>
              <w:t xml:space="preserve">  </w:t>
            </w:r>
          </w:p>
        </w:tc>
      </w:tr>
      <w:tr w:rsidR="00561E7D" w:rsidRPr="00561E7D" w:rsidTr="00561E7D">
        <w:trPr>
          <w:trHeight w:val="1275"/>
        </w:trPr>
        <w:tc>
          <w:tcPr>
            <w:tcW w:w="1456" w:type="dxa"/>
            <w:tcBorders>
              <w:top w:val="nil"/>
              <w:left w:val="nil"/>
              <w:bottom w:val="nil"/>
              <w:right w:val="nil"/>
            </w:tcBorders>
            <w:shd w:val="clear" w:color="auto" w:fill="auto"/>
            <w:noWrap/>
            <w:hideMark/>
          </w:tcPr>
          <w:p w:rsidR="00561E7D" w:rsidRPr="00181B96" w:rsidRDefault="00561E7D" w:rsidP="00561E7D">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5A.58</w:t>
            </w:r>
            <w:proofErr w:type="spellEnd"/>
          </w:p>
        </w:tc>
        <w:tc>
          <w:tcPr>
            <w:tcW w:w="7404" w:type="dxa"/>
            <w:tcBorders>
              <w:top w:val="nil"/>
              <w:left w:val="nil"/>
              <w:bottom w:val="nil"/>
              <w:right w:val="nil"/>
            </w:tcBorders>
            <w:shd w:val="clear" w:color="auto" w:fill="auto"/>
            <w:hideMark/>
          </w:tcPr>
          <w:p w:rsidR="00561E7D" w:rsidRPr="00561E7D" w:rsidRDefault="00561E7D" w:rsidP="00561E7D">
            <w:pPr>
              <w:jc w:val="both"/>
              <w:rPr>
                <w:rFonts w:ascii="Arial" w:hAnsi="Arial" w:cs="Arial"/>
                <w:sz w:val="20"/>
                <w:szCs w:val="20"/>
              </w:rPr>
            </w:pPr>
            <w:r w:rsidRPr="00561E7D">
              <w:rPr>
                <w:rFonts w:ascii="Arial" w:hAnsi="Arial" w:cs="Arial"/>
                <w:sz w:val="20"/>
                <w:szCs w:val="20"/>
              </w:rPr>
              <w:t xml:space="preserve">VET qualification completions by all students with improved education/training status after training, as a per cent of course enrolments by all students undertaking </w:t>
            </w:r>
            <w:proofErr w:type="spellStart"/>
            <w:r w:rsidRPr="00561E7D">
              <w:rPr>
                <w:rFonts w:ascii="Arial" w:hAnsi="Arial" w:cs="Arial"/>
                <w:sz w:val="20"/>
                <w:szCs w:val="20"/>
              </w:rPr>
              <w:t>AQF</w:t>
            </w:r>
            <w:proofErr w:type="spellEnd"/>
            <w:r w:rsidRPr="00561E7D">
              <w:rPr>
                <w:rFonts w:ascii="Arial" w:hAnsi="Arial" w:cs="Arial"/>
                <w:sz w:val="20"/>
                <w:szCs w:val="20"/>
              </w:rPr>
              <w:t xml:space="preserve"> qualifications, by level of qualification (</w:t>
            </w:r>
            <w:proofErr w:type="spellStart"/>
            <w:r w:rsidRPr="00561E7D">
              <w:rPr>
                <w:rFonts w:ascii="Arial" w:hAnsi="Arial" w:cs="Arial"/>
                <w:sz w:val="20"/>
                <w:szCs w:val="20"/>
              </w:rPr>
              <w:t>AQF</w:t>
            </w:r>
            <w:proofErr w:type="spellEnd"/>
            <w:r w:rsidRPr="00561E7D">
              <w:rPr>
                <w:rFonts w:ascii="Arial" w:hAnsi="Arial" w:cs="Arial"/>
                <w:sz w:val="20"/>
                <w:szCs w:val="20"/>
              </w:rPr>
              <w:t xml:space="preserve"> Certificate III  or above only)</w:t>
            </w:r>
            <w:r w:rsidR="00181B96">
              <w:rPr>
                <w:rFonts w:ascii="Arial" w:hAnsi="Arial" w:cs="Arial"/>
                <w:sz w:val="20"/>
                <w:szCs w:val="20"/>
              </w:rPr>
              <w:t xml:space="preserve"> </w:t>
            </w:r>
          </w:p>
        </w:tc>
      </w:tr>
      <w:tr w:rsidR="00561E7D" w:rsidRPr="00561E7D" w:rsidTr="00561E7D">
        <w:trPr>
          <w:trHeight w:val="1122"/>
        </w:trPr>
        <w:tc>
          <w:tcPr>
            <w:tcW w:w="1456" w:type="dxa"/>
            <w:tcBorders>
              <w:top w:val="nil"/>
              <w:left w:val="nil"/>
              <w:bottom w:val="nil"/>
              <w:right w:val="nil"/>
            </w:tcBorders>
            <w:shd w:val="clear" w:color="auto" w:fill="auto"/>
            <w:noWrap/>
            <w:hideMark/>
          </w:tcPr>
          <w:p w:rsidR="00561E7D" w:rsidRPr="00181B96" w:rsidRDefault="00561E7D" w:rsidP="00561E7D">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5A.59</w:t>
            </w:r>
            <w:proofErr w:type="spellEnd"/>
          </w:p>
        </w:tc>
        <w:tc>
          <w:tcPr>
            <w:tcW w:w="7404" w:type="dxa"/>
            <w:tcBorders>
              <w:top w:val="nil"/>
              <w:left w:val="nil"/>
              <w:bottom w:val="nil"/>
              <w:right w:val="nil"/>
            </w:tcBorders>
            <w:shd w:val="clear" w:color="auto" w:fill="auto"/>
            <w:hideMark/>
          </w:tcPr>
          <w:p w:rsidR="00561E7D" w:rsidRPr="00561E7D" w:rsidRDefault="00561E7D" w:rsidP="00561E7D">
            <w:pPr>
              <w:jc w:val="both"/>
              <w:rPr>
                <w:rFonts w:ascii="Arial" w:hAnsi="Arial" w:cs="Arial"/>
                <w:sz w:val="20"/>
                <w:szCs w:val="20"/>
              </w:rPr>
            </w:pPr>
            <w:r w:rsidRPr="00561E7D">
              <w:rPr>
                <w:rFonts w:ascii="Arial" w:hAnsi="Arial" w:cs="Arial"/>
                <w:sz w:val="20"/>
                <w:szCs w:val="20"/>
              </w:rPr>
              <w:t xml:space="preserve">VET qualification completions by students aged 20–64 years with improved education/training status after training, as a </w:t>
            </w:r>
            <w:proofErr w:type="spellStart"/>
            <w:r w:rsidRPr="00561E7D">
              <w:rPr>
                <w:rFonts w:ascii="Arial" w:hAnsi="Arial" w:cs="Arial"/>
                <w:sz w:val="20"/>
                <w:szCs w:val="20"/>
              </w:rPr>
              <w:t>percent</w:t>
            </w:r>
            <w:proofErr w:type="spellEnd"/>
            <w:r w:rsidRPr="00561E7D">
              <w:rPr>
                <w:rFonts w:ascii="Arial" w:hAnsi="Arial" w:cs="Arial"/>
                <w:sz w:val="20"/>
                <w:szCs w:val="20"/>
              </w:rPr>
              <w:t xml:space="preserve"> of course enrolments by students aged 20–64 years undertaking </w:t>
            </w:r>
            <w:proofErr w:type="spellStart"/>
            <w:r w:rsidRPr="00561E7D">
              <w:rPr>
                <w:rFonts w:ascii="Arial" w:hAnsi="Arial" w:cs="Arial"/>
                <w:sz w:val="20"/>
                <w:szCs w:val="20"/>
              </w:rPr>
              <w:t>AQF</w:t>
            </w:r>
            <w:proofErr w:type="spellEnd"/>
            <w:r w:rsidRPr="00561E7D">
              <w:rPr>
                <w:rFonts w:ascii="Arial" w:hAnsi="Arial" w:cs="Arial"/>
                <w:sz w:val="20"/>
                <w:szCs w:val="20"/>
              </w:rPr>
              <w:t xml:space="preserve"> qualifications, by level of qualification (</w:t>
            </w:r>
            <w:proofErr w:type="spellStart"/>
            <w:r w:rsidRPr="00561E7D">
              <w:rPr>
                <w:rFonts w:ascii="Arial" w:hAnsi="Arial" w:cs="Arial"/>
                <w:sz w:val="20"/>
                <w:szCs w:val="20"/>
              </w:rPr>
              <w:t>AQF</w:t>
            </w:r>
            <w:proofErr w:type="spellEnd"/>
            <w:r w:rsidRPr="00561E7D">
              <w:rPr>
                <w:rFonts w:ascii="Arial" w:hAnsi="Arial" w:cs="Arial"/>
                <w:sz w:val="20"/>
                <w:szCs w:val="20"/>
              </w:rPr>
              <w:t xml:space="preserve"> Certificate III above only), by State and Territory, 2011</w:t>
            </w:r>
            <w:r w:rsidR="00181B96">
              <w:rPr>
                <w:rFonts w:ascii="Arial" w:hAnsi="Arial" w:cs="Arial"/>
                <w:sz w:val="20"/>
                <w:szCs w:val="20"/>
              </w:rPr>
              <w:t xml:space="preserve"> </w:t>
            </w:r>
          </w:p>
        </w:tc>
      </w:tr>
      <w:tr w:rsidR="00561E7D" w:rsidRPr="00561E7D" w:rsidTr="00561E7D">
        <w:trPr>
          <w:trHeight w:val="612"/>
        </w:trPr>
        <w:tc>
          <w:tcPr>
            <w:tcW w:w="1456" w:type="dxa"/>
            <w:tcBorders>
              <w:top w:val="nil"/>
              <w:left w:val="nil"/>
              <w:bottom w:val="nil"/>
              <w:right w:val="nil"/>
            </w:tcBorders>
            <w:shd w:val="clear" w:color="auto" w:fill="auto"/>
            <w:noWrap/>
            <w:hideMark/>
          </w:tcPr>
          <w:p w:rsidR="00561E7D" w:rsidRPr="00181B96" w:rsidRDefault="00561E7D" w:rsidP="00561E7D">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5A.60</w:t>
            </w:r>
            <w:proofErr w:type="spellEnd"/>
          </w:p>
        </w:tc>
        <w:tc>
          <w:tcPr>
            <w:tcW w:w="7404" w:type="dxa"/>
            <w:tcBorders>
              <w:top w:val="nil"/>
              <w:left w:val="nil"/>
              <w:bottom w:val="nil"/>
              <w:right w:val="nil"/>
            </w:tcBorders>
            <w:shd w:val="clear" w:color="auto" w:fill="auto"/>
            <w:hideMark/>
          </w:tcPr>
          <w:p w:rsidR="00561E7D" w:rsidRPr="00561E7D" w:rsidRDefault="00561E7D" w:rsidP="00561E7D">
            <w:pPr>
              <w:jc w:val="both"/>
              <w:rPr>
                <w:rFonts w:ascii="Arial" w:hAnsi="Arial" w:cs="Arial"/>
                <w:sz w:val="20"/>
                <w:szCs w:val="20"/>
              </w:rPr>
            </w:pPr>
            <w:r w:rsidRPr="00561E7D">
              <w:rPr>
                <w:rFonts w:ascii="Arial" w:hAnsi="Arial" w:cs="Arial"/>
                <w:sz w:val="20"/>
                <w:szCs w:val="20"/>
              </w:rPr>
              <w:t>Estimated completion rates and load pass rates for qualifications at certificate I and above, commencing 2008–12</w:t>
            </w:r>
          </w:p>
        </w:tc>
      </w:tr>
      <w:tr w:rsidR="00561E7D" w:rsidRPr="00561E7D" w:rsidTr="00561E7D">
        <w:trPr>
          <w:trHeight w:val="612"/>
        </w:trPr>
        <w:tc>
          <w:tcPr>
            <w:tcW w:w="1456" w:type="dxa"/>
            <w:tcBorders>
              <w:top w:val="nil"/>
              <w:left w:val="nil"/>
              <w:bottom w:val="nil"/>
              <w:right w:val="nil"/>
            </w:tcBorders>
            <w:shd w:val="clear" w:color="auto" w:fill="auto"/>
            <w:noWrap/>
            <w:hideMark/>
          </w:tcPr>
          <w:p w:rsidR="00561E7D" w:rsidRPr="00181B96" w:rsidRDefault="00561E7D" w:rsidP="00561E7D">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5A.61</w:t>
            </w:r>
            <w:proofErr w:type="spellEnd"/>
          </w:p>
        </w:tc>
        <w:tc>
          <w:tcPr>
            <w:tcW w:w="7404" w:type="dxa"/>
            <w:tcBorders>
              <w:top w:val="nil"/>
              <w:left w:val="nil"/>
              <w:bottom w:val="nil"/>
              <w:right w:val="nil"/>
            </w:tcBorders>
            <w:shd w:val="clear" w:color="auto" w:fill="auto"/>
            <w:hideMark/>
          </w:tcPr>
          <w:p w:rsidR="00561E7D" w:rsidRPr="00561E7D" w:rsidRDefault="00561E7D" w:rsidP="00561E7D">
            <w:pPr>
              <w:jc w:val="both"/>
              <w:rPr>
                <w:rFonts w:ascii="Arial" w:hAnsi="Arial" w:cs="Arial"/>
                <w:sz w:val="20"/>
                <w:szCs w:val="20"/>
              </w:rPr>
            </w:pPr>
            <w:r w:rsidRPr="00561E7D">
              <w:rPr>
                <w:rFonts w:ascii="Arial" w:hAnsi="Arial" w:cs="Arial"/>
                <w:sz w:val="20"/>
                <w:szCs w:val="20"/>
              </w:rPr>
              <w:t>Whether course helped graduates achieve their main reason for undertaking training, all graduates</w:t>
            </w:r>
            <w:r w:rsidR="00181B96">
              <w:rPr>
                <w:rFonts w:ascii="Arial" w:hAnsi="Arial" w:cs="Arial"/>
                <w:sz w:val="20"/>
                <w:szCs w:val="20"/>
              </w:rPr>
              <w:t xml:space="preserve"> </w:t>
            </w:r>
          </w:p>
        </w:tc>
      </w:tr>
      <w:tr w:rsidR="00561E7D" w:rsidRPr="00561E7D" w:rsidTr="00561E7D">
        <w:trPr>
          <w:trHeight w:val="612"/>
        </w:trPr>
        <w:tc>
          <w:tcPr>
            <w:tcW w:w="1456" w:type="dxa"/>
            <w:tcBorders>
              <w:top w:val="nil"/>
              <w:left w:val="nil"/>
              <w:bottom w:val="nil"/>
              <w:right w:val="nil"/>
            </w:tcBorders>
            <w:shd w:val="clear" w:color="auto" w:fill="auto"/>
            <w:noWrap/>
            <w:hideMark/>
          </w:tcPr>
          <w:p w:rsidR="00561E7D" w:rsidRPr="00181B96" w:rsidRDefault="00561E7D" w:rsidP="00561E7D">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5A.62</w:t>
            </w:r>
            <w:proofErr w:type="spellEnd"/>
          </w:p>
        </w:tc>
        <w:tc>
          <w:tcPr>
            <w:tcW w:w="7404" w:type="dxa"/>
            <w:tcBorders>
              <w:top w:val="nil"/>
              <w:left w:val="nil"/>
              <w:bottom w:val="nil"/>
              <w:right w:val="nil"/>
            </w:tcBorders>
            <w:shd w:val="clear" w:color="auto" w:fill="auto"/>
            <w:hideMark/>
          </w:tcPr>
          <w:p w:rsidR="00561E7D" w:rsidRPr="00561E7D" w:rsidRDefault="00561E7D" w:rsidP="00561E7D">
            <w:pPr>
              <w:jc w:val="both"/>
              <w:rPr>
                <w:rFonts w:ascii="Arial" w:hAnsi="Arial" w:cs="Arial"/>
                <w:sz w:val="20"/>
                <w:szCs w:val="20"/>
              </w:rPr>
            </w:pPr>
            <w:r w:rsidRPr="00561E7D">
              <w:rPr>
                <w:rFonts w:ascii="Arial" w:hAnsi="Arial" w:cs="Arial"/>
                <w:sz w:val="20"/>
                <w:szCs w:val="20"/>
              </w:rPr>
              <w:t>Whether course helped graduates achieve their main reason for undertaking training, Aboriginal and Torres Strait Islander graduates</w:t>
            </w:r>
            <w:r w:rsidR="00181B96">
              <w:rPr>
                <w:rFonts w:ascii="Arial" w:hAnsi="Arial" w:cs="Arial"/>
                <w:sz w:val="20"/>
                <w:szCs w:val="20"/>
              </w:rPr>
              <w:t xml:space="preserve"> </w:t>
            </w:r>
            <w:r w:rsidRPr="00561E7D">
              <w:rPr>
                <w:rFonts w:ascii="Arial" w:hAnsi="Arial" w:cs="Arial"/>
                <w:sz w:val="20"/>
                <w:szCs w:val="20"/>
              </w:rPr>
              <w:t xml:space="preserve"> </w:t>
            </w:r>
          </w:p>
        </w:tc>
      </w:tr>
      <w:tr w:rsidR="00561E7D" w:rsidRPr="00561E7D" w:rsidTr="00561E7D">
        <w:trPr>
          <w:trHeight w:val="612"/>
        </w:trPr>
        <w:tc>
          <w:tcPr>
            <w:tcW w:w="1456" w:type="dxa"/>
            <w:tcBorders>
              <w:top w:val="nil"/>
              <w:left w:val="nil"/>
              <w:bottom w:val="nil"/>
              <w:right w:val="nil"/>
            </w:tcBorders>
            <w:shd w:val="clear" w:color="auto" w:fill="auto"/>
            <w:noWrap/>
            <w:hideMark/>
          </w:tcPr>
          <w:p w:rsidR="00561E7D" w:rsidRPr="00181B96" w:rsidRDefault="00561E7D" w:rsidP="00561E7D">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5A.63</w:t>
            </w:r>
            <w:proofErr w:type="spellEnd"/>
          </w:p>
        </w:tc>
        <w:tc>
          <w:tcPr>
            <w:tcW w:w="7404" w:type="dxa"/>
            <w:tcBorders>
              <w:top w:val="nil"/>
              <w:left w:val="nil"/>
              <w:bottom w:val="nil"/>
              <w:right w:val="nil"/>
            </w:tcBorders>
            <w:shd w:val="clear" w:color="auto" w:fill="auto"/>
            <w:hideMark/>
          </w:tcPr>
          <w:p w:rsidR="00561E7D" w:rsidRPr="00561E7D" w:rsidRDefault="00561E7D" w:rsidP="00561E7D">
            <w:pPr>
              <w:jc w:val="both"/>
              <w:rPr>
                <w:rFonts w:ascii="Arial" w:hAnsi="Arial" w:cs="Arial"/>
                <w:sz w:val="20"/>
                <w:szCs w:val="20"/>
              </w:rPr>
            </w:pPr>
            <w:r w:rsidRPr="00561E7D">
              <w:rPr>
                <w:rFonts w:ascii="Arial" w:hAnsi="Arial" w:cs="Arial"/>
                <w:sz w:val="20"/>
                <w:szCs w:val="20"/>
              </w:rPr>
              <w:t>Whether course helped graduates achieve their main reason for undertaking training, non-Indigenous graduates</w:t>
            </w:r>
            <w:r w:rsidR="00181B96">
              <w:rPr>
                <w:rFonts w:ascii="Arial" w:hAnsi="Arial" w:cs="Arial"/>
                <w:sz w:val="20"/>
                <w:szCs w:val="20"/>
              </w:rPr>
              <w:t xml:space="preserve"> </w:t>
            </w:r>
          </w:p>
        </w:tc>
      </w:tr>
      <w:tr w:rsidR="00561E7D" w:rsidRPr="00561E7D" w:rsidTr="00561E7D">
        <w:trPr>
          <w:trHeight w:val="612"/>
        </w:trPr>
        <w:tc>
          <w:tcPr>
            <w:tcW w:w="1456" w:type="dxa"/>
            <w:tcBorders>
              <w:top w:val="nil"/>
              <w:left w:val="nil"/>
              <w:bottom w:val="nil"/>
              <w:right w:val="nil"/>
            </w:tcBorders>
            <w:shd w:val="clear" w:color="auto" w:fill="auto"/>
            <w:noWrap/>
            <w:hideMark/>
          </w:tcPr>
          <w:p w:rsidR="00561E7D" w:rsidRPr="00181B96" w:rsidRDefault="00561E7D" w:rsidP="00561E7D">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5A.64</w:t>
            </w:r>
            <w:proofErr w:type="spellEnd"/>
          </w:p>
        </w:tc>
        <w:tc>
          <w:tcPr>
            <w:tcW w:w="7404" w:type="dxa"/>
            <w:tcBorders>
              <w:top w:val="nil"/>
              <w:left w:val="nil"/>
              <w:bottom w:val="nil"/>
              <w:right w:val="nil"/>
            </w:tcBorders>
            <w:shd w:val="clear" w:color="auto" w:fill="auto"/>
            <w:hideMark/>
          </w:tcPr>
          <w:p w:rsidR="00561E7D" w:rsidRPr="00561E7D" w:rsidRDefault="00561E7D" w:rsidP="00561E7D">
            <w:pPr>
              <w:jc w:val="both"/>
              <w:rPr>
                <w:rFonts w:ascii="Arial" w:hAnsi="Arial" w:cs="Arial"/>
                <w:sz w:val="20"/>
                <w:szCs w:val="20"/>
              </w:rPr>
            </w:pPr>
            <w:r w:rsidRPr="00561E7D">
              <w:rPr>
                <w:rFonts w:ascii="Arial" w:hAnsi="Arial" w:cs="Arial"/>
                <w:sz w:val="20"/>
                <w:szCs w:val="20"/>
              </w:rPr>
              <w:t>Whether course helped graduates achieve their main reason for undertaking training, graduates from major cities</w:t>
            </w:r>
            <w:r w:rsidR="00181B96">
              <w:rPr>
                <w:rFonts w:ascii="Arial" w:hAnsi="Arial" w:cs="Arial"/>
                <w:sz w:val="20"/>
                <w:szCs w:val="20"/>
              </w:rPr>
              <w:t xml:space="preserve"> </w:t>
            </w:r>
          </w:p>
        </w:tc>
      </w:tr>
      <w:tr w:rsidR="00561E7D" w:rsidRPr="00561E7D" w:rsidTr="00561E7D">
        <w:trPr>
          <w:trHeight w:val="612"/>
        </w:trPr>
        <w:tc>
          <w:tcPr>
            <w:tcW w:w="1456" w:type="dxa"/>
            <w:tcBorders>
              <w:top w:val="nil"/>
              <w:left w:val="nil"/>
              <w:bottom w:val="nil"/>
              <w:right w:val="nil"/>
            </w:tcBorders>
            <w:shd w:val="clear" w:color="auto" w:fill="auto"/>
            <w:noWrap/>
            <w:hideMark/>
          </w:tcPr>
          <w:p w:rsidR="00561E7D" w:rsidRPr="00181B96" w:rsidRDefault="00561E7D" w:rsidP="00561E7D">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5A.65</w:t>
            </w:r>
            <w:proofErr w:type="spellEnd"/>
          </w:p>
        </w:tc>
        <w:tc>
          <w:tcPr>
            <w:tcW w:w="7404" w:type="dxa"/>
            <w:tcBorders>
              <w:top w:val="nil"/>
              <w:left w:val="nil"/>
              <w:bottom w:val="nil"/>
              <w:right w:val="nil"/>
            </w:tcBorders>
            <w:shd w:val="clear" w:color="auto" w:fill="auto"/>
            <w:hideMark/>
          </w:tcPr>
          <w:p w:rsidR="00561E7D" w:rsidRPr="00561E7D" w:rsidRDefault="00561E7D" w:rsidP="00561E7D">
            <w:pPr>
              <w:jc w:val="both"/>
              <w:rPr>
                <w:rFonts w:ascii="Arial" w:hAnsi="Arial" w:cs="Arial"/>
                <w:sz w:val="20"/>
                <w:szCs w:val="20"/>
              </w:rPr>
            </w:pPr>
            <w:r w:rsidRPr="00561E7D">
              <w:rPr>
                <w:rFonts w:ascii="Arial" w:hAnsi="Arial" w:cs="Arial"/>
                <w:sz w:val="20"/>
                <w:szCs w:val="20"/>
              </w:rPr>
              <w:t>Whether course helped graduates achieve their main reason for undertaking training, graduates from inner regional areas</w:t>
            </w:r>
            <w:r w:rsidR="00181B96">
              <w:rPr>
                <w:rFonts w:ascii="Arial" w:hAnsi="Arial" w:cs="Arial"/>
                <w:sz w:val="20"/>
                <w:szCs w:val="20"/>
              </w:rPr>
              <w:t xml:space="preserve"> </w:t>
            </w:r>
          </w:p>
        </w:tc>
      </w:tr>
      <w:tr w:rsidR="00561E7D" w:rsidRPr="00561E7D" w:rsidTr="00561E7D">
        <w:trPr>
          <w:trHeight w:val="612"/>
        </w:trPr>
        <w:tc>
          <w:tcPr>
            <w:tcW w:w="1456" w:type="dxa"/>
            <w:tcBorders>
              <w:top w:val="nil"/>
              <w:left w:val="nil"/>
              <w:bottom w:val="nil"/>
              <w:right w:val="nil"/>
            </w:tcBorders>
            <w:shd w:val="clear" w:color="auto" w:fill="auto"/>
            <w:noWrap/>
            <w:hideMark/>
          </w:tcPr>
          <w:p w:rsidR="00561E7D" w:rsidRPr="00181B96" w:rsidRDefault="00561E7D" w:rsidP="00561E7D">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5A.66</w:t>
            </w:r>
            <w:proofErr w:type="spellEnd"/>
          </w:p>
        </w:tc>
        <w:tc>
          <w:tcPr>
            <w:tcW w:w="7404" w:type="dxa"/>
            <w:tcBorders>
              <w:top w:val="nil"/>
              <w:left w:val="nil"/>
              <w:bottom w:val="nil"/>
              <w:right w:val="nil"/>
            </w:tcBorders>
            <w:shd w:val="clear" w:color="auto" w:fill="auto"/>
            <w:hideMark/>
          </w:tcPr>
          <w:p w:rsidR="00561E7D" w:rsidRPr="00561E7D" w:rsidRDefault="00561E7D" w:rsidP="00561E7D">
            <w:pPr>
              <w:jc w:val="both"/>
              <w:rPr>
                <w:rFonts w:ascii="Arial" w:hAnsi="Arial" w:cs="Arial"/>
                <w:sz w:val="20"/>
                <w:szCs w:val="20"/>
              </w:rPr>
            </w:pPr>
            <w:r w:rsidRPr="00561E7D">
              <w:rPr>
                <w:rFonts w:ascii="Arial" w:hAnsi="Arial" w:cs="Arial"/>
                <w:sz w:val="20"/>
                <w:szCs w:val="20"/>
              </w:rPr>
              <w:t>Whether course helped graduates achieve their main reason for undertaking training, graduates from outer regional areas</w:t>
            </w:r>
            <w:r w:rsidR="00181B96">
              <w:rPr>
                <w:rFonts w:ascii="Arial" w:hAnsi="Arial" w:cs="Arial"/>
                <w:sz w:val="20"/>
                <w:szCs w:val="20"/>
              </w:rPr>
              <w:t xml:space="preserve"> </w:t>
            </w:r>
          </w:p>
        </w:tc>
      </w:tr>
      <w:tr w:rsidR="00561E7D" w:rsidRPr="00561E7D" w:rsidTr="00561E7D">
        <w:trPr>
          <w:trHeight w:val="612"/>
        </w:trPr>
        <w:tc>
          <w:tcPr>
            <w:tcW w:w="1456" w:type="dxa"/>
            <w:tcBorders>
              <w:top w:val="nil"/>
              <w:left w:val="nil"/>
              <w:bottom w:val="nil"/>
              <w:right w:val="nil"/>
            </w:tcBorders>
            <w:shd w:val="clear" w:color="auto" w:fill="auto"/>
            <w:noWrap/>
            <w:hideMark/>
          </w:tcPr>
          <w:p w:rsidR="00561E7D" w:rsidRPr="00181B96" w:rsidRDefault="00561E7D" w:rsidP="004B13EC">
            <w:pPr>
              <w:spacing w:after="40"/>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5A.67</w:t>
            </w:r>
            <w:proofErr w:type="spellEnd"/>
          </w:p>
        </w:tc>
        <w:tc>
          <w:tcPr>
            <w:tcW w:w="7404" w:type="dxa"/>
            <w:tcBorders>
              <w:top w:val="nil"/>
              <w:left w:val="nil"/>
              <w:bottom w:val="nil"/>
              <w:right w:val="nil"/>
            </w:tcBorders>
            <w:shd w:val="clear" w:color="auto" w:fill="auto"/>
            <w:hideMark/>
          </w:tcPr>
          <w:p w:rsidR="00561E7D" w:rsidRPr="00561E7D" w:rsidRDefault="00561E7D" w:rsidP="004B13EC">
            <w:pPr>
              <w:spacing w:after="40"/>
              <w:jc w:val="both"/>
              <w:rPr>
                <w:rFonts w:ascii="Arial" w:hAnsi="Arial" w:cs="Arial"/>
                <w:sz w:val="20"/>
                <w:szCs w:val="20"/>
              </w:rPr>
            </w:pPr>
            <w:r w:rsidRPr="00561E7D">
              <w:rPr>
                <w:rFonts w:ascii="Arial" w:hAnsi="Arial" w:cs="Arial"/>
                <w:sz w:val="20"/>
                <w:szCs w:val="20"/>
              </w:rPr>
              <w:t>Whether course helped graduates achieve their main reason for undertaking training, graduates from remote and very remote areas</w:t>
            </w:r>
            <w:r w:rsidR="00181B96">
              <w:rPr>
                <w:rFonts w:ascii="Arial" w:hAnsi="Arial" w:cs="Arial"/>
                <w:sz w:val="20"/>
                <w:szCs w:val="20"/>
              </w:rPr>
              <w:t xml:space="preserve"> </w:t>
            </w:r>
          </w:p>
        </w:tc>
      </w:tr>
      <w:tr w:rsidR="00561E7D" w:rsidRPr="00561E7D" w:rsidTr="00561E7D">
        <w:trPr>
          <w:trHeight w:val="612"/>
        </w:trPr>
        <w:tc>
          <w:tcPr>
            <w:tcW w:w="1456" w:type="dxa"/>
            <w:tcBorders>
              <w:top w:val="nil"/>
              <w:left w:val="nil"/>
              <w:bottom w:val="nil"/>
              <w:right w:val="nil"/>
            </w:tcBorders>
            <w:shd w:val="clear" w:color="auto" w:fill="auto"/>
            <w:noWrap/>
            <w:hideMark/>
          </w:tcPr>
          <w:p w:rsidR="00561E7D" w:rsidRPr="00181B96" w:rsidRDefault="00561E7D" w:rsidP="004B13EC">
            <w:pPr>
              <w:spacing w:after="40"/>
              <w:rPr>
                <w:rFonts w:ascii="Arial" w:hAnsi="Arial" w:cs="Arial"/>
                <w:b/>
                <w:bCs/>
                <w:sz w:val="20"/>
                <w:szCs w:val="20"/>
              </w:rPr>
            </w:pPr>
            <w:r w:rsidRPr="00181B96">
              <w:rPr>
                <w:rFonts w:ascii="Arial" w:hAnsi="Arial" w:cs="Arial"/>
                <w:b/>
                <w:bCs/>
                <w:sz w:val="20"/>
                <w:szCs w:val="20"/>
              </w:rPr>
              <w:lastRenderedPageBreak/>
              <w:t xml:space="preserve">Table </w:t>
            </w:r>
            <w:proofErr w:type="spellStart"/>
            <w:r w:rsidRPr="00181B96">
              <w:rPr>
                <w:rFonts w:ascii="Arial" w:hAnsi="Arial" w:cs="Arial"/>
                <w:b/>
                <w:bCs/>
                <w:sz w:val="20"/>
                <w:szCs w:val="20"/>
              </w:rPr>
              <w:t>5A.68</w:t>
            </w:r>
            <w:proofErr w:type="spellEnd"/>
          </w:p>
        </w:tc>
        <w:tc>
          <w:tcPr>
            <w:tcW w:w="7404" w:type="dxa"/>
            <w:tcBorders>
              <w:top w:val="nil"/>
              <w:left w:val="nil"/>
              <w:bottom w:val="nil"/>
              <w:right w:val="nil"/>
            </w:tcBorders>
            <w:shd w:val="clear" w:color="auto" w:fill="auto"/>
            <w:hideMark/>
          </w:tcPr>
          <w:p w:rsidR="00561E7D" w:rsidRPr="00561E7D" w:rsidRDefault="00561E7D" w:rsidP="004B13EC">
            <w:pPr>
              <w:spacing w:after="40"/>
              <w:jc w:val="both"/>
              <w:rPr>
                <w:rFonts w:ascii="Arial" w:hAnsi="Arial" w:cs="Arial"/>
                <w:sz w:val="20"/>
                <w:szCs w:val="20"/>
              </w:rPr>
            </w:pPr>
            <w:r w:rsidRPr="00561E7D">
              <w:rPr>
                <w:rFonts w:ascii="Arial" w:hAnsi="Arial" w:cs="Arial"/>
                <w:sz w:val="20"/>
                <w:szCs w:val="20"/>
              </w:rPr>
              <w:t>Whether course helped graduates achieve their main reason for undertaking training, graduates reporting disability</w:t>
            </w:r>
            <w:r w:rsidR="00181B96">
              <w:rPr>
                <w:rFonts w:ascii="Arial" w:hAnsi="Arial" w:cs="Arial"/>
                <w:sz w:val="20"/>
                <w:szCs w:val="20"/>
              </w:rPr>
              <w:t xml:space="preserve"> </w:t>
            </w:r>
            <w:r w:rsidRPr="00561E7D">
              <w:rPr>
                <w:rFonts w:ascii="Arial" w:hAnsi="Arial" w:cs="Arial"/>
                <w:sz w:val="20"/>
                <w:szCs w:val="20"/>
              </w:rPr>
              <w:t xml:space="preserve"> </w:t>
            </w:r>
          </w:p>
        </w:tc>
      </w:tr>
      <w:tr w:rsidR="00561E7D" w:rsidRPr="00561E7D" w:rsidTr="00561E7D">
        <w:trPr>
          <w:trHeight w:val="612"/>
        </w:trPr>
        <w:tc>
          <w:tcPr>
            <w:tcW w:w="1456" w:type="dxa"/>
            <w:tcBorders>
              <w:top w:val="nil"/>
              <w:left w:val="nil"/>
              <w:bottom w:val="nil"/>
              <w:right w:val="nil"/>
            </w:tcBorders>
            <w:shd w:val="clear" w:color="auto" w:fill="auto"/>
            <w:noWrap/>
            <w:hideMark/>
          </w:tcPr>
          <w:p w:rsidR="00561E7D" w:rsidRPr="00181B96" w:rsidRDefault="00561E7D" w:rsidP="004B13EC">
            <w:pPr>
              <w:spacing w:after="40"/>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5A.69</w:t>
            </w:r>
            <w:proofErr w:type="spellEnd"/>
          </w:p>
        </w:tc>
        <w:tc>
          <w:tcPr>
            <w:tcW w:w="7404" w:type="dxa"/>
            <w:tcBorders>
              <w:top w:val="nil"/>
              <w:left w:val="nil"/>
              <w:bottom w:val="nil"/>
              <w:right w:val="nil"/>
            </w:tcBorders>
            <w:shd w:val="clear" w:color="auto" w:fill="auto"/>
            <w:hideMark/>
          </w:tcPr>
          <w:p w:rsidR="00561E7D" w:rsidRPr="00561E7D" w:rsidRDefault="00561E7D" w:rsidP="004B13EC">
            <w:pPr>
              <w:spacing w:after="40"/>
              <w:jc w:val="both"/>
              <w:rPr>
                <w:rFonts w:ascii="Arial" w:hAnsi="Arial" w:cs="Arial"/>
                <w:sz w:val="20"/>
                <w:szCs w:val="20"/>
              </w:rPr>
            </w:pPr>
            <w:r w:rsidRPr="00561E7D">
              <w:rPr>
                <w:rFonts w:ascii="Arial" w:hAnsi="Arial" w:cs="Arial"/>
                <w:sz w:val="20"/>
                <w:szCs w:val="20"/>
              </w:rPr>
              <w:t>Whether course helped graduates achieve their main reason for undertaking training, graduates speaking a language other than English at home</w:t>
            </w:r>
            <w:r w:rsidR="00181B96">
              <w:rPr>
                <w:rFonts w:ascii="Arial" w:hAnsi="Arial" w:cs="Arial"/>
                <w:sz w:val="20"/>
                <w:szCs w:val="20"/>
              </w:rPr>
              <w:t xml:space="preserve"> </w:t>
            </w:r>
          </w:p>
        </w:tc>
      </w:tr>
      <w:tr w:rsidR="00561E7D" w:rsidRPr="00561E7D" w:rsidTr="00561E7D">
        <w:trPr>
          <w:trHeight w:val="612"/>
        </w:trPr>
        <w:tc>
          <w:tcPr>
            <w:tcW w:w="1456" w:type="dxa"/>
            <w:tcBorders>
              <w:top w:val="nil"/>
              <w:left w:val="nil"/>
              <w:bottom w:val="nil"/>
              <w:right w:val="nil"/>
            </w:tcBorders>
            <w:shd w:val="clear" w:color="auto" w:fill="auto"/>
            <w:noWrap/>
            <w:hideMark/>
          </w:tcPr>
          <w:p w:rsidR="00561E7D" w:rsidRPr="00181B96" w:rsidRDefault="00561E7D" w:rsidP="004B13EC">
            <w:pPr>
              <w:spacing w:after="40"/>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5A.70</w:t>
            </w:r>
            <w:proofErr w:type="spellEnd"/>
          </w:p>
        </w:tc>
        <w:tc>
          <w:tcPr>
            <w:tcW w:w="7404" w:type="dxa"/>
            <w:tcBorders>
              <w:top w:val="nil"/>
              <w:left w:val="nil"/>
              <w:bottom w:val="nil"/>
              <w:right w:val="nil"/>
            </w:tcBorders>
            <w:shd w:val="clear" w:color="auto" w:fill="auto"/>
            <w:hideMark/>
          </w:tcPr>
          <w:p w:rsidR="00561E7D" w:rsidRPr="00561E7D" w:rsidRDefault="00561E7D" w:rsidP="004B13EC">
            <w:pPr>
              <w:spacing w:after="40"/>
              <w:jc w:val="both"/>
              <w:rPr>
                <w:rFonts w:ascii="Arial" w:hAnsi="Arial" w:cs="Arial"/>
                <w:sz w:val="20"/>
                <w:szCs w:val="20"/>
              </w:rPr>
            </w:pPr>
            <w:r w:rsidRPr="00561E7D">
              <w:rPr>
                <w:rFonts w:ascii="Arial" w:hAnsi="Arial" w:cs="Arial"/>
                <w:sz w:val="20"/>
                <w:szCs w:val="20"/>
              </w:rPr>
              <w:t xml:space="preserve">Proportion of all graduates who were satisfied with the quality of their completed course, by purpose of study  </w:t>
            </w:r>
          </w:p>
        </w:tc>
      </w:tr>
      <w:tr w:rsidR="00561E7D" w:rsidRPr="00561E7D" w:rsidTr="00561E7D">
        <w:trPr>
          <w:trHeight w:val="612"/>
        </w:trPr>
        <w:tc>
          <w:tcPr>
            <w:tcW w:w="1456" w:type="dxa"/>
            <w:tcBorders>
              <w:top w:val="nil"/>
              <w:left w:val="nil"/>
              <w:bottom w:val="nil"/>
              <w:right w:val="nil"/>
            </w:tcBorders>
            <w:shd w:val="clear" w:color="auto" w:fill="auto"/>
            <w:noWrap/>
            <w:hideMark/>
          </w:tcPr>
          <w:p w:rsidR="00561E7D" w:rsidRPr="00181B96" w:rsidRDefault="00561E7D" w:rsidP="004B13EC">
            <w:pPr>
              <w:spacing w:after="40"/>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5A.71</w:t>
            </w:r>
            <w:proofErr w:type="spellEnd"/>
          </w:p>
        </w:tc>
        <w:tc>
          <w:tcPr>
            <w:tcW w:w="7404" w:type="dxa"/>
            <w:tcBorders>
              <w:top w:val="nil"/>
              <w:left w:val="nil"/>
              <w:bottom w:val="nil"/>
              <w:right w:val="nil"/>
            </w:tcBorders>
            <w:shd w:val="clear" w:color="auto" w:fill="auto"/>
            <w:hideMark/>
          </w:tcPr>
          <w:p w:rsidR="00561E7D" w:rsidRPr="00561E7D" w:rsidRDefault="00561E7D" w:rsidP="004B13EC">
            <w:pPr>
              <w:spacing w:after="40"/>
              <w:jc w:val="both"/>
              <w:rPr>
                <w:rFonts w:ascii="Arial" w:hAnsi="Arial" w:cs="Arial"/>
                <w:sz w:val="20"/>
                <w:szCs w:val="20"/>
              </w:rPr>
            </w:pPr>
            <w:r w:rsidRPr="00561E7D">
              <w:rPr>
                <w:rFonts w:ascii="Arial" w:hAnsi="Arial" w:cs="Arial"/>
                <w:sz w:val="20"/>
                <w:szCs w:val="20"/>
              </w:rPr>
              <w:t>Proportion of Aboriginal and Torres Strait Islander graduates who were satisfied with the quality of their completed course, by purpose of study</w:t>
            </w:r>
            <w:r w:rsidR="00181B96">
              <w:rPr>
                <w:rFonts w:ascii="Arial" w:hAnsi="Arial" w:cs="Arial"/>
                <w:sz w:val="20"/>
                <w:szCs w:val="20"/>
              </w:rPr>
              <w:t xml:space="preserve"> </w:t>
            </w:r>
          </w:p>
        </w:tc>
      </w:tr>
      <w:tr w:rsidR="00561E7D" w:rsidRPr="00561E7D" w:rsidTr="00561E7D">
        <w:trPr>
          <w:trHeight w:val="612"/>
        </w:trPr>
        <w:tc>
          <w:tcPr>
            <w:tcW w:w="1456" w:type="dxa"/>
            <w:tcBorders>
              <w:top w:val="nil"/>
              <w:left w:val="nil"/>
              <w:bottom w:val="nil"/>
              <w:right w:val="nil"/>
            </w:tcBorders>
            <w:shd w:val="clear" w:color="auto" w:fill="auto"/>
            <w:noWrap/>
            <w:hideMark/>
          </w:tcPr>
          <w:p w:rsidR="00561E7D" w:rsidRPr="00181B96" w:rsidRDefault="00561E7D" w:rsidP="004B13EC">
            <w:pPr>
              <w:spacing w:after="40"/>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5A.72</w:t>
            </w:r>
            <w:proofErr w:type="spellEnd"/>
          </w:p>
        </w:tc>
        <w:tc>
          <w:tcPr>
            <w:tcW w:w="7404" w:type="dxa"/>
            <w:tcBorders>
              <w:top w:val="nil"/>
              <w:left w:val="nil"/>
              <w:bottom w:val="nil"/>
              <w:right w:val="nil"/>
            </w:tcBorders>
            <w:shd w:val="clear" w:color="auto" w:fill="auto"/>
            <w:hideMark/>
          </w:tcPr>
          <w:p w:rsidR="00561E7D" w:rsidRPr="00561E7D" w:rsidRDefault="00561E7D" w:rsidP="004B13EC">
            <w:pPr>
              <w:spacing w:after="40"/>
              <w:jc w:val="both"/>
              <w:rPr>
                <w:rFonts w:ascii="Arial" w:hAnsi="Arial" w:cs="Arial"/>
                <w:sz w:val="20"/>
                <w:szCs w:val="20"/>
              </w:rPr>
            </w:pPr>
            <w:r w:rsidRPr="00561E7D">
              <w:rPr>
                <w:rFonts w:ascii="Arial" w:hAnsi="Arial" w:cs="Arial"/>
                <w:sz w:val="20"/>
                <w:szCs w:val="20"/>
              </w:rPr>
              <w:t xml:space="preserve">Proportion of non-Indigenous graduates who were satisfied with the quality of their completed course, by purpose of study  </w:t>
            </w:r>
          </w:p>
        </w:tc>
      </w:tr>
      <w:tr w:rsidR="00561E7D" w:rsidRPr="00561E7D" w:rsidTr="00561E7D">
        <w:trPr>
          <w:trHeight w:val="612"/>
        </w:trPr>
        <w:tc>
          <w:tcPr>
            <w:tcW w:w="1456" w:type="dxa"/>
            <w:tcBorders>
              <w:top w:val="nil"/>
              <w:left w:val="nil"/>
              <w:bottom w:val="nil"/>
              <w:right w:val="nil"/>
            </w:tcBorders>
            <w:shd w:val="clear" w:color="auto" w:fill="auto"/>
            <w:noWrap/>
            <w:hideMark/>
          </w:tcPr>
          <w:p w:rsidR="00561E7D" w:rsidRPr="00181B96" w:rsidRDefault="00561E7D" w:rsidP="004B13EC">
            <w:pPr>
              <w:spacing w:after="40"/>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5A.73</w:t>
            </w:r>
            <w:proofErr w:type="spellEnd"/>
          </w:p>
        </w:tc>
        <w:tc>
          <w:tcPr>
            <w:tcW w:w="7404" w:type="dxa"/>
            <w:tcBorders>
              <w:top w:val="nil"/>
              <w:left w:val="nil"/>
              <w:bottom w:val="nil"/>
              <w:right w:val="nil"/>
            </w:tcBorders>
            <w:shd w:val="clear" w:color="auto" w:fill="auto"/>
            <w:hideMark/>
          </w:tcPr>
          <w:p w:rsidR="00561E7D" w:rsidRPr="00561E7D" w:rsidRDefault="00561E7D" w:rsidP="004B13EC">
            <w:pPr>
              <w:spacing w:after="40"/>
              <w:jc w:val="both"/>
              <w:rPr>
                <w:rFonts w:ascii="Arial" w:hAnsi="Arial" w:cs="Arial"/>
                <w:sz w:val="20"/>
                <w:szCs w:val="20"/>
              </w:rPr>
            </w:pPr>
            <w:r w:rsidRPr="00561E7D">
              <w:rPr>
                <w:rFonts w:ascii="Arial" w:hAnsi="Arial" w:cs="Arial"/>
                <w:sz w:val="20"/>
                <w:szCs w:val="20"/>
              </w:rPr>
              <w:t>Proportion of graduates from major cities who were satisfied with the quality of their completed course, by purpose of study</w:t>
            </w:r>
            <w:r w:rsidR="00181B96">
              <w:rPr>
                <w:rFonts w:ascii="Arial" w:hAnsi="Arial" w:cs="Arial"/>
                <w:sz w:val="20"/>
                <w:szCs w:val="20"/>
              </w:rPr>
              <w:t xml:space="preserve"> </w:t>
            </w:r>
          </w:p>
        </w:tc>
      </w:tr>
      <w:tr w:rsidR="00561E7D" w:rsidRPr="00561E7D" w:rsidTr="00561E7D">
        <w:trPr>
          <w:trHeight w:val="612"/>
        </w:trPr>
        <w:tc>
          <w:tcPr>
            <w:tcW w:w="1456" w:type="dxa"/>
            <w:tcBorders>
              <w:top w:val="nil"/>
              <w:left w:val="nil"/>
              <w:bottom w:val="nil"/>
              <w:right w:val="nil"/>
            </w:tcBorders>
            <w:shd w:val="clear" w:color="auto" w:fill="auto"/>
            <w:noWrap/>
            <w:hideMark/>
          </w:tcPr>
          <w:p w:rsidR="00561E7D" w:rsidRPr="00181B96" w:rsidRDefault="00561E7D" w:rsidP="004B13EC">
            <w:pPr>
              <w:spacing w:after="40"/>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5A.74</w:t>
            </w:r>
            <w:proofErr w:type="spellEnd"/>
          </w:p>
        </w:tc>
        <w:tc>
          <w:tcPr>
            <w:tcW w:w="7404" w:type="dxa"/>
            <w:tcBorders>
              <w:top w:val="nil"/>
              <w:left w:val="nil"/>
              <w:bottom w:val="nil"/>
              <w:right w:val="nil"/>
            </w:tcBorders>
            <w:shd w:val="clear" w:color="auto" w:fill="auto"/>
            <w:hideMark/>
          </w:tcPr>
          <w:p w:rsidR="00561E7D" w:rsidRPr="00561E7D" w:rsidRDefault="00561E7D" w:rsidP="004B13EC">
            <w:pPr>
              <w:spacing w:after="40"/>
              <w:jc w:val="both"/>
              <w:rPr>
                <w:rFonts w:ascii="Arial" w:hAnsi="Arial" w:cs="Arial"/>
                <w:sz w:val="20"/>
                <w:szCs w:val="20"/>
              </w:rPr>
            </w:pPr>
            <w:r w:rsidRPr="00561E7D">
              <w:rPr>
                <w:rFonts w:ascii="Arial" w:hAnsi="Arial" w:cs="Arial"/>
                <w:sz w:val="20"/>
                <w:szCs w:val="20"/>
              </w:rPr>
              <w:t>Proportion of graduates from inner regional areas who were satisfied with the quality of their completed course, by purpose of study</w:t>
            </w:r>
            <w:r w:rsidR="00181B96">
              <w:rPr>
                <w:rFonts w:ascii="Arial" w:hAnsi="Arial" w:cs="Arial"/>
                <w:sz w:val="20"/>
                <w:szCs w:val="20"/>
              </w:rPr>
              <w:t xml:space="preserve"> </w:t>
            </w:r>
          </w:p>
        </w:tc>
      </w:tr>
      <w:tr w:rsidR="00561E7D" w:rsidRPr="00561E7D" w:rsidTr="00561E7D">
        <w:trPr>
          <w:trHeight w:val="612"/>
        </w:trPr>
        <w:tc>
          <w:tcPr>
            <w:tcW w:w="1456" w:type="dxa"/>
            <w:tcBorders>
              <w:top w:val="nil"/>
              <w:left w:val="nil"/>
              <w:bottom w:val="nil"/>
              <w:right w:val="nil"/>
            </w:tcBorders>
            <w:shd w:val="clear" w:color="auto" w:fill="auto"/>
            <w:noWrap/>
            <w:hideMark/>
          </w:tcPr>
          <w:p w:rsidR="00561E7D" w:rsidRPr="00181B96" w:rsidRDefault="00561E7D" w:rsidP="004B13EC">
            <w:pPr>
              <w:spacing w:after="40"/>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5A.75</w:t>
            </w:r>
            <w:proofErr w:type="spellEnd"/>
          </w:p>
        </w:tc>
        <w:tc>
          <w:tcPr>
            <w:tcW w:w="7404" w:type="dxa"/>
            <w:tcBorders>
              <w:top w:val="nil"/>
              <w:left w:val="nil"/>
              <w:bottom w:val="nil"/>
              <w:right w:val="nil"/>
            </w:tcBorders>
            <w:shd w:val="clear" w:color="auto" w:fill="auto"/>
            <w:hideMark/>
          </w:tcPr>
          <w:p w:rsidR="00561E7D" w:rsidRPr="00561E7D" w:rsidRDefault="00561E7D" w:rsidP="004B13EC">
            <w:pPr>
              <w:spacing w:after="40"/>
              <w:jc w:val="both"/>
              <w:rPr>
                <w:rFonts w:ascii="Arial" w:hAnsi="Arial" w:cs="Arial"/>
                <w:sz w:val="20"/>
                <w:szCs w:val="20"/>
              </w:rPr>
            </w:pPr>
            <w:r w:rsidRPr="00561E7D">
              <w:rPr>
                <w:rFonts w:ascii="Arial" w:hAnsi="Arial" w:cs="Arial"/>
                <w:sz w:val="20"/>
                <w:szCs w:val="20"/>
              </w:rPr>
              <w:t>Proportion of graduates from outer regional areas who were satisfied with the quality of their completed course, by purpose of study</w:t>
            </w:r>
            <w:r w:rsidR="00181B96">
              <w:rPr>
                <w:rFonts w:ascii="Arial" w:hAnsi="Arial" w:cs="Arial"/>
                <w:sz w:val="20"/>
                <w:szCs w:val="20"/>
              </w:rPr>
              <w:t xml:space="preserve"> </w:t>
            </w:r>
            <w:r w:rsidRPr="00561E7D">
              <w:rPr>
                <w:rFonts w:ascii="Arial" w:hAnsi="Arial" w:cs="Arial"/>
                <w:sz w:val="20"/>
                <w:szCs w:val="20"/>
              </w:rPr>
              <w:t xml:space="preserve"> </w:t>
            </w:r>
          </w:p>
        </w:tc>
      </w:tr>
      <w:tr w:rsidR="00561E7D" w:rsidRPr="00561E7D" w:rsidTr="00561E7D">
        <w:trPr>
          <w:trHeight w:val="612"/>
        </w:trPr>
        <w:tc>
          <w:tcPr>
            <w:tcW w:w="1456" w:type="dxa"/>
            <w:tcBorders>
              <w:top w:val="nil"/>
              <w:left w:val="nil"/>
              <w:bottom w:val="nil"/>
              <w:right w:val="nil"/>
            </w:tcBorders>
            <w:shd w:val="clear" w:color="auto" w:fill="auto"/>
            <w:noWrap/>
            <w:hideMark/>
          </w:tcPr>
          <w:p w:rsidR="00561E7D" w:rsidRPr="00181B96" w:rsidRDefault="00561E7D" w:rsidP="004B13EC">
            <w:pPr>
              <w:spacing w:after="40"/>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5A.76</w:t>
            </w:r>
            <w:proofErr w:type="spellEnd"/>
          </w:p>
        </w:tc>
        <w:tc>
          <w:tcPr>
            <w:tcW w:w="7404" w:type="dxa"/>
            <w:tcBorders>
              <w:top w:val="nil"/>
              <w:left w:val="nil"/>
              <w:bottom w:val="nil"/>
              <w:right w:val="nil"/>
            </w:tcBorders>
            <w:shd w:val="clear" w:color="auto" w:fill="auto"/>
            <w:hideMark/>
          </w:tcPr>
          <w:p w:rsidR="00561E7D" w:rsidRPr="00561E7D" w:rsidRDefault="00561E7D" w:rsidP="004B13EC">
            <w:pPr>
              <w:spacing w:after="40"/>
              <w:jc w:val="both"/>
              <w:rPr>
                <w:rFonts w:ascii="Arial" w:hAnsi="Arial" w:cs="Arial"/>
                <w:sz w:val="20"/>
                <w:szCs w:val="20"/>
              </w:rPr>
            </w:pPr>
            <w:r w:rsidRPr="00561E7D">
              <w:rPr>
                <w:rFonts w:ascii="Arial" w:hAnsi="Arial" w:cs="Arial"/>
                <w:sz w:val="20"/>
                <w:szCs w:val="20"/>
              </w:rPr>
              <w:t>Proportion of graduates from remote and very remote areas who were satisfied with the quality of their completed course, by purpose of study</w:t>
            </w:r>
            <w:r w:rsidR="00181B96">
              <w:rPr>
                <w:rFonts w:ascii="Arial" w:hAnsi="Arial" w:cs="Arial"/>
                <w:sz w:val="20"/>
                <w:szCs w:val="20"/>
              </w:rPr>
              <w:t xml:space="preserve"> </w:t>
            </w:r>
          </w:p>
        </w:tc>
      </w:tr>
      <w:tr w:rsidR="00561E7D" w:rsidRPr="00561E7D" w:rsidTr="00561E7D">
        <w:trPr>
          <w:trHeight w:val="612"/>
        </w:trPr>
        <w:tc>
          <w:tcPr>
            <w:tcW w:w="1456" w:type="dxa"/>
            <w:tcBorders>
              <w:top w:val="nil"/>
              <w:left w:val="nil"/>
              <w:bottom w:val="nil"/>
              <w:right w:val="nil"/>
            </w:tcBorders>
            <w:shd w:val="clear" w:color="auto" w:fill="auto"/>
            <w:noWrap/>
            <w:hideMark/>
          </w:tcPr>
          <w:p w:rsidR="00561E7D" w:rsidRPr="00181B96" w:rsidRDefault="00561E7D" w:rsidP="004B13EC">
            <w:pPr>
              <w:spacing w:after="40"/>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5A.77</w:t>
            </w:r>
            <w:proofErr w:type="spellEnd"/>
          </w:p>
        </w:tc>
        <w:tc>
          <w:tcPr>
            <w:tcW w:w="7404" w:type="dxa"/>
            <w:tcBorders>
              <w:top w:val="nil"/>
              <w:left w:val="nil"/>
              <w:bottom w:val="nil"/>
              <w:right w:val="nil"/>
            </w:tcBorders>
            <w:shd w:val="clear" w:color="auto" w:fill="auto"/>
            <w:hideMark/>
          </w:tcPr>
          <w:p w:rsidR="00561E7D" w:rsidRPr="00561E7D" w:rsidRDefault="00561E7D" w:rsidP="004B13EC">
            <w:pPr>
              <w:spacing w:after="40"/>
              <w:jc w:val="both"/>
              <w:rPr>
                <w:rFonts w:ascii="Arial" w:hAnsi="Arial" w:cs="Arial"/>
                <w:sz w:val="20"/>
                <w:szCs w:val="20"/>
              </w:rPr>
            </w:pPr>
            <w:r w:rsidRPr="00561E7D">
              <w:rPr>
                <w:rFonts w:ascii="Arial" w:hAnsi="Arial" w:cs="Arial"/>
                <w:sz w:val="20"/>
                <w:szCs w:val="20"/>
              </w:rPr>
              <w:t>Proportion of graduates reporting disability who were satisfied with the quality of their completed course, by purpose of study</w:t>
            </w:r>
            <w:r w:rsidR="00181B96">
              <w:rPr>
                <w:rFonts w:ascii="Arial" w:hAnsi="Arial" w:cs="Arial"/>
                <w:sz w:val="20"/>
                <w:szCs w:val="20"/>
              </w:rPr>
              <w:t xml:space="preserve"> </w:t>
            </w:r>
            <w:r w:rsidRPr="00561E7D">
              <w:rPr>
                <w:rFonts w:ascii="Arial" w:hAnsi="Arial" w:cs="Arial"/>
                <w:sz w:val="20"/>
                <w:szCs w:val="20"/>
              </w:rPr>
              <w:t xml:space="preserve"> </w:t>
            </w:r>
          </w:p>
        </w:tc>
      </w:tr>
      <w:tr w:rsidR="00561E7D" w:rsidRPr="00561E7D" w:rsidTr="00561E7D">
        <w:trPr>
          <w:trHeight w:val="612"/>
        </w:trPr>
        <w:tc>
          <w:tcPr>
            <w:tcW w:w="1456" w:type="dxa"/>
            <w:tcBorders>
              <w:top w:val="nil"/>
              <w:left w:val="nil"/>
              <w:bottom w:val="nil"/>
              <w:right w:val="nil"/>
            </w:tcBorders>
            <w:shd w:val="clear" w:color="auto" w:fill="auto"/>
            <w:noWrap/>
            <w:hideMark/>
          </w:tcPr>
          <w:p w:rsidR="00561E7D" w:rsidRPr="00181B96" w:rsidRDefault="00561E7D" w:rsidP="004B13EC">
            <w:pPr>
              <w:spacing w:after="40"/>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5A.78</w:t>
            </w:r>
            <w:proofErr w:type="spellEnd"/>
          </w:p>
        </w:tc>
        <w:tc>
          <w:tcPr>
            <w:tcW w:w="7404" w:type="dxa"/>
            <w:tcBorders>
              <w:top w:val="nil"/>
              <w:left w:val="nil"/>
              <w:bottom w:val="nil"/>
              <w:right w:val="nil"/>
            </w:tcBorders>
            <w:shd w:val="clear" w:color="auto" w:fill="auto"/>
            <w:hideMark/>
          </w:tcPr>
          <w:p w:rsidR="00561E7D" w:rsidRPr="00561E7D" w:rsidRDefault="00561E7D" w:rsidP="004B13EC">
            <w:pPr>
              <w:spacing w:after="40"/>
              <w:jc w:val="both"/>
              <w:rPr>
                <w:rFonts w:ascii="Arial" w:hAnsi="Arial" w:cs="Arial"/>
                <w:sz w:val="20"/>
                <w:szCs w:val="20"/>
              </w:rPr>
            </w:pPr>
            <w:r w:rsidRPr="00561E7D">
              <w:rPr>
                <w:rFonts w:ascii="Arial" w:hAnsi="Arial" w:cs="Arial"/>
                <w:sz w:val="20"/>
                <w:szCs w:val="20"/>
              </w:rPr>
              <w:t xml:space="preserve">Proportion of graduates speaking a language other than English at home who were satisfied with the quality of their completed course, by purpose of study  </w:t>
            </w:r>
          </w:p>
        </w:tc>
      </w:tr>
      <w:tr w:rsidR="00561E7D" w:rsidRPr="00561E7D" w:rsidTr="00561E7D">
        <w:trPr>
          <w:trHeight w:val="357"/>
        </w:trPr>
        <w:tc>
          <w:tcPr>
            <w:tcW w:w="1456" w:type="dxa"/>
            <w:tcBorders>
              <w:top w:val="nil"/>
              <w:left w:val="nil"/>
              <w:bottom w:val="nil"/>
              <w:right w:val="nil"/>
            </w:tcBorders>
            <w:shd w:val="clear" w:color="auto" w:fill="auto"/>
            <w:noWrap/>
            <w:hideMark/>
          </w:tcPr>
          <w:p w:rsidR="00561E7D" w:rsidRPr="00181B96" w:rsidRDefault="00561E7D" w:rsidP="004B13EC">
            <w:pPr>
              <w:spacing w:after="40"/>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5A.79</w:t>
            </w:r>
            <w:proofErr w:type="spellEnd"/>
          </w:p>
        </w:tc>
        <w:tc>
          <w:tcPr>
            <w:tcW w:w="7404" w:type="dxa"/>
            <w:tcBorders>
              <w:top w:val="nil"/>
              <w:left w:val="nil"/>
              <w:bottom w:val="nil"/>
              <w:right w:val="nil"/>
            </w:tcBorders>
            <w:shd w:val="clear" w:color="auto" w:fill="auto"/>
            <w:hideMark/>
          </w:tcPr>
          <w:p w:rsidR="00561E7D" w:rsidRPr="00561E7D" w:rsidRDefault="00561E7D" w:rsidP="004B13EC">
            <w:pPr>
              <w:spacing w:after="40"/>
              <w:jc w:val="both"/>
              <w:rPr>
                <w:rFonts w:ascii="Arial" w:hAnsi="Arial" w:cs="Arial"/>
                <w:sz w:val="20"/>
                <w:szCs w:val="20"/>
              </w:rPr>
            </w:pPr>
            <w:r w:rsidRPr="00561E7D">
              <w:rPr>
                <w:rFonts w:ascii="Arial" w:hAnsi="Arial" w:cs="Arial"/>
                <w:sz w:val="20"/>
                <w:szCs w:val="20"/>
              </w:rPr>
              <w:t>Number of VET qualifications completed, by Indigenous status</w:t>
            </w:r>
            <w:r w:rsidR="00181B96">
              <w:rPr>
                <w:rFonts w:ascii="Arial" w:hAnsi="Arial" w:cs="Arial"/>
                <w:sz w:val="20"/>
                <w:szCs w:val="20"/>
              </w:rPr>
              <w:t xml:space="preserve">  </w:t>
            </w:r>
          </w:p>
        </w:tc>
      </w:tr>
      <w:tr w:rsidR="00561E7D" w:rsidRPr="00561E7D" w:rsidTr="00561E7D">
        <w:trPr>
          <w:trHeight w:val="357"/>
        </w:trPr>
        <w:tc>
          <w:tcPr>
            <w:tcW w:w="1456" w:type="dxa"/>
            <w:tcBorders>
              <w:top w:val="nil"/>
              <w:left w:val="nil"/>
              <w:bottom w:val="nil"/>
              <w:right w:val="nil"/>
            </w:tcBorders>
            <w:shd w:val="clear" w:color="auto" w:fill="auto"/>
            <w:noWrap/>
            <w:hideMark/>
          </w:tcPr>
          <w:p w:rsidR="00561E7D" w:rsidRPr="00181B96" w:rsidRDefault="00561E7D" w:rsidP="004B13EC">
            <w:pPr>
              <w:spacing w:after="40"/>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5A.80</w:t>
            </w:r>
            <w:proofErr w:type="spellEnd"/>
          </w:p>
        </w:tc>
        <w:tc>
          <w:tcPr>
            <w:tcW w:w="7404" w:type="dxa"/>
            <w:tcBorders>
              <w:top w:val="nil"/>
              <w:left w:val="nil"/>
              <w:bottom w:val="nil"/>
              <w:right w:val="nil"/>
            </w:tcBorders>
            <w:shd w:val="clear" w:color="auto" w:fill="auto"/>
            <w:hideMark/>
          </w:tcPr>
          <w:p w:rsidR="00561E7D" w:rsidRPr="00561E7D" w:rsidRDefault="00561E7D" w:rsidP="004B13EC">
            <w:pPr>
              <w:spacing w:after="40"/>
              <w:jc w:val="both"/>
              <w:rPr>
                <w:rFonts w:ascii="Arial" w:hAnsi="Arial" w:cs="Arial"/>
                <w:sz w:val="20"/>
                <w:szCs w:val="20"/>
              </w:rPr>
            </w:pPr>
            <w:r w:rsidRPr="00561E7D">
              <w:rPr>
                <w:rFonts w:ascii="Arial" w:hAnsi="Arial" w:cs="Arial"/>
                <w:sz w:val="20"/>
                <w:szCs w:val="20"/>
              </w:rPr>
              <w:t>Number of VET qualifications completed by students, by region (000)</w:t>
            </w:r>
            <w:r w:rsidR="00181B96">
              <w:rPr>
                <w:rFonts w:ascii="Arial" w:hAnsi="Arial" w:cs="Arial"/>
                <w:sz w:val="20"/>
                <w:szCs w:val="20"/>
              </w:rPr>
              <w:t xml:space="preserve"> </w:t>
            </w:r>
          </w:p>
        </w:tc>
      </w:tr>
      <w:tr w:rsidR="00561E7D" w:rsidRPr="00561E7D" w:rsidTr="00561E7D">
        <w:trPr>
          <w:trHeight w:val="357"/>
        </w:trPr>
        <w:tc>
          <w:tcPr>
            <w:tcW w:w="1456" w:type="dxa"/>
            <w:tcBorders>
              <w:top w:val="nil"/>
              <w:left w:val="nil"/>
              <w:bottom w:val="nil"/>
              <w:right w:val="nil"/>
            </w:tcBorders>
            <w:shd w:val="clear" w:color="auto" w:fill="auto"/>
            <w:noWrap/>
            <w:hideMark/>
          </w:tcPr>
          <w:p w:rsidR="00561E7D" w:rsidRPr="00181B96" w:rsidRDefault="00561E7D" w:rsidP="004B13EC">
            <w:pPr>
              <w:spacing w:after="40"/>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5A.81</w:t>
            </w:r>
            <w:proofErr w:type="spellEnd"/>
          </w:p>
        </w:tc>
        <w:tc>
          <w:tcPr>
            <w:tcW w:w="7404" w:type="dxa"/>
            <w:tcBorders>
              <w:top w:val="nil"/>
              <w:left w:val="nil"/>
              <w:bottom w:val="nil"/>
              <w:right w:val="nil"/>
            </w:tcBorders>
            <w:shd w:val="clear" w:color="auto" w:fill="auto"/>
            <w:hideMark/>
          </w:tcPr>
          <w:p w:rsidR="00561E7D" w:rsidRPr="00561E7D" w:rsidRDefault="00561E7D" w:rsidP="004B13EC">
            <w:pPr>
              <w:spacing w:after="40"/>
              <w:jc w:val="both"/>
              <w:rPr>
                <w:rFonts w:ascii="Arial" w:hAnsi="Arial" w:cs="Arial"/>
                <w:sz w:val="20"/>
                <w:szCs w:val="20"/>
              </w:rPr>
            </w:pPr>
            <w:r w:rsidRPr="00561E7D">
              <w:rPr>
                <w:rFonts w:ascii="Arial" w:hAnsi="Arial" w:cs="Arial"/>
                <w:sz w:val="20"/>
                <w:szCs w:val="20"/>
              </w:rPr>
              <w:t>Number of VET qualifications completed by students, by disability status (000)</w:t>
            </w:r>
            <w:r w:rsidR="00181B96">
              <w:rPr>
                <w:rFonts w:ascii="Arial" w:hAnsi="Arial" w:cs="Arial"/>
                <w:sz w:val="20"/>
                <w:szCs w:val="20"/>
              </w:rPr>
              <w:t xml:space="preserve"> </w:t>
            </w:r>
          </w:p>
        </w:tc>
      </w:tr>
      <w:tr w:rsidR="00561E7D" w:rsidRPr="00561E7D" w:rsidTr="00561E7D">
        <w:trPr>
          <w:trHeight w:val="612"/>
        </w:trPr>
        <w:tc>
          <w:tcPr>
            <w:tcW w:w="1456" w:type="dxa"/>
            <w:tcBorders>
              <w:top w:val="nil"/>
              <w:left w:val="nil"/>
              <w:bottom w:val="nil"/>
              <w:right w:val="nil"/>
            </w:tcBorders>
            <w:shd w:val="clear" w:color="auto" w:fill="auto"/>
            <w:noWrap/>
            <w:hideMark/>
          </w:tcPr>
          <w:p w:rsidR="00561E7D" w:rsidRPr="00181B96" w:rsidRDefault="00561E7D" w:rsidP="004B13EC">
            <w:pPr>
              <w:spacing w:after="40"/>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5A.82</w:t>
            </w:r>
            <w:proofErr w:type="spellEnd"/>
          </w:p>
        </w:tc>
        <w:tc>
          <w:tcPr>
            <w:tcW w:w="7404" w:type="dxa"/>
            <w:tcBorders>
              <w:top w:val="nil"/>
              <w:left w:val="nil"/>
              <w:bottom w:val="nil"/>
              <w:right w:val="nil"/>
            </w:tcBorders>
            <w:shd w:val="clear" w:color="auto" w:fill="auto"/>
            <w:hideMark/>
          </w:tcPr>
          <w:p w:rsidR="00561E7D" w:rsidRPr="00561E7D" w:rsidRDefault="00561E7D" w:rsidP="004B13EC">
            <w:pPr>
              <w:spacing w:after="40"/>
              <w:jc w:val="both"/>
              <w:rPr>
                <w:rFonts w:ascii="Arial" w:hAnsi="Arial" w:cs="Arial"/>
                <w:sz w:val="20"/>
                <w:szCs w:val="20"/>
              </w:rPr>
            </w:pPr>
            <w:r w:rsidRPr="00561E7D">
              <w:rPr>
                <w:rFonts w:ascii="Arial" w:hAnsi="Arial" w:cs="Arial"/>
                <w:sz w:val="20"/>
                <w:szCs w:val="20"/>
              </w:rPr>
              <w:t>Number of VET qualifications completed by students, by language spoken at home ('000)</w:t>
            </w:r>
            <w:r w:rsidR="00181B96">
              <w:rPr>
                <w:rFonts w:ascii="Arial" w:hAnsi="Arial" w:cs="Arial"/>
                <w:sz w:val="20"/>
                <w:szCs w:val="20"/>
              </w:rPr>
              <w:t xml:space="preserve"> </w:t>
            </w:r>
          </w:p>
        </w:tc>
      </w:tr>
      <w:tr w:rsidR="00561E7D" w:rsidRPr="00561E7D" w:rsidTr="00561E7D">
        <w:trPr>
          <w:trHeight w:val="357"/>
        </w:trPr>
        <w:tc>
          <w:tcPr>
            <w:tcW w:w="1456" w:type="dxa"/>
            <w:tcBorders>
              <w:top w:val="nil"/>
              <w:left w:val="nil"/>
              <w:bottom w:val="nil"/>
              <w:right w:val="nil"/>
            </w:tcBorders>
            <w:shd w:val="clear" w:color="auto" w:fill="auto"/>
            <w:noWrap/>
            <w:hideMark/>
          </w:tcPr>
          <w:p w:rsidR="00561E7D" w:rsidRPr="00181B96" w:rsidRDefault="00561E7D" w:rsidP="004B13EC">
            <w:pPr>
              <w:spacing w:after="40"/>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5A.83</w:t>
            </w:r>
            <w:proofErr w:type="spellEnd"/>
          </w:p>
        </w:tc>
        <w:tc>
          <w:tcPr>
            <w:tcW w:w="7404" w:type="dxa"/>
            <w:tcBorders>
              <w:top w:val="nil"/>
              <w:left w:val="nil"/>
              <w:bottom w:val="nil"/>
              <w:right w:val="nil"/>
            </w:tcBorders>
            <w:shd w:val="clear" w:color="auto" w:fill="auto"/>
            <w:hideMark/>
          </w:tcPr>
          <w:p w:rsidR="00561E7D" w:rsidRPr="00561E7D" w:rsidRDefault="00561E7D" w:rsidP="004B13EC">
            <w:pPr>
              <w:spacing w:after="40"/>
              <w:jc w:val="both"/>
              <w:rPr>
                <w:rFonts w:ascii="Arial" w:hAnsi="Arial" w:cs="Arial"/>
                <w:sz w:val="20"/>
                <w:szCs w:val="20"/>
              </w:rPr>
            </w:pPr>
            <w:r w:rsidRPr="00561E7D">
              <w:rPr>
                <w:rFonts w:ascii="Arial" w:hAnsi="Arial" w:cs="Arial"/>
                <w:sz w:val="20"/>
                <w:szCs w:val="20"/>
              </w:rPr>
              <w:t>VET qualifications completed by students, by course level</w:t>
            </w:r>
            <w:r w:rsidR="00181B96">
              <w:rPr>
                <w:rFonts w:ascii="Arial" w:hAnsi="Arial" w:cs="Arial"/>
                <w:sz w:val="20"/>
                <w:szCs w:val="20"/>
              </w:rPr>
              <w:t xml:space="preserve">  </w:t>
            </w:r>
          </w:p>
        </w:tc>
      </w:tr>
      <w:tr w:rsidR="00561E7D" w:rsidRPr="00561E7D" w:rsidTr="004B13EC">
        <w:trPr>
          <w:trHeight w:val="462"/>
        </w:trPr>
        <w:tc>
          <w:tcPr>
            <w:tcW w:w="1456" w:type="dxa"/>
            <w:tcBorders>
              <w:top w:val="nil"/>
              <w:left w:val="nil"/>
              <w:bottom w:val="nil"/>
              <w:right w:val="nil"/>
            </w:tcBorders>
            <w:shd w:val="clear" w:color="auto" w:fill="auto"/>
            <w:noWrap/>
            <w:hideMark/>
          </w:tcPr>
          <w:p w:rsidR="00561E7D" w:rsidRPr="00181B96" w:rsidRDefault="00561E7D" w:rsidP="004B13EC">
            <w:pPr>
              <w:spacing w:after="40"/>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5A.84</w:t>
            </w:r>
            <w:proofErr w:type="spellEnd"/>
          </w:p>
        </w:tc>
        <w:tc>
          <w:tcPr>
            <w:tcW w:w="7404" w:type="dxa"/>
            <w:tcBorders>
              <w:top w:val="nil"/>
              <w:left w:val="nil"/>
              <w:bottom w:val="nil"/>
              <w:right w:val="nil"/>
            </w:tcBorders>
            <w:shd w:val="clear" w:color="auto" w:fill="auto"/>
            <w:hideMark/>
          </w:tcPr>
          <w:p w:rsidR="00561E7D" w:rsidRPr="00561E7D" w:rsidRDefault="00561E7D" w:rsidP="004B13EC">
            <w:pPr>
              <w:spacing w:after="40"/>
              <w:jc w:val="both"/>
              <w:rPr>
                <w:rFonts w:ascii="Arial" w:hAnsi="Arial" w:cs="Arial"/>
                <w:sz w:val="20"/>
                <w:szCs w:val="20"/>
              </w:rPr>
            </w:pPr>
            <w:r w:rsidRPr="00561E7D">
              <w:rPr>
                <w:rFonts w:ascii="Arial" w:hAnsi="Arial" w:cs="Arial"/>
                <w:sz w:val="20"/>
                <w:szCs w:val="20"/>
              </w:rPr>
              <w:t>VET qualifications completed by course level, Indigenous st</w:t>
            </w:r>
            <w:r w:rsidR="00181B96">
              <w:rPr>
                <w:rFonts w:ascii="Arial" w:hAnsi="Arial" w:cs="Arial"/>
                <w:sz w:val="20"/>
                <w:szCs w:val="20"/>
              </w:rPr>
              <w:t xml:space="preserve">atus and target age group </w:t>
            </w:r>
          </w:p>
        </w:tc>
      </w:tr>
      <w:tr w:rsidR="00561E7D" w:rsidRPr="00561E7D" w:rsidTr="00561E7D">
        <w:trPr>
          <w:trHeight w:val="357"/>
        </w:trPr>
        <w:tc>
          <w:tcPr>
            <w:tcW w:w="1456" w:type="dxa"/>
            <w:tcBorders>
              <w:top w:val="nil"/>
              <w:left w:val="nil"/>
              <w:bottom w:val="nil"/>
              <w:right w:val="nil"/>
            </w:tcBorders>
            <w:shd w:val="clear" w:color="auto" w:fill="auto"/>
            <w:noWrap/>
            <w:hideMark/>
          </w:tcPr>
          <w:p w:rsidR="00561E7D" w:rsidRPr="00181B96" w:rsidRDefault="00561E7D" w:rsidP="004B13EC">
            <w:pPr>
              <w:spacing w:after="40"/>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5A.85</w:t>
            </w:r>
            <w:proofErr w:type="spellEnd"/>
          </w:p>
        </w:tc>
        <w:tc>
          <w:tcPr>
            <w:tcW w:w="7404" w:type="dxa"/>
            <w:tcBorders>
              <w:top w:val="nil"/>
              <w:left w:val="nil"/>
              <w:bottom w:val="nil"/>
              <w:right w:val="nil"/>
            </w:tcBorders>
            <w:shd w:val="clear" w:color="auto" w:fill="auto"/>
            <w:hideMark/>
          </w:tcPr>
          <w:p w:rsidR="00561E7D" w:rsidRPr="00561E7D" w:rsidRDefault="00561E7D" w:rsidP="004B13EC">
            <w:pPr>
              <w:spacing w:after="40"/>
              <w:jc w:val="both"/>
              <w:rPr>
                <w:rFonts w:ascii="Arial" w:hAnsi="Arial" w:cs="Arial"/>
                <w:sz w:val="20"/>
                <w:szCs w:val="20"/>
              </w:rPr>
            </w:pPr>
            <w:r w:rsidRPr="00561E7D">
              <w:rPr>
                <w:rFonts w:ascii="Arial" w:hAnsi="Arial" w:cs="Arial"/>
                <w:sz w:val="20"/>
                <w:szCs w:val="20"/>
              </w:rPr>
              <w:t>Qualification Equivalents, all ages, by Indigenous status</w:t>
            </w:r>
            <w:r w:rsidR="00181B96">
              <w:rPr>
                <w:rFonts w:ascii="Arial" w:hAnsi="Arial" w:cs="Arial"/>
                <w:sz w:val="20"/>
                <w:szCs w:val="20"/>
              </w:rPr>
              <w:t xml:space="preserve"> </w:t>
            </w:r>
          </w:p>
        </w:tc>
      </w:tr>
      <w:tr w:rsidR="00561E7D" w:rsidRPr="00561E7D" w:rsidTr="00561E7D">
        <w:trPr>
          <w:trHeight w:val="357"/>
        </w:trPr>
        <w:tc>
          <w:tcPr>
            <w:tcW w:w="1456" w:type="dxa"/>
            <w:tcBorders>
              <w:top w:val="nil"/>
              <w:left w:val="nil"/>
              <w:bottom w:val="nil"/>
              <w:right w:val="nil"/>
            </w:tcBorders>
            <w:shd w:val="clear" w:color="auto" w:fill="auto"/>
            <w:noWrap/>
            <w:hideMark/>
          </w:tcPr>
          <w:p w:rsidR="00561E7D" w:rsidRPr="00181B96" w:rsidRDefault="00561E7D" w:rsidP="004B13EC">
            <w:pPr>
              <w:spacing w:after="40"/>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5A.86</w:t>
            </w:r>
            <w:proofErr w:type="spellEnd"/>
          </w:p>
        </w:tc>
        <w:tc>
          <w:tcPr>
            <w:tcW w:w="7404" w:type="dxa"/>
            <w:tcBorders>
              <w:top w:val="nil"/>
              <w:left w:val="nil"/>
              <w:bottom w:val="nil"/>
              <w:right w:val="nil"/>
            </w:tcBorders>
            <w:shd w:val="clear" w:color="auto" w:fill="auto"/>
            <w:hideMark/>
          </w:tcPr>
          <w:p w:rsidR="00561E7D" w:rsidRPr="00561E7D" w:rsidRDefault="00561E7D" w:rsidP="004B13EC">
            <w:pPr>
              <w:spacing w:after="40"/>
              <w:jc w:val="both"/>
              <w:rPr>
                <w:rFonts w:ascii="Arial" w:hAnsi="Arial" w:cs="Arial"/>
                <w:sz w:val="20"/>
                <w:szCs w:val="20"/>
              </w:rPr>
            </w:pPr>
            <w:r w:rsidRPr="00561E7D">
              <w:rPr>
                <w:rFonts w:ascii="Arial" w:hAnsi="Arial" w:cs="Arial"/>
                <w:sz w:val="20"/>
                <w:szCs w:val="20"/>
              </w:rPr>
              <w:t>Number of units of competency and modules completed</w:t>
            </w:r>
            <w:r w:rsidR="00181B96">
              <w:rPr>
                <w:rFonts w:ascii="Arial" w:hAnsi="Arial" w:cs="Arial"/>
                <w:sz w:val="20"/>
                <w:szCs w:val="20"/>
              </w:rPr>
              <w:t xml:space="preserve"> </w:t>
            </w:r>
          </w:p>
        </w:tc>
      </w:tr>
      <w:tr w:rsidR="00561E7D" w:rsidRPr="00561E7D" w:rsidTr="00561E7D">
        <w:trPr>
          <w:trHeight w:val="357"/>
        </w:trPr>
        <w:tc>
          <w:tcPr>
            <w:tcW w:w="1456" w:type="dxa"/>
            <w:tcBorders>
              <w:top w:val="nil"/>
              <w:left w:val="nil"/>
              <w:bottom w:val="nil"/>
              <w:right w:val="nil"/>
            </w:tcBorders>
            <w:shd w:val="clear" w:color="auto" w:fill="auto"/>
            <w:noWrap/>
            <w:hideMark/>
          </w:tcPr>
          <w:p w:rsidR="00561E7D" w:rsidRPr="00181B96" w:rsidRDefault="00561E7D" w:rsidP="004B13EC">
            <w:pPr>
              <w:spacing w:after="40"/>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5A.87</w:t>
            </w:r>
            <w:proofErr w:type="spellEnd"/>
          </w:p>
        </w:tc>
        <w:tc>
          <w:tcPr>
            <w:tcW w:w="7404" w:type="dxa"/>
            <w:tcBorders>
              <w:top w:val="nil"/>
              <w:left w:val="nil"/>
              <w:bottom w:val="nil"/>
              <w:right w:val="nil"/>
            </w:tcBorders>
            <w:shd w:val="clear" w:color="auto" w:fill="auto"/>
            <w:hideMark/>
          </w:tcPr>
          <w:p w:rsidR="00561E7D" w:rsidRPr="00561E7D" w:rsidRDefault="00561E7D" w:rsidP="004B13EC">
            <w:pPr>
              <w:spacing w:after="40"/>
              <w:jc w:val="both"/>
              <w:rPr>
                <w:rFonts w:ascii="Arial" w:hAnsi="Arial" w:cs="Arial"/>
                <w:sz w:val="20"/>
                <w:szCs w:val="20"/>
              </w:rPr>
            </w:pPr>
            <w:r w:rsidRPr="00561E7D">
              <w:rPr>
                <w:rFonts w:ascii="Arial" w:hAnsi="Arial" w:cs="Arial"/>
                <w:sz w:val="20"/>
                <w:szCs w:val="20"/>
              </w:rPr>
              <w:t>Number of units of competency and modules completed, by regions ('000)</w:t>
            </w:r>
            <w:r w:rsidR="00181B96">
              <w:rPr>
                <w:rFonts w:ascii="Arial" w:hAnsi="Arial" w:cs="Arial"/>
                <w:sz w:val="20"/>
                <w:szCs w:val="20"/>
              </w:rPr>
              <w:t xml:space="preserve"> </w:t>
            </w:r>
          </w:p>
        </w:tc>
      </w:tr>
      <w:tr w:rsidR="00561E7D" w:rsidRPr="00561E7D" w:rsidTr="004B13EC">
        <w:trPr>
          <w:trHeight w:val="203"/>
        </w:trPr>
        <w:tc>
          <w:tcPr>
            <w:tcW w:w="1456" w:type="dxa"/>
            <w:tcBorders>
              <w:top w:val="nil"/>
              <w:left w:val="nil"/>
              <w:bottom w:val="nil"/>
              <w:right w:val="nil"/>
            </w:tcBorders>
            <w:shd w:val="clear" w:color="auto" w:fill="auto"/>
            <w:noWrap/>
            <w:hideMark/>
          </w:tcPr>
          <w:p w:rsidR="00561E7D" w:rsidRPr="00181B96" w:rsidRDefault="00561E7D" w:rsidP="004B13EC">
            <w:pPr>
              <w:spacing w:after="40"/>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5A.88</w:t>
            </w:r>
            <w:proofErr w:type="spellEnd"/>
          </w:p>
        </w:tc>
        <w:tc>
          <w:tcPr>
            <w:tcW w:w="7404" w:type="dxa"/>
            <w:tcBorders>
              <w:top w:val="nil"/>
              <w:left w:val="nil"/>
              <w:bottom w:val="nil"/>
              <w:right w:val="nil"/>
            </w:tcBorders>
            <w:shd w:val="clear" w:color="auto" w:fill="auto"/>
            <w:hideMark/>
          </w:tcPr>
          <w:p w:rsidR="00561E7D" w:rsidRPr="00561E7D" w:rsidRDefault="00561E7D" w:rsidP="004B13EC">
            <w:pPr>
              <w:spacing w:after="40"/>
              <w:jc w:val="both"/>
              <w:rPr>
                <w:rFonts w:ascii="Arial" w:hAnsi="Arial" w:cs="Arial"/>
                <w:sz w:val="20"/>
                <w:szCs w:val="20"/>
              </w:rPr>
            </w:pPr>
            <w:r w:rsidRPr="00561E7D">
              <w:rPr>
                <w:rFonts w:ascii="Arial" w:hAnsi="Arial" w:cs="Arial"/>
                <w:sz w:val="20"/>
                <w:szCs w:val="20"/>
              </w:rPr>
              <w:t>Number of units of competency and modules completed, by disability status ('000)</w:t>
            </w:r>
            <w:r w:rsidR="00181B96">
              <w:rPr>
                <w:rFonts w:ascii="Arial" w:hAnsi="Arial" w:cs="Arial"/>
                <w:sz w:val="20"/>
                <w:szCs w:val="20"/>
              </w:rPr>
              <w:t xml:space="preserve"> </w:t>
            </w:r>
          </w:p>
        </w:tc>
      </w:tr>
      <w:tr w:rsidR="00561E7D" w:rsidRPr="00561E7D" w:rsidTr="004B13EC">
        <w:trPr>
          <w:trHeight w:val="408"/>
        </w:trPr>
        <w:tc>
          <w:tcPr>
            <w:tcW w:w="1456" w:type="dxa"/>
            <w:tcBorders>
              <w:top w:val="nil"/>
              <w:left w:val="nil"/>
              <w:bottom w:val="nil"/>
              <w:right w:val="nil"/>
            </w:tcBorders>
            <w:shd w:val="clear" w:color="auto" w:fill="auto"/>
            <w:noWrap/>
            <w:hideMark/>
          </w:tcPr>
          <w:p w:rsidR="00561E7D" w:rsidRPr="00181B96" w:rsidRDefault="00561E7D" w:rsidP="004B13EC">
            <w:pPr>
              <w:spacing w:after="40"/>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5A.89</w:t>
            </w:r>
            <w:proofErr w:type="spellEnd"/>
          </w:p>
        </w:tc>
        <w:tc>
          <w:tcPr>
            <w:tcW w:w="7404" w:type="dxa"/>
            <w:tcBorders>
              <w:top w:val="nil"/>
              <w:left w:val="nil"/>
              <w:bottom w:val="nil"/>
              <w:right w:val="nil"/>
            </w:tcBorders>
            <w:shd w:val="clear" w:color="auto" w:fill="auto"/>
            <w:hideMark/>
          </w:tcPr>
          <w:p w:rsidR="00561E7D" w:rsidRPr="00561E7D" w:rsidRDefault="00561E7D" w:rsidP="004B13EC">
            <w:pPr>
              <w:spacing w:after="40"/>
              <w:jc w:val="both"/>
              <w:rPr>
                <w:rFonts w:ascii="Arial" w:hAnsi="Arial" w:cs="Arial"/>
                <w:sz w:val="20"/>
                <w:szCs w:val="20"/>
              </w:rPr>
            </w:pPr>
            <w:r w:rsidRPr="00561E7D">
              <w:rPr>
                <w:rFonts w:ascii="Arial" w:hAnsi="Arial" w:cs="Arial"/>
                <w:sz w:val="20"/>
                <w:szCs w:val="20"/>
              </w:rPr>
              <w:t>Number of units of competency and modules completed, by language spoken at home ('000)</w:t>
            </w:r>
            <w:r w:rsidR="00181B96">
              <w:rPr>
                <w:rFonts w:ascii="Arial" w:hAnsi="Arial" w:cs="Arial"/>
                <w:sz w:val="20"/>
                <w:szCs w:val="20"/>
              </w:rPr>
              <w:t xml:space="preserve"> </w:t>
            </w:r>
          </w:p>
        </w:tc>
      </w:tr>
      <w:tr w:rsidR="00561E7D" w:rsidRPr="00561E7D" w:rsidTr="004B13EC">
        <w:trPr>
          <w:trHeight w:val="502"/>
        </w:trPr>
        <w:tc>
          <w:tcPr>
            <w:tcW w:w="1456" w:type="dxa"/>
            <w:tcBorders>
              <w:top w:val="nil"/>
              <w:left w:val="nil"/>
              <w:bottom w:val="nil"/>
              <w:right w:val="nil"/>
            </w:tcBorders>
            <w:shd w:val="clear" w:color="auto" w:fill="auto"/>
            <w:noWrap/>
            <w:hideMark/>
          </w:tcPr>
          <w:p w:rsidR="00561E7D" w:rsidRPr="00181B96" w:rsidRDefault="00561E7D" w:rsidP="004B13EC">
            <w:pPr>
              <w:spacing w:after="40"/>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5A.90</w:t>
            </w:r>
            <w:proofErr w:type="spellEnd"/>
          </w:p>
        </w:tc>
        <w:tc>
          <w:tcPr>
            <w:tcW w:w="7404" w:type="dxa"/>
            <w:tcBorders>
              <w:top w:val="nil"/>
              <w:left w:val="nil"/>
              <w:bottom w:val="nil"/>
              <w:right w:val="nil"/>
            </w:tcBorders>
            <w:shd w:val="clear" w:color="auto" w:fill="auto"/>
            <w:hideMark/>
          </w:tcPr>
          <w:p w:rsidR="00561E7D" w:rsidRPr="00561E7D" w:rsidRDefault="00561E7D" w:rsidP="004B13EC">
            <w:pPr>
              <w:spacing w:after="40"/>
              <w:jc w:val="both"/>
              <w:rPr>
                <w:rFonts w:ascii="Arial" w:hAnsi="Arial" w:cs="Arial"/>
                <w:sz w:val="20"/>
                <w:szCs w:val="20"/>
              </w:rPr>
            </w:pPr>
            <w:r w:rsidRPr="00561E7D">
              <w:rPr>
                <w:rFonts w:ascii="Arial" w:hAnsi="Arial" w:cs="Arial"/>
                <w:sz w:val="20"/>
                <w:szCs w:val="20"/>
              </w:rPr>
              <w:t>Number of units of competency and modules completed, by Indigenous status ('000)</w:t>
            </w:r>
            <w:r w:rsidR="00181B96">
              <w:rPr>
                <w:rFonts w:ascii="Arial" w:hAnsi="Arial" w:cs="Arial"/>
                <w:sz w:val="20"/>
                <w:szCs w:val="20"/>
              </w:rPr>
              <w:t xml:space="preserve"> </w:t>
            </w:r>
          </w:p>
        </w:tc>
      </w:tr>
      <w:tr w:rsidR="00561E7D" w:rsidRPr="00561E7D" w:rsidTr="004B13EC">
        <w:trPr>
          <w:trHeight w:val="364"/>
        </w:trPr>
        <w:tc>
          <w:tcPr>
            <w:tcW w:w="1456" w:type="dxa"/>
            <w:tcBorders>
              <w:top w:val="nil"/>
              <w:left w:val="nil"/>
              <w:bottom w:val="nil"/>
              <w:right w:val="nil"/>
            </w:tcBorders>
            <w:shd w:val="clear" w:color="auto" w:fill="auto"/>
            <w:noWrap/>
            <w:hideMark/>
          </w:tcPr>
          <w:p w:rsidR="00561E7D" w:rsidRPr="00181B96" w:rsidRDefault="00561E7D" w:rsidP="004B13EC">
            <w:pPr>
              <w:spacing w:after="40"/>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5A.91</w:t>
            </w:r>
            <w:proofErr w:type="spellEnd"/>
          </w:p>
        </w:tc>
        <w:tc>
          <w:tcPr>
            <w:tcW w:w="7404" w:type="dxa"/>
            <w:tcBorders>
              <w:top w:val="nil"/>
              <w:left w:val="nil"/>
              <w:bottom w:val="nil"/>
              <w:right w:val="nil"/>
            </w:tcBorders>
            <w:shd w:val="clear" w:color="auto" w:fill="auto"/>
            <w:hideMark/>
          </w:tcPr>
          <w:p w:rsidR="00561E7D" w:rsidRPr="00561E7D" w:rsidRDefault="00561E7D" w:rsidP="004B13EC">
            <w:pPr>
              <w:spacing w:after="40"/>
              <w:jc w:val="both"/>
              <w:rPr>
                <w:rFonts w:ascii="Arial" w:hAnsi="Arial" w:cs="Arial"/>
                <w:sz w:val="20"/>
                <w:szCs w:val="20"/>
              </w:rPr>
            </w:pPr>
            <w:r w:rsidRPr="00561E7D">
              <w:rPr>
                <w:rFonts w:ascii="Arial" w:hAnsi="Arial" w:cs="Arial"/>
                <w:sz w:val="20"/>
                <w:szCs w:val="20"/>
              </w:rPr>
              <w:t xml:space="preserve">Employer engagement with VET (per cent)  </w:t>
            </w:r>
          </w:p>
        </w:tc>
      </w:tr>
      <w:tr w:rsidR="00561E7D" w:rsidRPr="00561E7D" w:rsidTr="00561E7D">
        <w:trPr>
          <w:trHeight w:val="357"/>
        </w:trPr>
        <w:tc>
          <w:tcPr>
            <w:tcW w:w="1456" w:type="dxa"/>
            <w:tcBorders>
              <w:top w:val="nil"/>
              <w:left w:val="nil"/>
              <w:bottom w:val="nil"/>
              <w:right w:val="nil"/>
            </w:tcBorders>
            <w:shd w:val="clear" w:color="auto" w:fill="auto"/>
            <w:noWrap/>
            <w:hideMark/>
          </w:tcPr>
          <w:p w:rsidR="00561E7D" w:rsidRPr="00181B96" w:rsidRDefault="00561E7D" w:rsidP="004B13EC">
            <w:pPr>
              <w:spacing w:after="40"/>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5A.92</w:t>
            </w:r>
            <w:proofErr w:type="spellEnd"/>
          </w:p>
        </w:tc>
        <w:tc>
          <w:tcPr>
            <w:tcW w:w="7404" w:type="dxa"/>
            <w:tcBorders>
              <w:top w:val="nil"/>
              <w:left w:val="nil"/>
              <w:bottom w:val="nil"/>
              <w:right w:val="nil"/>
            </w:tcBorders>
            <w:shd w:val="clear" w:color="auto" w:fill="auto"/>
            <w:hideMark/>
          </w:tcPr>
          <w:p w:rsidR="00561E7D" w:rsidRPr="00561E7D" w:rsidRDefault="00561E7D" w:rsidP="004B13EC">
            <w:pPr>
              <w:spacing w:after="40"/>
              <w:jc w:val="both"/>
              <w:rPr>
                <w:rFonts w:ascii="Arial" w:hAnsi="Arial" w:cs="Arial"/>
                <w:sz w:val="20"/>
                <w:szCs w:val="20"/>
              </w:rPr>
            </w:pPr>
            <w:r w:rsidRPr="00561E7D">
              <w:rPr>
                <w:rFonts w:ascii="Arial" w:hAnsi="Arial" w:cs="Arial"/>
                <w:sz w:val="20"/>
                <w:szCs w:val="20"/>
              </w:rPr>
              <w:t>Employer satisfaction with VET  (per cent)</w:t>
            </w:r>
            <w:r w:rsidR="00181B96">
              <w:rPr>
                <w:rFonts w:ascii="Arial" w:hAnsi="Arial" w:cs="Arial"/>
                <w:sz w:val="20"/>
                <w:szCs w:val="20"/>
              </w:rPr>
              <w:t xml:space="preserve"> </w:t>
            </w:r>
          </w:p>
        </w:tc>
      </w:tr>
      <w:tr w:rsidR="00561E7D" w:rsidRPr="00561E7D" w:rsidTr="00561E7D">
        <w:trPr>
          <w:trHeight w:val="357"/>
        </w:trPr>
        <w:tc>
          <w:tcPr>
            <w:tcW w:w="1456" w:type="dxa"/>
            <w:tcBorders>
              <w:top w:val="nil"/>
              <w:left w:val="nil"/>
              <w:bottom w:val="nil"/>
              <w:right w:val="nil"/>
            </w:tcBorders>
            <w:shd w:val="clear" w:color="auto" w:fill="auto"/>
            <w:noWrap/>
            <w:hideMark/>
          </w:tcPr>
          <w:p w:rsidR="00561E7D" w:rsidRPr="00181B96" w:rsidRDefault="00561E7D" w:rsidP="00561E7D">
            <w:pPr>
              <w:rPr>
                <w:rFonts w:ascii="Arial" w:hAnsi="Arial" w:cs="Arial"/>
                <w:b/>
                <w:bCs/>
                <w:sz w:val="20"/>
                <w:szCs w:val="20"/>
              </w:rPr>
            </w:pPr>
            <w:r w:rsidRPr="00181B96">
              <w:rPr>
                <w:rFonts w:ascii="Arial" w:hAnsi="Arial" w:cs="Arial"/>
                <w:b/>
                <w:bCs/>
                <w:sz w:val="20"/>
                <w:szCs w:val="20"/>
              </w:rPr>
              <w:t xml:space="preserve">Table </w:t>
            </w:r>
            <w:proofErr w:type="spellStart"/>
            <w:r w:rsidRPr="00181B96">
              <w:rPr>
                <w:rFonts w:ascii="Arial" w:hAnsi="Arial" w:cs="Arial"/>
                <w:b/>
                <w:bCs/>
                <w:sz w:val="20"/>
                <w:szCs w:val="20"/>
              </w:rPr>
              <w:t>5A.93</w:t>
            </w:r>
            <w:proofErr w:type="spellEnd"/>
          </w:p>
        </w:tc>
        <w:tc>
          <w:tcPr>
            <w:tcW w:w="7404" w:type="dxa"/>
            <w:tcBorders>
              <w:top w:val="nil"/>
              <w:left w:val="nil"/>
              <w:bottom w:val="nil"/>
              <w:right w:val="nil"/>
            </w:tcBorders>
            <w:shd w:val="clear" w:color="auto" w:fill="auto"/>
            <w:hideMark/>
          </w:tcPr>
          <w:p w:rsidR="00561E7D" w:rsidRPr="00561E7D" w:rsidRDefault="00561E7D" w:rsidP="00561E7D">
            <w:pPr>
              <w:jc w:val="both"/>
              <w:rPr>
                <w:rFonts w:ascii="Arial" w:hAnsi="Arial" w:cs="Arial"/>
                <w:sz w:val="20"/>
                <w:szCs w:val="20"/>
              </w:rPr>
            </w:pPr>
            <w:r w:rsidRPr="00561E7D">
              <w:rPr>
                <w:rFonts w:ascii="Arial" w:hAnsi="Arial" w:cs="Arial"/>
                <w:sz w:val="20"/>
                <w:szCs w:val="20"/>
              </w:rPr>
              <w:t>Gross Domestic Product chain price deflator (index)</w:t>
            </w:r>
          </w:p>
        </w:tc>
      </w:tr>
    </w:tbl>
    <w:p w:rsidR="00C57336" w:rsidRPr="00EF5A5F" w:rsidRDefault="00FA7BB6" w:rsidP="00281C53">
      <w:pPr>
        <w:pStyle w:val="Heading2"/>
      </w:pPr>
      <w:bookmarkStart w:id="20" w:name="_Toc341279246"/>
      <w:bookmarkStart w:id="21" w:name="_Toc401829965"/>
      <w:r w:rsidRPr="00EF5A5F">
        <w:lastRenderedPageBreak/>
        <w:t>5</w:t>
      </w:r>
      <w:r w:rsidR="00C57336" w:rsidRPr="00EF5A5F">
        <w:t>.8</w:t>
      </w:r>
      <w:r w:rsidR="00C57336" w:rsidRPr="00EF5A5F">
        <w:tab/>
        <w:t>References</w:t>
      </w:r>
      <w:bookmarkEnd w:id="20"/>
      <w:bookmarkEnd w:id="21"/>
    </w:p>
    <w:p w:rsidR="008E0E6E" w:rsidRDefault="00C57336" w:rsidP="00473934">
      <w:pPr>
        <w:pStyle w:val="Reference"/>
      </w:pPr>
      <w:r w:rsidRPr="00C15F4D">
        <w:t xml:space="preserve">ABS (Australian Bureau of Statistics) </w:t>
      </w:r>
      <w:r w:rsidR="008E0E6E" w:rsidRPr="00EF5A5F">
        <w:t>201</w:t>
      </w:r>
      <w:r w:rsidR="008E0E6E">
        <w:t>3</w:t>
      </w:r>
      <w:r w:rsidR="008E0E6E" w:rsidRPr="00EF5A5F">
        <w:t xml:space="preserve">, </w:t>
      </w:r>
      <w:r w:rsidR="008E0E6E" w:rsidRPr="00EF5A5F">
        <w:rPr>
          <w:i/>
        </w:rPr>
        <w:t>Disability, Ageing and Carers Australia: Summary of Findings 20</w:t>
      </w:r>
      <w:r w:rsidR="008E0E6E">
        <w:rPr>
          <w:i/>
        </w:rPr>
        <w:t>12</w:t>
      </w:r>
      <w:r w:rsidR="008E0E6E" w:rsidRPr="00EF5A5F">
        <w:t>, Cat. no. 4430.0, Canberra.</w:t>
      </w:r>
    </w:p>
    <w:p w:rsidR="008E0E6E" w:rsidRDefault="007A35FA" w:rsidP="008E0E6E">
      <w:pPr>
        <w:pStyle w:val="Reference"/>
      </w:pPr>
      <w:r w:rsidRPr="00EF5A5F">
        <w:rPr>
          <w:rStyle w:val="ReferenceChar"/>
        </w:rPr>
        <w:t xml:space="preserve">—— </w:t>
      </w:r>
      <w:r w:rsidR="008E0E6E" w:rsidRPr="00C15F4D">
        <w:t xml:space="preserve">2012, </w:t>
      </w:r>
      <w:r w:rsidR="008E0E6E" w:rsidRPr="00C15F4D">
        <w:rPr>
          <w:i/>
        </w:rPr>
        <w:t>2011 Census of Population and Housing, Australia, States and Territories, Expanded Communi</w:t>
      </w:r>
      <w:r w:rsidR="008E0E6E">
        <w:rPr>
          <w:i/>
        </w:rPr>
        <w:t xml:space="preserve">ty Profile, Table </w:t>
      </w:r>
      <w:proofErr w:type="spellStart"/>
      <w:r w:rsidR="008E0E6E">
        <w:rPr>
          <w:i/>
        </w:rPr>
        <w:t>X05</w:t>
      </w:r>
      <w:proofErr w:type="spellEnd"/>
      <w:r w:rsidR="008E0E6E">
        <w:rPr>
          <w:i/>
        </w:rPr>
        <w:t xml:space="preserve"> -</w:t>
      </w:r>
      <w:r w:rsidR="008E0E6E" w:rsidRPr="00C15F4D">
        <w:rPr>
          <w:i/>
        </w:rPr>
        <w:t xml:space="preserve"> Language spoken at home by proficiency in spoken English/language by sex, </w:t>
      </w:r>
      <w:r w:rsidR="008E0E6E" w:rsidRPr="008E0E6E">
        <w:t>Cat. no. 2005.0, Canberra.</w:t>
      </w:r>
      <w:r w:rsidR="008E0E6E" w:rsidRPr="00C15F4D">
        <w:rPr>
          <w:i/>
        </w:rPr>
        <w:t xml:space="preserve"> </w:t>
      </w:r>
    </w:p>
    <w:p w:rsidR="00511061" w:rsidRPr="00EF5A5F" w:rsidRDefault="00511061" w:rsidP="00511061">
      <w:pPr>
        <w:pStyle w:val="Reference"/>
      </w:pPr>
      <w:r w:rsidRPr="00EF5A5F">
        <w:rPr>
          <w:rStyle w:val="ReferenceChar"/>
        </w:rPr>
        <w:t xml:space="preserve">—— </w:t>
      </w:r>
      <w:r w:rsidRPr="00EF5A5F">
        <w:rPr>
          <w:i/>
        </w:rPr>
        <w:t>2006 Census of Population and Housing</w:t>
      </w:r>
      <w:r w:rsidRPr="00EF5A5F">
        <w:t>, Cat. no. 2068.0, Canberra.</w:t>
      </w:r>
    </w:p>
    <w:p w:rsidR="009D52C9" w:rsidRDefault="00106CB7" w:rsidP="0014685B">
      <w:pPr>
        <w:pStyle w:val="Reference"/>
      </w:pPr>
      <w:r w:rsidRPr="00EF5A5F">
        <w:t>COAG (Council of Australian Governments</w:t>
      </w:r>
      <w:r w:rsidRPr="009D604A">
        <w:t xml:space="preserve">) </w:t>
      </w:r>
      <w:r w:rsidR="004D5C3D" w:rsidRPr="009D604A">
        <w:t>2012</w:t>
      </w:r>
      <w:r w:rsidR="009D52C9" w:rsidRPr="009D604A">
        <w:t xml:space="preserve">, </w:t>
      </w:r>
      <w:r w:rsidR="004D5C3D" w:rsidRPr="009D604A">
        <w:rPr>
          <w:i/>
        </w:rPr>
        <w:t>National Agreement for Skills and Workforce Development</w:t>
      </w:r>
      <w:r w:rsidR="004D5C3D" w:rsidRPr="009D604A">
        <w:t xml:space="preserve">, </w:t>
      </w:r>
      <w:proofErr w:type="spellStart"/>
      <w:r w:rsidR="00CE3E3B" w:rsidRPr="009D604A">
        <w:t>www.federalfinancialrelations.gov.au</w:t>
      </w:r>
      <w:proofErr w:type="spellEnd"/>
      <w:r w:rsidR="00CE3E3B" w:rsidRPr="009D604A">
        <w:t>/</w:t>
      </w:r>
      <w:r w:rsidR="00CE3E3B" w:rsidRPr="009D604A">
        <w:br/>
        <w:t>content/</w:t>
      </w:r>
      <w:proofErr w:type="spellStart"/>
      <w:r w:rsidR="00CE3E3B" w:rsidRPr="009D604A">
        <w:t>national_agreements.aspx</w:t>
      </w:r>
      <w:proofErr w:type="spellEnd"/>
      <w:r w:rsidR="004D5C3D" w:rsidRPr="009D604A">
        <w:t xml:space="preserve"> (accessed </w:t>
      </w:r>
      <w:r w:rsidR="004E2BA9" w:rsidRPr="009D604A">
        <w:t>20</w:t>
      </w:r>
      <w:r w:rsidR="004D5C3D" w:rsidRPr="009D604A">
        <w:t> </w:t>
      </w:r>
      <w:r w:rsidR="00B0497B" w:rsidRPr="009D604A">
        <w:t>Dec</w:t>
      </w:r>
      <w:r w:rsidR="00123D29" w:rsidRPr="009D604A">
        <w:t>em</w:t>
      </w:r>
      <w:r w:rsidR="004D5C3D" w:rsidRPr="009D604A">
        <w:t>ber</w:t>
      </w:r>
      <w:r w:rsidR="004D5C3D">
        <w:rPr>
          <w:rStyle w:val="ReferenceChar"/>
        </w:rPr>
        <w:t xml:space="preserve"> </w:t>
      </w:r>
      <w:r w:rsidR="004D5C3D" w:rsidRPr="0014685B">
        <w:rPr>
          <w:rStyle w:val="ReferenceChar"/>
        </w:rPr>
        <w:t>201</w:t>
      </w:r>
      <w:r w:rsidR="004D5C3D">
        <w:rPr>
          <w:rStyle w:val="ReferenceChar"/>
        </w:rPr>
        <w:t>2</w:t>
      </w:r>
      <w:r w:rsidR="004D5C3D" w:rsidRPr="00EF5A5F">
        <w:rPr>
          <w:rStyle w:val="ReferenceChar"/>
        </w:rPr>
        <w:t>).</w:t>
      </w:r>
    </w:p>
    <w:p w:rsidR="00FA54E9" w:rsidRDefault="00C57336" w:rsidP="00FA54E9">
      <w:pPr>
        <w:pStyle w:val="Reference"/>
      </w:pPr>
      <w:r w:rsidRPr="00EF5A5F">
        <w:t xml:space="preserve">NCVER (National Centre for Vocational Education Research) </w:t>
      </w:r>
      <w:r w:rsidR="00FA54E9">
        <w:t xml:space="preserve">2014, </w:t>
      </w:r>
      <w:r w:rsidR="00FA54E9" w:rsidRPr="00FA54E9">
        <w:rPr>
          <w:i/>
        </w:rPr>
        <w:t>Australian vocational education and training statistics: Students and courses 2013</w:t>
      </w:r>
      <w:r w:rsidR="00FA54E9">
        <w:t>, Adelaide.</w:t>
      </w:r>
    </w:p>
    <w:p w:rsidR="005F6DBF" w:rsidRDefault="00FA54E9" w:rsidP="00473934">
      <w:pPr>
        <w:pStyle w:val="Reference"/>
      </w:pPr>
      <w:r>
        <w:t xml:space="preserve">—— </w:t>
      </w:r>
      <w:r w:rsidR="005F6DBF">
        <w:t>201</w:t>
      </w:r>
      <w:r w:rsidR="00293967">
        <w:t>3</w:t>
      </w:r>
      <w:r w:rsidR="005F6DBF" w:rsidRPr="00EF5A5F">
        <w:t xml:space="preserve">, </w:t>
      </w:r>
      <w:r w:rsidR="005F6DBF" w:rsidRPr="00EF5A5F">
        <w:rPr>
          <w:i/>
        </w:rPr>
        <w:t>Australian Vocational Education and Training Statistics: Employers’ use and views of the VET system 20</w:t>
      </w:r>
      <w:r w:rsidR="00293967">
        <w:rPr>
          <w:i/>
        </w:rPr>
        <w:t>13</w:t>
      </w:r>
      <w:r w:rsidR="005F6DBF" w:rsidRPr="00EF5A5F">
        <w:t>, Adelaide</w:t>
      </w:r>
      <w:r w:rsidR="005F6DBF">
        <w:t>.</w:t>
      </w:r>
    </w:p>
    <w:p w:rsidR="00C57336" w:rsidRPr="00EF5A5F" w:rsidRDefault="005F6DBF" w:rsidP="00473934">
      <w:pPr>
        <w:pStyle w:val="Reference"/>
      </w:pPr>
      <w:r w:rsidRPr="00EF5A5F">
        <w:t xml:space="preserve">—— </w:t>
      </w:r>
      <w:r w:rsidR="00C14640" w:rsidRPr="00EF5A5F">
        <w:t xml:space="preserve">2006, </w:t>
      </w:r>
      <w:r w:rsidR="00C14640" w:rsidRPr="00EF5A5F">
        <w:rPr>
          <w:i/>
        </w:rPr>
        <w:t>Australian Vocational Education and Training Statistics: Down the track: TAFE outcomes for young people two years on</w:t>
      </w:r>
      <w:r w:rsidR="00C14640" w:rsidRPr="00EF5A5F">
        <w:t>, Adelaide</w:t>
      </w:r>
      <w:r w:rsidR="00CE3E3B">
        <w:t>.</w:t>
      </w:r>
    </w:p>
    <w:p w:rsidR="00A93174" w:rsidRDefault="00C57336" w:rsidP="00F758BD">
      <w:pPr>
        <w:pStyle w:val="Reference"/>
      </w:pPr>
      <w:r w:rsidRPr="00EF5A5F">
        <w:t xml:space="preserve">SCRGSP (Steering Committee for the Review of Government Service Provision) 2006, </w:t>
      </w:r>
      <w:r w:rsidRPr="00EF5A5F">
        <w:rPr>
          <w:i/>
        </w:rPr>
        <w:t>Report on Government Services 2006</w:t>
      </w:r>
      <w:r w:rsidRPr="00EF5A5F">
        <w:t>, Productivity Commission, Canberra.</w:t>
      </w:r>
    </w:p>
    <w:p w:rsidR="00383496" w:rsidRPr="00EF5A5F" w:rsidRDefault="00383496" w:rsidP="00293967">
      <w:pPr>
        <w:pStyle w:val="Reference"/>
      </w:pPr>
    </w:p>
    <w:sectPr w:rsidR="00383496" w:rsidRPr="00EF5A5F" w:rsidSect="000347C1">
      <w:headerReference w:type="even" r:id="rId73"/>
      <w:headerReference w:type="default" r:id="rId74"/>
      <w:footerReference w:type="even" r:id="rId75"/>
      <w:footerReference w:type="default" r:id="rId76"/>
      <w:pgSz w:w="11907" w:h="16840" w:code="9"/>
      <w:pgMar w:top="1984" w:right="1304" w:bottom="1247" w:left="1814" w:header="1701" w:footer="397" w:gutter="0"/>
      <w:pgNumType w:start="1" w:chapStyle="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7099" w:rsidRDefault="00287099">
      <w:r>
        <w:separator/>
      </w:r>
    </w:p>
  </w:endnote>
  <w:endnote w:type="continuationSeparator" w:id="0">
    <w:p w:rsidR="00287099" w:rsidRDefault="002870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287099" w:rsidTr="00B56B5F">
      <w:trPr>
        <w:trHeight w:hRule="exact" w:val="567"/>
      </w:trPr>
      <w:tc>
        <w:tcPr>
          <w:tcW w:w="510" w:type="dxa"/>
        </w:tcPr>
        <w:p w:rsidR="00287099" w:rsidRPr="00A24443" w:rsidRDefault="00287099" w:rsidP="00B56B5F">
          <w:pPr>
            <w:pStyle w:val="Footer"/>
            <w:tabs>
              <w:tab w:val="left" w:pos="0"/>
            </w:tabs>
            <w:ind w:right="0"/>
            <w:rPr>
              <w:rStyle w:val="PageNumber"/>
              <w:caps w:val="0"/>
            </w:rPr>
          </w:pPr>
          <w:r>
            <w:rPr>
              <w:rStyle w:val="PageNumber"/>
              <w:caps w:val="0"/>
            </w:rPr>
            <w:t>5.</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796270">
            <w:rPr>
              <w:rStyle w:val="PageNumber"/>
              <w:caps w:val="0"/>
              <w:noProof/>
            </w:rPr>
            <w:t>88</w:t>
          </w:r>
          <w:r w:rsidRPr="00A24443">
            <w:rPr>
              <w:rStyle w:val="PageNumber"/>
              <w:caps w:val="0"/>
            </w:rPr>
            <w:fldChar w:fldCharType="end"/>
          </w:r>
        </w:p>
      </w:tc>
      <w:tc>
        <w:tcPr>
          <w:tcW w:w="7767" w:type="dxa"/>
        </w:tcPr>
        <w:p w:rsidR="00287099" w:rsidRPr="0013739A" w:rsidRDefault="00287099" w:rsidP="00B56B5F">
          <w:pPr>
            <w:pStyle w:val="Footer"/>
            <w:rPr>
              <w:rFonts w:cs="Arial"/>
            </w:rPr>
          </w:pPr>
          <w:r>
            <w:rPr>
              <w:rFonts w:cs="Arial"/>
            </w:rPr>
            <w:t>REPORT ON GOVERNMENT SERVICES 2015</w:t>
          </w:r>
          <w:bookmarkStart w:id="22" w:name="DraftReportEven"/>
          <w:bookmarkEnd w:id="22"/>
        </w:p>
      </w:tc>
      <w:tc>
        <w:tcPr>
          <w:tcW w:w="510" w:type="dxa"/>
        </w:tcPr>
        <w:p w:rsidR="00287099" w:rsidRDefault="00287099" w:rsidP="00B56B5F">
          <w:pPr>
            <w:pStyle w:val="Footer"/>
          </w:pPr>
        </w:p>
      </w:tc>
    </w:tr>
  </w:tbl>
  <w:p w:rsidR="00287099" w:rsidRDefault="00287099" w:rsidP="00B56B5F">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287099" w:rsidTr="00B56B5F">
      <w:trPr>
        <w:trHeight w:hRule="exact" w:val="567"/>
      </w:trPr>
      <w:tc>
        <w:tcPr>
          <w:tcW w:w="510" w:type="dxa"/>
        </w:tcPr>
        <w:p w:rsidR="00287099" w:rsidRDefault="00287099">
          <w:pPr>
            <w:pStyle w:val="Footer"/>
            <w:ind w:right="360" w:firstLine="360"/>
          </w:pPr>
        </w:p>
      </w:tc>
      <w:tc>
        <w:tcPr>
          <w:tcW w:w="7767" w:type="dxa"/>
        </w:tcPr>
        <w:p w:rsidR="00287099" w:rsidRPr="00BA5B14" w:rsidRDefault="00287099" w:rsidP="00B56B5F">
          <w:pPr>
            <w:pStyle w:val="Footer"/>
            <w:jc w:val="right"/>
            <w:rPr>
              <w:rFonts w:cs="Arial"/>
            </w:rPr>
          </w:pPr>
          <w:r>
            <w:rPr>
              <w:rFonts w:cs="Arial"/>
            </w:rPr>
            <w:t>VOCATIONAL EDUCATION AND TRAINING</w:t>
          </w:r>
          <w:bookmarkStart w:id="23" w:name="begin"/>
          <w:bookmarkEnd w:id="23"/>
        </w:p>
      </w:tc>
      <w:tc>
        <w:tcPr>
          <w:tcW w:w="510" w:type="dxa"/>
        </w:tcPr>
        <w:p w:rsidR="00287099" w:rsidRPr="00A24443" w:rsidRDefault="00287099">
          <w:pPr>
            <w:pStyle w:val="Footer"/>
            <w:jc w:val="right"/>
            <w:rPr>
              <w:caps w:val="0"/>
            </w:rPr>
          </w:pPr>
          <w:r>
            <w:rPr>
              <w:rStyle w:val="PageNumber"/>
              <w:caps w:val="0"/>
            </w:rPr>
            <w:t>5.</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796270">
            <w:rPr>
              <w:rStyle w:val="PageNumber"/>
              <w:caps w:val="0"/>
              <w:noProof/>
            </w:rPr>
            <w:t>87</w:t>
          </w:r>
          <w:r w:rsidRPr="00A24443">
            <w:rPr>
              <w:rStyle w:val="PageNumber"/>
              <w:caps w:val="0"/>
            </w:rPr>
            <w:fldChar w:fldCharType="end"/>
          </w:r>
        </w:p>
      </w:tc>
    </w:tr>
  </w:tbl>
  <w:p w:rsidR="00287099" w:rsidRDefault="0028709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7099" w:rsidRDefault="00287099">
      <w:r>
        <w:separator/>
      </w:r>
    </w:p>
  </w:footnote>
  <w:footnote w:type="continuationSeparator" w:id="0">
    <w:p w:rsidR="00287099" w:rsidRDefault="002870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287099" w:rsidRPr="00E01A05">
      <w:tc>
        <w:tcPr>
          <w:tcW w:w="2155" w:type="dxa"/>
          <w:tcBorders>
            <w:top w:val="single" w:sz="24" w:space="0" w:color="auto"/>
          </w:tcBorders>
        </w:tcPr>
        <w:p w:rsidR="00287099" w:rsidRPr="00E01A05" w:rsidRDefault="00287099">
          <w:pPr>
            <w:pStyle w:val="HeaderEven"/>
          </w:pPr>
        </w:p>
      </w:tc>
      <w:tc>
        <w:tcPr>
          <w:tcW w:w="6634" w:type="dxa"/>
          <w:tcBorders>
            <w:top w:val="single" w:sz="6" w:space="0" w:color="auto"/>
          </w:tcBorders>
        </w:tcPr>
        <w:p w:rsidR="00287099" w:rsidRPr="00E01A05" w:rsidRDefault="00287099" w:rsidP="0071338F">
          <w:pPr>
            <w:pStyle w:val="HeaderEven"/>
            <w:jc w:val="right"/>
          </w:pPr>
        </w:p>
      </w:tc>
    </w:tr>
  </w:tbl>
  <w:p w:rsidR="00287099" w:rsidRPr="00061388" w:rsidRDefault="00287099">
    <w:pPr>
      <w:pStyle w:val="HeaderEnd"/>
      <w:rPr>
        <w:color w:val="0000FF"/>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287099" w:rsidRPr="00E01A05">
      <w:tc>
        <w:tcPr>
          <w:tcW w:w="6634" w:type="dxa"/>
          <w:tcBorders>
            <w:top w:val="single" w:sz="6" w:space="0" w:color="auto"/>
          </w:tcBorders>
        </w:tcPr>
        <w:p w:rsidR="00287099" w:rsidRPr="00E01A05" w:rsidRDefault="00287099">
          <w:pPr>
            <w:pStyle w:val="HeaderOdd"/>
          </w:pPr>
        </w:p>
      </w:tc>
      <w:tc>
        <w:tcPr>
          <w:tcW w:w="2155" w:type="dxa"/>
          <w:tcBorders>
            <w:top w:val="single" w:sz="24" w:space="0" w:color="auto"/>
          </w:tcBorders>
        </w:tcPr>
        <w:p w:rsidR="00287099" w:rsidRPr="00E01A05" w:rsidRDefault="00287099">
          <w:pPr>
            <w:pStyle w:val="HeaderOdd"/>
          </w:pPr>
        </w:p>
      </w:tc>
    </w:tr>
  </w:tbl>
  <w:p w:rsidR="00287099" w:rsidRPr="00061388" w:rsidRDefault="00287099">
    <w:pPr>
      <w:pStyle w:val="HeaderEnd"/>
      <w:rPr>
        <w:color w:val="0000FF"/>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B8823CA"/>
    <w:multiLevelType w:val="hybridMultilevel"/>
    <w:tmpl w:val="82F0CFFE"/>
    <w:lvl w:ilvl="0" w:tplc="7054B5E4">
      <w:start w:val="1"/>
      <w:numFmt w:val="bullet"/>
      <w:lvlText w:val="●"/>
      <w:lvlJc w:val="left"/>
      <w:pPr>
        <w:ind w:left="720" w:hanging="360"/>
      </w:pPr>
      <w:rPr>
        <w:rFonts w:ascii="Times New Roman" w:hAnsi="Times New Roman" w:cs="Times New Roman" w:hint="default"/>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nsid w:val="14634391"/>
    <w:multiLevelType w:val="multilevel"/>
    <w:tmpl w:val="B4BE7C38"/>
    <w:lvl w:ilvl="0">
      <w:start w:val="5"/>
      <w:numFmt w:val="decimal"/>
      <w:suff w:val="space"/>
      <w:lvlText w:val="%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nsid w:val="1CD85103"/>
    <w:multiLevelType w:val="multilevel"/>
    <w:tmpl w:val="254E8602"/>
    <w:lvl w:ilvl="0">
      <w:start w:val="5"/>
      <w:numFmt w:val="decimal"/>
      <w:suff w:val="space"/>
      <w:lvlText w:val="%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3">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4">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5">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4C674247"/>
    <w:multiLevelType w:val="multilevel"/>
    <w:tmpl w:val="76B0D578"/>
    <w:lvl w:ilvl="0">
      <w:start w:val="5"/>
      <w:numFmt w:val="decimal"/>
      <w:suff w:val="space"/>
      <w:lvlText w:val="%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7">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8">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9">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0">
    <w:nsid w:val="57504F04"/>
    <w:multiLevelType w:val="hybridMultilevel"/>
    <w:tmpl w:val="05D4035C"/>
    <w:lvl w:ilvl="0" w:tplc="7054B5E4">
      <w:start w:val="1"/>
      <w:numFmt w:val="bullet"/>
      <w:lvlText w:val="●"/>
      <w:lvlJc w:val="left"/>
      <w:pPr>
        <w:ind w:left="720" w:hanging="360"/>
      </w:pPr>
      <w:rPr>
        <w:rFonts w:ascii="Times New Roman" w:hAnsi="Times New Roman" w:cs="Times New Roman" w:hint="default"/>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5DFA7A21"/>
    <w:multiLevelType w:val="multilevel"/>
    <w:tmpl w:val="14567720"/>
    <w:lvl w:ilvl="0">
      <w:start w:val="5"/>
      <w:numFmt w:val="decimal"/>
      <w:suff w:val="space"/>
      <w:lvlText w:val="%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3">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5">
    <w:nsid w:val="6B915E54"/>
    <w:multiLevelType w:val="multilevel"/>
    <w:tmpl w:val="FB2ED4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7">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28">
    <w:nsid w:val="7BFB21C6"/>
    <w:multiLevelType w:val="multilevel"/>
    <w:tmpl w:val="2BCCC082"/>
    <w:lvl w:ilvl="0">
      <w:start w:val="5"/>
      <w:numFmt w:val="decimal"/>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abstractNumId w:val="24"/>
  </w:num>
  <w:num w:numId="2">
    <w:abstractNumId w:val="3"/>
  </w:num>
  <w:num w:numId="3">
    <w:abstractNumId w:val="4"/>
  </w:num>
  <w:num w:numId="4">
    <w:abstractNumId w:val="8"/>
  </w:num>
  <w:num w:numId="5">
    <w:abstractNumId w:val="17"/>
  </w:num>
  <w:num w:numId="6">
    <w:abstractNumId w:val="14"/>
  </w:num>
  <w:num w:numId="7">
    <w:abstractNumId w:val="26"/>
  </w:num>
  <w:num w:numId="8">
    <w:abstractNumId w:val="27"/>
  </w:num>
  <w:num w:numId="9">
    <w:abstractNumId w:val="12"/>
  </w:num>
  <w:num w:numId="10">
    <w:abstractNumId w:val="18"/>
  </w:num>
  <w:num w:numId="11">
    <w:abstractNumId w:val="19"/>
  </w:num>
  <w:num w:numId="12">
    <w:abstractNumId w:val="2"/>
  </w:num>
  <w:num w:numId="13">
    <w:abstractNumId w:val="7"/>
  </w:num>
  <w:num w:numId="14">
    <w:abstractNumId w:val="6"/>
  </w:num>
  <w:num w:numId="15">
    <w:abstractNumId w:val="13"/>
  </w:num>
  <w:num w:numId="16">
    <w:abstractNumId w:val="15"/>
  </w:num>
  <w:num w:numId="17">
    <w:abstractNumId w:val="21"/>
  </w:num>
  <w:num w:numId="18">
    <w:abstractNumId w:val="23"/>
  </w:num>
  <w:num w:numId="19">
    <w:abstractNumId w:val="9"/>
  </w:num>
  <w:num w:numId="20">
    <w:abstractNumId w:val="25"/>
  </w:num>
  <w:num w:numId="21">
    <w:abstractNumId w:val="0"/>
  </w:num>
  <w:num w:numId="22">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3">
    <w:abstractNumId w:val="16"/>
  </w:num>
  <w:num w:numId="24">
    <w:abstractNumId w:val="14"/>
  </w:num>
  <w:num w:numId="25">
    <w:abstractNumId w:val="11"/>
  </w:num>
  <w:num w:numId="26">
    <w:abstractNumId w:val="10"/>
  </w:num>
  <w:num w:numId="27">
    <w:abstractNumId w:val="22"/>
  </w:num>
  <w:num w:numId="28">
    <w:abstractNumId w:val="28"/>
  </w:num>
  <w:num w:numId="29">
    <w:abstractNumId w:val="20"/>
  </w:num>
  <w:num w:numId="30">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ctiveWritingStyle w:appName="MSWord" w:lang="en-AU" w:vendorID="8" w:dllVersion="513" w:checkStyle="1"/>
  <w:proofState w:spelling="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340"/>
  <w:evenAndOddHeaders/>
  <w:displayHorizontalDrawingGridEvery w:val="0"/>
  <w:displayVerticalDrawingGridEvery w:val="0"/>
  <w:doNotUseMarginsForDrawingGridOrigin/>
  <w:noPunctuationKerning/>
  <w:characterSpacingControl w:val="doNotCompress"/>
  <w:hdrShapeDefaults>
    <o:shapedefaults v:ext="edit" spidmax="2334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B"/>
    <w:docVar w:name="DocType" w:val="0"/>
    <w:docVar w:name="FindingOptions" w:val="1"/>
    <w:docVar w:name="LongChapterTitle" w:val="Chapter"/>
    <w:docVar w:name="LongReportTitle" w:val="Report title"/>
    <w:docVar w:name="RecOptions" w:val="111"/>
    <w:docVar w:name="ShortChapterTitle" w:val="VOCATIONAL EDUCATION AND TRAINING"/>
    <w:docVar w:name="ShortReportTitle" w:val="REPORT ON GOVERNMENT SERVICES 2015"/>
    <w:docVar w:name="SideNote" w:val="1"/>
    <w:docVar w:name="UseShortChapter" w:val="0"/>
    <w:docVar w:name="UseShortReport" w:val="0"/>
  </w:docVars>
  <w:rsids>
    <w:rsidRoot w:val="00260968"/>
    <w:rsid w:val="00000312"/>
    <w:rsid w:val="0000069A"/>
    <w:rsid w:val="00000709"/>
    <w:rsid w:val="00000CB0"/>
    <w:rsid w:val="00000F1C"/>
    <w:rsid w:val="0000144F"/>
    <w:rsid w:val="000019A7"/>
    <w:rsid w:val="00001D47"/>
    <w:rsid w:val="00001DB0"/>
    <w:rsid w:val="00003696"/>
    <w:rsid w:val="00003905"/>
    <w:rsid w:val="00003951"/>
    <w:rsid w:val="00003BBA"/>
    <w:rsid w:val="00003F4F"/>
    <w:rsid w:val="000040CE"/>
    <w:rsid w:val="00004607"/>
    <w:rsid w:val="0000489F"/>
    <w:rsid w:val="00004931"/>
    <w:rsid w:val="000058E6"/>
    <w:rsid w:val="00005AE2"/>
    <w:rsid w:val="00006171"/>
    <w:rsid w:val="00006640"/>
    <w:rsid w:val="0000717C"/>
    <w:rsid w:val="00007AE0"/>
    <w:rsid w:val="000100D1"/>
    <w:rsid w:val="00010D5F"/>
    <w:rsid w:val="00010DB9"/>
    <w:rsid w:val="00010FDC"/>
    <w:rsid w:val="000117AD"/>
    <w:rsid w:val="00011966"/>
    <w:rsid w:val="00011DAE"/>
    <w:rsid w:val="00011F1A"/>
    <w:rsid w:val="000126FF"/>
    <w:rsid w:val="0001291F"/>
    <w:rsid w:val="00012B5D"/>
    <w:rsid w:val="000136C1"/>
    <w:rsid w:val="00013FBD"/>
    <w:rsid w:val="00014134"/>
    <w:rsid w:val="0001465A"/>
    <w:rsid w:val="00014736"/>
    <w:rsid w:val="00014887"/>
    <w:rsid w:val="00014E9C"/>
    <w:rsid w:val="00015651"/>
    <w:rsid w:val="0001583B"/>
    <w:rsid w:val="00016925"/>
    <w:rsid w:val="00016E6C"/>
    <w:rsid w:val="00017220"/>
    <w:rsid w:val="00017903"/>
    <w:rsid w:val="00017E1A"/>
    <w:rsid w:val="00020268"/>
    <w:rsid w:val="000206DE"/>
    <w:rsid w:val="00020B41"/>
    <w:rsid w:val="000212AC"/>
    <w:rsid w:val="0002179D"/>
    <w:rsid w:val="00021D35"/>
    <w:rsid w:val="00022F9E"/>
    <w:rsid w:val="00023CAF"/>
    <w:rsid w:val="00023DE3"/>
    <w:rsid w:val="00025073"/>
    <w:rsid w:val="000254A5"/>
    <w:rsid w:val="00025594"/>
    <w:rsid w:val="00025617"/>
    <w:rsid w:val="00025F5F"/>
    <w:rsid w:val="00026592"/>
    <w:rsid w:val="00026E6F"/>
    <w:rsid w:val="0002794C"/>
    <w:rsid w:val="000304B1"/>
    <w:rsid w:val="00030C08"/>
    <w:rsid w:val="00030EE2"/>
    <w:rsid w:val="000317EE"/>
    <w:rsid w:val="00032B1E"/>
    <w:rsid w:val="00032D47"/>
    <w:rsid w:val="0003308F"/>
    <w:rsid w:val="00033A0B"/>
    <w:rsid w:val="000347C1"/>
    <w:rsid w:val="00034A56"/>
    <w:rsid w:val="00034BDF"/>
    <w:rsid w:val="000354E2"/>
    <w:rsid w:val="00035A8E"/>
    <w:rsid w:val="00035D2D"/>
    <w:rsid w:val="0003640D"/>
    <w:rsid w:val="00036973"/>
    <w:rsid w:val="00036D60"/>
    <w:rsid w:val="00037932"/>
    <w:rsid w:val="00037CBC"/>
    <w:rsid w:val="0004044B"/>
    <w:rsid w:val="0004052A"/>
    <w:rsid w:val="00040CBD"/>
    <w:rsid w:val="00040CE6"/>
    <w:rsid w:val="00040DCF"/>
    <w:rsid w:val="00040E4E"/>
    <w:rsid w:val="00040EAC"/>
    <w:rsid w:val="00041A5B"/>
    <w:rsid w:val="000420D1"/>
    <w:rsid w:val="00042343"/>
    <w:rsid w:val="00042725"/>
    <w:rsid w:val="00042870"/>
    <w:rsid w:val="00042A66"/>
    <w:rsid w:val="00042C6D"/>
    <w:rsid w:val="00042E27"/>
    <w:rsid w:val="00042FB1"/>
    <w:rsid w:val="000430D0"/>
    <w:rsid w:val="0004313A"/>
    <w:rsid w:val="000438B3"/>
    <w:rsid w:val="00044872"/>
    <w:rsid w:val="000457C4"/>
    <w:rsid w:val="00045B74"/>
    <w:rsid w:val="00046D9F"/>
    <w:rsid w:val="000477A6"/>
    <w:rsid w:val="00047D07"/>
    <w:rsid w:val="00047F11"/>
    <w:rsid w:val="00050248"/>
    <w:rsid w:val="000513F6"/>
    <w:rsid w:val="00051930"/>
    <w:rsid w:val="000519B8"/>
    <w:rsid w:val="00051FEA"/>
    <w:rsid w:val="00052704"/>
    <w:rsid w:val="00052BE3"/>
    <w:rsid w:val="000543C4"/>
    <w:rsid w:val="0005591D"/>
    <w:rsid w:val="00056430"/>
    <w:rsid w:val="000567DE"/>
    <w:rsid w:val="00056DA7"/>
    <w:rsid w:val="000576D2"/>
    <w:rsid w:val="00057A11"/>
    <w:rsid w:val="0006000D"/>
    <w:rsid w:val="000609E4"/>
    <w:rsid w:val="00060A4F"/>
    <w:rsid w:val="00061388"/>
    <w:rsid w:val="00061391"/>
    <w:rsid w:val="000620F3"/>
    <w:rsid w:val="00062754"/>
    <w:rsid w:val="000634E3"/>
    <w:rsid w:val="00063721"/>
    <w:rsid w:val="00063F1A"/>
    <w:rsid w:val="000641BB"/>
    <w:rsid w:val="00064240"/>
    <w:rsid w:val="00064324"/>
    <w:rsid w:val="0006468F"/>
    <w:rsid w:val="000652BC"/>
    <w:rsid w:val="000652E3"/>
    <w:rsid w:val="00066632"/>
    <w:rsid w:val="000668DD"/>
    <w:rsid w:val="00066F27"/>
    <w:rsid w:val="000672CF"/>
    <w:rsid w:val="00067834"/>
    <w:rsid w:val="0006789C"/>
    <w:rsid w:val="00067E5B"/>
    <w:rsid w:val="00067FC9"/>
    <w:rsid w:val="00070462"/>
    <w:rsid w:val="00071702"/>
    <w:rsid w:val="00071718"/>
    <w:rsid w:val="00071B10"/>
    <w:rsid w:val="00071BD6"/>
    <w:rsid w:val="00072078"/>
    <w:rsid w:val="0007274E"/>
    <w:rsid w:val="000732C9"/>
    <w:rsid w:val="0007335C"/>
    <w:rsid w:val="00073813"/>
    <w:rsid w:val="00073C18"/>
    <w:rsid w:val="000740B1"/>
    <w:rsid w:val="00075444"/>
    <w:rsid w:val="0007623E"/>
    <w:rsid w:val="000763C4"/>
    <w:rsid w:val="0007665E"/>
    <w:rsid w:val="000767BC"/>
    <w:rsid w:val="00076F48"/>
    <w:rsid w:val="00077C7E"/>
    <w:rsid w:val="00080748"/>
    <w:rsid w:val="00081BD0"/>
    <w:rsid w:val="00081EAA"/>
    <w:rsid w:val="00081EE0"/>
    <w:rsid w:val="00082023"/>
    <w:rsid w:val="00082225"/>
    <w:rsid w:val="00083161"/>
    <w:rsid w:val="000831D4"/>
    <w:rsid w:val="000836A4"/>
    <w:rsid w:val="00083F00"/>
    <w:rsid w:val="00083F48"/>
    <w:rsid w:val="00084325"/>
    <w:rsid w:val="00084466"/>
    <w:rsid w:val="00085222"/>
    <w:rsid w:val="0008539C"/>
    <w:rsid w:val="0008596E"/>
    <w:rsid w:val="000863DD"/>
    <w:rsid w:val="00086708"/>
    <w:rsid w:val="00086D1F"/>
    <w:rsid w:val="000871EF"/>
    <w:rsid w:val="000872F1"/>
    <w:rsid w:val="00087FEA"/>
    <w:rsid w:val="00090130"/>
    <w:rsid w:val="00090EC7"/>
    <w:rsid w:val="00090F21"/>
    <w:rsid w:val="00091CBF"/>
    <w:rsid w:val="00092420"/>
    <w:rsid w:val="000924C9"/>
    <w:rsid w:val="000928EA"/>
    <w:rsid w:val="00093D6E"/>
    <w:rsid w:val="000943EF"/>
    <w:rsid w:val="00094FB7"/>
    <w:rsid w:val="00095B5B"/>
    <w:rsid w:val="000963B4"/>
    <w:rsid w:val="000964DF"/>
    <w:rsid w:val="000964EE"/>
    <w:rsid w:val="0009650F"/>
    <w:rsid w:val="00096BAC"/>
    <w:rsid w:val="000970A5"/>
    <w:rsid w:val="00097277"/>
    <w:rsid w:val="00097AE9"/>
    <w:rsid w:val="000A089B"/>
    <w:rsid w:val="000A0913"/>
    <w:rsid w:val="000A0E7C"/>
    <w:rsid w:val="000A127B"/>
    <w:rsid w:val="000A16E5"/>
    <w:rsid w:val="000A173D"/>
    <w:rsid w:val="000A1D3D"/>
    <w:rsid w:val="000A1D9A"/>
    <w:rsid w:val="000A22BE"/>
    <w:rsid w:val="000A2948"/>
    <w:rsid w:val="000A2BBE"/>
    <w:rsid w:val="000A3181"/>
    <w:rsid w:val="000A32E5"/>
    <w:rsid w:val="000A32F1"/>
    <w:rsid w:val="000A3951"/>
    <w:rsid w:val="000A3BDE"/>
    <w:rsid w:val="000A3BFA"/>
    <w:rsid w:val="000A4259"/>
    <w:rsid w:val="000A45EB"/>
    <w:rsid w:val="000A486A"/>
    <w:rsid w:val="000A5261"/>
    <w:rsid w:val="000A5B6F"/>
    <w:rsid w:val="000A5CAA"/>
    <w:rsid w:val="000A601C"/>
    <w:rsid w:val="000A6A10"/>
    <w:rsid w:val="000A6B52"/>
    <w:rsid w:val="000A7C13"/>
    <w:rsid w:val="000A7DBA"/>
    <w:rsid w:val="000B0372"/>
    <w:rsid w:val="000B065D"/>
    <w:rsid w:val="000B0787"/>
    <w:rsid w:val="000B0F3C"/>
    <w:rsid w:val="000B0F7F"/>
    <w:rsid w:val="000B14CE"/>
    <w:rsid w:val="000B1E09"/>
    <w:rsid w:val="000B2691"/>
    <w:rsid w:val="000B28F2"/>
    <w:rsid w:val="000B298D"/>
    <w:rsid w:val="000B3410"/>
    <w:rsid w:val="000B3AEE"/>
    <w:rsid w:val="000B3F9C"/>
    <w:rsid w:val="000B6694"/>
    <w:rsid w:val="000B76AB"/>
    <w:rsid w:val="000B7981"/>
    <w:rsid w:val="000B7A53"/>
    <w:rsid w:val="000C05EE"/>
    <w:rsid w:val="000C0D1D"/>
    <w:rsid w:val="000C1156"/>
    <w:rsid w:val="000C122B"/>
    <w:rsid w:val="000C17D9"/>
    <w:rsid w:val="000C1C75"/>
    <w:rsid w:val="000C1D9E"/>
    <w:rsid w:val="000C215C"/>
    <w:rsid w:val="000C29B1"/>
    <w:rsid w:val="000C3BF5"/>
    <w:rsid w:val="000C3CF4"/>
    <w:rsid w:val="000C4780"/>
    <w:rsid w:val="000C47B5"/>
    <w:rsid w:val="000C48EE"/>
    <w:rsid w:val="000C49C8"/>
    <w:rsid w:val="000C4F11"/>
    <w:rsid w:val="000C590E"/>
    <w:rsid w:val="000C623B"/>
    <w:rsid w:val="000C682B"/>
    <w:rsid w:val="000C70A3"/>
    <w:rsid w:val="000C725A"/>
    <w:rsid w:val="000C7349"/>
    <w:rsid w:val="000C780D"/>
    <w:rsid w:val="000C7B12"/>
    <w:rsid w:val="000C7C06"/>
    <w:rsid w:val="000C7F1C"/>
    <w:rsid w:val="000D11F5"/>
    <w:rsid w:val="000D1385"/>
    <w:rsid w:val="000D1630"/>
    <w:rsid w:val="000D1C47"/>
    <w:rsid w:val="000D228D"/>
    <w:rsid w:val="000D22F2"/>
    <w:rsid w:val="000D2802"/>
    <w:rsid w:val="000D309A"/>
    <w:rsid w:val="000D41E2"/>
    <w:rsid w:val="000D4578"/>
    <w:rsid w:val="000D462B"/>
    <w:rsid w:val="000D514D"/>
    <w:rsid w:val="000D55ED"/>
    <w:rsid w:val="000D5868"/>
    <w:rsid w:val="000D5BE9"/>
    <w:rsid w:val="000D63DB"/>
    <w:rsid w:val="000D68FC"/>
    <w:rsid w:val="000D6B78"/>
    <w:rsid w:val="000D6BBB"/>
    <w:rsid w:val="000D7FF8"/>
    <w:rsid w:val="000E026D"/>
    <w:rsid w:val="000E061F"/>
    <w:rsid w:val="000E0E98"/>
    <w:rsid w:val="000E13F2"/>
    <w:rsid w:val="000E14BD"/>
    <w:rsid w:val="000E19E9"/>
    <w:rsid w:val="000E1B12"/>
    <w:rsid w:val="000E1D98"/>
    <w:rsid w:val="000E1F12"/>
    <w:rsid w:val="000E1F3F"/>
    <w:rsid w:val="000E2531"/>
    <w:rsid w:val="000E2F60"/>
    <w:rsid w:val="000E3766"/>
    <w:rsid w:val="000E398B"/>
    <w:rsid w:val="000E3CF0"/>
    <w:rsid w:val="000E41A1"/>
    <w:rsid w:val="000E49DF"/>
    <w:rsid w:val="000E4B05"/>
    <w:rsid w:val="000E50C7"/>
    <w:rsid w:val="000E53B7"/>
    <w:rsid w:val="000E5A0B"/>
    <w:rsid w:val="000E602C"/>
    <w:rsid w:val="000E628F"/>
    <w:rsid w:val="000E6798"/>
    <w:rsid w:val="000E6B6E"/>
    <w:rsid w:val="000E6DE2"/>
    <w:rsid w:val="000E7546"/>
    <w:rsid w:val="000E777D"/>
    <w:rsid w:val="000E7F82"/>
    <w:rsid w:val="000E7F98"/>
    <w:rsid w:val="000F0398"/>
    <w:rsid w:val="000F03DC"/>
    <w:rsid w:val="000F0D6E"/>
    <w:rsid w:val="000F127B"/>
    <w:rsid w:val="000F15B5"/>
    <w:rsid w:val="000F1D6C"/>
    <w:rsid w:val="000F2658"/>
    <w:rsid w:val="000F2910"/>
    <w:rsid w:val="000F2B14"/>
    <w:rsid w:val="000F3824"/>
    <w:rsid w:val="000F390C"/>
    <w:rsid w:val="000F3BF4"/>
    <w:rsid w:val="000F434A"/>
    <w:rsid w:val="000F4799"/>
    <w:rsid w:val="000F4E90"/>
    <w:rsid w:val="000F5309"/>
    <w:rsid w:val="000F5550"/>
    <w:rsid w:val="000F6376"/>
    <w:rsid w:val="000F6913"/>
    <w:rsid w:val="000F6D72"/>
    <w:rsid w:val="000F6EB6"/>
    <w:rsid w:val="000F7134"/>
    <w:rsid w:val="000F742A"/>
    <w:rsid w:val="000F7C26"/>
    <w:rsid w:val="000F7DCC"/>
    <w:rsid w:val="000F7FD3"/>
    <w:rsid w:val="001005B6"/>
    <w:rsid w:val="00100647"/>
    <w:rsid w:val="001007CB"/>
    <w:rsid w:val="00100935"/>
    <w:rsid w:val="00100A14"/>
    <w:rsid w:val="00100F31"/>
    <w:rsid w:val="001012DF"/>
    <w:rsid w:val="001014BF"/>
    <w:rsid w:val="00101550"/>
    <w:rsid w:val="0010226E"/>
    <w:rsid w:val="00102487"/>
    <w:rsid w:val="001024A5"/>
    <w:rsid w:val="001033D0"/>
    <w:rsid w:val="0010386B"/>
    <w:rsid w:val="00103DEE"/>
    <w:rsid w:val="001056EA"/>
    <w:rsid w:val="00105AD9"/>
    <w:rsid w:val="00106CB7"/>
    <w:rsid w:val="00106D66"/>
    <w:rsid w:val="00106E94"/>
    <w:rsid w:val="00107405"/>
    <w:rsid w:val="00107825"/>
    <w:rsid w:val="00107AFA"/>
    <w:rsid w:val="001106F6"/>
    <w:rsid w:val="00110835"/>
    <w:rsid w:val="00110AF6"/>
    <w:rsid w:val="00110C13"/>
    <w:rsid w:val="00110E9A"/>
    <w:rsid w:val="001117F2"/>
    <w:rsid w:val="00111EE9"/>
    <w:rsid w:val="00112149"/>
    <w:rsid w:val="00112585"/>
    <w:rsid w:val="0011289D"/>
    <w:rsid w:val="00112967"/>
    <w:rsid w:val="00113607"/>
    <w:rsid w:val="00113689"/>
    <w:rsid w:val="001147A6"/>
    <w:rsid w:val="00114CD0"/>
    <w:rsid w:val="00114FE2"/>
    <w:rsid w:val="00115304"/>
    <w:rsid w:val="00116071"/>
    <w:rsid w:val="001163DF"/>
    <w:rsid w:val="001172E8"/>
    <w:rsid w:val="0011740F"/>
    <w:rsid w:val="00117777"/>
    <w:rsid w:val="00117CD5"/>
    <w:rsid w:val="0012002A"/>
    <w:rsid w:val="00120335"/>
    <w:rsid w:val="001205BB"/>
    <w:rsid w:val="00120B01"/>
    <w:rsid w:val="00120E55"/>
    <w:rsid w:val="0012127E"/>
    <w:rsid w:val="0012147B"/>
    <w:rsid w:val="0012157F"/>
    <w:rsid w:val="00121C75"/>
    <w:rsid w:val="00121EBF"/>
    <w:rsid w:val="00121FE9"/>
    <w:rsid w:val="00122F21"/>
    <w:rsid w:val="00123ADD"/>
    <w:rsid w:val="00123B3D"/>
    <w:rsid w:val="00123D29"/>
    <w:rsid w:val="0012454C"/>
    <w:rsid w:val="00124BAC"/>
    <w:rsid w:val="00124DBD"/>
    <w:rsid w:val="00124F57"/>
    <w:rsid w:val="001252EF"/>
    <w:rsid w:val="00125645"/>
    <w:rsid w:val="00125867"/>
    <w:rsid w:val="001258FF"/>
    <w:rsid w:val="0012610B"/>
    <w:rsid w:val="001261E7"/>
    <w:rsid w:val="0012678E"/>
    <w:rsid w:val="001271EA"/>
    <w:rsid w:val="0012769F"/>
    <w:rsid w:val="0012776E"/>
    <w:rsid w:val="00127AB8"/>
    <w:rsid w:val="00130113"/>
    <w:rsid w:val="00130440"/>
    <w:rsid w:val="00130D7A"/>
    <w:rsid w:val="0013166D"/>
    <w:rsid w:val="00131D28"/>
    <w:rsid w:val="0013232B"/>
    <w:rsid w:val="00132C7E"/>
    <w:rsid w:val="00132DB2"/>
    <w:rsid w:val="00132E20"/>
    <w:rsid w:val="001334A1"/>
    <w:rsid w:val="00134483"/>
    <w:rsid w:val="00134E5B"/>
    <w:rsid w:val="001355AB"/>
    <w:rsid w:val="00136AD8"/>
    <w:rsid w:val="00137623"/>
    <w:rsid w:val="00137754"/>
    <w:rsid w:val="00137F60"/>
    <w:rsid w:val="00140228"/>
    <w:rsid w:val="00140B19"/>
    <w:rsid w:val="00140D58"/>
    <w:rsid w:val="0014100F"/>
    <w:rsid w:val="0014151B"/>
    <w:rsid w:val="001419E7"/>
    <w:rsid w:val="00142303"/>
    <w:rsid w:val="00142638"/>
    <w:rsid w:val="001431E1"/>
    <w:rsid w:val="001431E9"/>
    <w:rsid w:val="00143433"/>
    <w:rsid w:val="00143F81"/>
    <w:rsid w:val="00144292"/>
    <w:rsid w:val="00144425"/>
    <w:rsid w:val="00144F41"/>
    <w:rsid w:val="00144FD1"/>
    <w:rsid w:val="00145422"/>
    <w:rsid w:val="00145970"/>
    <w:rsid w:val="00146411"/>
    <w:rsid w:val="001467FA"/>
    <w:rsid w:val="0014685B"/>
    <w:rsid w:val="00146F37"/>
    <w:rsid w:val="00147691"/>
    <w:rsid w:val="001477DB"/>
    <w:rsid w:val="00147C1A"/>
    <w:rsid w:val="001508A9"/>
    <w:rsid w:val="00151061"/>
    <w:rsid w:val="00151210"/>
    <w:rsid w:val="001516A2"/>
    <w:rsid w:val="00151FB4"/>
    <w:rsid w:val="001521A4"/>
    <w:rsid w:val="0015233E"/>
    <w:rsid w:val="001527CE"/>
    <w:rsid w:val="00153196"/>
    <w:rsid w:val="00154102"/>
    <w:rsid w:val="00154528"/>
    <w:rsid w:val="00154792"/>
    <w:rsid w:val="00154911"/>
    <w:rsid w:val="00154C8C"/>
    <w:rsid w:val="00154D20"/>
    <w:rsid w:val="00155253"/>
    <w:rsid w:val="0015552C"/>
    <w:rsid w:val="00155BAF"/>
    <w:rsid w:val="00155EF9"/>
    <w:rsid w:val="00155F55"/>
    <w:rsid w:val="00157620"/>
    <w:rsid w:val="00157F63"/>
    <w:rsid w:val="00160852"/>
    <w:rsid w:val="00160A3B"/>
    <w:rsid w:val="00160A52"/>
    <w:rsid w:val="001611E3"/>
    <w:rsid w:val="001613E3"/>
    <w:rsid w:val="001615E7"/>
    <w:rsid w:val="00161741"/>
    <w:rsid w:val="0016221C"/>
    <w:rsid w:val="00162792"/>
    <w:rsid w:val="00162F3C"/>
    <w:rsid w:val="001630F6"/>
    <w:rsid w:val="0016328C"/>
    <w:rsid w:val="0016342E"/>
    <w:rsid w:val="00163F44"/>
    <w:rsid w:val="00164168"/>
    <w:rsid w:val="00164896"/>
    <w:rsid w:val="001648F6"/>
    <w:rsid w:val="00164DDC"/>
    <w:rsid w:val="00164E5F"/>
    <w:rsid w:val="00164E87"/>
    <w:rsid w:val="00165B8D"/>
    <w:rsid w:val="00165F0A"/>
    <w:rsid w:val="00165F6E"/>
    <w:rsid w:val="001664C0"/>
    <w:rsid w:val="00167611"/>
    <w:rsid w:val="00170077"/>
    <w:rsid w:val="00170293"/>
    <w:rsid w:val="0017088D"/>
    <w:rsid w:val="00170E40"/>
    <w:rsid w:val="001714DB"/>
    <w:rsid w:val="0017185D"/>
    <w:rsid w:val="00171AE4"/>
    <w:rsid w:val="00171E10"/>
    <w:rsid w:val="00172143"/>
    <w:rsid w:val="00172B6C"/>
    <w:rsid w:val="00172EFC"/>
    <w:rsid w:val="00173B7E"/>
    <w:rsid w:val="00174142"/>
    <w:rsid w:val="00174584"/>
    <w:rsid w:val="00174BDD"/>
    <w:rsid w:val="00174F58"/>
    <w:rsid w:val="0017580D"/>
    <w:rsid w:val="00176039"/>
    <w:rsid w:val="001763EF"/>
    <w:rsid w:val="00176652"/>
    <w:rsid w:val="00176B2C"/>
    <w:rsid w:val="0017761A"/>
    <w:rsid w:val="0018017E"/>
    <w:rsid w:val="001803EF"/>
    <w:rsid w:val="001805AA"/>
    <w:rsid w:val="00180664"/>
    <w:rsid w:val="001806CC"/>
    <w:rsid w:val="00180A1D"/>
    <w:rsid w:val="00180B31"/>
    <w:rsid w:val="0018104F"/>
    <w:rsid w:val="001812D4"/>
    <w:rsid w:val="001815C7"/>
    <w:rsid w:val="001816A5"/>
    <w:rsid w:val="00181969"/>
    <w:rsid w:val="00181AA8"/>
    <w:rsid w:val="00181B96"/>
    <w:rsid w:val="001820CB"/>
    <w:rsid w:val="0018231A"/>
    <w:rsid w:val="0018255C"/>
    <w:rsid w:val="0018277A"/>
    <w:rsid w:val="001836FE"/>
    <w:rsid w:val="001838B0"/>
    <w:rsid w:val="00183977"/>
    <w:rsid w:val="00183ADF"/>
    <w:rsid w:val="00183D06"/>
    <w:rsid w:val="001847E6"/>
    <w:rsid w:val="00184BEB"/>
    <w:rsid w:val="00184F4A"/>
    <w:rsid w:val="00185C3C"/>
    <w:rsid w:val="00186950"/>
    <w:rsid w:val="00186D6A"/>
    <w:rsid w:val="0018734F"/>
    <w:rsid w:val="00187962"/>
    <w:rsid w:val="00190546"/>
    <w:rsid w:val="001915FF"/>
    <w:rsid w:val="00191922"/>
    <w:rsid w:val="00191A0C"/>
    <w:rsid w:val="00191ACF"/>
    <w:rsid w:val="001920FB"/>
    <w:rsid w:val="00192403"/>
    <w:rsid w:val="0019278C"/>
    <w:rsid w:val="0019343C"/>
    <w:rsid w:val="001934BC"/>
    <w:rsid w:val="00193B22"/>
    <w:rsid w:val="00193EE6"/>
    <w:rsid w:val="00194035"/>
    <w:rsid w:val="001943B2"/>
    <w:rsid w:val="001946F6"/>
    <w:rsid w:val="0019486C"/>
    <w:rsid w:val="00195897"/>
    <w:rsid w:val="00195CF6"/>
    <w:rsid w:val="0019679D"/>
    <w:rsid w:val="00197152"/>
    <w:rsid w:val="00197A91"/>
    <w:rsid w:val="00197B39"/>
    <w:rsid w:val="001A00BE"/>
    <w:rsid w:val="001A0BC6"/>
    <w:rsid w:val="001A1065"/>
    <w:rsid w:val="001A123C"/>
    <w:rsid w:val="001A12E0"/>
    <w:rsid w:val="001A16DD"/>
    <w:rsid w:val="001A1B30"/>
    <w:rsid w:val="001A1F53"/>
    <w:rsid w:val="001A27B1"/>
    <w:rsid w:val="001A28BB"/>
    <w:rsid w:val="001A28D9"/>
    <w:rsid w:val="001A32C2"/>
    <w:rsid w:val="001A42BA"/>
    <w:rsid w:val="001A4D94"/>
    <w:rsid w:val="001A4F63"/>
    <w:rsid w:val="001A50DF"/>
    <w:rsid w:val="001A5134"/>
    <w:rsid w:val="001A5364"/>
    <w:rsid w:val="001A591A"/>
    <w:rsid w:val="001A5B92"/>
    <w:rsid w:val="001A6196"/>
    <w:rsid w:val="001A65D3"/>
    <w:rsid w:val="001A6AA0"/>
    <w:rsid w:val="001A6BB0"/>
    <w:rsid w:val="001A70A8"/>
    <w:rsid w:val="001A72D5"/>
    <w:rsid w:val="001A7691"/>
    <w:rsid w:val="001A7C01"/>
    <w:rsid w:val="001A7DF1"/>
    <w:rsid w:val="001A7F6F"/>
    <w:rsid w:val="001B02E2"/>
    <w:rsid w:val="001B0C5E"/>
    <w:rsid w:val="001B0D2F"/>
    <w:rsid w:val="001B1759"/>
    <w:rsid w:val="001B1E1F"/>
    <w:rsid w:val="001B2213"/>
    <w:rsid w:val="001B23AB"/>
    <w:rsid w:val="001B2666"/>
    <w:rsid w:val="001B271B"/>
    <w:rsid w:val="001B293C"/>
    <w:rsid w:val="001B2B48"/>
    <w:rsid w:val="001B2BB8"/>
    <w:rsid w:val="001B32CD"/>
    <w:rsid w:val="001B3566"/>
    <w:rsid w:val="001B3BAD"/>
    <w:rsid w:val="001B5673"/>
    <w:rsid w:val="001B57C2"/>
    <w:rsid w:val="001B5855"/>
    <w:rsid w:val="001B60BA"/>
    <w:rsid w:val="001B663E"/>
    <w:rsid w:val="001B742A"/>
    <w:rsid w:val="001B7550"/>
    <w:rsid w:val="001B7B5C"/>
    <w:rsid w:val="001B7BFD"/>
    <w:rsid w:val="001B7E71"/>
    <w:rsid w:val="001C00B3"/>
    <w:rsid w:val="001C011C"/>
    <w:rsid w:val="001C0F08"/>
    <w:rsid w:val="001C0F0F"/>
    <w:rsid w:val="001C1368"/>
    <w:rsid w:val="001C1385"/>
    <w:rsid w:val="001C15D3"/>
    <w:rsid w:val="001C1B0B"/>
    <w:rsid w:val="001C1E26"/>
    <w:rsid w:val="001C233B"/>
    <w:rsid w:val="001C262D"/>
    <w:rsid w:val="001C289A"/>
    <w:rsid w:val="001C2AB2"/>
    <w:rsid w:val="001C3711"/>
    <w:rsid w:val="001C3BE7"/>
    <w:rsid w:val="001C40B9"/>
    <w:rsid w:val="001C4782"/>
    <w:rsid w:val="001C4D02"/>
    <w:rsid w:val="001C4D99"/>
    <w:rsid w:val="001C4F55"/>
    <w:rsid w:val="001C528B"/>
    <w:rsid w:val="001C55D3"/>
    <w:rsid w:val="001C5C9E"/>
    <w:rsid w:val="001C5F7F"/>
    <w:rsid w:val="001C6568"/>
    <w:rsid w:val="001C6FAE"/>
    <w:rsid w:val="001C7344"/>
    <w:rsid w:val="001C7B22"/>
    <w:rsid w:val="001C7E84"/>
    <w:rsid w:val="001D0328"/>
    <w:rsid w:val="001D035B"/>
    <w:rsid w:val="001D03A6"/>
    <w:rsid w:val="001D1308"/>
    <w:rsid w:val="001D1C55"/>
    <w:rsid w:val="001D1E8C"/>
    <w:rsid w:val="001D1FEE"/>
    <w:rsid w:val="001D25CB"/>
    <w:rsid w:val="001D2776"/>
    <w:rsid w:val="001D30C4"/>
    <w:rsid w:val="001D32B2"/>
    <w:rsid w:val="001D37E8"/>
    <w:rsid w:val="001D5118"/>
    <w:rsid w:val="001D5886"/>
    <w:rsid w:val="001D5BFF"/>
    <w:rsid w:val="001D67B1"/>
    <w:rsid w:val="001D7105"/>
    <w:rsid w:val="001D7B81"/>
    <w:rsid w:val="001E00F5"/>
    <w:rsid w:val="001E1130"/>
    <w:rsid w:val="001E1524"/>
    <w:rsid w:val="001E2450"/>
    <w:rsid w:val="001E27B3"/>
    <w:rsid w:val="001E2A7F"/>
    <w:rsid w:val="001E2AEE"/>
    <w:rsid w:val="001E2C46"/>
    <w:rsid w:val="001E2E0D"/>
    <w:rsid w:val="001E357A"/>
    <w:rsid w:val="001E40E4"/>
    <w:rsid w:val="001E41AD"/>
    <w:rsid w:val="001E46E5"/>
    <w:rsid w:val="001E472A"/>
    <w:rsid w:val="001E57D4"/>
    <w:rsid w:val="001E621B"/>
    <w:rsid w:val="001E637D"/>
    <w:rsid w:val="001E6ABD"/>
    <w:rsid w:val="001E6DF5"/>
    <w:rsid w:val="001E6EAF"/>
    <w:rsid w:val="001E7136"/>
    <w:rsid w:val="001E7600"/>
    <w:rsid w:val="001E77B6"/>
    <w:rsid w:val="001E784D"/>
    <w:rsid w:val="001E7B0D"/>
    <w:rsid w:val="001E7FD2"/>
    <w:rsid w:val="001F0029"/>
    <w:rsid w:val="001F03A6"/>
    <w:rsid w:val="001F0983"/>
    <w:rsid w:val="001F0EAB"/>
    <w:rsid w:val="001F1293"/>
    <w:rsid w:val="001F307F"/>
    <w:rsid w:val="001F37E1"/>
    <w:rsid w:val="001F39C6"/>
    <w:rsid w:val="001F39C8"/>
    <w:rsid w:val="001F3FAE"/>
    <w:rsid w:val="001F44C9"/>
    <w:rsid w:val="001F4B1C"/>
    <w:rsid w:val="001F69DB"/>
    <w:rsid w:val="001F6CB0"/>
    <w:rsid w:val="001F76CF"/>
    <w:rsid w:val="00200496"/>
    <w:rsid w:val="00200BE2"/>
    <w:rsid w:val="00201144"/>
    <w:rsid w:val="00201195"/>
    <w:rsid w:val="0020121B"/>
    <w:rsid w:val="002018EB"/>
    <w:rsid w:val="00201B24"/>
    <w:rsid w:val="00201C60"/>
    <w:rsid w:val="00202997"/>
    <w:rsid w:val="002030D7"/>
    <w:rsid w:val="002041CD"/>
    <w:rsid w:val="00204C83"/>
    <w:rsid w:val="00205211"/>
    <w:rsid w:val="0020538C"/>
    <w:rsid w:val="00205AE1"/>
    <w:rsid w:val="00205B44"/>
    <w:rsid w:val="002060E6"/>
    <w:rsid w:val="00206448"/>
    <w:rsid w:val="002067EF"/>
    <w:rsid w:val="00206B22"/>
    <w:rsid w:val="00206CB6"/>
    <w:rsid w:val="002072E9"/>
    <w:rsid w:val="002074EF"/>
    <w:rsid w:val="0020762A"/>
    <w:rsid w:val="00207E80"/>
    <w:rsid w:val="002100DC"/>
    <w:rsid w:val="0021159C"/>
    <w:rsid w:val="00212079"/>
    <w:rsid w:val="002128E0"/>
    <w:rsid w:val="00212C6A"/>
    <w:rsid w:val="00212D36"/>
    <w:rsid w:val="0021323F"/>
    <w:rsid w:val="00213455"/>
    <w:rsid w:val="002138BB"/>
    <w:rsid w:val="00213A12"/>
    <w:rsid w:val="00213ECD"/>
    <w:rsid w:val="00214049"/>
    <w:rsid w:val="002146F0"/>
    <w:rsid w:val="002148C2"/>
    <w:rsid w:val="00214E6B"/>
    <w:rsid w:val="002151F0"/>
    <w:rsid w:val="00215A6C"/>
    <w:rsid w:val="00215B01"/>
    <w:rsid w:val="0021655B"/>
    <w:rsid w:val="002175D4"/>
    <w:rsid w:val="00217ED2"/>
    <w:rsid w:val="002202A2"/>
    <w:rsid w:val="0022040E"/>
    <w:rsid w:val="00221CCE"/>
    <w:rsid w:val="00221D24"/>
    <w:rsid w:val="0022207E"/>
    <w:rsid w:val="0022213A"/>
    <w:rsid w:val="00223731"/>
    <w:rsid w:val="002237DA"/>
    <w:rsid w:val="00223904"/>
    <w:rsid w:val="00223AD8"/>
    <w:rsid w:val="00223F08"/>
    <w:rsid w:val="00224681"/>
    <w:rsid w:val="00224989"/>
    <w:rsid w:val="00224D5B"/>
    <w:rsid w:val="00225597"/>
    <w:rsid w:val="002258A5"/>
    <w:rsid w:val="002260C2"/>
    <w:rsid w:val="00226998"/>
    <w:rsid w:val="002271A0"/>
    <w:rsid w:val="00227C8D"/>
    <w:rsid w:val="0023011C"/>
    <w:rsid w:val="00230ACB"/>
    <w:rsid w:val="00230B2E"/>
    <w:rsid w:val="00230D36"/>
    <w:rsid w:val="002312FF"/>
    <w:rsid w:val="0023140C"/>
    <w:rsid w:val="00233108"/>
    <w:rsid w:val="0023312B"/>
    <w:rsid w:val="002336C7"/>
    <w:rsid w:val="00233A33"/>
    <w:rsid w:val="00233C9E"/>
    <w:rsid w:val="002342A3"/>
    <w:rsid w:val="00234363"/>
    <w:rsid w:val="002346D8"/>
    <w:rsid w:val="00234B5E"/>
    <w:rsid w:val="00234BF4"/>
    <w:rsid w:val="00234CB3"/>
    <w:rsid w:val="00235438"/>
    <w:rsid w:val="00235488"/>
    <w:rsid w:val="00235F5A"/>
    <w:rsid w:val="0023604D"/>
    <w:rsid w:val="0023610D"/>
    <w:rsid w:val="00237092"/>
    <w:rsid w:val="002370B0"/>
    <w:rsid w:val="00240186"/>
    <w:rsid w:val="00240960"/>
    <w:rsid w:val="00240DEB"/>
    <w:rsid w:val="002413F3"/>
    <w:rsid w:val="002420E8"/>
    <w:rsid w:val="00242898"/>
    <w:rsid w:val="002430AA"/>
    <w:rsid w:val="00243414"/>
    <w:rsid w:val="00243D05"/>
    <w:rsid w:val="00243EC2"/>
    <w:rsid w:val="00244846"/>
    <w:rsid w:val="00244D24"/>
    <w:rsid w:val="00244D2B"/>
    <w:rsid w:val="00245390"/>
    <w:rsid w:val="00245457"/>
    <w:rsid w:val="0024560C"/>
    <w:rsid w:val="002461D7"/>
    <w:rsid w:val="00246370"/>
    <w:rsid w:val="0024684E"/>
    <w:rsid w:val="00246991"/>
    <w:rsid w:val="00247A94"/>
    <w:rsid w:val="0025021C"/>
    <w:rsid w:val="00250452"/>
    <w:rsid w:val="00250737"/>
    <w:rsid w:val="00250878"/>
    <w:rsid w:val="00250A25"/>
    <w:rsid w:val="00250AC2"/>
    <w:rsid w:val="00250F4B"/>
    <w:rsid w:val="0025100C"/>
    <w:rsid w:val="0025117B"/>
    <w:rsid w:val="00251B6D"/>
    <w:rsid w:val="00251D58"/>
    <w:rsid w:val="0025217B"/>
    <w:rsid w:val="002522AF"/>
    <w:rsid w:val="00252446"/>
    <w:rsid w:val="002526EB"/>
    <w:rsid w:val="002533A0"/>
    <w:rsid w:val="002537B4"/>
    <w:rsid w:val="00253A1D"/>
    <w:rsid w:val="00254173"/>
    <w:rsid w:val="002541C4"/>
    <w:rsid w:val="00254556"/>
    <w:rsid w:val="00255954"/>
    <w:rsid w:val="002566A9"/>
    <w:rsid w:val="00256877"/>
    <w:rsid w:val="00260001"/>
    <w:rsid w:val="0026030A"/>
    <w:rsid w:val="002605A5"/>
    <w:rsid w:val="00260968"/>
    <w:rsid w:val="00260A1A"/>
    <w:rsid w:val="002616E7"/>
    <w:rsid w:val="00262978"/>
    <w:rsid w:val="00262CFA"/>
    <w:rsid w:val="00263BA3"/>
    <w:rsid w:val="00263C2F"/>
    <w:rsid w:val="00263C6F"/>
    <w:rsid w:val="00263ECC"/>
    <w:rsid w:val="0026522E"/>
    <w:rsid w:val="0026535E"/>
    <w:rsid w:val="00265432"/>
    <w:rsid w:val="00265937"/>
    <w:rsid w:val="002661A9"/>
    <w:rsid w:val="00266AF5"/>
    <w:rsid w:val="00267644"/>
    <w:rsid w:val="00267F99"/>
    <w:rsid w:val="00270C96"/>
    <w:rsid w:val="00270E46"/>
    <w:rsid w:val="0027110B"/>
    <w:rsid w:val="00271650"/>
    <w:rsid w:val="002718BE"/>
    <w:rsid w:val="002718CF"/>
    <w:rsid w:val="00272295"/>
    <w:rsid w:val="00272940"/>
    <w:rsid w:val="00272CA7"/>
    <w:rsid w:val="00272DA9"/>
    <w:rsid w:val="00272EDB"/>
    <w:rsid w:val="002730ED"/>
    <w:rsid w:val="0027364E"/>
    <w:rsid w:val="00274315"/>
    <w:rsid w:val="002744B0"/>
    <w:rsid w:val="0027461A"/>
    <w:rsid w:val="00274738"/>
    <w:rsid w:val="00274921"/>
    <w:rsid w:val="00274BD6"/>
    <w:rsid w:val="00275150"/>
    <w:rsid w:val="00275AC2"/>
    <w:rsid w:val="00275FE3"/>
    <w:rsid w:val="002764DF"/>
    <w:rsid w:val="0027661E"/>
    <w:rsid w:val="002767BA"/>
    <w:rsid w:val="0027690D"/>
    <w:rsid w:val="00276D66"/>
    <w:rsid w:val="00276E7F"/>
    <w:rsid w:val="00276FDB"/>
    <w:rsid w:val="00277C5C"/>
    <w:rsid w:val="00277CBA"/>
    <w:rsid w:val="002801E4"/>
    <w:rsid w:val="002801FB"/>
    <w:rsid w:val="00280AE3"/>
    <w:rsid w:val="00280F08"/>
    <w:rsid w:val="00280F3F"/>
    <w:rsid w:val="0028195F"/>
    <w:rsid w:val="00281A7B"/>
    <w:rsid w:val="00281B47"/>
    <w:rsid w:val="00281C53"/>
    <w:rsid w:val="00281F38"/>
    <w:rsid w:val="00282176"/>
    <w:rsid w:val="002827B6"/>
    <w:rsid w:val="00282FE2"/>
    <w:rsid w:val="002830A4"/>
    <w:rsid w:val="002831F0"/>
    <w:rsid w:val="002834C9"/>
    <w:rsid w:val="00283651"/>
    <w:rsid w:val="002836E1"/>
    <w:rsid w:val="002842B1"/>
    <w:rsid w:val="00284642"/>
    <w:rsid w:val="00284675"/>
    <w:rsid w:val="002849AC"/>
    <w:rsid w:val="00285825"/>
    <w:rsid w:val="00286105"/>
    <w:rsid w:val="00287099"/>
    <w:rsid w:val="002872FE"/>
    <w:rsid w:val="00287525"/>
    <w:rsid w:val="002875CB"/>
    <w:rsid w:val="00287664"/>
    <w:rsid w:val="002876CB"/>
    <w:rsid w:val="00287B08"/>
    <w:rsid w:val="00287CCE"/>
    <w:rsid w:val="00287D12"/>
    <w:rsid w:val="00287E8A"/>
    <w:rsid w:val="00290043"/>
    <w:rsid w:val="00290579"/>
    <w:rsid w:val="0029072A"/>
    <w:rsid w:val="00290C30"/>
    <w:rsid w:val="00290FC5"/>
    <w:rsid w:val="00290FE2"/>
    <w:rsid w:val="00290FF3"/>
    <w:rsid w:val="00291C95"/>
    <w:rsid w:val="0029213F"/>
    <w:rsid w:val="00292142"/>
    <w:rsid w:val="00292B1C"/>
    <w:rsid w:val="002937C9"/>
    <w:rsid w:val="00293967"/>
    <w:rsid w:val="00293EAF"/>
    <w:rsid w:val="00294146"/>
    <w:rsid w:val="00294831"/>
    <w:rsid w:val="00294B16"/>
    <w:rsid w:val="00294FD0"/>
    <w:rsid w:val="0029539B"/>
    <w:rsid w:val="00295628"/>
    <w:rsid w:val="0029580B"/>
    <w:rsid w:val="002961B2"/>
    <w:rsid w:val="0029633A"/>
    <w:rsid w:val="00296392"/>
    <w:rsid w:val="00296793"/>
    <w:rsid w:val="0029778C"/>
    <w:rsid w:val="00297AE7"/>
    <w:rsid w:val="00297CD0"/>
    <w:rsid w:val="002A0CCD"/>
    <w:rsid w:val="002A1C67"/>
    <w:rsid w:val="002A211F"/>
    <w:rsid w:val="002A3954"/>
    <w:rsid w:val="002A3EDC"/>
    <w:rsid w:val="002A49FF"/>
    <w:rsid w:val="002A5578"/>
    <w:rsid w:val="002A56AD"/>
    <w:rsid w:val="002A6340"/>
    <w:rsid w:val="002A656C"/>
    <w:rsid w:val="002A6C05"/>
    <w:rsid w:val="002A6D89"/>
    <w:rsid w:val="002A7112"/>
    <w:rsid w:val="002A7898"/>
    <w:rsid w:val="002A7C8B"/>
    <w:rsid w:val="002A7D51"/>
    <w:rsid w:val="002A7EA1"/>
    <w:rsid w:val="002A7F72"/>
    <w:rsid w:val="002B0DA7"/>
    <w:rsid w:val="002B1145"/>
    <w:rsid w:val="002B1837"/>
    <w:rsid w:val="002B1D34"/>
    <w:rsid w:val="002B233D"/>
    <w:rsid w:val="002B251A"/>
    <w:rsid w:val="002B298F"/>
    <w:rsid w:val="002B3CB0"/>
    <w:rsid w:val="002B3FA6"/>
    <w:rsid w:val="002B40D9"/>
    <w:rsid w:val="002B4926"/>
    <w:rsid w:val="002B5305"/>
    <w:rsid w:val="002B5C24"/>
    <w:rsid w:val="002B6EAD"/>
    <w:rsid w:val="002B6EE3"/>
    <w:rsid w:val="002B73DC"/>
    <w:rsid w:val="002B73EE"/>
    <w:rsid w:val="002B7D23"/>
    <w:rsid w:val="002B7E81"/>
    <w:rsid w:val="002C0496"/>
    <w:rsid w:val="002C0A29"/>
    <w:rsid w:val="002C1271"/>
    <w:rsid w:val="002C15C2"/>
    <w:rsid w:val="002C165A"/>
    <w:rsid w:val="002C16CB"/>
    <w:rsid w:val="002C232F"/>
    <w:rsid w:val="002C276A"/>
    <w:rsid w:val="002C2846"/>
    <w:rsid w:val="002C2B6B"/>
    <w:rsid w:val="002C30D9"/>
    <w:rsid w:val="002C3682"/>
    <w:rsid w:val="002C3E53"/>
    <w:rsid w:val="002C45DC"/>
    <w:rsid w:val="002C46CC"/>
    <w:rsid w:val="002C5663"/>
    <w:rsid w:val="002C58BC"/>
    <w:rsid w:val="002C60B2"/>
    <w:rsid w:val="002C65A7"/>
    <w:rsid w:val="002C6824"/>
    <w:rsid w:val="002C704B"/>
    <w:rsid w:val="002C72C8"/>
    <w:rsid w:val="002D00E5"/>
    <w:rsid w:val="002D0BA2"/>
    <w:rsid w:val="002D0BE4"/>
    <w:rsid w:val="002D1109"/>
    <w:rsid w:val="002D126B"/>
    <w:rsid w:val="002D1ABD"/>
    <w:rsid w:val="002D1B6F"/>
    <w:rsid w:val="002D1D24"/>
    <w:rsid w:val="002D21EA"/>
    <w:rsid w:val="002D247C"/>
    <w:rsid w:val="002D258E"/>
    <w:rsid w:val="002D2A86"/>
    <w:rsid w:val="002D2CD6"/>
    <w:rsid w:val="002D2EC8"/>
    <w:rsid w:val="002D3596"/>
    <w:rsid w:val="002D35E4"/>
    <w:rsid w:val="002D398C"/>
    <w:rsid w:val="002D40BD"/>
    <w:rsid w:val="002D42E4"/>
    <w:rsid w:val="002D450E"/>
    <w:rsid w:val="002D4F06"/>
    <w:rsid w:val="002D582D"/>
    <w:rsid w:val="002D587F"/>
    <w:rsid w:val="002D5C97"/>
    <w:rsid w:val="002D62B1"/>
    <w:rsid w:val="002D6DDD"/>
    <w:rsid w:val="002D6E38"/>
    <w:rsid w:val="002D7042"/>
    <w:rsid w:val="002D76A3"/>
    <w:rsid w:val="002D77AC"/>
    <w:rsid w:val="002D7A95"/>
    <w:rsid w:val="002D7E23"/>
    <w:rsid w:val="002E0105"/>
    <w:rsid w:val="002E0514"/>
    <w:rsid w:val="002E0E3B"/>
    <w:rsid w:val="002E16A2"/>
    <w:rsid w:val="002E1810"/>
    <w:rsid w:val="002E1D6F"/>
    <w:rsid w:val="002E1ECF"/>
    <w:rsid w:val="002E221A"/>
    <w:rsid w:val="002E2538"/>
    <w:rsid w:val="002E2AC3"/>
    <w:rsid w:val="002E3081"/>
    <w:rsid w:val="002E3280"/>
    <w:rsid w:val="002E340B"/>
    <w:rsid w:val="002E3A0A"/>
    <w:rsid w:val="002E3FE9"/>
    <w:rsid w:val="002E4B6A"/>
    <w:rsid w:val="002E50BE"/>
    <w:rsid w:val="002E576E"/>
    <w:rsid w:val="002E5895"/>
    <w:rsid w:val="002E64A0"/>
    <w:rsid w:val="002E7709"/>
    <w:rsid w:val="002E7789"/>
    <w:rsid w:val="002E7909"/>
    <w:rsid w:val="002E79E4"/>
    <w:rsid w:val="002E7F40"/>
    <w:rsid w:val="002F08ED"/>
    <w:rsid w:val="002F0B2F"/>
    <w:rsid w:val="002F0B66"/>
    <w:rsid w:val="002F0DE3"/>
    <w:rsid w:val="002F10E1"/>
    <w:rsid w:val="002F1248"/>
    <w:rsid w:val="002F1D66"/>
    <w:rsid w:val="002F1E63"/>
    <w:rsid w:val="002F21F2"/>
    <w:rsid w:val="002F2391"/>
    <w:rsid w:val="002F2509"/>
    <w:rsid w:val="002F2A71"/>
    <w:rsid w:val="002F3C15"/>
    <w:rsid w:val="002F4201"/>
    <w:rsid w:val="002F42C7"/>
    <w:rsid w:val="002F448A"/>
    <w:rsid w:val="002F5287"/>
    <w:rsid w:val="002F571E"/>
    <w:rsid w:val="002F5888"/>
    <w:rsid w:val="002F5953"/>
    <w:rsid w:val="002F5BA2"/>
    <w:rsid w:val="002F5DE8"/>
    <w:rsid w:val="002F616C"/>
    <w:rsid w:val="002F62AC"/>
    <w:rsid w:val="002F66D1"/>
    <w:rsid w:val="002F6EB2"/>
    <w:rsid w:val="002F6FE7"/>
    <w:rsid w:val="002F7001"/>
    <w:rsid w:val="002F72A4"/>
    <w:rsid w:val="002F7793"/>
    <w:rsid w:val="002F7871"/>
    <w:rsid w:val="002F7B0B"/>
    <w:rsid w:val="002F7CA6"/>
    <w:rsid w:val="002F7CD1"/>
    <w:rsid w:val="002F7DE7"/>
    <w:rsid w:val="0030038E"/>
    <w:rsid w:val="003004EB"/>
    <w:rsid w:val="003016E9"/>
    <w:rsid w:val="003018A5"/>
    <w:rsid w:val="00301920"/>
    <w:rsid w:val="0030196B"/>
    <w:rsid w:val="00301F00"/>
    <w:rsid w:val="00302A41"/>
    <w:rsid w:val="00303448"/>
    <w:rsid w:val="003034BD"/>
    <w:rsid w:val="0030475A"/>
    <w:rsid w:val="003049A2"/>
    <w:rsid w:val="00304B19"/>
    <w:rsid w:val="00304BB8"/>
    <w:rsid w:val="00304BF4"/>
    <w:rsid w:val="00305403"/>
    <w:rsid w:val="003054B6"/>
    <w:rsid w:val="00305754"/>
    <w:rsid w:val="00306335"/>
    <w:rsid w:val="00306B10"/>
    <w:rsid w:val="00306D35"/>
    <w:rsid w:val="00307044"/>
    <w:rsid w:val="0030741B"/>
    <w:rsid w:val="00307661"/>
    <w:rsid w:val="00307A8A"/>
    <w:rsid w:val="00311127"/>
    <w:rsid w:val="00311D20"/>
    <w:rsid w:val="00311FB9"/>
    <w:rsid w:val="00312291"/>
    <w:rsid w:val="003122D4"/>
    <w:rsid w:val="00312EBA"/>
    <w:rsid w:val="0031304D"/>
    <w:rsid w:val="0031315D"/>
    <w:rsid w:val="00313729"/>
    <w:rsid w:val="0031395D"/>
    <w:rsid w:val="00313997"/>
    <w:rsid w:val="003140F6"/>
    <w:rsid w:val="0031432E"/>
    <w:rsid w:val="0031449C"/>
    <w:rsid w:val="003144EB"/>
    <w:rsid w:val="00314922"/>
    <w:rsid w:val="00314BE0"/>
    <w:rsid w:val="003150FF"/>
    <w:rsid w:val="003163F7"/>
    <w:rsid w:val="003164C4"/>
    <w:rsid w:val="003167F5"/>
    <w:rsid w:val="00316B87"/>
    <w:rsid w:val="003172E3"/>
    <w:rsid w:val="00317AE5"/>
    <w:rsid w:val="00320359"/>
    <w:rsid w:val="00320D66"/>
    <w:rsid w:val="0032132C"/>
    <w:rsid w:val="003217AC"/>
    <w:rsid w:val="00322374"/>
    <w:rsid w:val="003234F1"/>
    <w:rsid w:val="0032377E"/>
    <w:rsid w:val="00323F4A"/>
    <w:rsid w:val="00324D02"/>
    <w:rsid w:val="00324D53"/>
    <w:rsid w:val="0032670A"/>
    <w:rsid w:val="00326766"/>
    <w:rsid w:val="00326796"/>
    <w:rsid w:val="00326A59"/>
    <w:rsid w:val="00326CFA"/>
    <w:rsid w:val="00326DF6"/>
    <w:rsid w:val="00326F58"/>
    <w:rsid w:val="00327532"/>
    <w:rsid w:val="003307A6"/>
    <w:rsid w:val="00331582"/>
    <w:rsid w:val="00331635"/>
    <w:rsid w:val="00331EBC"/>
    <w:rsid w:val="00332048"/>
    <w:rsid w:val="00332343"/>
    <w:rsid w:val="00332350"/>
    <w:rsid w:val="00333480"/>
    <w:rsid w:val="0033420F"/>
    <w:rsid w:val="003344C2"/>
    <w:rsid w:val="003344D3"/>
    <w:rsid w:val="003345F4"/>
    <w:rsid w:val="003348F6"/>
    <w:rsid w:val="003349FE"/>
    <w:rsid w:val="00334C71"/>
    <w:rsid w:val="003351C1"/>
    <w:rsid w:val="00335297"/>
    <w:rsid w:val="0033554F"/>
    <w:rsid w:val="00335B29"/>
    <w:rsid w:val="00335CFC"/>
    <w:rsid w:val="003363E0"/>
    <w:rsid w:val="0033651B"/>
    <w:rsid w:val="00336862"/>
    <w:rsid w:val="00336A32"/>
    <w:rsid w:val="00336A9E"/>
    <w:rsid w:val="00336C40"/>
    <w:rsid w:val="00337021"/>
    <w:rsid w:val="0033756E"/>
    <w:rsid w:val="00340396"/>
    <w:rsid w:val="0034079F"/>
    <w:rsid w:val="00341553"/>
    <w:rsid w:val="00341AF9"/>
    <w:rsid w:val="00341F57"/>
    <w:rsid w:val="00342332"/>
    <w:rsid w:val="00342806"/>
    <w:rsid w:val="00342AE5"/>
    <w:rsid w:val="00342E52"/>
    <w:rsid w:val="00342E79"/>
    <w:rsid w:val="00343234"/>
    <w:rsid w:val="0034362C"/>
    <w:rsid w:val="00343995"/>
    <w:rsid w:val="0034446B"/>
    <w:rsid w:val="00344997"/>
    <w:rsid w:val="00345020"/>
    <w:rsid w:val="00345055"/>
    <w:rsid w:val="003450FE"/>
    <w:rsid w:val="003452B5"/>
    <w:rsid w:val="00345737"/>
    <w:rsid w:val="00345FCD"/>
    <w:rsid w:val="00346873"/>
    <w:rsid w:val="00347B09"/>
    <w:rsid w:val="00347BB3"/>
    <w:rsid w:val="00347D10"/>
    <w:rsid w:val="00350E8A"/>
    <w:rsid w:val="0035105C"/>
    <w:rsid w:val="003512CF"/>
    <w:rsid w:val="003512FE"/>
    <w:rsid w:val="00351E95"/>
    <w:rsid w:val="00352E7C"/>
    <w:rsid w:val="00352FC3"/>
    <w:rsid w:val="00353300"/>
    <w:rsid w:val="00353599"/>
    <w:rsid w:val="00353E0A"/>
    <w:rsid w:val="00353E4F"/>
    <w:rsid w:val="0035450C"/>
    <w:rsid w:val="0035457A"/>
    <w:rsid w:val="00354D76"/>
    <w:rsid w:val="00354E6F"/>
    <w:rsid w:val="00355227"/>
    <w:rsid w:val="003556FF"/>
    <w:rsid w:val="00355E23"/>
    <w:rsid w:val="00356434"/>
    <w:rsid w:val="003567F0"/>
    <w:rsid w:val="00356DA8"/>
    <w:rsid w:val="00357740"/>
    <w:rsid w:val="00357F9D"/>
    <w:rsid w:val="00360140"/>
    <w:rsid w:val="00360482"/>
    <w:rsid w:val="003606E3"/>
    <w:rsid w:val="00360C89"/>
    <w:rsid w:val="00361F05"/>
    <w:rsid w:val="00361F76"/>
    <w:rsid w:val="003620C4"/>
    <w:rsid w:val="003629A8"/>
    <w:rsid w:val="00362B50"/>
    <w:rsid w:val="00362DDC"/>
    <w:rsid w:val="00363C28"/>
    <w:rsid w:val="00363F85"/>
    <w:rsid w:val="00364F9F"/>
    <w:rsid w:val="003654C8"/>
    <w:rsid w:val="00365667"/>
    <w:rsid w:val="00365884"/>
    <w:rsid w:val="00365EA1"/>
    <w:rsid w:val="003660A5"/>
    <w:rsid w:val="00366B1E"/>
    <w:rsid w:val="00366D11"/>
    <w:rsid w:val="0036738F"/>
    <w:rsid w:val="0036745D"/>
    <w:rsid w:val="0037023C"/>
    <w:rsid w:val="003709F7"/>
    <w:rsid w:val="00370A3B"/>
    <w:rsid w:val="00370A93"/>
    <w:rsid w:val="00371A7D"/>
    <w:rsid w:val="0037245E"/>
    <w:rsid w:val="00372663"/>
    <w:rsid w:val="00372720"/>
    <w:rsid w:val="00372A4C"/>
    <w:rsid w:val="0037322F"/>
    <w:rsid w:val="003732A4"/>
    <w:rsid w:val="0037378A"/>
    <w:rsid w:val="00374727"/>
    <w:rsid w:val="0037481F"/>
    <w:rsid w:val="0037518B"/>
    <w:rsid w:val="003757C1"/>
    <w:rsid w:val="00375881"/>
    <w:rsid w:val="00375DDA"/>
    <w:rsid w:val="00375F15"/>
    <w:rsid w:val="0037634C"/>
    <w:rsid w:val="00376460"/>
    <w:rsid w:val="00376947"/>
    <w:rsid w:val="00376A75"/>
    <w:rsid w:val="00376E2F"/>
    <w:rsid w:val="00376FED"/>
    <w:rsid w:val="003772B8"/>
    <w:rsid w:val="00380414"/>
    <w:rsid w:val="00380C00"/>
    <w:rsid w:val="00380CBE"/>
    <w:rsid w:val="003812B2"/>
    <w:rsid w:val="00381585"/>
    <w:rsid w:val="0038186C"/>
    <w:rsid w:val="00381B55"/>
    <w:rsid w:val="0038256B"/>
    <w:rsid w:val="00382A94"/>
    <w:rsid w:val="00382FC5"/>
    <w:rsid w:val="00383037"/>
    <w:rsid w:val="00383496"/>
    <w:rsid w:val="00383C15"/>
    <w:rsid w:val="00383D98"/>
    <w:rsid w:val="00383DB5"/>
    <w:rsid w:val="00383EB6"/>
    <w:rsid w:val="003844EB"/>
    <w:rsid w:val="003847FF"/>
    <w:rsid w:val="00384AE7"/>
    <w:rsid w:val="00385249"/>
    <w:rsid w:val="003859D6"/>
    <w:rsid w:val="00385B26"/>
    <w:rsid w:val="00386031"/>
    <w:rsid w:val="003865E9"/>
    <w:rsid w:val="0038698E"/>
    <w:rsid w:val="00386E8A"/>
    <w:rsid w:val="003870EC"/>
    <w:rsid w:val="00387A81"/>
    <w:rsid w:val="00387C13"/>
    <w:rsid w:val="0039003C"/>
    <w:rsid w:val="003902AB"/>
    <w:rsid w:val="0039053B"/>
    <w:rsid w:val="003909DA"/>
    <w:rsid w:val="00390CDF"/>
    <w:rsid w:val="003913DC"/>
    <w:rsid w:val="00391A96"/>
    <w:rsid w:val="00391C4D"/>
    <w:rsid w:val="0039239B"/>
    <w:rsid w:val="00393642"/>
    <w:rsid w:val="00393D21"/>
    <w:rsid w:val="00394397"/>
    <w:rsid w:val="00394A1F"/>
    <w:rsid w:val="00395A24"/>
    <w:rsid w:val="003961B2"/>
    <w:rsid w:val="00396ECC"/>
    <w:rsid w:val="0039750F"/>
    <w:rsid w:val="00397622"/>
    <w:rsid w:val="0039762B"/>
    <w:rsid w:val="0039786E"/>
    <w:rsid w:val="003A101C"/>
    <w:rsid w:val="003A134E"/>
    <w:rsid w:val="003A1DA2"/>
    <w:rsid w:val="003A1EC7"/>
    <w:rsid w:val="003A1F28"/>
    <w:rsid w:val="003A22B1"/>
    <w:rsid w:val="003A2564"/>
    <w:rsid w:val="003A2FB1"/>
    <w:rsid w:val="003A3714"/>
    <w:rsid w:val="003A37E5"/>
    <w:rsid w:val="003A3826"/>
    <w:rsid w:val="003A384C"/>
    <w:rsid w:val="003A3980"/>
    <w:rsid w:val="003A3EF1"/>
    <w:rsid w:val="003A425B"/>
    <w:rsid w:val="003A484F"/>
    <w:rsid w:val="003A4F25"/>
    <w:rsid w:val="003A5031"/>
    <w:rsid w:val="003A5996"/>
    <w:rsid w:val="003A5ACE"/>
    <w:rsid w:val="003A5D00"/>
    <w:rsid w:val="003A5DDE"/>
    <w:rsid w:val="003A6A2E"/>
    <w:rsid w:val="003A6E96"/>
    <w:rsid w:val="003A6FD1"/>
    <w:rsid w:val="003A7CB7"/>
    <w:rsid w:val="003A7FD6"/>
    <w:rsid w:val="003B0390"/>
    <w:rsid w:val="003B18CD"/>
    <w:rsid w:val="003B210E"/>
    <w:rsid w:val="003B24B7"/>
    <w:rsid w:val="003B2746"/>
    <w:rsid w:val="003B28E5"/>
    <w:rsid w:val="003B306A"/>
    <w:rsid w:val="003B33C1"/>
    <w:rsid w:val="003B4E30"/>
    <w:rsid w:val="003B5391"/>
    <w:rsid w:val="003B5D8A"/>
    <w:rsid w:val="003B5FC3"/>
    <w:rsid w:val="003B6341"/>
    <w:rsid w:val="003B68FC"/>
    <w:rsid w:val="003B6E29"/>
    <w:rsid w:val="003B7890"/>
    <w:rsid w:val="003C009D"/>
    <w:rsid w:val="003C0846"/>
    <w:rsid w:val="003C0C13"/>
    <w:rsid w:val="003C0E2E"/>
    <w:rsid w:val="003C0F3B"/>
    <w:rsid w:val="003C124B"/>
    <w:rsid w:val="003C3E40"/>
    <w:rsid w:val="003C4224"/>
    <w:rsid w:val="003C49DB"/>
    <w:rsid w:val="003C4C03"/>
    <w:rsid w:val="003C4D13"/>
    <w:rsid w:val="003C53DD"/>
    <w:rsid w:val="003C6719"/>
    <w:rsid w:val="003C6B4A"/>
    <w:rsid w:val="003C6B91"/>
    <w:rsid w:val="003C6CCE"/>
    <w:rsid w:val="003C6D5D"/>
    <w:rsid w:val="003C6F02"/>
    <w:rsid w:val="003C71D3"/>
    <w:rsid w:val="003D00B7"/>
    <w:rsid w:val="003D01B4"/>
    <w:rsid w:val="003D02A0"/>
    <w:rsid w:val="003D036A"/>
    <w:rsid w:val="003D0842"/>
    <w:rsid w:val="003D0B33"/>
    <w:rsid w:val="003D0DDC"/>
    <w:rsid w:val="003D16AB"/>
    <w:rsid w:val="003D16F5"/>
    <w:rsid w:val="003D182C"/>
    <w:rsid w:val="003D28EF"/>
    <w:rsid w:val="003D2994"/>
    <w:rsid w:val="003D2E15"/>
    <w:rsid w:val="003D325D"/>
    <w:rsid w:val="003D36FA"/>
    <w:rsid w:val="003D37E4"/>
    <w:rsid w:val="003D3B0F"/>
    <w:rsid w:val="003D3D01"/>
    <w:rsid w:val="003D3D6C"/>
    <w:rsid w:val="003D3F6C"/>
    <w:rsid w:val="003D4033"/>
    <w:rsid w:val="003D4406"/>
    <w:rsid w:val="003D49E2"/>
    <w:rsid w:val="003D524C"/>
    <w:rsid w:val="003D5469"/>
    <w:rsid w:val="003D5EF9"/>
    <w:rsid w:val="003D602D"/>
    <w:rsid w:val="003D651A"/>
    <w:rsid w:val="003D6EAB"/>
    <w:rsid w:val="003D71BD"/>
    <w:rsid w:val="003D7D7F"/>
    <w:rsid w:val="003E0079"/>
    <w:rsid w:val="003E01FB"/>
    <w:rsid w:val="003E12EF"/>
    <w:rsid w:val="003E14C9"/>
    <w:rsid w:val="003E28E3"/>
    <w:rsid w:val="003E2C00"/>
    <w:rsid w:val="003E2C31"/>
    <w:rsid w:val="003E2C76"/>
    <w:rsid w:val="003E30D4"/>
    <w:rsid w:val="003E312B"/>
    <w:rsid w:val="003E33CC"/>
    <w:rsid w:val="003E34C8"/>
    <w:rsid w:val="003E39D1"/>
    <w:rsid w:val="003E3E42"/>
    <w:rsid w:val="003E4A61"/>
    <w:rsid w:val="003E4ECC"/>
    <w:rsid w:val="003E5205"/>
    <w:rsid w:val="003E523B"/>
    <w:rsid w:val="003E5456"/>
    <w:rsid w:val="003E57BF"/>
    <w:rsid w:val="003E59BB"/>
    <w:rsid w:val="003E5CD3"/>
    <w:rsid w:val="003E6122"/>
    <w:rsid w:val="003E6F07"/>
    <w:rsid w:val="003E70DF"/>
    <w:rsid w:val="003E72C6"/>
    <w:rsid w:val="003E73A0"/>
    <w:rsid w:val="003E75BC"/>
    <w:rsid w:val="003E7907"/>
    <w:rsid w:val="003E7D97"/>
    <w:rsid w:val="003F013D"/>
    <w:rsid w:val="003F06C5"/>
    <w:rsid w:val="003F1352"/>
    <w:rsid w:val="003F1B02"/>
    <w:rsid w:val="003F1C98"/>
    <w:rsid w:val="003F1E34"/>
    <w:rsid w:val="003F235F"/>
    <w:rsid w:val="003F30A9"/>
    <w:rsid w:val="003F3C02"/>
    <w:rsid w:val="003F412D"/>
    <w:rsid w:val="003F5455"/>
    <w:rsid w:val="003F5BE8"/>
    <w:rsid w:val="003F6103"/>
    <w:rsid w:val="003F6569"/>
    <w:rsid w:val="003F7032"/>
    <w:rsid w:val="003F7431"/>
    <w:rsid w:val="003F7732"/>
    <w:rsid w:val="00400E76"/>
    <w:rsid w:val="00401017"/>
    <w:rsid w:val="0040158A"/>
    <w:rsid w:val="00401612"/>
    <w:rsid w:val="004027FC"/>
    <w:rsid w:val="00402FC2"/>
    <w:rsid w:val="00403B5B"/>
    <w:rsid w:val="00403E90"/>
    <w:rsid w:val="004043CD"/>
    <w:rsid w:val="00404A2C"/>
    <w:rsid w:val="00404CD7"/>
    <w:rsid w:val="00404F1E"/>
    <w:rsid w:val="00405C8F"/>
    <w:rsid w:val="0040632A"/>
    <w:rsid w:val="0040649D"/>
    <w:rsid w:val="00406809"/>
    <w:rsid w:val="00406DC4"/>
    <w:rsid w:val="004070B0"/>
    <w:rsid w:val="00407315"/>
    <w:rsid w:val="0041035E"/>
    <w:rsid w:val="0041053C"/>
    <w:rsid w:val="0041109C"/>
    <w:rsid w:val="004111E4"/>
    <w:rsid w:val="0041150B"/>
    <w:rsid w:val="0041225C"/>
    <w:rsid w:val="00414F55"/>
    <w:rsid w:val="004154BC"/>
    <w:rsid w:val="0041593E"/>
    <w:rsid w:val="00415DF6"/>
    <w:rsid w:val="0041624A"/>
    <w:rsid w:val="00417263"/>
    <w:rsid w:val="00420373"/>
    <w:rsid w:val="00420435"/>
    <w:rsid w:val="00420AC5"/>
    <w:rsid w:val="00420DBB"/>
    <w:rsid w:val="00421314"/>
    <w:rsid w:val="00421411"/>
    <w:rsid w:val="00421D8C"/>
    <w:rsid w:val="004222F2"/>
    <w:rsid w:val="00422E2C"/>
    <w:rsid w:val="00423169"/>
    <w:rsid w:val="00423DB4"/>
    <w:rsid w:val="00424470"/>
    <w:rsid w:val="00424F17"/>
    <w:rsid w:val="004252CE"/>
    <w:rsid w:val="004252FF"/>
    <w:rsid w:val="00425342"/>
    <w:rsid w:val="00425651"/>
    <w:rsid w:val="0042588B"/>
    <w:rsid w:val="0042664B"/>
    <w:rsid w:val="004267A5"/>
    <w:rsid w:val="0042744F"/>
    <w:rsid w:val="00427F02"/>
    <w:rsid w:val="00430829"/>
    <w:rsid w:val="00430992"/>
    <w:rsid w:val="00430A9A"/>
    <w:rsid w:val="004312B0"/>
    <w:rsid w:val="0043130B"/>
    <w:rsid w:val="00431558"/>
    <w:rsid w:val="00431954"/>
    <w:rsid w:val="00431E29"/>
    <w:rsid w:val="00431F02"/>
    <w:rsid w:val="004320AC"/>
    <w:rsid w:val="004336B1"/>
    <w:rsid w:val="0043388B"/>
    <w:rsid w:val="00433C43"/>
    <w:rsid w:val="00433DE9"/>
    <w:rsid w:val="00433E43"/>
    <w:rsid w:val="00434188"/>
    <w:rsid w:val="00435340"/>
    <w:rsid w:val="00435AD1"/>
    <w:rsid w:val="00435E53"/>
    <w:rsid w:val="00435E7A"/>
    <w:rsid w:val="00435FED"/>
    <w:rsid w:val="0043644B"/>
    <w:rsid w:val="00436781"/>
    <w:rsid w:val="00436EC7"/>
    <w:rsid w:val="004370B3"/>
    <w:rsid w:val="00437F06"/>
    <w:rsid w:val="004407B2"/>
    <w:rsid w:val="00440CF9"/>
    <w:rsid w:val="0044196E"/>
    <w:rsid w:val="004423E5"/>
    <w:rsid w:val="00442BBD"/>
    <w:rsid w:val="00442D5E"/>
    <w:rsid w:val="004434F7"/>
    <w:rsid w:val="004440E9"/>
    <w:rsid w:val="0044442C"/>
    <w:rsid w:val="00444A60"/>
    <w:rsid w:val="00445218"/>
    <w:rsid w:val="00445761"/>
    <w:rsid w:val="00445A5F"/>
    <w:rsid w:val="004461E9"/>
    <w:rsid w:val="0044650D"/>
    <w:rsid w:val="0044755D"/>
    <w:rsid w:val="00447726"/>
    <w:rsid w:val="0044793D"/>
    <w:rsid w:val="00447F31"/>
    <w:rsid w:val="00450255"/>
    <w:rsid w:val="0045062E"/>
    <w:rsid w:val="004508BB"/>
    <w:rsid w:val="00451BAA"/>
    <w:rsid w:val="00451CD5"/>
    <w:rsid w:val="0045275D"/>
    <w:rsid w:val="00452A3F"/>
    <w:rsid w:val="00453835"/>
    <w:rsid w:val="004539F5"/>
    <w:rsid w:val="00453C8B"/>
    <w:rsid w:val="00453E5F"/>
    <w:rsid w:val="00454688"/>
    <w:rsid w:val="0045505B"/>
    <w:rsid w:val="004561A6"/>
    <w:rsid w:val="004561EC"/>
    <w:rsid w:val="004562E1"/>
    <w:rsid w:val="004565C0"/>
    <w:rsid w:val="00456C74"/>
    <w:rsid w:val="00457902"/>
    <w:rsid w:val="00457990"/>
    <w:rsid w:val="00457A3B"/>
    <w:rsid w:val="00460041"/>
    <w:rsid w:val="0046045B"/>
    <w:rsid w:val="004604AC"/>
    <w:rsid w:val="00460754"/>
    <w:rsid w:val="004607E4"/>
    <w:rsid w:val="00460DC8"/>
    <w:rsid w:val="0046102F"/>
    <w:rsid w:val="004610D3"/>
    <w:rsid w:val="004614CB"/>
    <w:rsid w:val="004614F6"/>
    <w:rsid w:val="0046174E"/>
    <w:rsid w:val="00461DA8"/>
    <w:rsid w:val="0046253D"/>
    <w:rsid w:val="004626E6"/>
    <w:rsid w:val="00462C53"/>
    <w:rsid w:val="00463D0A"/>
    <w:rsid w:val="00464274"/>
    <w:rsid w:val="004642F3"/>
    <w:rsid w:val="004644A4"/>
    <w:rsid w:val="00464A83"/>
    <w:rsid w:val="00464AA4"/>
    <w:rsid w:val="00464BD2"/>
    <w:rsid w:val="00464E4E"/>
    <w:rsid w:val="00464EEE"/>
    <w:rsid w:val="004655E8"/>
    <w:rsid w:val="00465A20"/>
    <w:rsid w:val="0046612A"/>
    <w:rsid w:val="004669DC"/>
    <w:rsid w:val="00466B6E"/>
    <w:rsid w:val="00466D4B"/>
    <w:rsid w:val="00466FBB"/>
    <w:rsid w:val="00467B03"/>
    <w:rsid w:val="004700D6"/>
    <w:rsid w:val="00470BCB"/>
    <w:rsid w:val="004712CE"/>
    <w:rsid w:val="00471A4C"/>
    <w:rsid w:val="004729A8"/>
    <w:rsid w:val="00472C8B"/>
    <w:rsid w:val="00472DDE"/>
    <w:rsid w:val="0047310F"/>
    <w:rsid w:val="00473788"/>
    <w:rsid w:val="00473934"/>
    <w:rsid w:val="0047445A"/>
    <w:rsid w:val="00474533"/>
    <w:rsid w:val="00474B8C"/>
    <w:rsid w:val="00474C01"/>
    <w:rsid w:val="00474FF5"/>
    <w:rsid w:val="004752DE"/>
    <w:rsid w:val="004753E6"/>
    <w:rsid w:val="00475D86"/>
    <w:rsid w:val="00477011"/>
    <w:rsid w:val="004773DD"/>
    <w:rsid w:val="00477437"/>
    <w:rsid w:val="004802DB"/>
    <w:rsid w:val="00481C4D"/>
    <w:rsid w:val="0048247C"/>
    <w:rsid w:val="0048257D"/>
    <w:rsid w:val="004825EC"/>
    <w:rsid w:val="00482D42"/>
    <w:rsid w:val="00483164"/>
    <w:rsid w:val="004836B3"/>
    <w:rsid w:val="00483C0D"/>
    <w:rsid w:val="00484245"/>
    <w:rsid w:val="004847EF"/>
    <w:rsid w:val="0048482E"/>
    <w:rsid w:val="00485577"/>
    <w:rsid w:val="00485A30"/>
    <w:rsid w:val="00485BED"/>
    <w:rsid w:val="00486010"/>
    <w:rsid w:val="00486C16"/>
    <w:rsid w:val="00486E4B"/>
    <w:rsid w:val="004872C2"/>
    <w:rsid w:val="004879D5"/>
    <w:rsid w:val="00487D6C"/>
    <w:rsid w:val="00487E0A"/>
    <w:rsid w:val="00490038"/>
    <w:rsid w:val="00490181"/>
    <w:rsid w:val="004906D6"/>
    <w:rsid w:val="004907EB"/>
    <w:rsid w:val="0049275F"/>
    <w:rsid w:val="00492934"/>
    <w:rsid w:val="00492B6F"/>
    <w:rsid w:val="004933E7"/>
    <w:rsid w:val="004934FE"/>
    <w:rsid w:val="0049364E"/>
    <w:rsid w:val="00493725"/>
    <w:rsid w:val="004937DF"/>
    <w:rsid w:val="004939F3"/>
    <w:rsid w:val="00493FC8"/>
    <w:rsid w:val="00494DFF"/>
    <w:rsid w:val="00496435"/>
    <w:rsid w:val="0049668C"/>
    <w:rsid w:val="00496BF7"/>
    <w:rsid w:val="0049728A"/>
    <w:rsid w:val="0049776F"/>
    <w:rsid w:val="004A007F"/>
    <w:rsid w:val="004A0593"/>
    <w:rsid w:val="004A06E8"/>
    <w:rsid w:val="004A0745"/>
    <w:rsid w:val="004A0988"/>
    <w:rsid w:val="004A09AE"/>
    <w:rsid w:val="004A09DC"/>
    <w:rsid w:val="004A0BB1"/>
    <w:rsid w:val="004A0E25"/>
    <w:rsid w:val="004A0E26"/>
    <w:rsid w:val="004A1859"/>
    <w:rsid w:val="004A19E0"/>
    <w:rsid w:val="004A1F25"/>
    <w:rsid w:val="004A2C75"/>
    <w:rsid w:val="004A2ED4"/>
    <w:rsid w:val="004A2F7C"/>
    <w:rsid w:val="004A350E"/>
    <w:rsid w:val="004A372A"/>
    <w:rsid w:val="004A39A5"/>
    <w:rsid w:val="004A409A"/>
    <w:rsid w:val="004A425D"/>
    <w:rsid w:val="004A44DE"/>
    <w:rsid w:val="004A4526"/>
    <w:rsid w:val="004A4B62"/>
    <w:rsid w:val="004A4BA0"/>
    <w:rsid w:val="004A550F"/>
    <w:rsid w:val="004A5E62"/>
    <w:rsid w:val="004A6B6E"/>
    <w:rsid w:val="004A6BA4"/>
    <w:rsid w:val="004A6F87"/>
    <w:rsid w:val="004B0126"/>
    <w:rsid w:val="004B023F"/>
    <w:rsid w:val="004B07CF"/>
    <w:rsid w:val="004B0AAE"/>
    <w:rsid w:val="004B0ADD"/>
    <w:rsid w:val="004B13EC"/>
    <w:rsid w:val="004B1AEE"/>
    <w:rsid w:val="004B1B81"/>
    <w:rsid w:val="004B2434"/>
    <w:rsid w:val="004B2DD6"/>
    <w:rsid w:val="004B3092"/>
    <w:rsid w:val="004B3101"/>
    <w:rsid w:val="004B357D"/>
    <w:rsid w:val="004B38DA"/>
    <w:rsid w:val="004B397D"/>
    <w:rsid w:val="004B3FA2"/>
    <w:rsid w:val="004B455A"/>
    <w:rsid w:val="004B4964"/>
    <w:rsid w:val="004B4DF8"/>
    <w:rsid w:val="004B5191"/>
    <w:rsid w:val="004B5FDC"/>
    <w:rsid w:val="004B65E9"/>
    <w:rsid w:val="004B670F"/>
    <w:rsid w:val="004B6F05"/>
    <w:rsid w:val="004B6FB8"/>
    <w:rsid w:val="004B7236"/>
    <w:rsid w:val="004C08DB"/>
    <w:rsid w:val="004C1E19"/>
    <w:rsid w:val="004C1E2C"/>
    <w:rsid w:val="004C22CB"/>
    <w:rsid w:val="004C2570"/>
    <w:rsid w:val="004C2E63"/>
    <w:rsid w:val="004C377A"/>
    <w:rsid w:val="004C3C6B"/>
    <w:rsid w:val="004C4063"/>
    <w:rsid w:val="004C48D2"/>
    <w:rsid w:val="004C4939"/>
    <w:rsid w:val="004C50FD"/>
    <w:rsid w:val="004C51CE"/>
    <w:rsid w:val="004C52E1"/>
    <w:rsid w:val="004C587C"/>
    <w:rsid w:val="004C5C18"/>
    <w:rsid w:val="004C5C4A"/>
    <w:rsid w:val="004C5D86"/>
    <w:rsid w:val="004C6368"/>
    <w:rsid w:val="004C658E"/>
    <w:rsid w:val="004C6D61"/>
    <w:rsid w:val="004C7ABB"/>
    <w:rsid w:val="004C7AD5"/>
    <w:rsid w:val="004D0E58"/>
    <w:rsid w:val="004D0E9F"/>
    <w:rsid w:val="004D11E2"/>
    <w:rsid w:val="004D189C"/>
    <w:rsid w:val="004D1A73"/>
    <w:rsid w:val="004D2AEA"/>
    <w:rsid w:val="004D31FB"/>
    <w:rsid w:val="004D4286"/>
    <w:rsid w:val="004D49AD"/>
    <w:rsid w:val="004D4A66"/>
    <w:rsid w:val="004D4A99"/>
    <w:rsid w:val="004D4D0B"/>
    <w:rsid w:val="004D51FB"/>
    <w:rsid w:val="004D544B"/>
    <w:rsid w:val="004D56BE"/>
    <w:rsid w:val="004D5958"/>
    <w:rsid w:val="004D5AB7"/>
    <w:rsid w:val="004D5C3D"/>
    <w:rsid w:val="004D6337"/>
    <w:rsid w:val="004D6435"/>
    <w:rsid w:val="004D6765"/>
    <w:rsid w:val="004D695F"/>
    <w:rsid w:val="004D6C08"/>
    <w:rsid w:val="004D6D38"/>
    <w:rsid w:val="004D709C"/>
    <w:rsid w:val="004D70BC"/>
    <w:rsid w:val="004D792E"/>
    <w:rsid w:val="004E0064"/>
    <w:rsid w:val="004E03DD"/>
    <w:rsid w:val="004E04A4"/>
    <w:rsid w:val="004E0E5E"/>
    <w:rsid w:val="004E2338"/>
    <w:rsid w:val="004E274E"/>
    <w:rsid w:val="004E2AA1"/>
    <w:rsid w:val="004E2BA9"/>
    <w:rsid w:val="004E2CA9"/>
    <w:rsid w:val="004E2FB6"/>
    <w:rsid w:val="004E39AB"/>
    <w:rsid w:val="004E3A2B"/>
    <w:rsid w:val="004E4135"/>
    <w:rsid w:val="004E4984"/>
    <w:rsid w:val="004E4DBB"/>
    <w:rsid w:val="004E5765"/>
    <w:rsid w:val="004E5C4B"/>
    <w:rsid w:val="004E5F8D"/>
    <w:rsid w:val="004E69EA"/>
    <w:rsid w:val="004E6B2D"/>
    <w:rsid w:val="004E6B54"/>
    <w:rsid w:val="004E7338"/>
    <w:rsid w:val="004E7815"/>
    <w:rsid w:val="004F0344"/>
    <w:rsid w:val="004F06D8"/>
    <w:rsid w:val="004F07B7"/>
    <w:rsid w:val="004F17BB"/>
    <w:rsid w:val="004F1CEB"/>
    <w:rsid w:val="004F1DCA"/>
    <w:rsid w:val="004F2A08"/>
    <w:rsid w:val="004F2E09"/>
    <w:rsid w:val="004F2ED2"/>
    <w:rsid w:val="004F3075"/>
    <w:rsid w:val="004F324E"/>
    <w:rsid w:val="004F3A94"/>
    <w:rsid w:val="004F3B15"/>
    <w:rsid w:val="004F42D0"/>
    <w:rsid w:val="004F4659"/>
    <w:rsid w:val="004F48C1"/>
    <w:rsid w:val="004F490A"/>
    <w:rsid w:val="004F4A41"/>
    <w:rsid w:val="004F4A8B"/>
    <w:rsid w:val="004F4C4E"/>
    <w:rsid w:val="004F4CF6"/>
    <w:rsid w:val="004F581A"/>
    <w:rsid w:val="004F5AB0"/>
    <w:rsid w:val="004F6132"/>
    <w:rsid w:val="004F65BB"/>
    <w:rsid w:val="004F6E6A"/>
    <w:rsid w:val="004F7208"/>
    <w:rsid w:val="004F73D2"/>
    <w:rsid w:val="004F7793"/>
    <w:rsid w:val="004F77EE"/>
    <w:rsid w:val="004F782A"/>
    <w:rsid w:val="004F79FE"/>
    <w:rsid w:val="004F7FD6"/>
    <w:rsid w:val="00500121"/>
    <w:rsid w:val="0050035E"/>
    <w:rsid w:val="005008D6"/>
    <w:rsid w:val="00500ACB"/>
    <w:rsid w:val="005019B8"/>
    <w:rsid w:val="00502129"/>
    <w:rsid w:val="0050246A"/>
    <w:rsid w:val="00502C2F"/>
    <w:rsid w:val="00502C33"/>
    <w:rsid w:val="00503767"/>
    <w:rsid w:val="00503996"/>
    <w:rsid w:val="005039C2"/>
    <w:rsid w:val="00504511"/>
    <w:rsid w:val="005051E3"/>
    <w:rsid w:val="00506C51"/>
    <w:rsid w:val="00507131"/>
    <w:rsid w:val="00507267"/>
    <w:rsid w:val="005076E1"/>
    <w:rsid w:val="0050784B"/>
    <w:rsid w:val="00507BFC"/>
    <w:rsid w:val="00507FB5"/>
    <w:rsid w:val="00510B2A"/>
    <w:rsid w:val="00510FBB"/>
    <w:rsid w:val="00511061"/>
    <w:rsid w:val="00511265"/>
    <w:rsid w:val="00511296"/>
    <w:rsid w:val="00512409"/>
    <w:rsid w:val="005125E4"/>
    <w:rsid w:val="00513313"/>
    <w:rsid w:val="00513595"/>
    <w:rsid w:val="0051400E"/>
    <w:rsid w:val="005164DE"/>
    <w:rsid w:val="0051677F"/>
    <w:rsid w:val="00516781"/>
    <w:rsid w:val="00516E1E"/>
    <w:rsid w:val="005178E3"/>
    <w:rsid w:val="00517BB1"/>
    <w:rsid w:val="00520FD7"/>
    <w:rsid w:val="0052174D"/>
    <w:rsid w:val="005218F7"/>
    <w:rsid w:val="00522728"/>
    <w:rsid w:val="005233A9"/>
    <w:rsid w:val="0052344E"/>
    <w:rsid w:val="0052379E"/>
    <w:rsid w:val="0052383D"/>
    <w:rsid w:val="00523A67"/>
    <w:rsid w:val="00523D4E"/>
    <w:rsid w:val="005241F5"/>
    <w:rsid w:val="0052549B"/>
    <w:rsid w:val="00525BBE"/>
    <w:rsid w:val="00526F11"/>
    <w:rsid w:val="0052721D"/>
    <w:rsid w:val="0052787B"/>
    <w:rsid w:val="00527C68"/>
    <w:rsid w:val="005301F4"/>
    <w:rsid w:val="005302AA"/>
    <w:rsid w:val="00530D66"/>
    <w:rsid w:val="005313A7"/>
    <w:rsid w:val="005318E6"/>
    <w:rsid w:val="00531D47"/>
    <w:rsid w:val="00531DA4"/>
    <w:rsid w:val="005324AD"/>
    <w:rsid w:val="005328E8"/>
    <w:rsid w:val="00532BAD"/>
    <w:rsid w:val="005348E6"/>
    <w:rsid w:val="00535DC5"/>
    <w:rsid w:val="00535E68"/>
    <w:rsid w:val="00535FA2"/>
    <w:rsid w:val="005362C5"/>
    <w:rsid w:val="00536A9B"/>
    <w:rsid w:val="00536B98"/>
    <w:rsid w:val="00537408"/>
    <w:rsid w:val="00537AB7"/>
    <w:rsid w:val="00537C73"/>
    <w:rsid w:val="00537DEA"/>
    <w:rsid w:val="00540077"/>
    <w:rsid w:val="005408AD"/>
    <w:rsid w:val="0054092F"/>
    <w:rsid w:val="005416AE"/>
    <w:rsid w:val="0054179E"/>
    <w:rsid w:val="00541B8A"/>
    <w:rsid w:val="00542572"/>
    <w:rsid w:val="0054298B"/>
    <w:rsid w:val="005430C9"/>
    <w:rsid w:val="00543750"/>
    <w:rsid w:val="00543834"/>
    <w:rsid w:val="00543C76"/>
    <w:rsid w:val="005440C7"/>
    <w:rsid w:val="005449D4"/>
    <w:rsid w:val="00546127"/>
    <w:rsid w:val="005466CD"/>
    <w:rsid w:val="00546731"/>
    <w:rsid w:val="005472E7"/>
    <w:rsid w:val="00547C56"/>
    <w:rsid w:val="00550009"/>
    <w:rsid w:val="0055025D"/>
    <w:rsid w:val="0055056F"/>
    <w:rsid w:val="005506B6"/>
    <w:rsid w:val="0055072B"/>
    <w:rsid w:val="00551DF4"/>
    <w:rsid w:val="00552AB5"/>
    <w:rsid w:val="005530C5"/>
    <w:rsid w:val="00553266"/>
    <w:rsid w:val="00553D45"/>
    <w:rsid w:val="00553DC7"/>
    <w:rsid w:val="00554316"/>
    <w:rsid w:val="0055465F"/>
    <w:rsid w:val="005567E5"/>
    <w:rsid w:val="005573C0"/>
    <w:rsid w:val="0056001A"/>
    <w:rsid w:val="00560026"/>
    <w:rsid w:val="005604D4"/>
    <w:rsid w:val="00560A7D"/>
    <w:rsid w:val="00560FF0"/>
    <w:rsid w:val="00561E7D"/>
    <w:rsid w:val="00562060"/>
    <w:rsid w:val="005627E8"/>
    <w:rsid w:val="00562BE5"/>
    <w:rsid w:val="00562CD0"/>
    <w:rsid w:val="005630A3"/>
    <w:rsid w:val="00563124"/>
    <w:rsid w:val="0056321C"/>
    <w:rsid w:val="0056357F"/>
    <w:rsid w:val="00563AD7"/>
    <w:rsid w:val="00563DDD"/>
    <w:rsid w:val="005645AB"/>
    <w:rsid w:val="005647EA"/>
    <w:rsid w:val="00565421"/>
    <w:rsid w:val="00565463"/>
    <w:rsid w:val="0056569B"/>
    <w:rsid w:val="00565A39"/>
    <w:rsid w:val="00565C9B"/>
    <w:rsid w:val="005661EF"/>
    <w:rsid w:val="00566F23"/>
    <w:rsid w:val="00567152"/>
    <w:rsid w:val="005678AB"/>
    <w:rsid w:val="00570E2A"/>
    <w:rsid w:val="00571013"/>
    <w:rsid w:val="005713C6"/>
    <w:rsid w:val="005714DF"/>
    <w:rsid w:val="0057166B"/>
    <w:rsid w:val="00571BC5"/>
    <w:rsid w:val="00572B93"/>
    <w:rsid w:val="00572BC3"/>
    <w:rsid w:val="00573731"/>
    <w:rsid w:val="00573C52"/>
    <w:rsid w:val="0057418A"/>
    <w:rsid w:val="00574E62"/>
    <w:rsid w:val="0057526E"/>
    <w:rsid w:val="00575E2C"/>
    <w:rsid w:val="005761F3"/>
    <w:rsid w:val="005765E8"/>
    <w:rsid w:val="00576BA0"/>
    <w:rsid w:val="00576EE2"/>
    <w:rsid w:val="0057759B"/>
    <w:rsid w:val="00577617"/>
    <w:rsid w:val="00580985"/>
    <w:rsid w:val="00581914"/>
    <w:rsid w:val="00581A4F"/>
    <w:rsid w:val="0058276D"/>
    <w:rsid w:val="00582826"/>
    <w:rsid w:val="00582DA9"/>
    <w:rsid w:val="00583290"/>
    <w:rsid w:val="00583390"/>
    <w:rsid w:val="005840E6"/>
    <w:rsid w:val="00584638"/>
    <w:rsid w:val="00584A42"/>
    <w:rsid w:val="00584B59"/>
    <w:rsid w:val="005863E6"/>
    <w:rsid w:val="005866CD"/>
    <w:rsid w:val="00587AD8"/>
    <w:rsid w:val="00587F42"/>
    <w:rsid w:val="00590667"/>
    <w:rsid w:val="00590DAF"/>
    <w:rsid w:val="00590E62"/>
    <w:rsid w:val="0059151E"/>
    <w:rsid w:val="00591F4D"/>
    <w:rsid w:val="005923C8"/>
    <w:rsid w:val="005927C2"/>
    <w:rsid w:val="005929FE"/>
    <w:rsid w:val="00592A81"/>
    <w:rsid w:val="00593582"/>
    <w:rsid w:val="00593642"/>
    <w:rsid w:val="005936D1"/>
    <w:rsid w:val="0059454C"/>
    <w:rsid w:val="005945EF"/>
    <w:rsid w:val="0059489D"/>
    <w:rsid w:val="005949BE"/>
    <w:rsid w:val="00594B1B"/>
    <w:rsid w:val="00594E0D"/>
    <w:rsid w:val="00595542"/>
    <w:rsid w:val="00595C35"/>
    <w:rsid w:val="00595DB1"/>
    <w:rsid w:val="0059650F"/>
    <w:rsid w:val="00596854"/>
    <w:rsid w:val="00596DBA"/>
    <w:rsid w:val="00596EF5"/>
    <w:rsid w:val="00597783"/>
    <w:rsid w:val="00597E95"/>
    <w:rsid w:val="005A0DF1"/>
    <w:rsid w:val="005A1314"/>
    <w:rsid w:val="005A1967"/>
    <w:rsid w:val="005A1CC9"/>
    <w:rsid w:val="005A244B"/>
    <w:rsid w:val="005A311A"/>
    <w:rsid w:val="005A3640"/>
    <w:rsid w:val="005A468E"/>
    <w:rsid w:val="005A4A5F"/>
    <w:rsid w:val="005A5F2C"/>
    <w:rsid w:val="005A6136"/>
    <w:rsid w:val="005A6700"/>
    <w:rsid w:val="005A6895"/>
    <w:rsid w:val="005A6D59"/>
    <w:rsid w:val="005A70CE"/>
    <w:rsid w:val="005A7207"/>
    <w:rsid w:val="005A749C"/>
    <w:rsid w:val="005A74B8"/>
    <w:rsid w:val="005A76F2"/>
    <w:rsid w:val="005A7CF0"/>
    <w:rsid w:val="005B0569"/>
    <w:rsid w:val="005B0707"/>
    <w:rsid w:val="005B0A4F"/>
    <w:rsid w:val="005B13B0"/>
    <w:rsid w:val="005B1783"/>
    <w:rsid w:val="005B2169"/>
    <w:rsid w:val="005B30B2"/>
    <w:rsid w:val="005B42BE"/>
    <w:rsid w:val="005B44EE"/>
    <w:rsid w:val="005B4A35"/>
    <w:rsid w:val="005B4C76"/>
    <w:rsid w:val="005B4EC1"/>
    <w:rsid w:val="005B4FFF"/>
    <w:rsid w:val="005B5076"/>
    <w:rsid w:val="005B512A"/>
    <w:rsid w:val="005B543F"/>
    <w:rsid w:val="005B57C5"/>
    <w:rsid w:val="005B5A07"/>
    <w:rsid w:val="005B5B8C"/>
    <w:rsid w:val="005B6366"/>
    <w:rsid w:val="005B64AB"/>
    <w:rsid w:val="005B67FD"/>
    <w:rsid w:val="005B6BA1"/>
    <w:rsid w:val="005B6DC6"/>
    <w:rsid w:val="005B7A51"/>
    <w:rsid w:val="005C15F8"/>
    <w:rsid w:val="005C16D7"/>
    <w:rsid w:val="005C1718"/>
    <w:rsid w:val="005C173A"/>
    <w:rsid w:val="005C17A8"/>
    <w:rsid w:val="005C17AA"/>
    <w:rsid w:val="005C1F6E"/>
    <w:rsid w:val="005C2309"/>
    <w:rsid w:val="005C2351"/>
    <w:rsid w:val="005C2657"/>
    <w:rsid w:val="005C435A"/>
    <w:rsid w:val="005C44AD"/>
    <w:rsid w:val="005C4591"/>
    <w:rsid w:val="005C474F"/>
    <w:rsid w:val="005C491D"/>
    <w:rsid w:val="005C516C"/>
    <w:rsid w:val="005C5386"/>
    <w:rsid w:val="005C54DA"/>
    <w:rsid w:val="005C5D2E"/>
    <w:rsid w:val="005C7068"/>
    <w:rsid w:val="005C7B49"/>
    <w:rsid w:val="005C7E07"/>
    <w:rsid w:val="005C7F9B"/>
    <w:rsid w:val="005D026B"/>
    <w:rsid w:val="005D06B8"/>
    <w:rsid w:val="005D0A0A"/>
    <w:rsid w:val="005D0A96"/>
    <w:rsid w:val="005D0BE6"/>
    <w:rsid w:val="005D1055"/>
    <w:rsid w:val="005D12AC"/>
    <w:rsid w:val="005D1545"/>
    <w:rsid w:val="005D1C35"/>
    <w:rsid w:val="005D1D3F"/>
    <w:rsid w:val="005D1DEC"/>
    <w:rsid w:val="005D1E0C"/>
    <w:rsid w:val="005D20B0"/>
    <w:rsid w:val="005D2262"/>
    <w:rsid w:val="005D2451"/>
    <w:rsid w:val="005D2491"/>
    <w:rsid w:val="005D2850"/>
    <w:rsid w:val="005D2A03"/>
    <w:rsid w:val="005D2EA7"/>
    <w:rsid w:val="005D3097"/>
    <w:rsid w:val="005D30C1"/>
    <w:rsid w:val="005D3406"/>
    <w:rsid w:val="005D362A"/>
    <w:rsid w:val="005D38F1"/>
    <w:rsid w:val="005D4D1A"/>
    <w:rsid w:val="005D4FD6"/>
    <w:rsid w:val="005D51FA"/>
    <w:rsid w:val="005D5ADF"/>
    <w:rsid w:val="005D5D9F"/>
    <w:rsid w:val="005D5DE3"/>
    <w:rsid w:val="005D610A"/>
    <w:rsid w:val="005D7198"/>
    <w:rsid w:val="005D73E3"/>
    <w:rsid w:val="005D772A"/>
    <w:rsid w:val="005D78F0"/>
    <w:rsid w:val="005E04E7"/>
    <w:rsid w:val="005E100A"/>
    <w:rsid w:val="005E13C2"/>
    <w:rsid w:val="005E14F0"/>
    <w:rsid w:val="005E1512"/>
    <w:rsid w:val="005E17D5"/>
    <w:rsid w:val="005E1E2E"/>
    <w:rsid w:val="005E1F4E"/>
    <w:rsid w:val="005E2807"/>
    <w:rsid w:val="005E3DC3"/>
    <w:rsid w:val="005E3E1C"/>
    <w:rsid w:val="005E4190"/>
    <w:rsid w:val="005E4839"/>
    <w:rsid w:val="005E4C3C"/>
    <w:rsid w:val="005E517D"/>
    <w:rsid w:val="005E5EEF"/>
    <w:rsid w:val="005E66AD"/>
    <w:rsid w:val="005E6902"/>
    <w:rsid w:val="005E69A7"/>
    <w:rsid w:val="005E78BD"/>
    <w:rsid w:val="005F04CA"/>
    <w:rsid w:val="005F092F"/>
    <w:rsid w:val="005F11F1"/>
    <w:rsid w:val="005F14B9"/>
    <w:rsid w:val="005F1DCA"/>
    <w:rsid w:val="005F1F30"/>
    <w:rsid w:val="005F1FE0"/>
    <w:rsid w:val="005F2B76"/>
    <w:rsid w:val="005F2BC2"/>
    <w:rsid w:val="005F32C7"/>
    <w:rsid w:val="005F344A"/>
    <w:rsid w:val="005F36E9"/>
    <w:rsid w:val="005F3729"/>
    <w:rsid w:val="005F41CE"/>
    <w:rsid w:val="005F42C8"/>
    <w:rsid w:val="005F5A32"/>
    <w:rsid w:val="005F5AC0"/>
    <w:rsid w:val="005F62EE"/>
    <w:rsid w:val="005F6456"/>
    <w:rsid w:val="005F6AD4"/>
    <w:rsid w:val="005F6BB3"/>
    <w:rsid w:val="005F6D21"/>
    <w:rsid w:val="005F6D79"/>
    <w:rsid w:val="005F6DBF"/>
    <w:rsid w:val="005F79E0"/>
    <w:rsid w:val="005F7F8A"/>
    <w:rsid w:val="00600178"/>
    <w:rsid w:val="00600CA9"/>
    <w:rsid w:val="006015B3"/>
    <w:rsid w:val="00601A65"/>
    <w:rsid w:val="00601BD5"/>
    <w:rsid w:val="00601DA0"/>
    <w:rsid w:val="0060274C"/>
    <w:rsid w:val="00603BB3"/>
    <w:rsid w:val="00603C13"/>
    <w:rsid w:val="00603D48"/>
    <w:rsid w:val="006040A5"/>
    <w:rsid w:val="00604609"/>
    <w:rsid w:val="006057CC"/>
    <w:rsid w:val="00605D59"/>
    <w:rsid w:val="00606C29"/>
    <w:rsid w:val="00607066"/>
    <w:rsid w:val="006079F7"/>
    <w:rsid w:val="0061017A"/>
    <w:rsid w:val="006101F1"/>
    <w:rsid w:val="00610556"/>
    <w:rsid w:val="00611377"/>
    <w:rsid w:val="00611386"/>
    <w:rsid w:val="00611AE8"/>
    <w:rsid w:val="00611B76"/>
    <w:rsid w:val="00611BF0"/>
    <w:rsid w:val="00611EC2"/>
    <w:rsid w:val="00612180"/>
    <w:rsid w:val="006122B2"/>
    <w:rsid w:val="00612744"/>
    <w:rsid w:val="0061286B"/>
    <w:rsid w:val="00612A90"/>
    <w:rsid w:val="00613011"/>
    <w:rsid w:val="00613275"/>
    <w:rsid w:val="0061419A"/>
    <w:rsid w:val="00614726"/>
    <w:rsid w:val="006148D2"/>
    <w:rsid w:val="00614B6F"/>
    <w:rsid w:val="00615347"/>
    <w:rsid w:val="00615600"/>
    <w:rsid w:val="006165F4"/>
    <w:rsid w:val="00616855"/>
    <w:rsid w:val="00616D94"/>
    <w:rsid w:val="00616E29"/>
    <w:rsid w:val="006176ED"/>
    <w:rsid w:val="00620087"/>
    <w:rsid w:val="00620641"/>
    <w:rsid w:val="00620987"/>
    <w:rsid w:val="00620BFA"/>
    <w:rsid w:val="00620F26"/>
    <w:rsid w:val="006212AB"/>
    <w:rsid w:val="00621634"/>
    <w:rsid w:val="006217B6"/>
    <w:rsid w:val="006219AC"/>
    <w:rsid w:val="00621EB5"/>
    <w:rsid w:val="00622364"/>
    <w:rsid w:val="00622D92"/>
    <w:rsid w:val="00622F40"/>
    <w:rsid w:val="00624309"/>
    <w:rsid w:val="00624B1E"/>
    <w:rsid w:val="00624E70"/>
    <w:rsid w:val="00625EDC"/>
    <w:rsid w:val="006263F1"/>
    <w:rsid w:val="006266CC"/>
    <w:rsid w:val="00626744"/>
    <w:rsid w:val="006268B6"/>
    <w:rsid w:val="00626BB9"/>
    <w:rsid w:val="006272CE"/>
    <w:rsid w:val="006275D5"/>
    <w:rsid w:val="006278F3"/>
    <w:rsid w:val="00627D7C"/>
    <w:rsid w:val="00630451"/>
    <w:rsid w:val="0063048C"/>
    <w:rsid w:val="00630706"/>
    <w:rsid w:val="00630CB5"/>
    <w:rsid w:val="00630D38"/>
    <w:rsid w:val="00630EF9"/>
    <w:rsid w:val="00630F5D"/>
    <w:rsid w:val="00631151"/>
    <w:rsid w:val="0063132C"/>
    <w:rsid w:val="006319C1"/>
    <w:rsid w:val="0063239E"/>
    <w:rsid w:val="00632780"/>
    <w:rsid w:val="00632F1A"/>
    <w:rsid w:val="00633173"/>
    <w:rsid w:val="006334C6"/>
    <w:rsid w:val="00633884"/>
    <w:rsid w:val="0063437C"/>
    <w:rsid w:val="00634BE6"/>
    <w:rsid w:val="006356E7"/>
    <w:rsid w:val="006365E0"/>
    <w:rsid w:val="0063666A"/>
    <w:rsid w:val="0063681E"/>
    <w:rsid w:val="00636C0A"/>
    <w:rsid w:val="006404F5"/>
    <w:rsid w:val="00640656"/>
    <w:rsid w:val="0064079B"/>
    <w:rsid w:val="00640FFD"/>
    <w:rsid w:val="0064233D"/>
    <w:rsid w:val="0064249B"/>
    <w:rsid w:val="00643EAC"/>
    <w:rsid w:val="006441C7"/>
    <w:rsid w:val="00644791"/>
    <w:rsid w:val="00644DFE"/>
    <w:rsid w:val="006450D8"/>
    <w:rsid w:val="00645205"/>
    <w:rsid w:val="00645A43"/>
    <w:rsid w:val="00645AC6"/>
    <w:rsid w:val="00646BC0"/>
    <w:rsid w:val="00646F6F"/>
    <w:rsid w:val="00646FD6"/>
    <w:rsid w:val="006471E0"/>
    <w:rsid w:val="0064746C"/>
    <w:rsid w:val="006479FC"/>
    <w:rsid w:val="00647FC1"/>
    <w:rsid w:val="00650239"/>
    <w:rsid w:val="006507C1"/>
    <w:rsid w:val="00650A73"/>
    <w:rsid w:val="00650C36"/>
    <w:rsid w:val="00651D28"/>
    <w:rsid w:val="00651DE2"/>
    <w:rsid w:val="006525E3"/>
    <w:rsid w:val="00653D2F"/>
    <w:rsid w:val="00654301"/>
    <w:rsid w:val="00654942"/>
    <w:rsid w:val="0065499C"/>
    <w:rsid w:val="006557CD"/>
    <w:rsid w:val="00655A98"/>
    <w:rsid w:val="00655E39"/>
    <w:rsid w:val="00656377"/>
    <w:rsid w:val="00656777"/>
    <w:rsid w:val="00656C2B"/>
    <w:rsid w:val="00656D32"/>
    <w:rsid w:val="00657468"/>
    <w:rsid w:val="00657E4A"/>
    <w:rsid w:val="006600D3"/>
    <w:rsid w:val="0066027C"/>
    <w:rsid w:val="00660414"/>
    <w:rsid w:val="00660455"/>
    <w:rsid w:val="00660844"/>
    <w:rsid w:val="006618EB"/>
    <w:rsid w:val="0066199C"/>
    <w:rsid w:val="00662103"/>
    <w:rsid w:val="00662DB0"/>
    <w:rsid w:val="00663106"/>
    <w:rsid w:val="006633D2"/>
    <w:rsid w:val="00663B9A"/>
    <w:rsid w:val="0066436F"/>
    <w:rsid w:val="00664901"/>
    <w:rsid w:val="00664A0F"/>
    <w:rsid w:val="00664E16"/>
    <w:rsid w:val="00665688"/>
    <w:rsid w:val="00665802"/>
    <w:rsid w:val="006658CF"/>
    <w:rsid w:val="006661CC"/>
    <w:rsid w:val="006663C0"/>
    <w:rsid w:val="00667606"/>
    <w:rsid w:val="0066785F"/>
    <w:rsid w:val="00667B45"/>
    <w:rsid w:val="00667DD0"/>
    <w:rsid w:val="0067071E"/>
    <w:rsid w:val="00671D84"/>
    <w:rsid w:val="0067205E"/>
    <w:rsid w:val="006720B2"/>
    <w:rsid w:val="00672573"/>
    <w:rsid w:val="00672982"/>
    <w:rsid w:val="00672B57"/>
    <w:rsid w:val="00673F22"/>
    <w:rsid w:val="00675152"/>
    <w:rsid w:val="00675208"/>
    <w:rsid w:val="00675AD8"/>
    <w:rsid w:val="006765A9"/>
    <w:rsid w:val="0067696C"/>
    <w:rsid w:val="00676BC2"/>
    <w:rsid w:val="00676CC9"/>
    <w:rsid w:val="006801A0"/>
    <w:rsid w:val="006806FF"/>
    <w:rsid w:val="00680A53"/>
    <w:rsid w:val="00681331"/>
    <w:rsid w:val="00681C87"/>
    <w:rsid w:val="00681D43"/>
    <w:rsid w:val="00681D8A"/>
    <w:rsid w:val="00681E7F"/>
    <w:rsid w:val="00682238"/>
    <w:rsid w:val="00682241"/>
    <w:rsid w:val="00682387"/>
    <w:rsid w:val="00682C11"/>
    <w:rsid w:val="00682C8D"/>
    <w:rsid w:val="00682DD6"/>
    <w:rsid w:val="00682E9B"/>
    <w:rsid w:val="00683004"/>
    <w:rsid w:val="0068350D"/>
    <w:rsid w:val="00683BA9"/>
    <w:rsid w:val="00683E1E"/>
    <w:rsid w:val="006843DF"/>
    <w:rsid w:val="006843F0"/>
    <w:rsid w:val="00684705"/>
    <w:rsid w:val="00685093"/>
    <w:rsid w:val="006857D1"/>
    <w:rsid w:val="00685BF1"/>
    <w:rsid w:val="00685CC0"/>
    <w:rsid w:val="00686232"/>
    <w:rsid w:val="006863B9"/>
    <w:rsid w:val="006867D8"/>
    <w:rsid w:val="006872F4"/>
    <w:rsid w:val="00687531"/>
    <w:rsid w:val="00687F73"/>
    <w:rsid w:val="00690090"/>
    <w:rsid w:val="0069034B"/>
    <w:rsid w:val="00690710"/>
    <w:rsid w:val="00690806"/>
    <w:rsid w:val="00690883"/>
    <w:rsid w:val="00690CB4"/>
    <w:rsid w:val="00691032"/>
    <w:rsid w:val="006910F5"/>
    <w:rsid w:val="00691125"/>
    <w:rsid w:val="00691553"/>
    <w:rsid w:val="00691CAB"/>
    <w:rsid w:val="00691CEB"/>
    <w:rsid w:val="00691D08"/>
    <w:rsid w:val="0069218F"/>
    <w:rsid w:val="006929D5"/>
    <w:rsid w:val="00692FCA"/>
    <w:rsid w:val="00693108"/>
    <w:rsid w:val="00693368"/>
    <w:rsid w:val="006935DC"/>
    <w:rsid w:val="0069383F"/>
    <w:rsid w:val="00693C3E"/>
    <w:rsid w:val="00694199"/>
    <w:rsid w:val="006942F9"/>
    <w:rsid w:val="00694520"/>
    <w:rsid w:val="00694B2D"/>
    <w:rsid w:val="00695463"/>
    <w:rsid w:val="00695936"/>
    <w:rsid w:val="00696526"/>
    <w:rsid w:val="00696940"/>
    <w:rsid w:val="00696D41"/>
    <w:rsid w:val="00697D15"/>
    <w:rsid w:val="006A0462"/>
    <w:rsid w:val="006A0569"/>
    <w:rsid w:val="006A0599"/>
    <w:rsid w:val="006A1CD1"/>
    <w:rsid w:val="006A1CF7"/>
    <w:rsid w:val="006A21DB"/>
    <w:rsid w:val="006A26BF"/>
    <w:rsid w:val="006A29A3"/>
    <w:rsid w:val="006A3635"/>
    <w:rsid w:val="006A46AA"/>
    <w:rsid w:val="006A4B1A"/>
    <w:rsid w:val="006A4BD9"/>
    <w:rsid w:val="006A4EE6"/>
    <w:rsid w:val="006A51DB"/>
    <w:rsid w:val="006A62AE"/>
    <w:rsid w:val="006A64E7"/>
    <w:rsid w:val="006A686A"/>
    <w:rsid w:val="006A722B"/>
    <w:rsid w:val="006A7AA6"/>
    <w:rsid w:val="006B045B"/>
    <w:rsid w:val="006B1438"/>
    <w:rsid w:val="006B1B51"/>
    <w:rsid w:val="006B27A5"/>
    <w:rsid w:val="006B35EE"/>
    <w:rsid w:val="006B3DBA"/>
    <w:rsid w:val="006B4297"/>
    <w:rsid w:val="006B5522"/>
    <w:rsid w:val="006B5889"/>
    <w:rsid w:val="006B6F95"/>
    <w:rsid w:val="006B710C"/>
    <w:rsid w:val="006B72E7"/>
    <w:rsid w:val="006B743B"/>
    <w:rsid w:val="006B760A"/>
    <w:rsid w:val="006B775E"/>
    <w:rsid w:val="006B7796"/>
    <w:rsid w:val="006B78DE"/>
    <w:rsid w:val="006B7B8C"/>
    <w:rsid w:val="006C076E"/>
    <w:rsid w:val="006C0946"/>
    <w:rsid w:val="006C099C"/>
    <w:rsid w:val="006C0B36"/>
    <w:rsid w:val="006C0F99"/>
    <w:rsid w:val="006C141F"/>
    <w:rsid w:val="006C1617"/>
    <w:rsid w:val="006C1863"/>
    <w:rsid w:val="006C1A95"/>
    <w:rsid w:val="006C2B91"/>
    <w:rsid w:val="006C2D75"/>
    <w:rsid w:val="006C30E8"/>
    <w:rsid w:val="006C3769"/>
    <w:rsid w:val="006C3F4A"/>
    <w:rsid w:val="006C44D6"/>
    <w:rsid w:val="006C558E"/>
    <w:rsid w:val="006C5A02"/>
    <w:rsid w:val="006C5A10"/>
    <w:rsid w:val="006C651F"/>
    <w:rsid w:val="006C6D33"/>
    <w:rsid w:val="006C6D84"/>
    <w:rsid w:val="006C7324"/>
    <w:rsid w:val="006C7A3D"/>
    <w:rsid w:val="006C7C70"/>
    <w:rsid w:val="006D000C"/>
    <w:rsid w:val="006D0331"/>
    <w:rsid w:val="006D06D9"/>
    <w:rsid w:val="006D0ED4"/>
    <w:rsid w:val="006D1108"/>
    <w:rsid w:val="006D120D"/>
    <w:rsid w:val="006D1520"/>
    <w:rsid w:val="006D255A"/>
    <w:rsid w:val="006D277C"/>
    <w:rsid w:val="006D30FB"/>
    <w:rsid w:val="006D3123"/>
    <w:rsid w:val="006D36F2"/>
    <w:rsid w:val="006D3A5F"/>
    <w:rsid w:val="006D3A8A"/>
    <w:rsid w:val="006D5CE3"/>
    <w:rsid w:val="006D5EE2"/>
    <w:rsid w:val="006D5F8E"/>
    <w:rsid w:val="006D65BC"/>
    <w:rsid w:val="006D66E3"/>
    <w:rsid w:val="006D6DCE"/>
    <w:rsid w:val="006D6F55"/>
    <w:rsid w:val="006D7563"/>
    <w:rsid w:val="006D7B7F"/>
    <w:rsid w:val="006E0010"/>
    <w:rsid w:val="006E077A"/>
    <w:rsid w:val="006E0C12"/>
    <w:rsid w:val="006E0D24"/>
    <w:rsid w:val="006E125B"/>
    <w:rsid w:val="006E19EF"/>
    <w:rsid w:val="006E1B6A"/>
    <w:rsid w:val="006E1BDB"/>
    <w:rsid w:val="006E1CD0"/>
    <w:rsid w:val="006E2568"/>
    <w:rsid w:val="006E26C6"/>
    <w:rsid w:val="006E2905"/>
    <w:rsid w:val="006E2E5F"/>
    <w:rsid w:val="006E36B9"/>
    <w:rsid w:val="006E3A10"/>
    <w:rsid w:val="006E3F98"/>
    <w:rsid w:val="006E3FEA"/>
    <w:rsid w:val="006E4A74"/>
    <w:rsid w:val="006E4C06"/>
    <w:rsid w:val="006E4FC2"/>
    <w:rsid w:val="006E56B0"/>
    <w:rsid w:val="006E5EED"/>
    <w:rsid w:val="006E6060"/>
    <w:rsid w:val="006E62A3"/>
    <w:rsid w:val="006E62CB"/>
    <w:rsid w:val="006E65E6"/>
    <w:rsid w:val="006E68B0"/>
    <w:rsid w:val="006E6EBF"/>
    <w:rsid w:val="006E75AB"/>
    <w:rsid w:val="006E7873"/>
    <w:rsid w:val="006F0209"/>
    <w:rsid w:val="006F0893"/>
    <w:rsid w:val="006F0A2F"/>
    <w:rsid w:val="006F0A7E"/>
    <w:rsid w:val="006F0BE1"/>
    <w:rsid w:val="006F0C12"/>
    <w:rsid w:val="006F1227"/>
    <w:rsid w:val="006F133A"/>
    <w:rsid w:val="006F1473"/>
    <w:rsid w:val="006F1648"/>
    <w:rsid w:val="006F1B6A"/>
    <w:rsid w:val="006F1D68"/>
    <w:rsid w:val="006F26C4"/>
    <w:rsid w:val="006F2E39"/>
    <w:rsid w:val="006F30AF"/>
    <w:rsid w:val="006F35E5"/>
    <w:rsid w:val="006F43FE"/>
    <w:rsid w:val="006F4D0E"/>
    <w:rsid w:val="006F4D57"/>
    <w:rsid w:val="006F4E63"/>
    <w:rsid w:val="006F5833"/>
    <w:rsid w:val="006F5A0D"/>
    <w:rsid w:val="006F5DBE"/>
    <w:rsid w:val="006F5EA7"/>
    <w:rsid w:val="006F6083"/>
    <w:rsid w:val="006F692C"/>
    <w:rsid w:val="006F6DDD"/>
    <w:rsid w:val="006F752D"/>
    <w:rsid w:val="007000E7"/>
    <w:rsid w:val="00700336"/>
    <w:rsid w:val="007005A0"/>
    <w:rsid w:val="00700805"/>
    <w:rsid w:val="00700C47"/>
    <w:rsid w:val="007013E1"/>
    <w:rsid w:val="00701F16"/>
    <w:rsid w:val="007023BD"/>
    <w:rsid w:val="00702C6F"/>
    <w:rsid w:val="00702CE6"/>
    <w:rsid w:val="00703936"/>
    <w:rsid w:val="00703BB5"/>
    <w:rsid w:val="00703CCD"/>
    <w:rsid w:val="00703CDC"/>
    <w:rsid w:val="00704FAF"/>
    <w:rsid w:val="007050CE"/>
    <w:rsid w:val="007050D7"/>
    <w:rsid w:val="00705189"/>
    <w:rsid w:val="0070529E"/>
    <w:rsid w:val="00705A06"/>
    <w:rsid w:val="00706027"/>
    <w:rsid w:val="007068EA"/>
    <w:rsid w:val="00706B6E"/>
    <w:rsid w:val="00706FC1"/>
    <w:rsid w:val="007070BA"/>
    <w:rsid w:val="00707981"/>
    <w:rsid w:val="007102B1"/>
    <w:rsid w:val="007102E3"/>
    <w:rsid w:val="00710E9F"/>
    <w:rsid w:val="00710F71"/>
    <w:rsid w:val="00711910"/>
    <w:rsid w:val="00711A81"/>
    <w:rsid w:val="00711D32"/>
    <w:rsid w:val="00712E25"/>
    <w:rsid w:val="0071338F"/>
    <w:rsid w:val="00713391"/>
    <w:rsid w:val="00713CB7"/>
    <w:rsid w:val="00713EE4"/>
    <w:rsid w:val="00713FBF"/>
    <w:rsid w:val="007148FB"/>
    <w:rsid w:val="0071502D"/>
    <w:rsid w:val="007150ED"/>
    <w:rsid w:val="007152F6"/>
    <w:rsid w:val="00715373"/>
    <w:rsid w:val="0071544B"/>
    <w:rsid w:val="00715ADD"/>
    <w:rsid w:val="00715F32"/>
    <w:rsid w:val="0071659F"/>
    <w:rsid w:val="00716861"/>
    <w:rsid w:val="007172AA"/>
    <w:rsid w:val="0071757C"/>
    <w:rsid w:val="007178CC"/>
    <w:rsid w:val="00717EC7"/>
    <w:rsid w:val="007203F9"/>
    <w:rsid w:val="00720994"/>
    <w:rsid w:val="00720B32"/>
    <w:rsid w:val="00720DDE"/>
    <w:rsid w:val="007210AF"/>
    <w:rsid w:val="007211F4"/>
    <w:rsid w:val="00721565"/>
    <w:rsid w:val="007220D5"/>
    <w:rsid w:val="0072272E"/>
    <w:rsid w:val="00722D25"/>
    <w:rsid w:val="00722E75"/>
    <w:rsid w:val="007233DE"/>
    <w:rsid w:val="00723EC5"/>
    <w:rsid w:val="00723FC8"/>
    <w:rsid w:val="007249AD"/>
    <w:rsid w:val="00724B75"/>
    <w:rsid w:val="00724FA7"/>
    <w:rsid w:val="00724FE0"/>
    <w:rsid w:val="00725100"/>
    <w:rsid w:val="007258C3"/>
    <w:rsid w:val="00725E63"/>
    <w:rsid w:val="00725F63"/>
    <w:rsid w:val="00726060"/>
    <w:rsid w:val="0072638C"/>
    <w:rsid w:val="007264EB"/>
    <w:rsid w:val="0072710E"/>
    <w:rsid w:val="00727321"/>
    <w:rsid w:val="00727C6A"/>
    <w:rsid w:val="00727F2C"/>
    <w:rsid w:val="00730071"/>
    <w:rsid w:val="007303DD"/>
    <w:rsid w:val="00730726"/>
    <w:rsid w:val="00730B86"/>
    <w:rsid w:val="007318B3"/>
    <w:rsid w:val="00731B10"/>
    <w:rsid w:val="00731D4D"/>
    <w:rsid w:val="00731EDB"/>
    <w:rsid w:val="0073220E"/>
    <w:rsid w:val="007325D0"/>
    <w:rsid w:val="00732975"/>
    <w:rsid w:val="007329A1"/>
    <w:rsid w:val="00732B1F"/>
    <w:rsid w:val="00732C59"/>
    <w:rsid w:val="00732F39"/>
    <w:rsid w:val="00733372"/>
    <w:rsid w:val="007339E4"/>
    <w:rsid w:val="00733C19"/>
    <w:rsid w:val="00733CDE"/>
    <w:rsid w:val="00734285"/>
    <w:rsid w:val="0073469E"/>
    <w:rsid w:val="00734F7C"/>
    <w:rsid w:val="0073528B"/>
    <w:rsid w:val="00735540"/>
    <w:rsid w:val="0073569A"/>
    <w:rsid w:val="007363E7"/>
    <w:rsid w:val="00736DBA"/>
    <w:rsid w:val="007378EA"/>
    <w:rsid w:val="00737B6E"/>
    <w:rsid w:val="0074038A"/>
    <w:rsid w:val="00740440"/>
    <w:rsid w:val="00741C38"/>
    <w:rsid w:val="0074294E"/>
    <w:rsid w:val="00743765"/>
    <w:rsid w:val="0074396C"/>
    <w:rsid w:val="00743AF5"/>
    <w:rsid w:val="00743CC5"/>
    <w:rsid w:val="00743D53"/>
    <w:rsid w:val="00743D76"/>
    <w:rsid w:val="00744159"/>
    <w:rsid w:val="00744681"/>
    <w:rsid w:val="00744785"/>
    <w:rsid w:val="00744DAE"/>
    <w:rsid w:val="00744EE9"/>
    <w:rsid w:val="00745030"/>
    <w:rsid w:val="00745FBB"/>
    <w:rsid w:val="00746065"/>
    <w:rsid w:val="00746FFD"/>
    <w:rsid w:val="0074752F"/>
    <w:rsid w:val="0074781A"/>
    <w:rsid w:val="00747F9B"/>
    <w:rsid w:val="0075006C"/>
    <w:rsid w:val="0075017A"/>
    <w:rsid w:val="0075019B"/>
    <w:rsid w:val="007515A6"/>
    <w:rsid w:val="0075171B"/>
    <w:rsid w:val="00751DDF"/>
    <w:rsid w:val="00751EA8"/>
    <w:rsid w:val="00751F6F"/>
    <w:rsid w:val="007521D9"/>
    <w:rsid w:val="007525B7"/>
    <w:rsid w:val="007534C4"/>
    <w:rsid w:val="007539DC"/>
    <w:rsid w:val="00753D84"/>
    <w:rsid w:val="00753DEA"/>
    <w:rsid w:val="007541BF"/>
    <w:rsid w:val="007544EF"/>
    <w:rsid w:val="00754E57"/>
    <w:rsid w:val="00754E8F"/>
    <w:rsid w:val="007557F8"/>
    <w:rsid w:val="00755F11"/>
    <w:rsid w:val="00756844"/>
    <w:rsid w:val="00756DE7"/>
    <w:rsid w:val="007574E2"/>
    <w:rsid w:val="00757D91"/>
    <w:rsid w:val="00757F3A"/>
    <w:rsid w:val="00760200"/>
    <w:rsid w:val="00760294"/>
    <w:rsid w:val="00761072"/>
    <w:rsid w:val="007611AF"/>
    <w:rsid w:val="007613ED"/>
    <w:rsid w:val="007615D2"/>
    <w:rsid w:val="00762061"/>
    <w:rsid w:val="00762441"/>
    <w:rsid w:val="00763833"/>
    <w:rsid w:val="00763F51"/>
    <w:rsid w:val="00764122"/>
    <w:rsid w:val="0076435B"/>
    <w:rsid w:val="007645F7"/>
    <w:rsid w:val="00764797"/>
    <w:rsid w:val="007651B8"/>
    <w:rsid w:val="0076527A"/>
    <w:rsid w:val="0076546C"/>
    <w:rsid w:val="0076559D"/>
    <w:rsid w:val="007658A1"/>
    <w:rsid w:val="00765AAE"/>
    <w:rsid w:val="00765ABB"/>
    <w:rsid w:val="007663D4"/>
    <w:rsid w:val="00766B52"/>
    <w:rsid w:val="00766F26"/>
    <w:rsid w:val="00767580"/>
    <w:rsid w:val="00767690"/>
    <w:rsid w:val="00767943"/>
    <w:rsid w:val="00767BEF"/>
    <w:rsid w:val="00767E21"/>
    <w:rsid w:val="00767E5C"/>
    <w:rsid w:val="00770E7F"/>
    <w:rsid w:val="00770FD9"/>
    <w:rsid w:val="007711C0"/>
    <w:rsid w:val="00771203"/>
    <w:rsid w:val="00771421"/>
    <w:rsid w:val="00771655"/>
    <w:rsid w:val="00772221"/>
    <w:rsid w:val="007725B8"/>
    <w:rsid w:val="00772CC0"/>
    <w:rsid w:val="00772CFF"/>
    <w:rsid w:val="00772D08"/>
    <w:rsid w:val="00772F12"/>
    <w:rsid w:val="00773585"/>
    <w:rsid w:val="00773CCC"/>
    <w:rsid w:val="00774303"/>
    <w:rsid w:val="00774D73"/>
    <w:rsid w:val="007765D0"/>
    <w:rsid w:val="00776883"/>
    <w:rsid w:val="0077722B"/>
    <w:rsid w:val="0078006E"/>
    <w:rsid w:val="00780170"/>
    <w:rsid w:val="007818BC"/>
    <w:rsid w:val="00781E1A"/>
    <w:rsid w:val="0078218A"/>
    <w:rsid w:val="00782E96"/>
    <w:rsid w:val="00782F69"/>
    <w:rsid w:val="00783256"/>
    <w:rsid w:val="00783923"/>
    <w:rsid w:val="007839E4"/>
    <w:rsid w:val="00783CBB"/>
    <w:rsid w:val="007840A3"/>
    <w:rsid w:val="007840F1"/>
    <w:rsid w:val="007846C0"/>
    <w:rsid w:val="00784909"/>
    <w:rsid w:val="00784E4D"/>
    <w:rsid w:val="00784F77"/>
    <w:rsid w:val="00786138"/>
    <w:rsid w:val="00786792"/>
    <w:rsid w:val="007875C9"/>
    <w:rsid w:val="00787626"/>
    <w:rsid w:val="00787A27"/>
    <w:rsid w:val="00787A51"/>
    <w:rsid w:val="00787B19"/>
    <w:rsid w:val="00790147"/>
    <w:rsid w:val="00790236"/>
    <w:rsid w:val="0079052E"/>
    <w:rsid w:val="00790A83"/>
    <w:rsid w:val="00790B6D"/>
    <w:rsid w:val="00790C17"/>
    <w:rsid w:val="00791494"/>
    <w:rsid w:val="007914AB"/>
    <w:rsid w:val="0079170F"/>
    <w:rsid w:val="00791B54"/>
    <w:rsid w:val="00792821"/>
    <w:rsid w:val="00792BFC"/>
    <w:rsid w:val="007932EF"/>
    <w:rsid w:val="00793466"/>
    <w:rsid w:val="007937C0"/>
    <w:rsid w:val="00794212"/>
    <w:rsid w:val="00794464"/>
    <w:rsid w:val="0079474E"/>
    <w:rsid w:val="00794C33"/>
    <w:rsid w:val="00794CD6"/>
    <w:rsid w:val="00794E74"/>
    <w:rsid w:val="007954CA"/>
    <w:rsid w:val="00796270"/>
    <w:rsid w:val="0079766E"/>
    <w:rsid w:val="00797C09"/>
    <w:rsid w:val="00797C50"/>
    <w:rsid w:val="00797F43"/>
    <w:rsid w:val="007A029F"/>
    <w:rsid w:val="007A0A1F"/>
    <w:rsid w:val="007A0C62"/>
    <w:rsid w:val="007A1563"/>
    <w:rsid w:val="007A23E8"/>
    <w:rsid w:val="007A2676"/>
    <w:rsid w:val="007A28AC"/>
    <w:rsid w:val="007A2E40"/>
    <w:rsid w:val="007A33C6"/>
    <w:rsid w:val="007A35FA"/>
    <w:rsid w:val="007A3E9E"/>
    <w:rsid w:val="007A4059"/>
    <w:rsid w:val="007A4CF9"/>
    <w:rsid w:val="007A5A5E"/>
    <w:rsid w:val="007A5F6F"/>
    <w:rsid w:val="007A6141"/>
    <w:rsid w:val="007A6A41"/>
    <w:rsid w:val="007A6DAE"/>
    <w:rsid w:val="007A7037"/>
    <w:rsid w:val="007A704F"/>
    <w:rsid w:val="007A715C"/>
    <w:rsid w:val="007A74FF"/>
    <w:rsid w:val="007B01C6"/>
    <w:rsid w:val="007B045F"/>
    <w:rsid w:val="007B05BF"/>
    <w:rsid w:val="007B09BD"/>
    <w:rsid w:val="007B0BE5"/>
    <w:rsid w:val="007B1104"/>
    <w:rsid w:val="007B1155"/>
    <w:rsid w:val="007B1472"/>
    <w:rsid w:val="007B16FD"/>
    <w:rsid w:val="007B1F05"/>
    <w:rsid w:val="007B1F86"/>
    <w:rsid w:val="007B20D2"/>
    <w:rsid w:val="007B237F"/>
    <w:rsid w:val="007B2759"/>
    <w:rsid w:val="007B330B"/>
    <w:rsid w:val="007B366A"/>
    <w:rsid w:val="007B3670"/>
    <w:rsid w:val="007B3B00"/>
    <w:rsid w:val="007B3D4E"/>
    <w:rsid w:val="007B4911"/>
    <w:rsid w:val="007B4BD2"/>
    <w:rsid w:val="007B5719"/>
    <w:rsid w:val="007B5CA3"/>
    <w:rsid w:val="007B5E4A"/>
    <w:rsid w:val="007B5F4B"/>
    <w:rsid w:val="007B662B"/>
    <w:rsid w:val="007B6DA8"/>
    <w:rsid w:val="007B7595"/>
    <w:rsid w:val="007C0214"/>
    <w:rsid w:val="007C0406"/>
    <w:rsid w:val="007C0DBC"/>
    <w:rsid w:val="007C0E38"/>
    <w:rsid w:val="007C1156"/>
    <w:rsid w:val="007C156A"/>
    <w:rsid w:val="007C1AFA"/>
    <w:rsid w:val="007C261C"/>
    <w:rsid w:val="007C2E46"/>
    <w:rsid w:val="007C3E68"/>
    <w:rsid w:val="007C48A1"/>
    <w:rsid w:val="007C4C31"/>
    <w:rsid w:val="007C4D54"/>
    <w:rsid w:val="007C4FFF"/>
    <w:rsid w:val="007C5373"/>
    <w:rsid w:val="007C6348"/>
    <w:rsid w:val="007C671D"/>
    <w:rsid w:val="007C6C56"/>
    <w:rsid w:val="007C7067"/>
    <w:rsid w:val="007C7563"/>
    <w:rsid w:val="007C75E1"/>
    <w:rsid w:val="007C77A9"/>
    <w:rsid w:val="007C7E0D"/>
    <w:rsid w:val="007D0605"/>
    <w:rsid w:val="007D14AF"/>
    <w:rsid w:val="007D1A84"/>
    <w:rsid w:val="007D2974"/>
    <w:rsid w:val="007D29E1"/>
    <w:rsid w:val="007D34D6"/>
    <w:rsid w:val="007D37D3"/>
    <w:rsid w:val="007D3824"/>
    <w:rsid w:val="007D3B17"/>
    <w:rsid w:val="007D3EE6"/>
    <w:rsid w:val="007D4621"/>
    <w:rsid w:val="007D4853"/>
    <w:rsid w:val="007D4CF5"/>
    <w:rsid w:val="007D53A1"/>
    <w:rsid w:val="007D5D1D"/>
    <w:rsid w:val="007D70D1"/>
    <w:rsid w:val="007D7B77"/>
    <w:rsid w:val="007E1968"/>
    <w:rsid w:val="007E1AC6"/>
    <w:rsid w:val="007E21CC"/>
    <w:rsid w:val="007E2CFF"/>
    <w:rsid w:val="007E3CC2"/>
    <w:rsid w:val="007E45DC"/>
    <w:rsid w:val="007E5856"/>
    <w:rsid w:val="007E5904"/>
    <w:rsid w:val="007E62CD"/>
    <w:rsid w:val="007E7322"/>
    <w:rsid w:val="007E76D5"/>
    <w:rsid w:val="007E7EBA"/>
    <w:rsid w:val="007F0456"/>
    <w:rsid w:val="007F085F"/>
    <w:rsid w:val="007F1843"/>
    <w:rsid w:val="007F1F79"/>
    <w:rsid w:val="007F34A5"/>
    <w:rsid w:val="007F3DFF"/>
    <w:rsid w:val="007F4935"/>
    <w:rsid w:val="007F494E"/>
    <w:rsid w:val="007F4EF2"/>
    <w:rsid w:val="007F53CC"/>
    <w:rsid w:val="007F5566"/>
    <w:rsid w:val="007F58CD"/>
    <w:rsid w:val="007F5FC6"/>
    <w:rsid w:val="007F60E2"/>
    <w:rsid w:val="007F6328"/>
    <w:rsid w:val="007F6B3F"/>
    <w:rsid w:val="007F6C04"/>
    <w:rsid w:val="007F6EF0"/>
    <w:rsid w:val="007F7831"/>
    <w:rsid w:val="007F7BB9"/>
    <w:rsid w:val="007F7BBF"/>
    <w:rsid w:val="00800465"/>
    <w:rsid w:val="00801675"/>
    <w:rsid w:val="00801B08"/>
    <w:rsid w:val="00801CDE"/>
    <w:rsid w:val="00801E29"/>
    <w:rsid w:val="0080221B"/>
    <w:rsid w:val="0080240B"/>
    <w:rsid w:val="008026BE"/>
    <w:rsid w:val="00803553"/>
    <w:rsid w:val="008036C5"/>
    <w:rsid w:val="00803DAD"/>
    <w:rsid w:val="008043F8"/>
    <w:rsid w:val="00804C04"/>
    <w:rsid w:val="00805847"/>
    <w:rsid w:val="00805D31"/>
    <w:rsid w:val="00805D8B"/>
    <w:rsid w:val="00806BD5"/>
    <w:rsid w:val="00806CE4"/>
    <w:rsid w:val="00806F75"/>
    <w:rsid w:val="008070F9"/>
    <w:rsid w:val="00807708"/>
    <w:rsid w:val="00807761"/>
    <w:rsid w:val="00807E6E"/>
    <w:rsid w:val="008100CC"/>
    <w:rsid w:val="008103F1"/>
    <w:rsid w:val="0081091E"/>
    <w:rsid w:val="00811334"/>
    <w:rsid w:val="00811494"/>
    <w:rsid w:val="0081150A"/>
    <w:rsid w:val="008117BE"/>
    <w:rsid w:val="00811B3C"/>
    <w:rsid w:val="00811FB0"/>
    <w:rsid w:val="0081256B"/>
    <w:rsid w:val="00812846"/>
    <w:rsid w:val="00812C36"/>
    <w:rsid w:val="00812E68"/>
    <w:rsid w:val="00812FCC"/>
    <w:rsid w:val="00813AD5"/>
    <w:rsid w:val="00813D4A"/>
    <w:rsid w:val="00813D65"/>
    <w:rsid w:val="00814FFD"/>
    <w:rsid w:val="008151A1"/>
    <w:rsid w:val="00815E61"/>
    <w:rsid w:val="00816486"/>
    <w:rsid w:val="0081663C"/>
    <w:rsid w:val="0081671B"/>
    <w:rsid w:val="00816AC4"/>
    <w:rsid w:val="00816D8B"/>
    <w:rsid w:val="00816EB7"/>
    <w:rsid w:val="00817B21"/>
    <w:rsid w:val="00817E3B"/>
    <w:rsid w:val="0082079F"/>
    <w:rsid w:val="008209AC"/>
    <w:rsid w:val="00820A04"/>
    <w:rsid w:val="00820FBE"/>
    <w:rsid w:val="00821203"/>
    <w:rsid w:val="0082139F"/>
    <w:rsid w:val="00821C91"/>
    <w:rsid w:val="00821EF4"/>
    <w:rsid w:val="00822325"/>
    <w:rsid w:val="008224E4"/>
    <w:rsid w:val="00822B73"/>
    <w:rsid w:val="00822D3B"/>
    <w:rsid w:val="008234F0"/>
    <w:rsid w:val="00823BFC"/>
    <w:rsid w:val="00823DC9"/>
    <w:rsid w:val="00823EB8"/>
    <w:rsid w:val="008240F8"/>
    <w:rsid w:val="00824219"/>
    <w:rsid w:val="008247A8"/>
    <w:rsid w:val="00824BCF"/>
    <w:rsid w:val="00824D55"/>
    <w:rsid w:val="00824D68"/>
    <w:rsid w:val="00824D85"/>
    <w:rsid w:val="00824F31"/>
    <w:rsid w:val="00825010"/>
    <w:rsid w:val="0082578F"/>
    <w:rsid w:val="0082590B"/>
    <w:rsid w:val="008260D6"/>
    <w:rsid w:val="0082662E"/>
    <w:rsid w:val="008266DC"/>
    <w:rsid w:val="0082670D"/>
    <w:rsid w:val="00826726"/>
    <w:rsid w:val="008267A3"/>
    <w:rsid w:val="00826D3B"/>
    <w:rsid w:val="00826E28"/>
    <w:rsid w:val="0082763C"/>
    <w:rsid w:val="0082763E"/>
    <w:rsid w:val="00827DCA"/>
    <w:rsid w:val="00827ED1"/>
    <w:rsid w:val="00827FD5"/>
    <w:rsid w:val="00830C81"/>
    <w:rsid w:val="00830E21"/>
    <w:rsid w:val="0083134B"/>
    <w:rsid w:val="00831666"/>
    <w:rsid w:val="00831988"/>
    <w:rsid w:val="00831E94"/>
    <w:rsid w:val="00832ECC"/>
    <w:rsid w:val="00833292"/>
    <w:rsid w:val="008333EC"/>
    <w:rsid w:val="00833B50"/>
    <w:rsid w:val="00834244"/>
    <w:rsid w:val="008346B6"/>
    <w:rsid w:val="00834AA3"/>
    <w:rsid w:val="00834B48"/>
    <w:rsid w:val="00834E2E"/>
    <w:rsid w:val="00834FC6"/>
    <w:rsid w:val="00835A86"/>
    <w:rsid w:val="00835BA0"/>
    <w:rsid w:val="008360A2"/>
    <w:rsid w:val="00836125"/>
    <w:rsid w:val="00836384"/>
    <w:rsid w:val="00836495"/>
    <w:rsid w:val="008368A7"/>
    <w:rsid w:val="00836CDC"/>
    <w:rsid w:val="00837500"/>
    <w:rsid w:val="008379EB"/>
    <w:rsid w:val="00837CA1"/>
    <w:rsid w:val="00837D92"/>
    <w:rsid w:val="00837DC6"/>
    <w:rsid w:val="0084045D"/>
    <w:rsid w:val="008405F0"/>
    <w:rsid w:val="00840629"/>
    <w:rsid w:val="00840B46"/>
    <w:rsid w:val="00840CCD"/>
    <w:rsid w:val="0084108E"/>
    <w:rsid w:val="00841309"/>
    <w:rsid w:val="008421B9"/>
    <w:rsid w:val="008427BD"/>
    <w:rsid w:val="0084295C"/>
    <w:rsid w:val="00842C48"/>
    <w:rsid w:val="00843174"/>
    <w:rsid w:val="00843183"/>
    <w:rsid w:val="008432B9"/>
    <w:rsid w:val="008432ED"/>
    <w:rsid w:val="00843BB7"/>
    <w:rsid w:val="0084421E"/>
    <w:rsid w:val="00844360"/>
    <w:rsid w:val="00844518"/>
    <w:rsid w:val="008447E6"/>
    <w:rsid w:val="00844C1B"/>
    <w:rsid w:val="00845053"/>
    <w:rsid w:val="008451E7"/>
    <w:rsid w:val="00845221"/>
    <w:rsid w:val="00845692"/>
    <w:rsid w:val="00845F2D"/>
    <w:rsid w:val="00846294"/>
    <w:rsid w:val="00846409"/>
    <w:rsid w:val="008465DC"/>
    <w:rsid w:val="00846C95"/>
    <w:rsid w:val="008471C6"/>
    <w:rsid w:val="0084769D"/>
    <w:rsid w:val="00847935"/>
    <w:rsid w:val="00847EC0"/>
    <w:rsid w:val="008501B4"/>
    <w:rsid w:val="00850378"/>
    <w:rsid w:val="00850AEF"/>
    <w:rsid w:val="00850BEA"/>
    <w:rsid w:val="00851099"/>
    <w:rsid w:val="008512F7"/>
    <w:rsid w:val="00851602"/>
    <w:rsid w:val="00852238"/>
    <w:rsid w:val="008522FD"/>
    <w:rsid w:val="008526AF"/>
    <w:rsid w:val="008529A6"/>
    <w:rsid w:val="00852C72"/>
    <w:rsid w:val="00853245"/>
    <w:rsid w:val="00853417"/>
    <w:rsid w:val="00853E16"/>
    <w:rsid w:val="00854829"/>
    <w:rsid w:val="00854CEA"/>
    <w:rsid w:val="0085604B"/>
    <w:rsid w:val="0085608F"/>
    <w:rsid w:val="00856869"/>
    <w:rsid w:val="00856F17"/>
    <w:rsid w:val="00856FBE"/>
    <w:rsid w:val="008571CC"/>
    <w:rsid w:val="008575A5"/>
    <w:rsid w:val="00857685"/>
    <w:rsid w:val="00857847"/>
    <w:rsid w:val="008579DA"/>
    <w:rsid w:val="00857B71"/>
    <w:rsid w:val="00857E28"/>
    <w:rsid w:val="00860440"/>
    <w:rsid w:val="008607DC"/>
    <w:rsid w:val="00860D32"/>
    <w:rsid w:val="00861C62"/>
    <w:rsid w:val="00861CB9"/>
    <w:rsid w:val="00862F45"/>
    <w:rsid w:val="00863135"/>
    <w:rsid w:val="0086373D"/>
    <w:rsid w:val="00863F0C"/>
    <w:rsid w:val="00864776"/>
    <w:rsid w:val="00864C2C"/>
    <w:rsid w:val="0086508D"/>
    <w:rsid w:val="00865098"/>
    <w:rsid w:val="0086593A"/>
    <w:rsid w:val="00865A98"/>
    <w:rsid w:val="00866064"/>
    <w:rsid w:val="00866339"/>
    <w:rsid w:val="008664D9"/>
    <w:rsid w:val="008666BD"/>
    <w:rsid w:val="00866DFD"/>
    <w:rsid w:val="008670F1"/>
    <w:rsid w:val="0086768E"/>
    <w:rsid w:val="008677DD"/>
    <w:rsid w:val="00867B0A"/>
    <w:rsid w:val="00867D1F"/>
    <w:rsid w:val="00870042"/>
    <w:rsid w:val="008704C2"/>
    <w:rsid w:val="00870864"/>
    <w:rsid w:val="00870930"/>
    <w:rsid w:val="0087162D"/>
    <w:rsid w:val="00871A18"/>
    <w:rsid w:val="00871D43"/>
    <w:rsid w:val="00871FA6"/>
    <w:rsid w:val="0087237C"/>
    <w:rsid w:val="0087309B"/>
    <w:rsid w:val="00873897"/>
    <w:rsid w:val="00873A35"/>
    <w:rsid w:val="00873C9C"/>
    <w:rsid w:val="0087437B"/>
    <w:rsid w:val="00875182"/>
    <w:rsid w:val="008761CF"/>
    <w:rsid w:val="008772A4"/>
    <w:rsid w:val="008775F5"/>
    <w:rsid w:val="00877869"/>
    <w:rsid w:val="00880371"/>
    <w:rsid w:val="00880382"/>
    <w:rsid w:val="008807C6"/>
    <w:rsid w:val="00880E88"/>
    <w:rsid w:val="0088250A"/>
    <w:rsid w:val="00882F0C"/>
    <w:rsid w:val="00883050"/>
    <w:rsid w:val="008831BF"/>
    <w:rsid w:val="008836A9"/>
    <w:rsid w:val="008837C0"/>
    <w:rsid w:val="008855B7"/>
    <w:rsid w:val="008858D3"/>
    <w:rsid w:val="00885DCB"/>
    <w:rsid w:val="00885F27"/>
    <w:rsid w:val="00886495"/>
    <w:rsid w:val="008868E1"/>
    <w:rsid w:val="00886C97"/>
    <w:rsid w:val="00886E2D"/>
    <w:rsid w:val="0088717B"/>
    <w:rsid w:val="00887CCC"/>
    <w:rsid w:val="00887FE3"/>
    <w:rsid w:val="00890059"/>
    <w:rsid w:val="00890106"/>
    <w:rsid w:val="0089087E"/>
    <w:rsid w:val="008910A2"/>
    <w:rsid w:val="008910D6"/>
    <w:rsid w:val="00891144"/>
    <w:rsid w:val="008912AD"/>
    <w:rsid w:val="008913A0"/>
    <w:rsid w:val="00891D3F"/>
    <w:rsid w:val="008924D0"/>
    <w:rsid w:val="00892637"/>
    <w:rsid w:val="00892855"/>
    <w:rsid w:val="00892E5A"/>
    <w:rsid w:val="008930A9"/>
    <w:rsid w:val="00893878"/>
    <w:rsid w:val="00894623"/>
    <w:rsid w:val="00894BAA"/>
    <w:rsid w:val="00895B0F"/>
    <w:rsid w:val="00895B81"/>
    <w:rsid w:val="00895D94"/>
    <w:rsid w:val="0089617C"/>
    <w:rsid w:val="0089628B"/>
    <w:rsid w:val="00896DDD"/>
    <w:rsid w:val="008971AD"/>
    <w:rsid w:val="008972E9"/>
    <w:rsid w:val="0089733A"/>
    <w:rsid w:val="0089779E"/>
    <w:rsid w:val="008977E2"/>
    <w:rsid w:val="008978FE"/>
    <w:rsid w:val="008A0369"/>
    <w:rsid w:val="008A0E8A"/>
    <w:rsid w:val="008A145A"/>
    <w:rsid w:val="008A1AF5"/>
    <w:rsid w:val="008A1C43"/>
    <w:rsid w:val="008A1EC9"/>
    <w:rsid w:val="008A2204"/>
    <w:rsid w:val="008A2333"/>
    <w:rsid w:val="008A2390"/>
    <w:rsid w:val="008A27F6"/>
    <w:rsid w:val="008A2AA7"/>
    <w:rsid w:val="008A3968"/>
    <w:rsid w:val="008A3F56"/>
    <w:rsid w:val="008A406D"/>
    <w:rsid w:val="008A418E"/>
    <w:rsid w:val="008A44FB"/>
    <w:rsid w:val="008A458E"/>
    <w:rsid w:val="008A5E2E"/>
    <w:rsid w:val="008A60FF"/>
    <w:rsid w:val="008A6457"/>
    <w:rsid w:val="008A662E"/>
    <w:rsid w:val="008A667C"/>
    <w:rsid w:val="008A69F5"/>
    <w:rsid w:val="008A6C20"/>
    <w:rsid w:val="008A6EB9"/>
    <w:rsid w:val="008A6F7E"/>
    <w:rsid w:val="008A7787"/>
    <w:rsid w:val="008A7954"/>
    <w:rsid w:val="008A7CAD"/>
    <w:rsid w:val="008A7CC2"/>
    <w:rsid w:val="008B0258"/>
    <w:rsid w:val="008B0473"/>
    <w:rsid w:val="008B0878"/>
    <w:rsid w:val="008B0951"/>
    <w:rsid w:val="008B0963"/>
    <w:rsid w:val="008B182A"/>
    <w:rsid w:val="008B1978"/>
    <w:rsid w:val="008B1A05"/>
    <w:rsid w:val="008B1C68"/>
    <w:rsid w:val="008B2039"/>
    <w:rsid w:val="008B2563"/>
    <w:rsid w:val="008B25F0"/>
    <w:rsid w:val="008B265C"/>
    <w:rsid w:val="008B271D"/>
    <w:rsid w:val="008B2D34"/>
    <w:rsid w:val="008B2E45"/>
    <w:rsid w:val="008B3110"/>
    <w:rsid w:val="008B475A"/>
    <w:rsid w:val="008B4959"/>
    <w:rsid w:val="008B4B8C"/>
    <w:rsid w:val="008B5995"/>
    <w:rsid w:val="008B5B6B"/>
    <w:rsid w:val="008B5C2C"/>
    <w:rsid w:val="008B6615"/>
    <w:rsid w:val="008B68F1"/>
    <w:rsid w:val="008B692F"/>
    <w:rsid w:val="008C02FC"/>
    <w:rsid w:val="008C0B73"/>
    <w:rsid w:val="008C13B6"/>
    <w:rsid w:val="008C159C"/>
    <w:rsid w:val="008C16AC"/>
    <w:rsid w:val="008C179B"/>
    <w:rsid w:val="008C19FB"/>
    <w:rsid w:val="008C1CB7"/>
    <w:rsid w:val="008C1DD2"/>
    <w:rsid w:val="008C1FF3"/>
    <w:rsid w:val="008C2619"/>
    <w:rsid w:val="008C3331"/>
    <w:rsid w:val="008C3376"/>
    <w:rsid w:val="008C398A"/>
    <w:rsid w:val="008C4274"/>
    <w:rsid w:val="008C4792"/>
    <w:rsid w:val="008C5026"/>
    <w:rsid w:val="008C5781"/>
    <w:rsid w:val="008C5951"/>
    <w:rsid w:val="008C64C8"/>
    <w:rsid w:val="008C6F36"/>
    <w:rsid w:val="008C7339"/>
    <w:rsid w:val="008C763F"/>
    <w:rsid w:val="008D0E16"/>
    <w:rsid w:val="008D120C"/>
    <w:rsid w:val="008D1994"/>
    <w:rsid w:val="008D203F"/>
    <w:rsid w:val="008D22A1"/>
    <w:rsid w:val="008D24F6"/>
    <w:rsid w:val="008D29B5"/>
    <w:rsid w:val="008D2AB9"/>
    <w:rsid w:val="008D3C34"/>
    <w:rsid w:val="008D3EA3"/>
    <w:rsid w:val="008D401C"/>
    <w:rsid w:val="008D4B19"/>
    <w:rsid w:val="008D6A81"/>
    <w:rsid w:val="008D7336"/>
    <w:rsid w:val="008D73AA"/>
    <w:rsid w:val="008D7645"/>
    <w:rsid w:val="008D7C82"/>
    <w:rsid w:val="008E0405"/>
    <w:rsid w:val="008E0B3E"/>
    <w:rsid w:val="008E0D14"/>
    <w:rsid w:val="008E0E6E"/>
    <w:rsid w:val="008E1802"/>
    <w:rsid w:val="008E21B3"/>
    <w:rsid w:val="008E2391"/>
    <w:rsid w:val="008E31AF"/>
    <w:rsid w:val="008E338C"/>
    <w:rsid w:val="008E354F"/>
    <w:rsid w:val="008E3D8A"/>
    <w:rsid w:val="008E45B7"/>
    <w:rsid w:val="008E4AFB"/>
    <w:rsid w:val="008E4B7D"/>
    <w:rsid w:val="008E4B7F"/>
    <w:rsid w:val="008E4DC1"/>
    <w:rsid w:val="008E5506"/>
    <w:rsid w:val="008E5FFD"/>
    <w:rsid w:val="008E6316"/>
    <w:rsid w:val="008E6A37"/>
    <w:rsid w:val="008E7901"/>
    <w:rsid w:val="008F00AF"/>
    <w:rsid w:val="008F026B"/>
    <w:rsid w:val="008F1444"/>
    <w:rsid w:val="008F2138"/>
    <w:rsid w:val="008F24EB"/>
    <w:rsid w:val="008F2569"/>
    <w:rsid w:val="008F39E1"/>
    <w:rsid w:val="008F45FD"/>
    <w:rsid w:val="008F48A5"/>
    <w:rsid w:val="008F4E25"/>
    <w:rsid w:val="008F5EB3"/>
    <w:rsid w:val="008F62F2"/>
    <w:rsid w:val="008F64FE"/>
    <w:rsid w:val="008F67BC"/>
    <w:rsid w:val="008F6854"/>
    <w:rsid w:val="008F68E3"/>
    <w:rsid w:val="008F6D27"/>
    <w:rsid w:val="008F6E42"/>
    <w:rsid w:val="008F7510"/>
    <w:rsid w:val="008F76C3"/>
    <w:rsid w:val="00900062"/>
    <w:rsid w:val="0090034B"/>
    <w:rsid w:val="0090067F"/>
    <w:rsid w:val="00900921"/>
    <w:rsid w:val="00903D7B"/>
    <w:rsid w:val="00904099"/>
    <w:rsid w:val="009042D7"/>
    <w:rsid w:val="009042EB"/>
    <w:rsid w:val="0090453B"/>
    <w:rsid w:val="00904F82"/>
    <w:rsid w:val="00905236"/>
    <w:rsid w:val="00905824"/>
    <w:rsid w:val="009059AB"/>
    <w:rsid w:val="00906858"/>
    <w:rsid w:val="00906B72"/>
    <w:rsid w:val="00906D36"/>
    <w:rsid w:val="0090784A"/>
    <w:rsid w:val="009104C6"/>
    <w:rsid w:val="009108DA"/>
    <w:rsid w:val="00910D9C"/>
    <w:rsid w:val="00910F82"/>
    <w:rsid w:val="0091113B"/>
    <w:rsid w:val="009115F4"/>
    <w:rsid w:val="0091168B"/>
    <w:rsid w:val="0091194C"/>
    <w:rsid w:val="009121B7"/>
    <w:rsid w:val="009122AA"/>
    <w:rsid w:val="00912DDF"/>
    <w:rsid w:val="0091340C"/>
    <w:rsid w:val="00913681"/>
    <w:rsid w:val="009138E8"/>
    <w:rsid w:val="009145AF"/>
    <w:rsid w:val="00915131"/>
    <w:rsid w:val="0091514B"/>
    <w:rsid w:val="0091549E"/>
    <w:rsid w:val="00915737"/>
    <w:rsid w:val="00915956"/>
    <w:rsid w:val="00915BD1"/>
    <w:rsid w:val="009160E7"/>
    <w:rsid w:val="009162EC"/>
    <w:rsid w:val="00917A78"/>
    <w:rsid w:val="00917A82"/>
    <w:rsid w:val="00917F0E"/>
    <w:rsid w:val="009202F4"/>
    <w:rsid w:val="0092034B"/>
    <w:rsid w:val="00920823"/>
    <w:rsid w:val="00921DCD"/>
    <w:rsid w:val="0092249B"/>
    <w:rsid w:val="00922AA8"/>
    <w:rsid w:val="00922D42"/>
    <w:rsid w:val="00922D6D"/>
    <w:rsid w:val="00923655"/>
    <w:rsid w:val="009236CC"/>
    <w:rsid w:val="00923B2B"/>
    <w:rsid w:val="00923EF0"/>
    <w:rsid w:val="00923F5A"/>
    <w:rsid w:val="009240E5"/>
    <w:rsid w:val="00924F5B"/>
    <w:rsid w:val="009255C4"/>
    <w:rsid w:val="00925D60"/>
    <w:rsid w:val="00925F5F"/>
    <w:rsid w:val="00925FD8"/>
    <w:rsid w:val="009262DD"/>
    <w:rsid w:val="0092799D"/>
    <w:rsid w:val="00927C1E"/>
    <w:rsid w:val="009300D2"/>
    <w:rsid w:val="00930286"/>
    <w:rsid w:val="009302EB"/>
    <w:rsid w:val="00930910"/>
    <w:rsid w:val="00930FC9"/>
    <w:rsid w:val="00931079"/>
    <w:rsid w:val="00931504"/>
    <w:rsid w:val="00931747"/>
    <w:rsid w:val="0093185A"/>
    <w:rsid w:val="0093215F"/>
    <w:rsid w:val="0093223C"/>
    <w:rsid w:val="00932A8B"/>
    <w:rsid w:val="00932E77"/>
    <w:rsid w:val="00933266"/>
    <w:rsid w:val="009336DF"/>
    <w:rsid w:val="00933D8B"/>
    <w:rsid w:val="00933FAA"/>
    <w:rsid w:val="009354F6"/>
    <w:rsid w:val="00935588"/>
    <w:rsid w:val="00935678"/>
    <w:rsid w:val="00935F31"/>
    <w:rsid w:val="00935F56"/>
    <w:rsid w:val="00935FE2"/>
    <w:rsid w:val="009367D3"/>
    <w:rsid w:val="00936973"/>
    <w:rsid w:val="00936A19"/>
    <w:rsid w:val="00936C91"/>
    <w:rsid w:val="00937736"/>
    <w:rsid w:val="00937A0C"/>
    <w:rsid w:val="00937F0F"/>
    <w:rsid w:val="00940471"/>
    <w:rsid w:val="009407E6"/>
    <w:rsid w:val="00940D84"/>
    <w:rsid w:val="00940EC0"/>
    <w:rsid w:val="00941297"/>
    <w:rsid w:val="009416D1"/>
    <w:rsid w:val="00941DD2"/>
    <w:rsid w:val="0094203A"/>
    <w:rsid w:val="00942D6C"/>
    <w:rsid w:val="00942E9E"/>
    <w:rsid w:val="009436E7"/>
    <w:rsid w:val="00943889"/>
    <w:rsid w:val="0094393A"/>
    <w:rsid w:val="00944440"/>
    <w:rsid w:val="00944A56"/>
    <w:rsid w:val="00944BF4"/>
    <w:rsid w:val="00944D30"/>
    <w:rsid w:val="00945135"/>
    <w:rsid w:val="0094572E"/>
    <w:rsid w:val="009458CA"/>
    <w:rsid w:val="00945C18"/>
    <w:rsid w:val="00945DD5"/>
    <w:rsid w:val="009470A0"/>
    <w:rsid w:val="00947291"/>
    <w:rsid w:val="009474D6"/>
    <w:rsid w:val="0094789D"/>
    <w:rsid w:val="0095017F"/>
    <w:rsid w:val="009501FB"/>
    <w:rsid w:val="00950541"/>
    <w:rsid w:val="00950580"/>
    <w:rsid w:val="0095094B"/>
    <w:rsid w:val="009510BD"/>
    <w:rsid w:val="009510E2"/>
    <w:rsid w:val="009516BC"/>
    <w:rsid w:val="0095187E"/>
    <w:rsid w:val="009518E1"/>
    <w:rsid w:val="00952193"/>
    <w:rsid w:val="009529D3"/>
    <w:rsid w:val="00952A9A"/>
    <w:rsid w:val="009533CA"/>
    <w:rsid w:val="009535DD"/>
    <w:rsid w:val="009536F3"/>
    <w:rsid w:val="009537AD"/>
    <w:rsid w:val="0095518C"/>
    <w:rsid w:val="009559E7"/>
    <w:rsid w:val="00955BF9"/>
    <w:rsid w:val="00955E2F"/>
    <w:rsid w:val="00956F26"/>
    <w:rsid w:val="00957182"/>
    <w:rsid w:val="009572D2"/>
    <w:rsid w:val="00957C4F"/>
    <w:rsid w:val="009604DC"/>
    <w:rsid w:val="00960883"/>
    <w:rsid w:val="0096194E"/>
    <w:rsid w:val="00961A96"/>
    <w:rsid w:val="0096214B"/>
    <w:rsid w:val="009621D0"/>
    <w:rsid w:val="0096248A"/>
    <w:rsid w:val="009626DB"/>
    <w:rsid w:val="00963878"/>
    <w:rsid w:val="00963E7D"/>
    <w:rsid w:val="00964255"/>
    <w:rsid w:val="00964A56"/>
    <w:rsid w:val="00964FD9"/>
    <w:rsid w:val="00965643"/>
    <w:rsid w:val="009656D0"/>
    <w:rsid w:val="00965F95"/>
    <w:rsid w:val="00966B0D"/>
    <w:rsid w:val="00967000"/>
    <w:rsid w:val="00967116"/>
    <w:rsid w:val="009672A3"/>
    <w:rsid w:val="00967438"/>
    <w:rsid w:val="00970A10"/>
    <w:rsid w:val="00970C0D"/>
    <w:rsid w:val="00970D5A"/>
    <w:rsid w:val="00970DD5"/>
    <w:rsid w:val="00970FBC"/>
    <w:rsid w:val="00971AE4"/>
    <w:rsid w:val="00971BF5"/>
    <w:rsid w:val="00972A2F"/>
    <w:rsid w:val="00972AE1"/>
    <w:rsid w:val="00972ECF"/>
    <w:rsid w:val="00973820"/>
    <w:rsid w:val="00974313"/>
    <w:rsid w:val="00974385"/>
    <w:rsid w:val="009744AC"/>
    <w:rsid w:val="0097478F"/>
    <w:rsid w:val="0097483E"/>
    <w:rsid w:val="009748AB"/>
    <w:rsid w:val="009756FE"/>
    <w:rsid w:val="00975F38"/>
    <w:rsid w:val="00975F9E"/>
    <w:rsid w:val="00976DDD"/>
    <w:rsid w:val="00977908"/>
    <w:rsid w:val="00980226"/>
    <w:rsid w:val="00980C6A"/>
    <w:rsid w:val="009812FB"/>
    <w:rsid w:val="0098163A"/>
    <w:rsid w:val="00981FDC"/>
    <w:rsid w:val="00982135"/>
    <w:rsid w:val="00982E67"/>
    <w:rsid w:val="00983BB9"/>
    <w:rsid w:val="0098417D"/>
    <w:rsid w:val="009852D1"/>
    <w:rsid w:val="009855B3"/>
    <w:rsid w:val="009860EA"/>
    <w:rsid w:val="00986836"/>
    <w:rsid w:val="00987CA3"/>
    <w:rsid w:val="00990773"/>
    <w:rsid w:val="00991382"/>
    <w:rsid w:val="009918E9"/>
    <w:rsid w:val="00991F5F"/>
    <w:rsid w:val="0099253E"/>
    <w:rsid w:val="00992580"/>
    <w:rsid w:val="009926EE"/>
    <w:rsid w:val="0099273C"/>
    <w:rsid w:val="0099298B"/>
    <w:rsid w:val="00992B9F"/>
    <w:rsid w:val="009935F9"/>
    <w:rsid w:val="00993DB9"/>
    <w:rsid w:val="009940ED"/>
    <w:rsid w:val="009942BC"/>
    <w:rsid w:val="00994500"/>
    <w:rsid w:val="00995105"/>
    <w:rsid w:val="0099521B"/>
    <w:rsid w:val="00995762"/>
    <w:rsid w:val="0099577F"/>
    <w:rsid w:val="009959A2"/>
    <w:rsid w:val="00995BA2"/>
    <w:rsid w:val="009962CC"/>
    <w:rsid w:val="00996AD7"/>
    <w:rsid w:val="00996E6F"/>
    <w:rsid w:val="009A0767"/>
    <w:rsid w:val="009A155B"/>
    <w:rsid w:val="009A216D"/>
    <w:rsid w:val="009A23A4"/>
    <w:rsid w:val="009A40FF"/>
    <w:rsid w:val="009A4FC2"/>
    <w:rsid w:val="009A4FDF"/>
    <w:rsid w:val="009A5AEF"/>
    <w:rsid w:val="009A6176"/>
    <w:rsid w:val="009A63C9"/>
    <w:rsid w:val="009A6640"/>
    <w:rsid w:val="009A6689"/>
    <w:rsid w:val="009A6E29"/>
    <w:rsid w:val="009A75AD"/>
    <w:rsid w:val="009A7E71"/>
    <w:rsid w:val="009B26D2"/>
    <w:rsid w:val="009B2851"/>
    <w:rsid w:val="009B2F4C"/>
    <w:rsid w:val="009B3302"/>
    <w:rsid w:val="009B3372"/>
    <w:rsid w:val="009B4861"/>
    <w:rsid w:val="009B49E9"/>
    <w:rsid w:val="009B5476"/>
    <w:rsid w:val="009B55E9"/>
    <w:rsid w:val="009B5F80"/>
    <w:rsid w:val="009B7295"/>
    <w:rsid w:val="009B799F"/>
    <w:rsid w:val="009C0668"/>
    <w:rsid w:val="009C074D"/>
    <w:rsid w:val="009C08A7"/>
    <w:rsid w:val="009C13D4"/>
    <w:rsid w:val="009C13DE"/>
    <w:rsid w:val="009C1988"/>
    <w:rsid w:val="009C2112"/>
    <w:rsid w:val="009C2961"/>
    <w:rsid w:val="009C2C7E"/>
    <w:rsid w:val="009C2DAF"/>
    <w:rsid w:val="009C3937"/>
    <w:rsid w:val="009C4741"/>
    <w:rsid w:val="009C53EC"/>
    <w:rsid w:val="009C5B7F"/>
    <w:rsid w:val="009C648F"/>
    <w:rsid w:val="009C64D3"/>
    <w:rsid w:val="009C66AD"/>
    <w:rsid w:val="009C69F6"/>
    <w:rsid w:val="009C73A0"/>
    <w:rsid w:val="009C7445"/>
    <w:rsid w:val="009D0380"/>
    <w:rsid w:val="009D0E98"/>
    <w:rsid w:val="009D134F"/>
    <w:rsid w:val="009D2317"/>
    <w:rsid w:val="009D236F"/>
    <w:rsid w:val="009D24DA"/>
    <w:rsid w:val="009D3389"/>
    <w:rsid w:val="009D36E1"/>
    <w:rsid w:val="009D3EF8"/>
    <w:rsid w:val="009D52C9"/>
    <w:rsid w:val="009D5E83"/>
    <w:rsid w:val="009D5F0F"/>
    <w:rsid w:val="009D604A"/>
    <w:rsid w:val="009D616C"/>
    <w:rsid w:val="009D6DB0"/>
    <w:rsid w:val="009D71A5"/>
    <w:rsid w:val="009E0166"/>
    <w:rsid w:val="009E04CD"/>
    <w:rsid w:val="009E05A2"/>
    <w:rsid w:val="009E096A"/>
    <w:rsid w:val="009E0D21"/>
    <w:rsid w:val="009E1851"/>
    <w:rsid w:val="009E1B84"/>
    <w:rsid w:val="009E2158"/>
    <w:rsid w:val="009E31B1"/>
    <w:rsid w:val="009E362E"/>
    <w:rsid w:val="009E3901"/>
    <w:rsid w:val="009E3FE2"/>
    <w:rsid w:val="009E4232"/>
    <w:rsid w:val="009E437B"/>
    <w:rsid w:val="009E4869"/>
    <w:rsid w:val="009E4E7B"/>
    <w:rsid w:val="009E5128"/>
    <w:rsid w:val="009E5639"/>
    <w:rsid w:val="009E5E63"/>
    <w:rsid w:val="009E6005"/>
    <w:rsid w:val="009E658F"/>
    <w:rsid w:val="009E6A1D"/>
    <w:rsid w:val="009E7001"/>
    <w:rsid w:val="009E70A9"/>
    <w:rsid w:val="009E75B7"/>
    <w:rsid w:val="009E7667"/>
    <w:rsid w:val="009E7813"/>
    <w:rsid w:val="009E7AF3"/>
    <w:rsid w:val="009F0897"/>
    <w:rsid w:val="009F0F4A"/>
    <w:rsid w:val="009F14D3"/>
    <w:rsid w:val="009F15E2"/>
    <w:rsid w:val="009F16AE"/>
    <w:rsid w:val="009F2298"/>
    <w:rsid w:val="009F2556"/>
    <w:rsid w:val="009F2998"/>
    <w:rsid w:val="009F3179"/>
    <w:rsid w:val="009F3700"/>
    <w:rsid w:val="009F3D95"/>
    <w:rsid w:val="009F507C"/>
    <w:rsid w:val="009F5557"/>
    <w:rsid w:val="009F57B2"/>
    <w:rsid w:val="009F60E6"/>
    <w:rsid w:val="009F61AA"/>
    <w:rsid w:val="009F61B3"/>
    <w:rsid w:val="009F62FA"/>
    <w:rsid w:val="009F6491"/>
    <w:rsid w:val="009F6A65"/>
    <w:rsid w:val="009F6AB8"/>
    <w:rsid w:val="009F6BAD"/>
    <w:rsid w:val="009F6D2A"/>
    <w:rsid w:val="009F70CF"/>
    <w:rsid w:val="009F7193"/>
    <w:rsid w:val="009F7685"/>
    <w:rsid w:val="009F7948"/>
    <w:rsid w:val="009F7BBC"/>
    <w:rsid w:val="00A0054F"/>
    <w:rsid w:val="00A005A6"/>
    <w:rsid w:val="00A00F1F"/>
    <w:rsid w:val="00A016F1"/>
    <w:rsid w:val="00A023DB"/>
    <w:rsid w:val="00A02443"/>
    <w:rsid w:val="00A02996"/>
    <w:rsid w:val="00A03418"/>
    <w:rsid w:val="00A0345C"/>
    <w:rsid w:val="00A04235"/>
    <w:rsid w:val="00A043C2"/>
    <w:rsid w:val="00A048CA"/>
    <w:rsid w:val="00A04DF9"/>
    <w:rsid w:val="00A05032"/>
    <w:rsid w:val="00A055DB"/>
    <w:rsid w:val="00A0593F"/>
    <w:rsid w:val="00A05EDB"/>
    <w:rsid w:val="00A07289"/>
    <w:rsid w:val="00A072BC"/>
    <w:rsid w:val="00A10B39"/>
    <w:rsid w:val="00A10C30"/>
    <w:rsid w:val="00A11395"/>
    <w:rsid w:val="00A1180B"/>
    <w:rsid w:val="00A12030"/>
    <w:rsid w:val="00A12B6B"/>
    <w:rsid w:val="00A13064"/>
    <w:rsid w:val="00A13079"/>
    <w:rsid w:val="00A14737"/>
    <w:rsid w:val="00A14B14"/>
    <w:rsid w:val="00A14F0C"/>
    <w:rsid w:val="00A1550A"/>
    <w:rsid w:val="00A1588A"/>
    <w:rsid w:val="00A15A09"/>
    <w:rsid w:val="00A15CC2"/>
    <w:rsid w:val="00A16135"/>
    <w:rsid w:val="00A161CF"/>
    <w:rsid w:val="00A1643F"/>
    <w:rsid w:val="00A165DD"/>
    <w:rsid w:val="00A1690B"/>
    <w:rsid w:val="00A16D49"/>
    <w:rsid w:val="00A16DAF"/>
    <w:rsid w:val="00A17AE5"/>
    <w:rsid w:val="00A17BEF"/>
    <w:rsid w:val="00A20A1E"/>
    <w:rsid w:val="00A20BBE"/>
    <w:rsid w:val="00A20CBF"/>
    <w:rsid w:val="00A20F3E"/>
    <w:rsid w:val="00A21223"/>
    <w:rsid w:val="00A212A0"/>
    <w:rsid w:val="00A213C6"/>
    <w:rsid w:val="00A215F0"/>
    <w:rsid w:val="00A220A3"/>
    <w:rsid w:val="00A235DE"/>
    <w:rsid w:val="00A23618"/>
    <w:rsid w:val="00A239F6"/>
    <w:rsid w:val="00A23B67"/>
    <w:rsid w:val="00A243BD"/>
    <w:rsid w:val="00A2477B"/>
    <w:rsid w:val="00A24DB7"/>
    <w:rsid w:val="00A25068"/>
    <w:rsid w:val="00A2510E"/>
    <w:rsid w:val="00A25F49"/>
    <w:rsid w:val="00A260F4"/>
    <w:rsid w:val="00A263EA"/>
    <w:rsid w:val="00A263FF"/>
    <w:rsid w:val="00A26466"/>
    <w:rsid w:val="00A26729"/>
    <w:rsid w:val="00A26813"/>
    <w:rsid w:val="00A26845"/>
    <w:rsid w:val="00A26A4C"/>
    <w:rsid w:val="00A26D57"/>
    <w:rsid w:val="00A26E8E"/>
    <w:rsid w:val="00A27893"/>
    <w:rsid w:val="00A27D19"/>
    <w:rsid w:val="00A302E5"/>
    <w:rsid w:val="00A303CD"/>
    <w:rsid w:val="00A31382"/>
    <w:rsid w:val="00A314A7"/>
    <w:rsid w:val="00A3153F"/>
    <w:rsid w:val="00A31A75"/>
    <w:rsid w:val="00A32227"/>
    <w:rsid w:val="00A32339"/>
    <w:rsid w:val="00A3240D"/>
    <w:rsid w:val="00A326DE"/>
    <w:rsid w:val="00A32B3D"/>
    <w:rsid w:val="00A3349E"/>
    <w:rsid w:val="00A33B31"/>
    <w:rsid w:val="00A33DF5"/>
    <w:rsid w:val="00A33ED1"/>
    <w:rsid w:val="00A34321"/>
    <w:rsid w:val="00A344BA"/>
    <w:rsid w:val="00A34895"/>
    <w:rsid w:val="00A35127"/>
    <w:rsid w:val="00A35252"/>
    <w:rsid w:val="00A352B8"/>
    <w:rsid w:val="00A35E55"/>
    <w:rsid w:val="00A35F72"/>
    <w:rsid w:val="00A35FE2"/>
    <w:rsid w:val="00A360C8"/>
    <w:rsid w:val="00A362D0"/>
    <w:rsid w:val="00A36555"/>
    <w:rsid w:val="00A371D2"/>
    <w:rsid w:val="00A37C6E"/>
    <w:rsid w:val="00A37FAD"/>
    <w:rsid w:val="00A405CB"/>
    <w:rsid w:val="00A40941"/>
    <w:rsid w:val="00A41469"/>
    <w:rsid w:val="00A41891"/>
    <w:rsid w:val="00A418AA"/>
    <w:rsid w:val="00A4249F"/>
    <w:rsid w:val="00A43D66"/>
    <w:rsid w:val="00A44149"/>
    <w:rsid w:val="00A4425F"/>
    <w:rsid w:val="00A44DDC"/>
    <w:rsid w:val="00A455A6"/>
    <w:rsid w:val="00A45C70"/>
    <w:rsid w:val="00A460C9"/>
    <w:rsid w:val="00A46745"/>
    <w:rsid w:val="00A46E79"/>
    <w:rsid w:val="00A476EC"/>
    <w:rsid w:val="00A479BC"/>
    <w:rsid w:val="00A47F27"/>
    <w:rsid w:val="00A51726"/>
    <w:rsid w:val="00A51FB1"/>
    <w:rsid w:val="00A5237E"/>
    <w:rsid w:val="00A5250D"/>
    <w:rsid w:val="00A526ED"/>
    <w:rsid w:val="00A52937"/>
    <w:rsid w:val="00A530B1"/>
    <w:rsid w:val="00A53693"/>
    <w:rsid w:val="00A53B2B"/>
    <w:rsid w:val="00A53CFB"/>
    <w:rsid w:val="00A54BA5"/>
    <w:rsid w:val="00A54EAE"/>
    <w:rsid w:val="00A55104"/>
    <w:rsid w:val="00A555CD"/>
    <w:rsid w:val="00A5560F"/>
    <w:rsid w:val="00A5597E"/>
    <w:rsid w:val="00A56BDF"/>
    <w:rsid w:val="00A56E33"/>
    <w:rsid w:val="00A57030"/>
    <w:rsid w:val="00A57E8C"/>
    <w:rsid w:val="00A604B9"/>
    <w:rsid w:val="00A60D75"/>
    <w:rsid w:val="00A610F3"/>
    <w:rsid w:val="00A61795"/>
    <w:rsid w:val="00A62584"/>
    <w:rsid w:val="00A626BC"/>
    <w:rsid w:val="00A6299C"/>
    <w:rsid w:val="00A629F5"/>
    <w:rsid w:val="00A62C98"/>
    <w:rsid w:val="00A63440"/>
    <w:rsid w:val="00A63813"/>
    <w:rsid w:val="00A6396F"/>
    <w:rsid w:val="00A64324"/>
    <w:rsid w:val="00A64501"/>
    <w:rsid w:val="00A64597"/>
    <w:rsid w:val="00A64610"/>
    <w:rsid w:val="00A6479E"/>
    <w:rsid w:val="00A64F4F"/>
    <w:rsid w:val="00A65512"/>
    <w:rsid w:val="00A65669"/>
    <w:rsid w:val="00A65670"/>
    <w:rsid w:val="00A656A3"/>
    <w:rsid w:val="00A65AAD"/>
    <w:rsid w:val="00A65D49"/>
    <w:rsid w:val="00A65DA8"/>
    <w:rsid w:val="00A665F1"/>
    <w:rsid w:val="00A66E3C"/>
    <w:rsid w:val="00A67D5A"/>
    <w:rsid w:val="00A701AB"/>
    <w:rsid w:val="00A706D1"/>
    <w:rsid w:val="00A707C5"/>
    <w:rsid w:val="00A71194"/>
    <w:rsid w:val="00A71E6A"/>
    <w:rsid w:val="00A7301C"/>
    <w:rsid w:val="00A730A8"/>
    <w:rsid w:val="00A73296"/>
    <w:rsid w:val="00A7388B"/>
    <w:rsid w:val="00A741AF"/>
    <w:rsid w:val="00A74748"/>
    <w:rsid w:val="00A74E92"/>
    <w:rsid w:val="00A752CE"/>
    <w:rsid w:val="00A75418"/>
    <w:rsid w:val="00A7561A"/>
    <w:rsid w:val="00A75686"/>
    <w:rsid w:val="00A75EC1"/>
    <w:rsid w:val="00A7659D"/>
    <w:rsid w:val="00A766F2"/>
    <w:rsid w:val="00A76B15"/>
    <w:rsid w:val="00A76C5C"/>
    <w:rsid w:val="00A76CE1"/>
    <w:rsid w:val="00A76F28"/>
    <w:rsid w:val="00A77419"/>
    <w:rsid w:val="00A8092B"/>
    <w:rsid w:val="00A80CBA"/>
    <w:rsid w:val="00A80FE2"/>
    <w:rsid w:val="00A81345"/>
    <w:rsid w:val="00A81781"/>
    <w:rsid w:val="00A81D83"/>
    <w:rsid w:val="00A81F42"/>
    <w:rsid w:val="00A82072"/>
    <w:rsid w:val="00A82778"/>
    <w:rsid w:val="00A82D97"/>
    <w:rsid w:val="00A830D1"/>
    <w:rsid w:val="00A83112"/>
    <w:rsid w:val="00A83365"/>
    <w:rsid w:val="00A84059"/>
    <w:rsid w:val="00A842C3"/>
    <w:rsid w:val="00A84527"/>
    <w:rsid w:val="00A84CB1"/>
    <w:rsid w:val="00A84F67"/>
    <w:rsid w:val="00A851F4"/>
    <w:rsid w:val="00A855EA"/>
    <w:rsid w:val="00A857D5"/>
    <w:rsid w:val="00A85A05"/>
    <w:rsid w:val="00A85AD7"/>
    <w:rsid w:val="00A85CD2"/>
    <w:rsid w:val="00A85E29"/>
    <w:rsid w:val="00A86047"/>
    <w:rsid w:val="00A861BE"/>
    <w:rsid w:val="00A8661C"/>
    <w:rsid w:val="00A86D08"/>
    <w:rsid w:val="00A86D27"/>
    <w:rsid w:val="00A86E89"/>
    <w:rsid w:val="00A875F4"/>
    <w:rsid w:val="00A879B0"/>
    <w:rsid w:val="00A87DEB"/>
    <w:rsid w:val="00A90263"/>
    <w:rsid w:val="00A90750"/>
    <w:rsid w:val="00A9131D"/>
    <w:rsid w:val="00A9153E"/>
    <w:rsid w:val="00A915DF"/>
    <w:rsid w:val="00A916DE"/>
    <w:rsid w:val="00A91977"/>
    <w:rsid w:val="00A91A42"/>
    <w:rsid w:val="00A91B65"/>
    <w:rsid w:val="00A91C2E"/>
    <w:rsid w:val="00A91FBD"/>
    <w:rsid w:val="00A921DA"/>
    <w:rsid w:val="00A9250C"/>
    <w:rsid w:val="00A92C68"/>
    <w:rsid w:val="00A93174"/>
    <w:rsid w:val="00A93434"/>
    <w:rsid w:val="00A9395C"/>
    <w:rsid w:val="00A948CD"/>
    <w:rsid w:val="00A9523E"/>
    <w:rsid w:val="00A954A0"/>
    <w:rsid w:val="00A95881"/>
    <w:rsid w:val="00A95FC9"/>
    <w:rsid w:val="00A96E83"/>
    <w:rsid w:val="00A97788"/>
    <w:rsid w:val="00A97844"/>
    <w:rsid w:val="00A97950"/>
    <w:rsid w:val="00A97F0C"/>
    <w:rsid w:val="00AA0202"/>
    <w:rsid w:val="00AA0765"/>
    <w:rsid w:val="00AA10F5"/>
    <w:rsid w:val="00AA1604"/>
    <w:rsid w:val="00AA1639"/>
    <w:rsid w:val="00AA209B"/>
    <w:rsid w:val="00AA2819"/>
    <w:rsid w:val="00AA2851"/>
    <w:rsid w:val="00AA3416"/>
    <w:rsid w:val="00AA3882"/>
    <w:rsid w:val="00AA3EF7"/>
    <w:rsid w:val="00AA411C"/>
    <w:rsid w:val="00AA4200"/>
    <w:rsid w:val="00AA454B"/>
    <w:rsid w:val="00AA46FD"/>
    <w:rsid w:val="00AA4E99"/>
    <w:rsid w:val="00AA5464"/>
    <w:rsid w:val="00AA5D44"/>
    <w:rsid w:val="00AA5D59"/>
    <w:rsid w:val="00AA6917"/>
    <w:rsid w:val="00AA6F91"/>
    <w:rsid w:val="00AA768B"/>
    <w:rsid w:val="00AA77BD"/>
    <w:rsid w:val="00AA7D46"/>
    <w:rsid w:val="00AA7F08"/>
    <w:rsid w:val="00AB01A8"/>
    <w:rsid w:val="00AB063F"/>
    <w:rsid w:val="00AB0738"/>
    <w:rsid w:val="00AB16C4"/>
    <w:rsid w:val="00AB17C8"/>
    <w:rsid w:val="00AB1D55"/>
    <w:rsid w:val="00AB2316"/>
    <w:rsid w:val="00AB2466"/>
    <w:rsid w:val="00AB2D0A"/>
    <w:rsid w:val="00AB2ED6"/>
    <w:rsid w:val="00AB3A2D"/>
    <w:rsid w:val="00AB3F8D"/>
    <w:rsid w:val="00AB4305"/>
    <w:rsid w:val="00AB4423"/>
    <w:rsid w:val="00AB46A7"/>
    <w:rsid w:val="00AB559C"/>
    <w:rsid w:val="00AB63BC"/>
    <w:rsid w:val="00AB6465"/>
    <w:rsid w:val="00AB6B47"/>
    <w:rsid w:val="00AB6E73"/>
    <w:rsid w:val="00AB7026"/>
    <w:rsid w:val="00AB724F"/>
    <w:rsid w:val="00AB7647"/>
    <w:rsid w:val="00AC0AF7"/>
    <w:rsid w:val="00AC0BD0"/>
    <w:rsid w:val="00AC116E"/>
    <w:rsid w:val="00AC1283"/>
    <w:rsid w:val="00AC1451"/>
    <w:rsid w:val="00AC1525"/>
    <w:rsid w:val="00AC1926"/>
    <w:rsid w:val="00AC23F9"/>
    <w:rsid w:val="00AC2798"/>
    <w:rsid w:val="00AC2902"/>
    <w:rsid w:val="00AC2A93"/>
    <w:rsid w:val="00AC2BA3"/>
    <w:rsid w:val="00AC387F"/>
    <w:rsid w:val="00AC4C94"/>
    <w:rsid w:val="00AC5467"/>
    <w:rsid w:val="00AC62B8"/>
    <w:rsid w:val="00AC6681"/>
    <w:rsid w:val="00AC7881"/>
    <w:rsid w:val="00AD0352"/>
    <w:rsid w:val="00AD1C2B"/>
    <w:rsid w:val="00AD236D"/>
    <w:rsid w:val="00AD27DD"/>
    <w:rsid w:val="00AD298A"/>
    <w:rsid w:val="00AD2A4A"/>
    <w:rsid w:val="00AD3489"/>
    <w:rsid w:val="00AD48F5"/>
    <w:rsid w:val="00AD4953"/>
    <w:rsid w:val="00AD4A58"/>
    <w:rsid w:val="00AD617F"/>
    <w:rsid w:val="00AD6CC6"/>
    <w:rsid w:val="00AD6D24"/>
    <w:rsid w:val="00AD716E"/>
    <w:rsid w:val="00AD7437"/>
    <w:rsid w:val="00AD76C4"/>
    <w:rsid w:val="00AD7811"/>
    <w:rsid w:val="00AD7CF2"/>
    <w:rsid w:val="00AD7D56"/>
    <w:rsid w:val="00AE04C7"/>
    <w:rsid w:val="00AE08DE"/>
    <w:rsid w:val="00AE129E"/>
    <w:rsid w:val="00AE1894"/>
    <w:rsid w:val="00AE2537"/>
    <w:rsid w:val="00AE2CE2"/>
    <w:rsid w:val="00AE2EB7"/>
    <w:rsid w:val="00AE398C"/>
    <w:rsid w:val="00AE3BA4"/>
    <w:rsid w:val="00AE3C71"/>
    <w:rsid w:val="00AE3FF9"/>
    <w:rsid w:val="00AE40C7"/>
    <w:rsid w:val="00AE4110"/>
    <w:rsid w:val="00AE41D1"/>
    <w:rsid w:val="00AE41DB"/>
    <w:rsid w:val="00AE4210"/>
    <w:rsid w:val="00AE42E6"/>
    <w:rsid w:val="00AE54BA"/>
    <w:rsid w:val="00AE5734"/>
    <w:rsid w:val="00AE58B7"/>
    <w:rsid w:val="00AE62DF"/>
    <w:rsid w:val="00AE6EA1"/>
    <w:rsid w:val="00AE7057"/>
    <w:rsid w:val="00AE71EF"/>
    <w:rsid w:val="00AE733D"/>
    <w:rsid w:val="00AF04ED"/>
    <w:rsid w:val="00AF0A2D"/>
    <w:rsid w:val="00AF0E3B"/>
    <w:rsid w:val="00AF120B"/>
    <w:rsid w:val="00AF1843"/>
    <w:rsid w:val="00AF2006"/>
    <w:rsid w:val="00AF2362"/>
    <w:rsid w:val="00AF2405"/>
    <w:rsid w:val="00AF2799"/>
    <w:rsid w:val="00AF297A"/>
    <w:rsid w:val="00AF2AED"/>
    <w:rsid w:val="00AF3022"/>
    <w:rsid w:val="00AF3155"/>
    <w:rsid w:val="00AF34C9"/>
    <w:rsid w:val="00AF3888"/>
    <w:rsid w:val="00AF45B1"/>
    <w:rsid w:val="00AF48F6"/>
    <w:rsid w:val="00AF49E3"/>
    <w:rsid w:val="00AF49F3"/>
    <w:rsid w:val="00AF5630"/>
    <w:rsid w:val="00AF5F4A"/>
    <w:rsid w:val="00AF615F"/>
    <w:rsid w:val="00AF6243"/>
    <w:rsid w:val="00AF674C"/>
    <w:rsid w:val="00AF67C9"/>
    <w:rsid w:val="00AF736D"/>
    <w:rsid w:val="00AF75CE"/>
    <w:rsid w:val="00AF7907"/>
    <w:rsid w:val="00B0060B"/>
    <w:rsid w:val="00B006D2"/>
    <w:rsid w:val="00B00F57"/>
    <w:rsid w:val="00B011D9"/>
    <w:rsid w:val="00B018A5"/>
    <w:rsid w:val="00B021F3"/>
    <w:rsid w:val="00B02543"/>
    <w:rsid w:val="00B026BD"/>
    <w:rsid w:val="00B02AC6"/>
    <w:rsid w:val="00B03C66"/>
    <w:rsid w:val="00B0497B"/>
    <w:rsid w:val="00B049AD"/>
    <w:rsid w:val="00B057D1"/>
    <w:rsid w:val="00B05D13"/>
    <w:rsid w:val="00B05E7E"/>
    <w:rsid w:val="00B0608E"/>
    <w:rsid w:val="00B060C7"/>
    <w:rsid w:val="00B061BA"/>
    <w:rsid w:val="00B0641D"/>
    <w:rsid w:val="00B06794"/>
    <w:rsid w:val="00B06A50"/>
    <w:rsid w:val="00B07D90"/>
    <w:rsid w:val="00B07F65"/>
    <w:rsid w:val="00B10143"/>
    <w:rsid w:val="00B10282"/>
    <w:rsid w:val="00B105C6"/>
    <w:rsid w:val="00B105CB"/>
    <w:rsid w:val="00B105D1"/>
    <w:rsid w:val="00B10939"/>
    <w:rsid w:val="00B1111A"/>
    <w:rsid w:val="00B11148"/>
    <w:rsid w:val="00B11617"/>
    <w:rsid w:val="00B11D49"/>
    <w:rsid w:val="00B11E1F"/>
    <w:rsid w:val="00B121BF"/>
    <w:rsid w:val="00B1228C"/>
    <w:rsid w:val="00B12487"/>
    <w:rsid w:val="00B12F36"/>
    <w:rsid w:val="00B132C6"/>
    <w:rsid w:val="00B1358F"/>
    <w:rsid w:val="00B143FA"/>
    <w:rsid w:val="00B14FA0"/>
    <w:rsid w:val="00B15A76"/>
    <w:rsid w:val="00B1681F"/>
    <w:rsid w:val="00B17336"/>
    <w:rsid w:val="00B17A7D"/>
    <w:rsid w:val="00B17C7C"/>
    <w:rsid w:val="00B17CC5"/>
    <w:rsid w:val="00B17FC7"/>
    <w:rsid w:val="00B202F1"/>
    <w:rsid w:val="00B2040A"/>
    <w:rsid w:val="00B208DC"/>
    <w:rsid w:val="00B20A3E"/>
    <w:rsid w:val="00B20A8C"/>
    <w:rsid w:val="00B20DC8"/>
    <w:rsid w:val="00B22017"/>
    <w:rsid w:val="00B224C7"/>
    <w:rsid w:val="00B2271D"/>
    <w:rsid w:val="00B229C3"/>
    <w:rsid w:val="00B22B17"/>
    <w:rsid w:val="00B22CBA"/>
    <w:rsid w:val="00B22D14"/>
    <w:rsid w:val="00B2345C"/>
    <w:rsid w:val="00B24589"/>
    <w:rsid w:val="00B24610"/>
    <w:rsid w:val="00B24B12"/>
    <w:rsid w:val="00B2537B"/>
    <w:rsid w:val="00B2569E"/>
    <w:rsid w:val="00B25CB1"/>
    <w:rsid w:val="00B262D1"/>
    <w:rsid w:val="00B264F8"/>
    <w:rsid w:val="00B27E13"/>
    <w:rsid w:val="00B302C6"/>
    <w:rsid w:val="00B30493"/>
    <w:rsid w:val="00B30D71"/>
    <w:rsid w:val="00B30DC0"/>
    <w:rsid w:val="00B31587"/>
    <w:rsid w:val="00B31DA7"/>
    <w:rsid w:val="00B32251"/>
    <w:rsid w:val="00B32342"/>
    <w:rsid w:val="00B32952"/>
    <w:rsid w:val="00B32DCA"/>
    <w:rsid w:val="00B33499"/>
    <w:rsid w:val="00B339DF"/>
    <w:rsid w:val="00B35477"/>
    <w:rsid w:val="00B35718"/>
    <w:rsid w:val="00B361B4"/>
    <w:rsid w:val="00B36596"/>
    <w:rsid w:val="00B36DC8"/>
    <w:rsid w:val="00B37EDA"/>
    <w:rsid w:val="00B40079"/>
    <w:rsid w:val="00B4012E"/>
    <w:rsid w:val="00B40140"/>
    <w:rsid w:val="00B402FC"/>
    <w:rsid w:val="00B40B47"/>
    <w:rsid w:val="00B4195C"/>
    <w:rsid w:val="00B41EE9"/>
    <w:rsid w:val="00B42540"/>
    <w:rsid w:val="00B42554"/>
    <w:rsid w:val="00B42598"/>
    <w:rsid w:val="00B42CE8"/>
    <w:rsid w:val="00B42EE3"/>
    <w:rsid w:val="00B4324D"/>
    <w:rsid w:val="00B43698"/>
    <w:rsid w:val="00B43945"/>
    <w:rsid w:val="00B43EB8"/>
    <w:rsid w:val="00B44685"/>
    <w:rsid w:val="00B44776"/>
    <w:rsid w:val="00B44F44"/>
    <w:rsid w:val="00B45758"/>
    <w:rsid w:val="00B460BE"/>
    <w:rsid w:val="00B460C9"/>
    <w:rsid w:val="00B461CC"/>
    <w:rsid w:val="00B464D4"/>
    <w:rsid w:val="00B46946"/>
    <w:rsid w:val="00B46A8D"/>
    <w:rsid w:val="00B47451"/>
    <w:rsid w:val="00B477CE"/>
    <w:rsid w:val="00B47B67"/>
    <w:rsid w:val="00B501D8"/>
    <w:rsid w:val="00B5040D"/>
    <w:rsid w:val="00B51DE7"/>
    <w:rsid w:val="00B523FC"/>
    <w:rsid w:val="00B5244D"/>
    <w:rsid w:val="00B52CFE"/>
    <w:rsid w:val="00B531F5"/>
    <w:rsid w:val="00B53B8F"/>
    <w:rsid w:val="00B53CD2"/>
    <w:rsid w:val="00B544F1"/>
    <w:rsid w:val="00B54780"/>
    <w:rsid w:val="00B5546A"/>
    <w:rsid w:val="00B5674F"/>
    <w:rsid w:val="00B567FB"/>
    <w:rsid w:val="00B56B5F"/>
    <w:rsid w:val="00B56BCB"/>
    <w:rsid w:val="00B56BEB"/>
    <w:rsid w:val="00B57292"/>
    <w:rsid w:val="00B572D1"/>
    <w:rsid w:val="00B611D6"/>
    <w:rsid w:val="00B61A03"/>
    <w:rsid w:val="00B61B94"/>
    <w:rsid w:val="00B6203C"/>
    <w:rsid w:val="00B6258A"/>
    <w:rsid w:val="00B62BCE"/>
    <w:rsid w:val="00B62EB3"/>
    <w:rsid w:val="00B62F51"/>
    <w:rsid w:val="00B62F87"/>
    <w:rsid w:val="00B6333E"/>
    <w:rsid w:val="00B63B83"/>
    <w:rsid w:val="00B645B8"/>
    <w:rsid w:val="00B65105"/>
    <w:rsid w:val="00B6533E"/>
    <w:rsid w:val="00B65999"/>
    <w:rsid w:val="00B65C53"/>
    <w:rsid w:val="00B65E5E"/>
    <w:rsid w:val="00B66654"/>
    <w:rsid w:val="00B66C89"/>
    <w:rsid w:val="00B6711F"/>
    <w:rsid w:val="00B67932"/>
    <w:rsid w:val="00B67CF5"/>
    <w:rsid w:val="00B7011C"/>
    <w:rsid w:val="00B7095A"/>
    <w:rsid w:val="00B70A0B"/>
    <w:rsid w:val="00B70D60"/>
    <w:rsid w:val="00B70EBE"/>
    <w:rsid w:val="00B7104E"/>
    <w:rsid w:val="00B710D1"/>
    <w:rsid w:val="00B71526"/>
    <w:rsid w:val="00B718D8"/>
    <w:rsid w:val="00B718E1"/>
    <w:rsid w:val="00B725AE"/>
    <w:rsid w:val="00B72EE2"/>
    <w:rsid w:val="00B730FD"/>
    <w:rsid w:val="00B7329D"/>
    <w:rsid w:val="00B733D0"/>
    <w:rsid w:val="00B7399B"/>
    <w:rsid w:val="00B73D5C"/>
    <w:rsid w:val="00B73F7B"/>
    <w:rsid w:val="00B745C2"/>
    <w:rsid w:val="00B749E2"/>
    <w:rsid w:val="00B74D4C"/>
    <w:rsid w:val="00B75B00"/>
    <w:rsid w:val="00B75BD8"/>
    <w:rsid w:val="00B75FBC"/>
    <w:rsid w:val="00B76EFD"/>
    <w:rsid w:val="00B77338"/>
    <w:rsid w:val="00B773EB"/>
    <w:rsid w:val="00B7756D"/>
    <w:rsid w:val="00B779C6"/>
    <w:rsid w:val="00B77B5C"/>
    <w:rsid w:val="00B77C37"/>
    <w:rsid w:val="00B80A36"/>
    <w:rsid w:val="00B80B61"/>
    <w:rsid w:val="00B80ECE"/>
    <w:rsid w:val="00B81020"/>
    <w:rsid w:val="00B81523"/>
    <w:rsid w:val="00B82085"/>
    <w:rsid w:val="00B82645"/>
    <w:rsid w:val="00B8266D"/>
    <w:rsid w:val="00B82B5B"/>
    <w:rsid w:val="00B82F30"/>
    <w:rsid w:val="00B83666"/>
    <w:rsid w:val="00B845FE"/>
    <w:rsid w:val="00B84D55"/>
    <w:rsid w:val="00B85931"/>
    <w:rsid w:val="00B85AF5"/>
    <w:rsid w:val="00B85D4A"/>
    <w:rsid w:val="00B85D53"/>
    <w:rsid w:val="00B8661D"/>
    <w:rsid w:val="00B8671D"/>
    <w:rsid w:val="00B8682F"/>
    <w:rsid w:val="00B878BD"/>
    <w:rsid w:val="00B87D15"/>
    <w:rsid w:val="00B9040A"/>
    <w:rsid w:val="00B90FA7"/>
    <w:rsid w:val="00B9105D"/>
    <w:rsid w:val="00B91B93"/>
    <w:rsid w:val="00B91F7A"/>
    <w:rsid w:val="00B920EB"/>
    <w:rsid w:val="00B9222D"/>
    <w:rsid w:val="00B92CA3"/>
    <w:rsid w:val="00B92E37"/>
    <w:rsid w:val="00B93A18"/>
    <w:rsid w:val="00B94711"/>
    <w:rsid w:val="00B94725"/>
    <w:rsid w:val="00B94BB8"/>
    <w:rsid w:val="00B94D06"/>
    <w:rsid w:val="00B94D9F"/>
    <w:rsid w:val="00B9501C"/>
    <w:rsid w:val="00B95A81"/>
    <w:rsid w:val="00B95B73"/>
    <w:rsid w:val="00B95DB7"/>
    <w:rsid w:val="00B95F85"/>
    <w:rsid w:val="00B974EE"/>
    <w:rsid w:val="00B977CB"/>
    <w:rsid w:val="00B97937"/>
    <w:rsid w:val="00B97A43"/>
    <w:rsid w:val="00B97B3B"/>
    <w:rsid w:val="00BA0C40"/>
    <w:rsid w:val="00BA0F0F"/>
    <w:rsid w:val="00BA1161"/>
    <w:rsid w:val="00BA131C"/>
    <w:rsid w:val="00BA1998"/>
    <w:rsid w:val="00BA1EC7"/>
    <w:rsid w:val="00BA213C"/>
    <w:rsid w:val="00BA352F"/>
    <w:rsid w:val="00BA3A11"/>
    <w:rsid w:val="00BA3DEE"/>
    <w:rsid w:val="00BA3E17"/>
    <w:rsid w:val="00BA46B2"/>
    <w:rsid w:val="00BA599A"/>
    <w:rsid w:val="00BA6675"/>
    <w:rsid w:val="00BA680F"/>
    <w:rsid w:val="00BA6A9B"/>
    <w:rsid w:val="00BA7089"/>
    <w:rsid w:val="00BA7EC8"/>
    <w:rsid w:val="00BB03B3"/>
    <w:rsid w:val="00BB0B35"/>
    <w:rsid w:val="00BB24B2"/>
    <w:rsid w:val="00BB42AC"/>
    <w:rsid w:val="00BB4BB0"/>
    <w:rsid w:val="00BB50FE"/>
    <w:rsid w:val="00BB5873"/>
    <w:rsid w:val="00BB58E9"/>
    <w:rsid w:val="00BB5B63"/>
    <w:rsid w:val="00BB61B2"/>
    <w:rsid w:val="00BB6529"/>
    <w:rsid w:val="00BB6558"/>
    <w:rsid w:val="00BB6E8C"/>
    <w:rsid w:val="00BB6F68"/>
    <w:rsid w:val="00BB78F2"/>
    <w:rsid w:val="00BC0251"/>
    <w:rsid w:val="00BC05EA"/>
    <w:rsid w:val="00BC08E8"/>
    <w:rsid w:val="00BC208C"/>
    <w:rsid w:val="00BC2DE5"/>
    <w:rsid w:val="00BC3050"/>
    <w:rsid w:val="00BC30A6"/>
    <w:rsid w:val="00BC3707"/>
    <w:rsid w:val="00BC3E70"/>
    <w:rsid w:val="00BC465C"/>
    <w:rsid w:val="00BC4871"/>
    <w:rsid w:val="00BC4936"/>
    <w:rsid w:val="00BC49F4"/>
    <w:rsid w:val="00BC49FB"/>
    <w:rsid w:val="00BC4BCF"/>
    <w:rsid w:val="00BC4C0A"/>
    <w:rsid w:val="00BC502E"/>
    <w:rsid w:val="00BC52D0"/>
    <w:rsid w:val="00BC59EE"/>
    <w:rsid w:val="00BC6028"/>
    <w:rsid w:val="00BC60A6"/>
    <w:rsid w:val="00BC6500"/>
    <w:rsid w:val="00BC6C2C"/>
    <w:rsid w:val="00BC7550"/>
    <w:rsid w:val="00BC7651"/>
    <w:rsid w:val="00BC77E6"/>
    <w:rsid w:val="00BD0457"/>
    <w:rsid w:val="00BD0BED"/>
    <w:rsid w:val="00BD15AB"/>
    <w:rsid w:val="00BD15AC"/>
    <w:rsid w:val="00BD1CF5"/>
    <w:rsid w:val="00BD1EA6"/>
    <w:rsid w:val="00BD3593"/>
    <w:rsid w:val="00BD4120"/>
    <w:rsid w:val="00BD43E7"/>
    <w:rsid w:val="00BD45AA"/>
    <w:rsid w:val="00BD49F0"/>
    <w:rsid w:val="00BD4AA1"/>
    <w:rsid w:val="00BD512C"/>
    <w:rsid w:val="00BD55CC"/>
    <w:rsid w:val="00BD5910"/>
    <w:rsid w:val="00BD5DDB"/>
    <w:rsid w:val="00BD6265"/>
    <w:rsid w:val="00BD6359"/>
    <w:rsid w:val="00BD6712"/>
    <w:rsid w:val="00BD684F"/>
    <w:rsid w:val="00BD77C9"/>
    <w:rsid w:val="00BE0D65"/>
    <w:rsid w:val="00BE1434"/>
    <w:rsid w:val="00BE17D1"/>
    <w:rsid w:val="00BE25FF"/>
    <w:rsid w:val="00BE2A16"/>
    <w:rsid w:val="00BE4089"/>
    <w:rsid w:val="00BE40F9"/>
    <w:rsid w:val="00BE4453"/>
    <w:rsid w:val="00BE4752"/>
    <w:rsid w:val="00BE4894"/>
    <w:rsid w:val="00BE4AEE"/>
    <w:rsid w:val="00BE4E17"/>
    <w:rsid w:val="00BE4F0A"/>
    <w:rsid w:val="00BE5B56"/>
    <w:rsid w:val="00BE5F7F"/>
    <w:rsid w:val="00BE62BD"/>
    <w:rsid w:val="00BE63C6"/>
    <w:rsid w:val="00BE69AE"/>
    <w:rsid w:val="00BE6BC4"/>
    <w:rsid w:val="00BE73C7"/>
    <w:rsid w:val="00BE7C5D"/>
    <w:rsid w:val="00BF01E8"/>
    <w:rsid w:val="00BF0490"/>
    <w:rsid w:val="00BF05B8"/>
    <w:rsid w:val="00BF0A42"/>
    <w:rsid w:val="00BF0BA7"/>
    <w:rsid w:val="00BF0C28"/>
    <w:rsid w:val="00BF128E"/>
    <w:rsid w:val="00BF16F3"/>
    <w:rsid w:val="00BF19A4"/>
    <w:rsid w:val="00BF1A5C"/>
    <w:rsid w:val="00BF21AC"/>
    <w:rsid w:val="00BF2291"/>
    <w:rsid w:val="00BF2331"/>
    <w:rsid w:val="00BF24F3"/>
    <w:rsid w:val="00BF2756"/>
    <w:rsid w:val="00BF289D"/>
    <w:rsid w:val="00BF334A"/>
    <w:rsid w:val="00BF39BC"/>
    <w:rsid w:val="00BF3BE8"/>
    <w:rsid w:val="00BF4907"/>
    <w:rsid w:val="00BF55C7"/>
    <w:rsid w:val="00BF5EB5"/>
    <w:rsid w:val="00BF5F5F"/>
    <w:rsid w:val="00BF6A27"/>
    <w:rsid w:val="00BF6E12"/>
    <w:rsid w:val="00BF7532"/>
    <w:rsid w:val="00BF7B06"/>
    <w:rsid w:val="00BF7B6D"/>
    <w:rsid w:val="00C00A3E"/>
    <w:rsid w:val="00C0107B"/>
    <w:rsid w:val="00C012A0"/>
    <w:rsid w:val="00C01A14"/>
    <w:rsid w:val="00C020A2"/>
    <w:rsid w:val="00C022F6"/>
    <w:rsid w:val="00C02457"/>
    <w:rsid w:val="00C02499"/>
    <w:rsid w:val="00C0297F"/>
    <w:rsid w:val="00C02B3B"/>
    <w:rsid w:val="00C02C05"/>
    <w:rsid w:val="00C038AD"/>
    <w:rsid w:val="00C045A0"/>
    <w:rsid w:val="00C04A81"/>
    <w:rsid w:val="00C04F95"/>
    <w:rsid w:val="00C05D42"/>
    <w:rsid w:val="00C0635E"/>
    <w:rsid w:val="00C0653A"/>
    <w:rsid w:val="00C06576"/>
    <w:rsid w:val="00C06854"/>
    <w:rsid w:val="00C069F6"/>
    <w:rsid w:val="00C079F9"/>
    <w:rsid w:val="00C07C6D"/>
    <w:rsid w:val="00C10167"/>
    <w:rsid w:val="00C10576"/>
    <w:rsid w:val="00C110B8"/>
    <w:rsid w:val="00C11843"/>
    <w:rsid w:val="00C11C53"/>
    <w:rsid w:val="00C11C6F"/>
    <w:rsid w:val="00C12517"/>
    <w:rsid w:val="00C1260C"/>
    <w:rsid w:val="00C127AF"/>
    <w:rsid w:val="00C12AD2"/>
    <w:rsid w:val="00C12C11"/>
    <w:rsid w:val="00C13573"/>
    <w:rsid w:val="00C13986"/>
    <w:rsid w:val="00C14265"/>
    <w:rsid w:val="00C14640"/>
    <w:rsid w:val="00C146D5"/>
    <w:rsid w:val="00C15502"/>
    <w:rsid w:val="00C15F4D"/>
    <w:rsid w:val="00C16501"/>
    <w:rsid w:val="00C16CFB"/>
    <w:rsid w:val="00C17108"/>
    <w:rsid w:val="00C17141"/>
    <w:rsid w:val="00C1726A"/>
    <w:rsid w:val="00C17F33"/>
    <w:rsid w:val="00C20022"/>
    <w:rsid w:val="00C20D66"/>
    <w:rsid w:val="00C20EC5"/>
    <w:rsid w:val="00C221FE"/>
    <w:rsid w:val="00C22AE9"/>
    <w:rsid w:val="00C238D8"/>
    <w:rsid w:val="00C24965"/>
    <w:rsid w:val="00C24A8C"/>
    <w:rsid w:val="00C24EAA"/>
    <w:rsid w:val="00C24F69"/>
    <w:rsid w:val="00C257C4"/>
    <w:rsid w:val="00C25E91"/>
    <w:rsid w:val="00C25ECA"/>
    <w:rsid w:val="00C265C3"/>
    <w:rsid w:val="00C270B3"/>
    <w:rsid w:val="00C2794A"/>
    <w:rsid w:val="00C27E5B"/>
    <w:rsid w:val="00C30A95"/>
    <w:rsid w:val="00C30D42"/>
    <w:rsid w:val="00C310A2"/>
    <w:rsid w:val="00C31863"/>
    <w:rsid w:val="00C3273B"/>
    <w:rsid w:val="00C32839"/>
    <w:rsid w:val="00C32878"/>
    <w:rsid w:val="00C32C13"/>
    <w:rsid w:val="00C33AAF"/>
    <w:rsid w:val="00C34C6E"/>
    <w:rsid w:val="00C3581C"/>
    <w:rsid w:val="00C35FAA"/>
    <w:rsid w:val="00C36255"/>
    <w:rsid w:val="00C368C9"/>
    <w:rsid w:val="00C36BF6"/>
    <w:rsid w:val="00C370A7"/>
    <w:rsid w:val="00C37368"/>
    <w:rsid w:val="00C379FE"/>
    <w:rsid w:val="00C40506"/>
    <w:rsid w:val="00C40BDA"/>
    <w:rsid w:val="00C4110E"/>
    <w:rsid w:val="00C41C5E"/>
    <w:rsid w:val="00C42436"/>
    <w:rsid w:val="00C42C53"/>
    <w:rsid w:val="00C43375"/>
    <w:rsid w:val="00C435B1"/>
    <w:rsid w:val="00C43A0C"/>
    <w:rsid w:val="00C44862"/>
    <w:rsid w:val="00C449DF"/>
    <w:rsid w:val="00C44AD1"/>
    <w:rsid w:val="00C44EE5"/>
    <w:rsid w:val="00C4505B"/>
    <w:rsid w:val="00C45390"/>
    <w:rsid w:val="00C454A5"/>
    <w:rsid w:val="00C459C9"/>
    <w:rsid w:val="00C45A6B"/>
    <w:rsid w:val="00C46089"/>
    <w:rsid w:val="00C4625F"/>
    <w:rsid w:val="00C46630"/>
    <w:rsid w:val="00C46753"/>
    <w:rsid w:val="00C468EB"/>
    <w:rsid w:val="00C47BD6"/>
    <w:rsid w:val="00C47BDE"/>
    <w:rsid w:val="00C50020"/>
    <w:rsid w:val="00C50895"/>
    <w:rsid w:val="00C51526"/>
    <w:rsid w:val="00C51CFC"/>
    <w:rsid w:val="00C52079"/>
    <w:rsid w:val="00C5382E"/>
    <w:rsid w:val="00C542B1"/>
    <w:rsid w:val="00C55498"/>
    <w:rsid w:val="00C55561"/>
    <w:rsid w:val="00C557E6"/>
    <w:rsid w:val="00C55864"/>
    <w:rsid w:val="00C56236"/>
    <w:rsid w:val="00C56880"/>
    <w:rsid w:val="00C57336"/>
    <w:rsid w:val="00C57BFE"/>
    <w:rsid w:val="00C60753"/>
    <w:rsid w:val="00C60974"/>
    <w:rsid w:val="00C609CF"/>
    <w:rsid w:val="00C617CD"/>
    <w:rsid w:val="00C621BE"/>
    <w:rsid w:val="00C62410"/>
    <w:rsid w:val="00C62950"/>
    <w:rsid w:val="00C62A24"/>
    <w:rsid w:val="00C62BC4"/>
    <w:rsid w:val="00C6337B"/>
    <w:rsid w:val="00C63392"/>
    <w:rsid w:val="00C6402F"/>
    <w:rsid w:val="00C6421F"/>
    <w:rsid w:val="00C64571"/>
    <w:rsid w:val="00C64765"/>
    <w:rsid w:val="00C64AD1"/>
    <w:rsid w:val="00C64CE6"/>
    <w:rsid w:val="00C653A7"/>
    <w:rsid w:val="00C657FB"/>
    <w:rsid w:val="00C65EE3"/>
    <w:rsid w:val="00C6699B"/>
    <w:rsid w:val="00C6716B"/>
    <w:rsid w:val="00C67350"/>
    <w:rsid w:val="00C70320"/>
    <w:rsid w:val="00C70542"/>
    <w:rsid w:val="00C70B5D"/>
    <w:rsid w:val="00C71257"/>
    <w:rsid w:val="00C72306"/>
    <w:rsid w:val="00C72E95"/>
    <w:rsid w:val="00C7306C"/>
    <w:rsid w:val="00C73089"/>
    <w:rsid w:val="00C73BEC"/>
    <w:rsid w:val="00C73C6B"/>
    <w:rsid w:val="00C73D85"/>
    <w:rsid w:val="00C74000"/>
    <w:rsid w:val="00C740FB"/>
    <w:rsid w:val="00C7424A"/>
    <w:rsid w:val="00C742AB"/>
    <w:rsid w:val="00C74FB0"/>
    <w:rsid w:val="00C75A84"/>
    <w:rsid w:val="00C75F38"/>
    <w:rsid w:val="00C76606"/>
    <w:rsid w:val="00C76AA0"/>
    <w:rsid w:val="00C77292"/>
    <w:rsid w:val="00C778C5"/>
    <w:rsid w:val="00C8027D"/>
    <w:rsid w:val="00C80908"/>
    <w:rsid w:val="00C80CC3"/>
    <w:rsid w:val="00C81348"/>
    <w:rsid w:val="00C81581"/>
    <w:rsid w:val="00C81857"/>
    <w:rsid w:val="00C82357"/>
    <w:rsid w:val="00C823F8"/>
    <w:rsid w:val="00C82A99"/>
    <w:rsid w:val="00C82B5D"/>
    <w:rsid w:val="00C83611"/>
    <w:rsid w:val="00C837BF"/>
    <w:rsid w:val="00C83DDC"/>
    <w:rsid w:val="00C83E90"/>
    <w:rsid w:val="00C84B61"/>
    <w:rsid w:val="00C84DF7"/>
    <w:rsid w:val="00C85933"/>
    <w:rsid w:val="00C85E7E"/>
    <w:rsid w:val="00C8653A"/>
    <w:rsid w:val="00C87181"/>
    <w:rsid w:val="00C906E8"/>
    <w:rsid w:val="00C90B98"/>
    <w:rsid w:val="00C90BAF"/>
    <w:rsid w:val="00C91153"/>
    <w:rsid w:val="00C919E7"/>
    <w:rsid w:val="00C92472"/>
    <w:rsid w:val="00C9264A"/>
    <w:rsid w:val="00C92AB2"/>
    <w:rsid w:val="00C9326F"/>
    <w:rsid w:val="00C93E9B"/>
    <w:rsid w:val="00C94186"/>
    <w:rsid w:val="00C9456A"/>
    <w:rsid w:val="00C95BB4"/>
    <w:rsid w:val="00C9627C"/>
    <w:rsid w:val="00C96445"/>
    <w:rsid w:val="00C96890"/>
    <w:rsid w:val="00C96E14"/>
    <w:rsid w:val="00C970F4"/>
    <w:rsid w:val="00C972B2"/>
    <w:rsid w:val="00C97924"/>
    <w:rsid w:val="00CA013D"/>
    <w:rsid w:val="00CA0819"/>
    <w:rsid w:val="00CA0BF5"/>
    <w:rsid w:val="00CA12CD"/>
    <w:rsid w:val="00CA12E6"/>
    <w:rsid w:val="00CA13A6"/>
    <w:rsid w:val="00CA182A"/>
    <w:rsid w:val="00CA186F"/>
    <w:rsid w:val="00CA1D74"/>
    <w:rsid w:val="00CA2DFD"/>
    <w:rsid w:val="00CA3150"/>
    <w:rsid w:val="00CA3DAE"/>
    <w:rsid w:val="00CA43E3"/>
    <w:rsid w:val="00CA45D0"/>
    <w:rsid w:val="00CA5160"/>
    <w:rsid w:val="00CA53CC"/>
    <w:rsid w:val="00CA6104"/>
    <w:rsid w:val="00CA6566"/>
    <w:rsid w:val="00CA65B5"/>
    <w:rsid w:val="00CA675D"/>
    <w:rsid w:val="00CA69AA"/>
    <w:rsid w:val="00CA703F"/>
    <w:rsid w:val="00CA736B"/>
    <w:rsid w:val="00CA7702"/>
    <w:rsid w:val="00CA7BC4"/>
    <w:rsid w:val="00CA7CA9"/>
    <w:rsid w:val="00CA7F9D"/>
    <w:rsid w:val="00CB0048"/>
    <w:rsid w:val="00CB0C42"/>
    <w:rsid w:val="00CB1385"/>
    <w:rsid w:val="00CB14AF"/>
    <w:rsid w:val="00CB1F9A"/>
    <w:rsid w:val="00CB21FF"/>
    <w:rsid w:val="00CB23ED"/>
    <w:rsid w:val="00CB2B6F"/>
    <w:rsid w:val="00CB3173"/>
    <w:rsid w:val="00CB3414"/>
    <w:rsid w:val="00CB35F2"/>
    <w:rsid w:val="00CB382F"/>
    <w:rsid w:val="00CB4366"/>
    <w:rsid w:val="00CB4412"/>
    <w:rsid w:val="00CB44E8"/>
    <w:rsid w:val="00CB46E8"/>
    <w:rsid w:val="00CB4733"/>
    <w:rsid w:val="00CB4E8E"/>
    <w:rsid w:val="00CB535D"/>
    <w:rsid w:val="00CB5A8B"/>
    <w:rsid w:val="00CB612C"/>
    <w:rsid w:val="00CB6140"/>
    <w:rsid w:val="00CB616E"/>
    <w:rsid w:val="00CB620F"/>
    <w:rsid w:val="00CB69EF"/>
    <w:rsid w:val="00CB7C95"/>
    <w:rsid w:val="00CC0450"/>
    <w:rsid w:val="00CC080A"/>
    <w:rsid w:val="00CC0C97"/>
    <w:rsid w:val="00CC14FB"/>
    <w:rsid w:val="00CC1B75"/>
    <w:rsid w:val="00CC20CF"/>
    <w:rsid w:val="00CC2384"/>
    <w:rsid w:val="00CC2FAD"/>
    <w:rsid w:val="00CC32BD"/>
    <w:rsid w:val="00CC3494"/>
    <w:rsid w:val="00CC3530"/>
    <w:rsid w:val="00CC3A33"/>
    <w:rsid w:val="00CC3C3C"/>
    <w:rsid w:val="00CC40DB"/>
    <w:rsid w:val="00CC42CB"/>
    <w:rsid w:val="00CC4675"/>
    <w:rsid w:val="00CC4B54"/>
    <w:rsid w:val="00CC502A"/>
    <w:rsid w:val="00CC5199"/>
    <w:rsid w:val="00CC5B27"/>
    <w:rsid w:val="00CC5C39"/>
    <w:rsid w:val="00CC6160"/>
    <w:rsid w:val="00CC6168"/>
    <w:rsid w:val="00CC642D"/>
    <w:rsid w:val="00CC723C"/>
    <w:rsid w:val="00CC7611"/>
    <w:rsid w:val="00CC7F11"/>
    <w:rsid w:val="00CD0114"/>
    <w:rsid w:val="00CD08A0"/>
    <w:rsid w:val="00CD0E1E"/>
    <w:rsid w:val="00CD12C5"/>
    <w:rsid w:val="00CD1406"/>
    <w:rsid w:val="00CD1967"/>
    <w:rsid w:val="00CD1E03"/>
    <w:rsid w:val="00CD1FB8"/>
    <w:rsid w:val="00CD2ACA"/>
    <w:rsid w:val="00CD2CF6"/>
    <w:rsid w:val="00CD31B7"/>
    <w:rsid w:val="00CD3F67"/>
    <w:rsid w:val="00CD41A3"/>
    <w:rsid w:val="00CD48B3"/>
    <w:rsid w:val="00CD4CEB"/>
    <w:rsid w:val="00CD5BCA"/>
    <w:rsid w:val="00CD5C03"/>
    <w:rsid w:val="00CD63A7"/>
    <w:rsid w:val="00CD63E7"/>
    <w:rsid w:val="00CD66E4"/>
    <w:rsid w:val="00CD67B8"/>
    <w:rsid w:val="00CD6ADD"/>
    <w:rsid w:val="00CD6D76"/>
    <w:rsid w:val="00CD7A03"/>
    <w:rsid w:val="00CD7BFF"/>
    <w:rsid w:val="00CE0571"/>
    <w:rsid w:val="00CE07B3"/>
    <w:rsid w:val="00CE0B04"/>
    <w:rsid w:val="00CE0D1B"/>
    <w:rsid w:val="00CE0DA2"/>
    <w:rsid w:val="00CE0F8D"/>
    <w:rsid w:val="00CE1395"/>
    <w:rsid w:val="00CE281C"/>
    <w:rsid w:val="00CE2AEA"/>
    <w:rsid w:val="00CE316A"/>
    <w:rsid w:val="00CE361A"/>
    <w:rsid w:val="00CE3A52"/>
    <w:rsid w:val="00CE3E3B"/>
    <w:rsid w:val="00CE43D7"/>
    <w:rsid w:val="00CE49D6"/>
    <w:rsid w:val="00CE4F3F"/>
    <w:rsid w:val="00CE6D0B"/>
    <w:rsid w:val="00CE706B"/>
    <w:rsid w:val="00CE7469"/>
    <w:rsid w:val="00CE7775"/>
    <w:rsid w:val="00CE7A98"/>
    <w:rsid w:val="00CE7D93"/>
    <w:rsid w:val="00CF031C"/>
    <w:rsid w:val="00CF06A3"/>
    <w:rsid w:val="00CF0AA1"/>
    <w:rsid w:val="00CF0E1B"/>
    <w:rsid w:val="00CF10DA"/>
    <w:rsid w:val="00CF173C"/>
    <w:rsid w:val="00CF18B3"/>
    <w:rsid w:val="00CF20B7"/>
    <w:rsid w:val="00CF2287"/>
    <w:rsid w:val="00CF2860"/>
    <w:rsid w:val="00CF28D2"/>
    <w:rsid w:val="00CF33C3"/>
    <w:rsid w:val="00CF3454"/>
    <w:rsid w:val="00CF4395"/>
    <w:rsid w:val="00CF43E2"/>
    <w:rsid w:val="00CF4FD5"/>
    <w:rsid w:val="00CF6082"/>
    <w:rsid w:val="00CF60A6"/>
    <w:rsid w:val="00CF639E"/>
    <w:rsid w:val="00CF6845"/>
    <w:rsid w:val="00CF782A"/>
    <w:rsid w:val="00D001D0"/>
    <w:rsid w:val="00D00402"/>
    <w:rsid w:val="00D007D1"/>
    <w:rsid w:val="00D00ED5"/>
    <w:rsid w:val="00D01117"/>
    <w:rsid w:val="00D012EB"/>
    <w:rsid w:val="00D018EC"/>
    <w:rsid w:val="00D01F3F"/>
    <w:rsid w:val="00D02BF3"/>
    <w:rsid w:val="00D02C1D"/>
    <w:rsid w:val="00D02D51"/>
    <w:rsid w:val="00D03651"/>
    <w:rsid w:val="00D0433B"/>
    <w:rsid w:val="00D04F90"/>
    <w:rsid w:val="00D05940"/>
    <w:rsid w:val="00D05C85"/>
    <w:rsid w:val="00D05E2F"/>
    <w:rsid w:val="00D05E7A"/>
    <w:rsid w:val="00D061BE"/>
    <w:rsid w:val="00D067C3"/>
    <w:rsid w:val="00D07435"/>
    <w:rsid w:val="00D07B22"/>
    <w:rsid w:val="00D10753"/>
    <w:rsid w:val="00D10931"/>
    <w:rsid w:val="00D11116"/>
    <w:rsid w:val="00D11941"/>
    <w:rsid w:val="00D11B08"/>
    <w:rsid w:val="00D12038"/>
    <w:rsid w:val="00D129E7"/>
    <w:rsid w:val="00D12DF3"/>
    <w:rsid w:val="00D134C3"/>
    <w:rsid w:val="00D1383C"/>
    <w:rsid w:val="00D13870"/>
    <w:rsid w:val="00D138B8"/>
    <w:rsid w:val="00D13903"/>
    <w:rsid w:val="00D13C47"/>
    <w:rsid w:val="00D141F2"/>
    <w:rsid w:val="00D1453E"/>
    <w:rsid w:val="00D14D44"/>
    <w:rsid w:val="00D14F83"/>
    <w:rsid w:val="00D153A4"/>
    <w:rsid w:val="00D156E0"/>
    <w:rsid w:val="00D160FE"/>
    <w:rsid w:val="00D1632A"/>
    <w:rsid w:val="00D1635E"/>
    <w:rsid w:val="00D163FD"/>
    <w:rsid w:val="00D16468"/>
    <w:rsid w:val="00D16A51"/>
    <w:rsid w:val="00D17219"/>
    <w:rsid w:val="00D1773E"/>
    <w:rsid w:val="00D17EFB"/>
    <w:rsid w:val="00D17F5C"/>
    <w:rsid w:val="00D20489"/>
    <w:rsid w:val="00D2050A"/>
    <w:rsid w:val="00D205D5"/>
    <w:rsid w:val="00D206A9"/>
    <w:rsid w:val="00D217A8"/>
    <w:rsid w:val="00D21BD1"/>
    <w:rsid w:val="00D21C93"/>
    <w:rsid w:val="00D21F1A"/>
    <w:rsid w:val="00D21FB0"/>
    <w:rsid w:val="00D22160"/>
    <w:rsid w:val="00D2242D"/>
    <w:rsid w:val="00D227B2"/>
    <w:rsid w:val="00D231AF"/>
    <w:rsid w:val="00D238EB"/>
    <w:rsid w:val="00D243CE"/>
    <w:rsid w:val="00D2484C"/>
    <w:rsid w:val="00D25223"/>
    <w:rsid w:val="00D25AEC"/>
    <w:rsid w:val="00D25F22"/>
    <w:rsid w:val="00D26172"/>
    <w:rsid w:val="00D2638E"/>
    <w:rsid w:val="00D26729"/>
    <w:rsid w:val="00D26EA6"/>
    <w:rsid w:val="00D300DA"/>
    <w:rsid w:val="00D306B0"/>
    <w:rsid w:val="00D30DE3"/>
    <w:rsid w:val="00D30E08"/>
    <w:rsid w:val="00D310F1"/>
    <w:rsid w:val="00D3118C"/>
    <w:rsid w:val="00D312FB"/>
    <w:rsid w:val="00D31470"/>
    <w:rsid w:val="00D314D6"/>
    <w:rsid w:val="00D31BE0"/>
    <w:rsid w:val="00D3209F"/>
    <w:rsid w:val="00D322B6"/>
    <w:rsid w:val="00D32356"/>
    <w:rsid w:val="00D323BF"/>
    <w:rsid w:val="00D32EED"/>
    <w:rsid w:val="00D33481"/>
    <w:rsid w:val="00D336D5"/>
    <w:rsid w:val="00D340A3"/>
    <w:rsid w:val="00D3458E"/>
    <w:rsid w:val="00D34767"/>
    <w:rsid w:val="00D348B7"/>
    <w:rsid w:val="00D34C36"/>
    <w:rsid w:val="00D34E3B"/>
    <w:rsid w:val="00D35B60"/>
    <w:rsid w:val="00D35FF5"/>
    <w:rsid w:val="00D360F0"/>
    <w:rsid w:val="00D37411"/>
    <w:rsid w:val="00D3748E"/>
    <w:rsid w:val="00D3782D"/>
    <w:rsid w:val="00D37E25"/>
    <w:rsid w:val="00D37FEE"/>
    <w:rsid w:val="00D400AF"/>
    <w:rsid w:val="00D402B1"/>
    <w:rsid w:val="00D4155E"/>
    <w:rsid w:val="00D4181B"/>
    <w:rsid w:val="00D41964"/>
    <w:rsid w:val="00D41C82"/>
    <w:rsid w:val="00D41C8D"/>
    <w:rsid w:val="00D4221B"/>
    <w:rsid w:val="00D42562"/>
    <w:rsid w:val="00D42613"/>
    <w:rsid w:val="00D42B98"/>
    <w:rsid w:val="00D42EB1"/>
    <w:rsid w:val="00D42F31"/>
    <w:rsid w:val="00D431B5"/>
    <w:rsid w:val="00D432B0"/>
    <w:rsid w:val="00D437C8"/>
    <w:rsid w:val="00D43AC6"/>
    <w:rsid w:val="00D4421D"/>
    <w:rsid w:val="00D4469D"/>
    <w:rsid w:val="00D4481B"/>
    <w:rsid w:val="00D44869"/>
    <w:rsid w:val="00D46353"/>
    <w:rsid w:val="00D46517"/>
    <w:rsid w:val="00D46586"/>
    <w:rsid w:val="00D4658A"/>
    <w:rsid w:val="00D46E83"/>
    <w:rsid w:val="00D4772B"/>
    <w:rsid w:val="00D47B01"/>
    <w:rsid w:val="00D47B79"/>
    <w:rsid w:val="00D50022"/>
    <w:rsid w:val="00D50296"/>
    <w:rsid w:val="00D50348"/>
    <w:rsid w:val="00D50407"/>
    <w:rsid w:val="00D50909"/>
    <w:rsid w:val="00D50BA0"/>
    <w:rsid w:val="00D50C5B"/>
    <w:rsid w:val="00D510C8"/>
    <w:rsid w:val="00D5141C"/>
    <w:rsid w:val="00D51479"/>
    <w:rsid w:val="00D517F5"/>
    <w:rsid w:val="00D5246C"/>
    <w:rsid w:val="00D52F58"/>
    <w:rsid w:val="00D52FE1"/>
    <w:rsid w:val="00D5347B"/>
    <w:rsid w:val="00D53A24"/>
    <w:rsid w:val="00D53EE5"/>
    <w:rsid w:val="00D53EFC"/>
    <w:rsid w:val="00D53F4D"/>
    <w:rsid w:val="00D54098"/>
    <w:rsid w:val="00D54761"/>
    <w:rsid w:val="00D54771"/>
    <w:rsid w:val="00D54CA4"/>
    <w:rsid w:val="00D5548D"/>
    <w:rsid w:val="00D55BE7"/>
    <w:rsid w:val="00D55E61"/>
    <w:rsid w:val="00D567F7"/>
    <w:rsid w:val="00D569B7"/>
    <w:rsid w:val="00D56C0B"/>
    <w:rsid w:val="00D56D0D"/>
    <w:rsid w:val="00D57753"/>
    <w:rsid w:val="00D577B1"/>
    <w:rsid w:val="00D57A1C"/>
    <w:rsid w:val="00D6055A"/>
    <w:rsid w:val="00D60624"/>
    <w:rsid w:val="00D6067A"/>
    <w:rsid w:val="00D60801"/>
    <w:rsid w:val="00D609AB"/>
    <w:rsid w:val="00D61027"/>
    <w:rsid w:val="00D61369"/>
    <w:rsid w:val="00D6170D"/>
    <w:rsid w:val="00D6174A"/>
    <w:rsid w:val="00D61BDA"/>
    <w:rsid w:val="00D61D89"/>
    <w:rsid w:val="00D6270C"/>
    <w:rsid w:val="00D62904"/>
    <w:rsid w:val="00D6349F"/>
    <w:rsid w:val="00D634E6"/>
    <w:rsid w:val="00D64BF3"/>
    <w:rsid w:val="00D64FDB"/>
    <w:rsid w:val="00D64FF7"/>
    <w:rsid w:val="00D653E0"/>
    <w:rsid w:val="00D65E00"/>
    <w:rsid w:val="00D66485"/>
    <w:rsid w:val="00D66A15"/>
    <w:rsid w:val="00D66CAA"/>
    <w:rsid w:val="00D66CFB"/>
    <w:rsid w:val="00D66E70"/>
    <w:rsid w:val="00D6717B"/>
    <w:rsid w:val="00D67437"/>
    <w:rsid w:val="00D677D2"/>
    <w:rsid w:val="00D70219"/>
    <w:rsid w:val="00D70618"/>
    <w:rsid w:val="00D70642"/>
    <w:rsid w:val="00D71DED"/>
    <w:rsid w:val="00D71E60"/>
    <w:rsid w:val="00D72A56"/>
    <w:rsid w:val="00D7325F"/>
    <w:rsid w:val="00D73D89"/>
    <w:rsid w:val="00D73FB6"/>
    <w:rsid w:val="00D73FEC"/>
    <w:rsid w:val="00D7539F"/>
    <w:rsid w:val="00D75F0C"/>
    <w:rsid w:val="00D75F1A"/>
    <w:rsid w:val="00D768C4"/>
    <w:rsid w:val="00D76B70"/>
    <w:rsid w:val="00D7768C"/>
    <w:rsid w:val="00D802DC"/>
    <w:rsid w:val="00D807DB"/>
    <w:rsid w:val="00D80B1E"/>
    <w:rsid w:val="00D80BB5"/>
    <w:rsid w:val="00D80DC2"/>
    <w:rsid w:val="00D810FD"/>
    <w:rsid w:val="00D81223"/>
    <w:rsid w:val="00D8153B"/>
    <w:rsid w:val="00D81663"/>
    <w:rsid w:val="00D8167A"/>
    <w:rsid w:val="00D817EE"/>
    <w:rsid w:val="00D821AF"/>
    <w:rsid w:val="00D82274"/>
    <w:rsid w:val="00D82BA1"/>
    <w:rsid w:val="00D8417B"/>
    <w:rsid w:val="00D845AE"/>
    <w:rsid w:val="00D8499E"/>
    <w:rsid w:val="00D851F3"/>
    <w:rsid w:val="00D85794"/>
    <w:rsid w:val="00D8619C"/>
    <w:rsid w:val="00D87C93"/>
    <w:rsid w:val="00D87DC4"/>
    <w:rsid w:val="00D907AD"/>
    <w:rsid w:val="00D90D49"/>
    <w:rsid w:val="00D91184"/>
    <w:rsid w:val="00D91641"/>
    <w:rsid w:val="00D91661"/>
    <w:rsid w:val="00D91945"/>
    <w:rsid w:val="00D91CE5"/>
    <w:rsid w:val="00D92527"/>
    <w:rsid w:val="00D92788"/>
    <w:rsid w:val="00D9278C"/>
    <w:rsid w:val="00D92978"/>
    <w:rsid w:val="00D92A21"/>
    <w:rsid w:val="00D92D2D"/>
    <w:rsid w:val="00D937B4"/>
    <w:rsid w:val="00D93DA1"/>
    <w:rsid w:val="00D949C1"/>
    <w:rsid w:val="00D94F32"/>
    <w:rsid w:val="00D94F48"/>
    <w:rsid w:val="00D94FE5"/>
    <w:rsid w:val="00D95035"/>
    <w:rsid w:val="00D9577B"/>
    <w:rsid w:val="00D95CB7"/>
    <w:rsid w:val="00D9780C"/>
    <w:rsid w:val="00DA0C08"/>
    <w:rsid w:val="00DA178A"/>
    <w:rsid w:val="00DA1B33"/>
    <w:rsid w:val="00DA1FB1"/>
    <w:rsid w:val="00DA2086"/>
    <w:rsid w:val="00DA20A2"/>
    <w:rsid w:val="00DA23AB"/>
    <w:rsid w:val="00DA2570"/>
    <w:rsid w:val="00DA2B0B"/>
    <w:rsid w:val="00DA3292"/>
    <w:rsid w:val="00DA32E1"/>
    <w:rsid w:val="00DA47ED"/>
    <w:rsid w:val="00DA4ABF"/>
    <w:rsid w:val="00DA4D59"/>
    <w:rsid w:val="00DA4E7F"/>
    <w:rsid w:val="00DA56CA"/>
    <w:rsid w:val="00DA5E2F"/>
    <w:rsid w:val="00DA66B1"/>
    <w:rsid w:val="00DA7F49"/>
    <w:rsid w:val="00DB062B"/>
    <w:rsid w:val="00DB11B0"/>
    <w:rsid w:val="00DB153E"/>
    <w:rsid w:val="00DB24C3"/>
    <w:rsid w:val="00DB25E6"/>
    <w:rsid w:val="00DB27F7"/>
    <w:rsid w:val="00DB2AFE"/>
    <w:rsid w:val="00DB3347"/>
    <w:rsid w:val="00DB3506"/>
    <w:rsid w:val="00DB378D"/>
    <w:rsid w:val="00DB3CA0"/>
    <w:rsid w:val="00DB42F3"/>
    <w:rsid w:val="00DB44EF"/>
    <w:rsid w:val="00DB457D"/>
    <w:rsid w:val="00DB4726"/>
    <w:rsid w:val="00DB4EA3"/>
    <w:rsid w:val="00DB597C"/>
    <w:rsid w:val="00DB5A5E"/>
    <w:rsid w:val="00DB5A60"/>
    <w:rsid w:val="00DB5BBC"/>
    <w:rsid w:val="00DB5DE0"/>
    <w:rsid w:val="00DB5EC8"/>
    <w:rsid w:val="00DB72AF"/>
    <w:rsid w:val="00DB7320"/>
    <w:rsid w:val="00DB74B6"/>
    <w:rsid w:val="00DB7515"/>
    <w:rsid w:val="00DC0600"/>
    <w:rsid w:val="00DC082A"/>
    <w:rsid w:val="00DC0900"/>
    <w:rsid w:val="00DC0B62"/>
    <w:rsid w:val="00DC1263"/>
    <w:rsid w:val="00DC131C"/>
    <w:rsid w:val="00DC1580"/>
    <w:rsid w:val="00DC1848"/>
    <w:rsid w:val="00DC1D74"/>
    <w:rsid w:val="00DC1F49"/>
    <w:rsid w:val="00DC2233"/>
    <w:rsid w:val="00DC269A"/>
    <w:rsid w:val="00DC293D"/>
    <w:rsid w:val="00DC316C"/>
    <w:rsid w:val="00DC3260"/>
    <w:rsid w:val="00DC34D6"/>
    <w:rsid w:val="00DC373F"/>
    <w:rsid w:val="00DC3CB3"/>
    <w:rsid w:val="00DC3F49"/>
    <w:rsid w:val="00DC44A5"/>
    <w:rsid w:val="00DC4CD3"/>
    <w:rsid w:val="00DC4F0C"/>
    <w:rsid w:val="00DC4F98"/>
    <w:rsid w:val="00DC66F7"/>
    <w:rsid w:val="00DC68D2"/>
    <w:rsid w:val="00DC6F08"/>
    <w:rsid w:val="00DC725E"/>
    <w:rsid w:val="00DC72B5"/>
    <w:rsid w:val="00DC7C62"/>
    <w:rsid w:val="00DC7D6C"/>
    <w:rsid w:val="00DD03BD"/>
    <w:rsid w:val="00DD0435"/>
    <w:rsid w:val="00DD0760"/>
    <w:rsid w:val="00DD1242"/>
    <w:rsid w:val="00DD1E0F"/>
    <w:rsid w:val="00DD295F"/>
    <w:rsid w:val="00DD35F1"/>
    <w:rsid w:val="00DD36DB"/>
    <w:rsid w:val="00DD3F45"/>
    <w:rsid w:val="00DD3F7A"/>
    <w:rsid w:val="00DD4258"/>
    <w:rsid w:val="00DD42C5"/>
    <w:rsid w:val="00DD49BC"/>
    <w:rsid w:val="00DD4D0D"/>
    <w:rsid w:val="00DD51A7"/>
    <w:rsid w:val="00DD57D3"/>
    <w:rsid w:val="00DD58BF"/>
    <w:rsid w:val="00DD5AB1"/>
    <w:rsid w:val="00DD5FA6"/>
    <w:rsid w:val="00DD64C3"/>
    <w:rsid w:val="00DD65DD"/>
    <w:rsid w:val="00DD65E0"/>
    <w:rsid w:val="00DD675A"/>
    <w:rsid w:val="00DD6998"/>
    <w:rsid w:val="00DD6BF4"/>
    <w:rsid w:val="00DD6CB5"/>
    <w:rsid w:val="00DD6D4D"/>
    <w:rsid w:val="00DD6EC1"/>
    <w:rsid w:val="00DD7116"/>
    <w:rsid w:val="00DD7252"/>
    <w:rsid w:val="00DD749B"/>
    <w:rsid w:val="00DE032B"/>
    <w:rsid w:val="00DE03C8"/>
    <w:rsid w:val="00DE0461"/>
    <w:rsid w:val="00DE05FD"/>
    <w:rsid w:val="00DE097F"/>
    <w:rsid w:val="00DE0B43"/>
    <w:rsid w:val="00DE0C89"/>
    <w:rsid w:val="00DE12CE"/>
    <w:rsid w:val="00DE1573"/>
    <w:rsid w:val="00DE1EE4"/>
    <w:rsid w:val="00DE2479"/>
    <w:rsid w:val="00DE29FA"/>
    <w:rsid w:val="00DE2B74"/>
    <w:rsid w:val="00DE3E75"/>
    <w:rsid w:val="00DE4470"/>
    <w:rsid w:val="00DE492E"/>
    <w:rsid w:val="00DE6638"/>
    <w:rsid w:val="00DE714D"/>
    <w:rsid w:val="00DE7346"/>
    <w:rsid w:val="00DE7B92"/>
    <w:rsid w:val="00DF02DD"/>
    <w:rsid w:val="00DF0FDC"/>
    <w:rsid w:val="00DF1556"/>
    <w:rsid w:val="00DF1665"/>
    <w:rsid w:val="00DF1E50"/>
    <w:rsid w:val="00DF20AF"/>
    <w:rsid w:val="00DF2CBF"/>
    <w:rsid w:val="00DF2CF9"/>
    <w:rsid w:val="00DF3360"/>
    <w:rsid w:val="00DF3FFA"/>
    <w:rsid w:val="00DF4D7A"/>
    <w:rsid w:val="00DF4F7E"/>
    <w:rsid w:val="00DF53CD"/>
    <w:rsid w:val="00DF565F"/>
    <w:rsid w:val="00DF5D08"/>
    <w:rsid w:val="00DF6122"/>
    <w:rsid w:val="00DF6C49"/>
    <w:rsid w:val="00DF6E53"/>
    <w:rsid w:val="00DF6EE0"/>
    <w:rsid w:val="00DF712B"/>
    <w:rsid w:val="00DF7269"/>
    <w:rsid w:val="00DF7886"/>
    <w:rsid w:val="00DF7968"/>
    <w:rsid w:val="00DF7A0A"/>
    <w:rsid w:val="00DF7D6A"/>
    <w:rsid w:val="00E001A4"/>
    <w:rsid w:val="00E006FC"/>
    <w:rsid w:val="00E00C34"/>
    <w:rsid w:val="00E00F51"/>
    <w:rsid w:val="00E00F6D"/>
    <w:rsid w:val="00E00F85"/>
    <w:rsid w:val="00E0193D"/>
    <w:rsid w:val="00E01A05"/>
    <w:rsid w:val="00E01F81"/>
    <w:rsid w:val="00E0293F"/>
    <w:rsid w:val="00E03077"/>
    <w:rsid w:val="00E03D29"/>
    <w:rsid w:val="00E040AE"/>
    <w:rsid w:val="00E04C20"/>
    <w:rsid w:val="00E0500B"/>
    <w:rsid w:val="00E05029"/>
    <w:rsid w:val="00E052F9"/>
    <w:rsid w:val="00E05410"/>
    <w:rsid w:val="00E055C2"/>
    <w:rsid w:val="00E059C8"/>
    <w:rsid w:val="00E05A33"/>
    <w:rsid w:val="00E061F8"/>
    <w:rsid w:val="00E0622F"/>
    <w:rsid w:val="00E06495"/>
    <w:rsid w:val="00E06C0D"/>
    <w:rsid w:val="00E07112"/>
    <w:rsid w:val="00E07AB3"/>
    <w:rsid w:val="00E102EE"/>
    <w:rsid w:val="00E109F1"/>
    <w:rsid w:val="00E11868"/>
    <w:rsid w:val="00E11C2C"/>
    <w:rsid w:val="00E12034"/>
    <w:rsid w:val="00E12867"/>
    <w:rsid w:val="00E12C23"/>
    <w:rsid w:val="00E133FA"/>
    <w:rsid w:val="00E13DA8"/>
    <w:rsid w:val="00E14528"/>
    <w:rsid w:val="00E14561"/>
    <w:rsid w:val="00E1484B"/>
    <w:rsid w:val="00E15944"/>
    <w:rsid w:val="00E1651F"/>
    <w:rsid w:val="00E166B7"/>
    <w:rsid w:val="00E1687E"/>
    <w:rsid w:val="00E16C64"/>
    <w:rsid w:val="00E17BFC"/>
    <w:rsid w:val="00E17CF9"/>
    <w:rsid w:val="00E17EEE"/>
    <w:rsid w:val="00E20578"/>
    <w:rsid w:val="00E20BAB"/>
    <w:rsid w:val="00E20C25"/>
    <w:rsid w:val="00E20D2F"/>
    <w:rsid w:val="00E20D6E"/>
    <w:rsid w:val="00E21419"/>
    <w:rsid w:val="00E214FC"/>
    <w:rsid w:val="00E21551"/>
    <w:rsid w:val="00E220A9"/>
    <w:rsid w:val="00E22209"/>
    <w:rsid w:val="00E2249C"/>
    <w:rsid w:val="00E22963"/>
    <w:rsid w:val="00E22C43"/>
    <w:rsid w:val="00E231D5"/>
    <w:rsid w:val="00E235AC"/>
    <w:rsid w:val="00E23BD2"/>
    <w:rsid w:val="00E23DB5"/>
    <w:rsid w:val="00E24533"/>
    <w:rsid w:val="00E247D9"/>
    <w:rsid w:val="00E249C0"/>
    <w:rsid w:val="00E25133"/>
    <w:rsid w:val="00E256FC"/>
    <w:rsid w:val="00E25FAB"/>
    <w:rsid w:val="00E260C1"/>
    <w:rsid w:val="00E26E62"/>
    <w:rsid w:val="00E26F4D"/>
    <w:rsid w:val="00E27780"/>
    <w:rsid w:val="00E27C8A"/>
    <w:rsid w:val="00E27E7D"/>
    <w:rsid w:val="00E301B0"/>
    <w:rsid w:val="00E302A4"/>
    <w:rsid w:val="00E312BB"/>
    <w:rsid w:val="00E316F4"/>
    <w:rsid w:val="00E3183B"/>
    <w:rsid w:val="00E323BE"/>
    <w:rsid w:val="00E32788"/>
    <w:rsid w:val="00E32990"/>
    <w:rsid w:val="00E32ADF"/>
    <w:rsid w:val="00E33319"/>
    <w:rsid w:val="00E347CD"/>
    <w:rsid w:val="00E34CC1"/>
    <w:rsid w:val="00E35204"/>
    <w:rsid w:val="00E35875"/>
    <w:rsid w:val="00E368A9"/>
    <w:rsid w:val="00E36910"/>
    <w:rsid w:val="00E3780F"/>
    <w:rsid w:val="00E37BF8"/>
    <w:rsid w:val="00E4020C"/>
    <w:rsid w:val="00E405E9"/>
    <w:rsid w:val="00E41242"/>
    <w:rsid w:val="00E413D3"/>
    <w:rsid w:val="00E41E71"/>
    <w:rsid w:val="00E4250F"/>
    <w:rsid w:val="00E425B3"/>
    <w:rsid w:val="00E43C74"/>
    <w:rsid w:val="00E43CFB"/>
    <w:rsid w:val="00E444F5"/>
    <w:rsid w:val="00E44FE9"/>
    <w:rsid w:val="00E45077"/>
    <w:rsid w:val="00E456DF"/>
    <w:rsid w:val="00E462C1"/>
    <w:rsid w:val="00E464A0"/>
    <w:rsid w:val="00E46872"/>
    <w:rsid w:val="00E468CF"/>
    <w:rsid w:val="00E46CEB"/>
    <w:rsid w:val="00E47602"/>
    <w:rsid w:val="00E47A58"/>
    <w:rsid w:val="00E51808"/>
    <w:rsid w:val="00E519AC"/>
    <w:rsid w:val="00E51EB6"/>
    <w:rsid w:val="00E51F0B"/>
    <w:rsid w:val="00E5210A"/>
    <w:rsid w:val="00E531DA"/>
    <w:rsid w:val="00E53399"/>
    <w:rsid w:val="00E5354B"/>
    <w:rsid w:val="00E5394B"/>
    <w:rsid w:val="00E53F06"/>
    <w:rsid w:val="00E54DB4"/>
    <w:rsid w:val="00E54EDC"/>
    <w:rsid w:val="00E556E3"/>
    <w:rsid w:val="00E5572A"/>
    <w:rsid w:val="00E5574E"/>
    <w:rsid w:val="00E55946"/>
    <w:rsid w:val="00E55E99"/>
    <w:rsid w:val="00E562E7"/>
    <w:rsid w:val="00E56312"/>
    <w:rsid w:val="00E56DB2"/>
    <w:rsid w:val="00E56E40"/>
    <w:rsid w:val="00E57165"/>
    <w:rsid w:val="00E57759"/>
    <w:rsid w:val="00E60155"/>
    <w:rsid w:val="00E60237"/>
    <w:rsid w:val="00E605E4"/>
    <w:rsid w:val="00E60BAE"/>
    <w:rsid w:val="00E60D20"/>
    <w:rsid w:val="00E60E50"/>
    <w:rsid w:val="00E60F7C"/>
    <w:rsid w:val="00E610A7"/>
    <w:rsid w:val="00E61537"/>
    <w:rsid w:val="00E61664"/>
    <w:rsid w:val="00E617C8"/>
    <w:rsid w:val="00E62219"/>
    <w:rsid w:val="00E62539"/>
    <w:rsid w:val="00E629A5"/>
    <w:rsid w:val="00E63198"/>
    <w:rsid w:val="00E63212"/>
    <w:rsid w:val="00E633BC"/>
    <w:rsid w:val="00E644D0"/>
    <w:rsid w:val="00E645BC"/>
    <w:rsid w:val="00E64E57"/>
    <w:rsid w:val="00E653B3"/>
    <w:rsid w:val="00E65EFC"/>
    <w:rsid w:val="00E66267"/>
    <w:rsid w:val="00E66286"/>
    <w:rsid w:val="00E6641B"/>
    <w:rsid w:val="00E664F7"/>
    <w:rsid w:val="00E66B4E"/>
    <w:rsid w:val="00E673E2"/>
    <w:rsid w:val="00E67B19"/>
    <w:rsid w:val="00E67DE4"/>
    <w:rsid w:val="00E70284"/>
    <w:rsid w:val="00E7037A"/>
    <w:rsid w:val="00E705C6"/>
    <w:rsid w:val="00E71056"/>
    <w:rsid w:val="00E711A6"/>
    <w:rsid w:val="00E7163B"/>
    <w:rsid w:val="00E718AD"/>
    <w:rsid w:val="00E72745"/>
    <w:rsid w:val="00E72861"/>
    <w:rsid w:val="00E72990"/>
    <w:rsid w:val="00E72D50"/>
    <w:rsid w:val="00E73103"/>
    <w:rsid w:val="00E7346D"/>
    <w:rsid w:val="00E7351A"/>
    <w:rsid w:val="00E735EE"/>
    <w:rsid w:val="00E73FF8"/>
    <w:rsid w:val="00E745A6"/>
    <w:rsid w:val="00E7483B"/>
    <w:rsid w:val="00E74B91"/>
    <w:rsid w:val="00E7515D"/>
    <w:rsid w:val="00E7521A"/>
    <w:rsid w:val="00E75328"/>
    <w:rsid w:val="00E7569B"/>
    <w:rsid w:val="00E75929"/>
    <w:rsid w:val="00E75C11"/>
    <w:rsid w:val="00E76F1E"/>
    <w:rsid w:val="00E77311"/>
    <w:rsid w:val="00E77972"/>
    <w:rsid w:val="00E77AE1"/>
    <w:rsid w:val="00E77FBE"/>
    <w:rsid w:val="00E8054E"/>
    <w:rsid w:val="00E81101"/>
    <w:rsid w:val="00E8131D"/>
    <w:rsid w:val="00E8210D"/>
    <w:rsid w:val="00E82609"/>
    <w:rsid w:val="00E82848"/>
    <w:rsid w:val="00E82FDD"/>
    <w:rsid w:val="00E837AD"/>
    <w:rsid w:val="00E83BF7"/>
    <w:rsid w:val="00E83E5B"/>
    <w:rsid w:val="00E8463F"/>
    <w:rsid w:val="00E849E2"/>
    <w:rsid w:val="00E856F2"/>
    <w:rsid w:val="00E86671"/>
    <w:rsid w:val="00E86DBD"/>
    <w:rsid w:val="00E872B2"/>
    <w:rsid w:val="00E87352"/>
    <w:rsid w:val="00E873E0"/>
    <w:rsid w:val="00E90466"/>
    <w:rsid w:val="00E90669"/>
    <w:rsid w:val="00E90FA0"/>
    <w:rsid w:val="00E91598"/>
    <w:rsid w:val="00E91C2A"/>
    <w:rsid w:val="00E921C7"/>
    <w:rsid w:val="00E935C5"/>
    <w:rsid w:val="00E93733"/>
    <w:rsid w:val="00E93B45"/>
    <w:rsid w:val="00E93F67"/>
    <w:rsid w:val="00E94055"/>
    <w:rsid w:val="00E94ABA"/>
    <w:rsid w:val="00E94CBB"/>
    <w:rsid w:val="00E94D86"/>
    <w:rsid w:val="00E95118"/>
    <w:rsid w:val="00E95295"/>
    <w:rsid w:val="00E956B8"/>
    <w:rsid w:val="00E956DB"/>
    <w:rsid w:val="00E956FC"/>
    <w:rsid w:val="00E95A17"/>
    <w:rsid w:val="00E95B36"/>
    <w:rsid w:val="00E95EF7"/>
    <w:rsid w:val="00E9607F"/>
    <w:rsid w:val="00E962BA"/>
    <w:rsid w:val="00E96D18"/>
    <w:rsid w:val="00E96E60"/>
    <w:rsid w:val="00E971D6"/>
    <w:rsid w:val="00E9721D"/>
    <w:rsid w:val="00E973BE"/>
    <w:rsid w:val="00E9747F"/>
    <w:rsid w:val="00E97FCA"/>
    <w:rsid w:val="00EA0017"/>
    <w:rsid w:val="00EA02CF"/>
    <w:rsid w:val="00EA03E0"/>
    <w:rsid w:val="00EA0412"/>
    <w:rsid w:val="00EA0531"/>
    <w:rsid w:val="00EA074C"/>
    <w:rsid w:val="00EA0F7D"/>
    <w:rsid w:val="00EA0FD0"/>
    <w:rsid w:val="00EA1917"/>
    <w:rsid w:val="00EA1E79"/>
    <w:rsid w:val="00EA2CCE"/>
    <w:rsid w:val="00EA31CB"/>
    <w:rsid w:val="00EA3964"/>
    <w:rsid w:val="00EA3D80"/>
    <w:rsid w:val="00EA43DE"/>
    <w:rsid w:val="00EA4617"/>
    <w:rsid w:val="00EA4A0F"/>
    <w:rsid w:val="00EA5146"/>
    <w:rsid w:val="00EA533D"/>
    <w:rsid w:val="00EA5AFE"/>
    <w:rsid w:val="00EA5BEE"/>
    <w:rsid w:val="00EA5C34"/>
    <w:rsid w:val="00EA6049"/>
    <w:rsid w:val="00EA652D"/>
    <w:rsid w:val="00EA6743"/>
    <w:rsid w:val="00EA6A37"/>
    <w:rsid w:val="00EA6B27"/>
    <w:rsid w:val="00EA75A0"/>
    <w:rsid w:val="00EA75A6"/>
    <w:rsid w:val="00EA79A2"/>
    <w:rsid w:val="00EB0979"/>
    <w:rsid w:val="00EB0D0F"/>
    <w:rsid w:val="00EB0D1D"/>
    <w:rsid w:val="00EB1684"/>
    <w:rsid w:val="00EB18DB"/>
    <w:rsid w:val="00EB1D9C"/>
    <w:rsid w:val="00EB1DBC"/>
    <w:rsid w:val="00EB23E6"/>
    <w:rsid w:val="00EB294E"/>
    <w:rsid w:val="00EB397C"/>
    <w:rsid w:val="00EB4CD1"/>
    <w:rsid w:val="00EB508D"/>
    <w:rsid w:val="00EB5608"/>
    <w:rsid w:val="00EB63D8"/>
    <w:rsid w:val="00EB6C7D"/>
    <w:rsid w:val="00EB6E6B"/>
    <w:rsid w:val="00EB7654"/>
    <w:rsid w:val="00EB782E"/>
    <w:rsid w:val="00EB7ACE"/>
    <w:rsid w:val="00EC0250"/>
    <w:rsid w:val="00EC0317"/>
    <w:rsid w:val="00EC0838"/>
    <w:rsid w:val="00EC128F"/>
    <w:rsid w:val="00EC2106"/>
    <w:rsid w:val="00EC2C30"/>
    <w:rsid w:val="00EC2F92"/>
    <w:rsid w:val="00EC34B1"/>
    <w:rsid w:val="00EC3A5E"/>
    <w:rsid w:val="00EC40F7"/>
    <w:rsid w:val="00EC462E"/>
    <w:rsid w:val="00EC4A04"/>
    <w:rsid w:val="00EC4DEC"/>
    <w:rsid w:val="00EC50B3"/>
    <w:rsid w:val="00EC52AB"/>
    <w:rsid w:val="00EC5F34"/>
    <w:rsid w:val="00EC6033"/>
    <w:rsid w:val="00EC697E"/>
    <w:rsid w:val="00EC70E5"/>
    <w:rsid w:val="00EC7174"/>
    <w:rsid w:val="00EC7BEE"/>
    <w:rsid w:val="00EC7C53"/>
    <w:rsid w:val="00EC7E41"/>
    <w:rsid w:val="00ED09E4"/>
    <w:rsid w:val="00ED0C01"/>
    <w:rsid w:val="00ED0CB2"/>
    <w:rsid w:val="00ED0D6A"/>
    <w:rsid w:val="00ED1A22"/>
    <w:rsid w:val="00ED1C71"/>
    <w:rsid w:val="00ED1C98"/>
    <w:rsid w:val="00ED21BD"/>
    <w:rsid w:val="00ED29C5"/>
    <w:rsid w:val="00ED323B"/>
    <w:rsid w:val="00ED3386"/>
    <w:rsid w:val="00ED34C4"/>
    <w:rsid w:val="00ED352F"/>
    <w:rsid w:val="00ED3670"/>
    <w:rsid w:val="00ED3D16"/>
    <w:rsid w:val="00ED3F52"/>
    <w:rsid w:val="00ED4231"/>
    <w:rsid w:val="00ED4F82"/>
    <w:rsid w:val="00ED50E8"/>
    <w:rsid w:val="00ED577D"/>
    <w:rsid w:val="00ED5940"/>
    <w:rsid w:val="00ED6321"/>
    <w:rsid w:val="00ED6355"/>
    <w:rsid w:val="00ED6625"/>
    <w:rsid w:val="00ED711D"/>
    <w:rsid w:val="00ED75E0"/>
    <w:rsid w:val="00ED7AF3"/>
    <w:rsid w:val="00EE045F"/>
    <w:rsid w:val="00EE092C"/>
    <w:rsid w:val="00EE0C6D"/>
    <w:rsid w:val="00EE0D00"/>
    <w:rsid w:val="00EE1823"/>
    <w:rsid w:val="00EE1AC7"/>
    <w:rsid w:val="00EE1C00"/>
    <w:rsid w:val="00EE1C78"/>
    <w:rsid w:val="00EE24F3"/>
    <w:rsid w:val="00EE2F99"/>
    <w:rsid w:val="00EE31BD"/>
    <w:rsid w:val="00EE3BE0"/>
    <w:rsid w:val="00EE434F"/>
    <w:rsid w:val="00EE4846"/>
    <w:rsid w:val="00EE4B2A"/>
    <w:rsid w:val="00EE51CC"/>
    <w:rsid w:val="00EE5F3B"/>
    <w:rsid w:val="00EE6750"/>
    <w:rsid w:val="00EE74D6"/>
    <w:rsid w:val="00EE7596"/>
    <w:rsid w:val="00EE778D"/>
    <w:rsid w:val="00EE7C3A"/>
    <w:rsid w:val="00EE7EDE"/>
    <w:rsid w:val="00EF027D"/>
    <w:rsid w:val="00EF027F"/>
    <w:rsid w:val="00EF0D32"/>
    <w:rsid w:val="00EF0EAC"/>
    <w:rsid w:val="00EF1353"/>
    <w:rsid w:val="00EF175E"/>
    <w:rsid w:val="00EF18E6"/>
    <w:rsid w:val="00EF18EA"/>
    <w:rsid w:val="00EF1E69"/>
    <w:rsid w:val="00EF27CD"/>
    <w:rsid w:val="00EF3C27"/>
    <w:rsid w:val="00EF51AC"/>
    <w:rsid w:val="00EF58B1"/>
    <w:rsid w:val="00EF5A5F"/>
    <w:rsid w:val="00EF5ABA"/>
    <w:rsid w:val="00EF5E84"/>
    <w:rsid w:val="00EF6882"/>
    <w:rsid w:val="00EF697E"/>
    <w:rsid w:val="00EF698D"/>
    <w:rsid w:val="00EF6EFA"/>
    <w:rsid w:val="00EF72CB"/>
    <w:rsid w:val="00EF7AD6"/>
    <w:rsid w:val="00EF7B0C"/>
    <w:rsid w:val="00EF7F31"/>
    <w:rsid w:val="00F00EC5"/>
    <w:rsid w:val="00F00F99"/>
    <w:rsid w:val="00F011D5"/>
    <w:rsid w:val="00F01513"/>
    <w:rsid w:val="00F019C4"/>
    <w:rsid w:val="00F01C3A"/>
    <w:rsid w:val="00F0202A"/>
    <w:rsid w:val="00F020C6"/>
    <w:rsid w:val="00F022E2"/>
    <w:rsid w:val="00F02E0E"/>
    <w:rsid w:val="00F0349F"/>
    <w:rsid w:val="00F03A90"/>
    <w:rsid w:val="00F03B3B"/>
    <w:rsid w:val="00F04648"/>
    <w:rsid w:val="00F05126"/>
    <w:rsid w:val="00F060BC"/>
    <w:rsid w:val="00F060D1"/>
    <w:rsid w:val="00F0631B"/>
    <w:rsid w:val="00F06437"/>
    <w:rsid w:val="00F0676E"/>
    <w:rsid w:val="00F0714D"/>
    <w:rsid w:val="00F072B1"/>
    <w:rsid w:val="00F0733D"/>
    <w:rsid w:val="00F07698"/>
    <w:rsid w:val="00F1057A"/>
    <w:rsid w:val="00F107CF"/>
    <w:rsid w:val="00F10B6D"/>
    <w:rsid w:val="00F10F7B"/>
    <w:rsid w:val="00F11532"/>
    <w:rsid w:val="00F11929"/>
    <w:rsid w:val="00F11C93"/>
    <w:rsid w:val="00F12AC0"/>
    <w:rsid w:val="00F12D32"/>
    <w:rsid w:val="00F1355A"/>
    <w:rsid w:val="00F136FC"/>
    <w:rsid w:val="00F143DE"/>
    <w:rsid w:val="00F14594"/>
    <w:rsid w:val="00F14A61"/>
    <w:rsid w:val="00F15456"/>
    <w:rsid w:val="00F154AC"/>
    <w:rsid w:val="00F1581E"/>
    <w:rsid w:val="00F15FDD"/>
    <w:rsid w:val="00F16177"/>
    <w:rsid w:val="00F16657"/>
    <w:rsid w:val="00F16AD9"/>
    <w:rsid w:val="00F16D0F"/>
    <w:rsid w:val="00F17844"/>
    <w:rsid w:val="00F17D96"/>
    <w:rsid w:val="00F17DA8"/>
    <w:rsid w:val="00F2009C"/>
    <w:rsid w:val="00F20D0F"/>
    <w:rsid w:val="00F20D73"/>
    <w:rsid w:val="00F227B4"/>
    <w:rsid w:val="00F22B61"/>
    <w:rsid w:val="00F23927"/>
    <w:rsid w:val="00F23D2B"/>
    <w:rsid w:val="00F24AA8"/>
    <w:rsid w:val="00F24D5F"/>
    <w:rsid w:val="00F24E38"/>
    <w:rsid w:val="00F24E62"/>
    <w:rsid w:val="00F2551D"/>
    <w:rsid w:val="00F25536"/>
    <w:rsid w:val="00F25C5A"/>
    <w:rsid w:val="00F25CF1"/>
    <w:rsid w:val="00F26005"/>
    <w:rsid w:val="00F262EA"/>
    <w:rsid w:val="00F26646"/>
    <w:rsid w:val="00F26A52"/>
    <w:rsid w:val="00F26B87"/>
    <w:rsid w:val="00F273B0"/>
    <w:rsid w:val="00F2775F"/>
    <w:rsid w:val="00F277CD"/>
    <w:rsid w:val="00F27AD7"/>
    <w:rsid w:val="00F300A1"/>
    <w:rsid w:val="00F30893"/>
    <w:rsid w:val="00F309FC"/>
    <w:rsid w:val="00F31A06"/>
    <w:rsid w:val="00F32235"/>
    <w:rsid w:val="00F33168"/>
    <w:rsid w:val="00F334FA"/>
    <w:rsid w:val="00F33B26"/>
    <w:rsid w:val="00F33E7A"/>
    <w:rsid w:val="00F344E9"/>
    <w:rsid w:val="00F35B3D"/>
    <w:rsid w:val="00F3610C"/>
    <w:rsid w:val="00F362D3"/>
    <w:rsid w:val="00F36456"/>
    <w:rsid w:val="00F36537"/>
    <w:rsid w:val="00F370CA"/>
    <w:rsid w:val="00F37BC0"/>
    <w:rsid w:val="00F37DD7"/>
    <w:rsid w:val="00F40068"/>
    <w:rsid w:val="00F400B3"/>
    <w:rsid w:val="00F4015F"/>
    <w:rsid w:val="00F40403"/>
    <w:rsid w:val="00F40597"/>
    <w:rsid w:val="00F40A6E"/>
    <w:rsid w:val="00F41036"/>
    <w:rsid w:val="00F413FD"/>
    <w:rsid w:val="00F4157B"/>
    <w:rsid w:val="00F4189B"/>
    <w:rsid w:val="00F42B51"/>
    <w:rsid w:val="00F42E9B"/>
    <w:rsid w:val="00F43D59"/>
    <w:rsid w:val="00F4463B"/>
    <w:rsid w:val="00F4494F"/>
    <w:rsid w:val="00F44ECF"/>
    <w:rsid w:val="00F44F1C"/>
    <w:rsid w:val="00F450B5"/>
    <w:rsid w:val="00F452B2"/>
    <w:rsid w:val="00F45BB6"/>
    <w:rsid w:val="00F45E44"/>
    <w:rsid w:val="00F461CA"/>
    <w:rsid w:val="00F467D2"/>
    <w:rsid w:val="00F46A6A"/>
    <w:rsid w:val="00F47031"/>
    <w:rsid w:val="00F472BA"/>
    <w:rsid w:val="00F47E39"/>
    <w:rsid w:val="00F502EE"/>
    <w:rsid w:val="00F50715"/>
    <w:rsid w:val="00F5077D"/>
    <w:rsid w:val="00F50D99"/>
    <w:rsid w:val="00F51738"/>
    <w:rsid w:val="00F52561"/>
    <w:rsid w:val="00F52645"/>
    <w:rsid w:val="00F5272B"/>
    <w:rsid w:val="00F530AB"/>
    <w:rsid w:val="00F5499D"/>
    <w:rsid w:val="00F54AC8"/>
    <w:rsid w:val="00F54DBD"/>
    <w:rsid w:val="00F553CD"/>
    <w:rsid w:val="00F5593F"/>
    <w:rsid w:val="00F56A82"/>
    <w:rsid w:val="00F56C66"/>
    <w:rsid w:val="00F570C1"/>
    <w:rsid w:val="00F57296"/>
    <w:rsid w:val="00F574F2"/>
    <w:rsid w:val="00F578A1"/>
    <w:rsid w:val="00F57B6D"/>
    <w:rsid w:val="00F57CAC"/>
    <w:rsid w:val="00F60460"/>
    <w:rsid w:val="00F60C63"/>
    <w:rsid w:val="00F6167E"/>
    <w:rsid w:val="00F62431"/>
    <w:rsid w:val="00F626E7"/>
    <w:rsid w:val="00F62A15"/>
    <w:rsid w:val="00F62D08"/>
    <w:rsid w:val="00F636C7"/>
    <w:rsid w:val="00F638FF"/>
    <w:rsid w:val="00F6414D"/>
    <w:rsid w:val="00F641E6"/>
    <w:rsid w:val="00F64483"/>
    <w:rsid w:val="00F6462E"/>
    <w:rsid w:val="00F64F57"/>
    <w:rsid w:val="00F6593C"/>
    <w:rsid w:val="00F65B62"/>
    <w:rsid w:val="00F6656A"/>
    <w:rsid w:val="00F66915"/>
    <w:rsid w:val="00F66944"/>
    <w:rsid w:val="00F66AC9"/>
    <w:rsid w:val="00F66D47"/>
    <w:rsid w:val="00F7006B"/>
    <w:rsid w:val="00F7085E"/>
    <w:rsid w:val="00F70B20"/>
    <w:rsid w:val="00F70E0D"/>
    <w:rsid w:val="00F70EC5"/>
    <w:rsid w:val="00F714AA"/>
    <w:rsid w:val="00F71794"/>
    <w:rsid w:val="00F71CE3"/>
    <w:rsid w:val="00F71F6F"/>
    <w:rsid w:val="00F72512"/>
    <w:rsid w:val="00F73140"/>
    <w:rsid w:val="00F7334E"/>
    <w:rsid w:val="00F74114"/>
    <w:rsid w:val="00F7436F"/>
    <w:rsid w:val="00F749A4"/>
    <w:rsid w:val="00F74BE8"/>
    <w:rsid w:val="00F75197"/>
    <w:rsid w:val="00F75461"/>
    <w:rsid w:val="00F758BD"/>
    <w:rsid w:val="00F76733"/>
    <w:rsid w:val="00F76A73"/>
    <w:rsid w:val="00F77157"/>
    <w:rsid w:val="00F77307"/>
    <w:rsid w:val="00F778FF"/>
    <w:rsid w:val="00F8005D"/>
    <w:rsid w:val="00F80503"/>
    <w:rsid w:val="00F80A99"/>
    <w:rsid w:val="00F80EB0"/>
    <w:rsid w:val="00F80F44"/>
    <w:rsid w:val="00F81E15"/>
    <w:rsid w:val="00F82193"/>
    <w:rsid w:val="00F821C3"/>
    <w:rsid w:val="00F82A4D"/>
    <w:rsid w:val="00F82C8C"/>
    <w:rsid w:val="00F82F9E"/>
    <w:rsid w:val="00F83039"/>
    <w:rsid w:val="00F830E1"/>
    <w:rsid w:val="00F83513"/>
    <w:rsid w:val="00F841A7"/>
    <w:rsid w:val="00F84217"/>
    <w:rsid w:val="00F843E9"/>
    <w:rsid w:val="00F84C86"/>
    <w:rsid w:val="00F854A8"/>
    <w:rsid w:val="00F85602"/>
    <w:rsid w:val="00F85C49"/>
    <w:rsid w:val="00F85D2F"/>
    <w:rsid w:val="00F8683B"/>
    <w:rsid w:val="00F87522"/>
    <w:rsid w:val="00F87532"/>
    <w:rsid w:val="00F87EC2"/>
    <w:rsid w:val="00F9073A"/>
    <w:rsid w:val="00F90806"/>
    <w:rsid w:val="00F90C36"/>
    <w:rsid w:val="00F90EAE"/>
    <w:rsid w:val="00F91565"/>
    <w:rsid w:val="00F919D5"/>
    <w:rsid w:val="00F91A95"/>
    <w:rsid w:val="00F92210"/>
    <w:rsid w:val="00F92CEC"/>
    <w:rsid w:val="00F93654"/>
    <w:rsid w:val="00F93A58"/>
    <w:rsid w:val="00F94CC2"/>
    <w:rsid w:val="00F96A89"/>
    <w:rsid w:val="00F96EFC"/>
    <w:rsid w:val="00F971E0"/>
    <w:rsid w:val="00F9754C"/>
    <w:rsid w:val="00F97CAB"/>
    <w:rsid w:val="00FA0474"/>
    <w:rsid w:val="00FA0853"/>
    <w:rsid w:val="00FA1115"/>
    <w:rsid w:val="00FA112B"/>
    <w:rsid w:val="00FA13F9"/>
    <w:rsid w:val="00FA1C67"/>
    <w:rsid w:val="00FA1EB2"/>
    <w:rsid w:val="00FA2693"/>
    <w:rsid w:val="00FA2702"/>
    <w:rsid w:val="00FA3989"/>
    <w:rsid w:val="00FA40E7"/>
    <w:rsid w:val="00FA43FB"/>
    <w:rsid w:val="00FA47E3"/>
    <w:rsid w:val="00FA4824"/>
    <w:rsid w:val="00FA4DA5"/>
    <w:rsid w:val="00FA4ED6"/>
    <w:rsid w:val="00FA54E9"/>
    <w:rsid w:val="00FA5542"/>
    <w:rsid w:val="00FA557E"/>
    <w:rsid w:val="00FA6422"/>
    <w:rsid w:val="00FA6CC5"/>
    <w:rsid w:val="00FA70D3"/>
    <w:rsid w:val="00FA7B37"/>
    <w:rsid w:val="00FA7BB6"/>
    <w:rsid w:val="00FA7D52"/>
    <w:rsid w:val="00FA7EE7"/>
    <w:rsid w:val="00FA7FE2"/>
    <w:rsid w:val="00FB0F65"/>
    <w:rsid w:val="00FB139C"/>
    <w:rsid w:val="00FB13F4"/>
    <w:rsid w:val="00FB158D"/>
    <w:rsid w:val="00FB1EC2"/>
    <w:rsid w:val="00FB2038"/>
    <w:rsid w:val="00FB203B"/>
    <w:rsid w:val="00FB215B"/>
    <w:rsid w:val="00FB21CD"/>
    <w:rsid w:val="00FB2278"/>
    <w:rsid w:val="00FB286B"/>
    <w:rsid w:val="00FB2B91"/>
    <w:rsid w:val="00FB2C33"/>
    <w:rsid w:val="00FB2FD0"/>
    <w:rsid w:val="00FB33D0"/>
    <w:rsid w:val="00FB34FB"/>
    <w:rsid w:val="00FB36DE"/>
    <w:rsid w:val="00FB3C30"/>
    <w:rsid w:val="00FB448B"/>
    <w:rsid w:val="00FB4673"/>
    <w:rsid w:val="00FB496F"/>
    <w:rsid w:val="00FB4B25"/>
    <w:rsid w:val="00FB529E"/>
    <w:rsid w:val="00FB565E"/>
    <w:rsid w:val="00FB5CF6"/>
    <w:rsid w:val="00FB5D3F"/>
    <w:rsid w:val="00FB65F5"/>
    <w:rsid w:val="00FB6D42"/>
    <w:rsid w:val="00FB7B4D"/>
    <w:rsid w:val="00FC00C4"/>
    <w:rsid w:val="00FC04C6"/>
    <w:rsid w:val="00FC08F5"/>
    <w:rsid w:val="00FC0F5D"/>
    <w:rsid w:val="00FC13B6"/>
    <w:rsid w:val="00FC207A"/>
    <w:rsid w:val="00FC20E8"/>
    <w:rsid w:val="00FC252D"/>
    <w:rsid w:val="00FC2F8B"/>
    <w:rsid w:val="00FC30E6"/>
    <w:rsid w:val="00FC3C9B"/>
    <w:rsid w:val="00FC3D64"/>
    <w:rsid w:val="00FC4B3F"/>
    <w:rsid w:val="00FC5ACD"/>
    <w:rsid w:val="00FC5F43"/>
    <w:rsid w:val="00FC674A"/>
    <w:rsid w:val="00FC684F"/>
    <w:rsid w:val="00FC7614"/>
    <w:rsid w:val="00FC79BA"/>
    <w:rsid w:val="00FC7A99"/>
    <w:rsid w:val="00FC7C5E"/>
    <w:rsid w:val="00FD0F87"/>
    <w:rsid w:val="00FD0FF9"/>
    <w:rsid w:val="00FD1BED"/>
    <w:rsid w:val="00FD1FD4"/>
    <w:rsid w:val="00FD26D4"/>
    <w:rsid w:val="00FD279A"/>
    <w:rsid w:val="00FD2B04"/>
    <w:rsid w:val="00FD2EB2"/>
    <w:rsid w:val="00FD3093"/>
    <w:rsid w:val="00FD3AA2"/>
    <w:rsid w:val="00FD3B9E"/>
    <w:rsid w:val="00FD3D47"/>
    <w:rsid w:val="00FD44AF"/>
    <w:rsid w:val="00FD4995"/>
    <w:rsid w:val="00FD4C16"/>
    <w:rsid w:val="00FD5291"/>
    <w:rsid w:val="00FD5352"/>
    <w:rsid w:val="00FD5452"/>
    <w:rsid w:val="00FD58D2"/>
    <w:rsid w:val="00FD5AA2"/>
    <w:rsid w:val="00FD5D19"/>
    <w:rsid w:val="00FD6243"/>
    <w:rsid w:val="00FD6396"/>
    <w:rsid w:val="00FD6CC9"/>
    <w:rsid w:val="00FD714D"/>
    <w:rsid w:val="00FD7F1E"/>
    <w:rsid w:val="00FE0073"/>
    <w:rsid w:val="00FE02CB"/>
    <w:rsid w:val="00FE0F39"/>
    <w:rsid w:val="00FE1291"/>
    <w:rsid w:val="00FE13F6"/>
    <w:rsid w:val="00FE15B1"/>
    <w:rsid w:val="00FE26A6"/>
    <w:rsid w:val="00FE27AD"/>
    <w:rsid w:val="00FE379C"/>
    <w:rsid w:val="00FE3B48"/>
    <w:rsid w:val="00FE3F8C"/>
    <w:rsid w:val="00FE42EC"/>
    <w:rsid w:val="00FE4635"/>
    <w:rsid w:val="00FE5D97"/>
    <w:rsid w:val="00FE609A"/>
    <w:rsid w:val="00FE6A15"/>
    <w:rsid w:val="00FE6A79"/>
    <w:rsid w:val="00FE7039"/>
    <w:rsid w:val="00FE76CA"/>
    <w:rsid w:val="00FE7E4B"/>
    <w:rsid w:val="00FF0006"/>
    <w:rsid w:val="00FF05D3"/>
    <w:rsid w:val="00FF0AA2"/>
    <w:rsid w:val="00FF111B"/>
    <w:rsid w:val="00FF125D"/>
    <w:rsid w:val="00FF1291"/>
    <w:rsid w:val="00FF1DCB"/>
    <w:rsid w:val="00FF1E5F"/>
    <w:rsid w:val="00FF205D"/>
    <w:rsid w:val="00FF2278"/>
    <w:rsid w:val="00FF24B7"/>
    <w:rsid w:val="00FF32EF"/>
    <w:rsid w:val="00FF33D6"/>
    <w:rsid w:val="00FF3599"/>
    <w:rsid w:val="00FF3898"/>
    <w:rsid w:val="00FF4A89"/>
    <w:rsid w:val="00FF4BE3"/>
    <w:rsid w:val="00FF4D36"/>
    <w:rsid w:val="00FF4FB3"/>
    <w:rsid w:val="00FF50CB"/>
    <w:rsid w:val="00FF588E"/>
    <w:rsid w:val="00FF5A84"/>
    <w:rsid w:val="00FF5AEB"/>
    <w:rsid w:val="00FF6796"/>
    <w:rsid w:val="00FF6917"/>
    <w:rsid w:val="00FF6C03"/>
    <w:rsid w:val="00FF735C"/>
    <w:rsid w:val="00FF7513"/>
    <w:rsid w:val="00FF76FA"/>
    <w:rsid w:val="00FF790C"/>
    <w:rsid w:val="00FF7FE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34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683E1E"/>
    <w:rPr>
      <w:sz w:val="24"/>
      <w:szCs w:val="24"/>
    </w:rPr>
  </w:style>
  <w:style w:type="paragraph" w:styleId="Heading1">
    <w:name w:val="heading 1"/>
    <w:basedOn w:val="BodyText"/>
    <w:next w:val="BodyText"/>
    <w:rsid w:val="00683E1E"/>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683E1E"/>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683E1E"/>
    <w:pPr>
      <w:spacing w:before="560" w:line="320" w:lineRule="exact"/>
      <w:ind w:left="0" w:firstLine="0"/>
      <w:outlineLvl w:val="2"/>
    </w:pPr>
    <w:rPr>
      <w:sz w:val="26"/>
    </w:rPr>
  </w:style>
  <w:style w:type="paragraph" w:styleId="Heading4">
    <w:name w:val="heading 4"/>
    <w:basedOn w:val="Heading3"/>
    <w:next w:val="BodyText"/>
    <w:link w:val="Heading4Char"/>
    <w:qFormat/>
    <w:rsid w:val="00683E1E"/>
    <w:pPr>
      <w:spacing w:before="480"/>
      <w:outlineLvl w:val="3"/>
    </w:pPr>
    <w:rPr>
      <w:b w:val="0"/>
      <w:sz w:val="24"/>
    </w:rPr>
  </w:style>
  <w:style w:type="paragraph" w:styleId="Heading5">
    <w:name w:val="heading 5"/>
    <w:basedOn w:val="Heading4"/>
    <w:next w:val="BodyText"/>
    <w:link w:val="Heading5Char"/>
    <w:qFormat/>
    <w:rsid w:val="00683E1E"/>
    <w:pPr>
      <w:outlineLvl w:val="4"/>
    </w:pPr>
    <w:rPr>
      <w:i/>
      <w:sz w:val="22"/>
    </w:rPr>
  </w:style>
  <w:style w:type="paragraph" w:styleId="Heading6">
    <w:name w:val="heading 6"/>
    <w:basedOn w:val="BodyText"/>
    <w:next w:val="BodyText"/>
    <w:rsid w:val="00683E1E"/>
    <w:pPr>
      <w:spacing w:after="60"/>
      <w:jc w:val="left"/>
      <w:outlineLvl w:val="5"/>
    </w:pPr>
    <w:rPr>
      <w:i/>
      <w:sz w:val="22"/>
    </w:rPr>
  </w:style>
  <w:style w:type="paragraph" w:styleId="Heading7">
    <w:name w:val="heading 7"/>
    <w:basedOn w:val="BodyText"/>
    <w:next w:val="BodyText"/>
    <w:rsid w:val="00683E1E"/>
    <w:pPr>
      <w:spacing w:after="60" w:line="240" w:lineRule="auto"/>
      <w:jc w:val="left"/>
      <w:outlineLvl w:val="6"/>
    </w:pPr>
    <w:rPr>
      <w:rFonts w:ascii="Arial" w:hAnsi="Arial"/>
      <w:sz w:val="20"/>
    </w:rPr>
  </w:style>
  <w:style w:type="paragraph" w:styleId="Heading8">
    <w:name w:val="heading 8"/>
    <w:basedOn w:val="BodyText"/>
    <w:next w:val="BodyText"/>
    <w:rsid w:val="00683E1E"/>
    <w:pPr>
      <w:spacing w:after="60" w:line="240" w:lineRule="auto"/>
      <w:jc w:val="left"/>
      <w:outlineLvl w:val="7"/>
    </w:pPr>
    <w:rPr>
      <w:rFonts w:ascii="Arial" w:hAnsi="Arial"/>
      <w:i/>
      <w:sz w:val="20"/>
    </w:rPr>
  </w:style>
  <w:style w:type="paragraph" w:styleId="Heading9">
    <w:name w:val="heading 9"/>
    <w:basedOn w:val="BodyText"/>
    <w:next w:val="BodyText"/>
    <w:rsid w:val="00683E1E"/>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683E1E"/>
    <w:pPr>
      <w:spacing w:before="240" w:line="300" w:lineRule="atLeast"/>
      <w:jc w:val="both"/>
    </w:pPr>
    <w:rPr>
      <w:sz w:val="24"/>
    </w:rPr>
  </w:style>
  <w:style w:type="paragraph" w:customStyle="1" w:styleId="Chapter">
    <w:name w:val="Chapter"/>
    <w:basedOn w:val="Heading1"/>
    <w:next w:val="BodyText"/>
    <w:semiHidden/>
    <w:rsid w:val="00683E1E"/>
    <w:pPr>
      <w:ind w:left="0" w:firstLine="0"/>
      <w:outlineLvl w:val="9"/>
    </w:pPr>
  </w:style>
  <w:style w:type="paragraph" w:customStyle="1" w:styleId="SequenceInfo">
    <w:name w:val="Sequence Info"/>
    <w:basedOn w:val="BodyText"/>
    <w:semiHidden/>
    <w:rsid w:val="00683E1E"/>
    <w:rPr>
      <w:vanish/>
      <w:sz w:val="16"/>
    </w:rPr>
  </w:style>
  <w:style w:type="character" w:styleId="CommentReference">
    <w:name w:val="annotation reference"/>
    <w:basedOn w:val="DefaultParagraphFont"/>
    <w:rsid w:val="00683E1E"/>
    <w:rPr>
      <w:b/>
      <w:vanish/>
      <w:color w:val="FF00FF"/>
      <w:sz w:val="20"/>
    </w:rPr>
  </w:style>
  <w:style w:type="paragraph" w:styleId="CommentText">
    <w:name w:val="annotation text"/>
    <w:basedOn w:val="Normal"/>
    <w:link w:val="CommentTextChar"/>
    <w:semiHidden/>
    <w:rsid w:val="00683E1E"/>
    <w:pPr>
      <w:spacing w:before="120" w:line="240" w:lineRule="atLeast"/>
      <w:ind w:left="567" w:hanging="567"/>
    </w:pPr>
    <w:rPr>
      <w:sz w:val="20"/>
    </w:rPr>
  </w:style>
  <w:style w:type="paragraph" w:customStyle="1" w:styleId="Abbreviation">
    <w:name w:val="Abbreviation"/>
    <w:basedOn w:val="BodyText"/>
    <w:rsid w:val="00683E1E"/>
    <w:pPr>
      <w:spacing w:before="120"/>
      <w:ind w:left="2381" w:hanging="2381"/>
      <w:jc w:val="left"/>
    </w:pPr>
  </w:style>
  <w:style w:type="paragraph" w:customStyle="1" w:styleId="Box">
    <w:name w:val="Box"/>
    <w:basedOn w:val="BodyText"/>
    <w:link w:val="BoxChar"/>
    <w:qFormat/>
    <w:rsid w:val="00683E1E"/>
    <w:pPr>
      <w:keepNext/>
      <w:spacing w:before="120" w:line="260" w:lineRule="atLeast"/>
    </w:pPr>
    <w:rPr>
      <w:rFonts w:ascii="Arial" w:hAnsi="Arial"/>
      <w:sz w:val="20"/>
    </w:rPr>
  </w:style>
  <w:style w:type="paragraph" w:customStyle="1" w:styleId="QuoteBullet">
    <w:name w:val="Quote Bullet"/>
    <w:basedOn w:val="Quote"/>
    <w:rsid w:val="00683E1E"/>
    <w:pPr>
      <w:numPr>
        <w:numId w:val="11"/>
      </w:numPr>
    </w:pPr>
  </w:style>
  <w:style w:type="paragraph" w:customStyle="1" w:styleId="BoxListBullet">
    <w:name w:val="Box List Bullet"/>
    <w:basedOn w:val="BodyText"/>
    <w:link w:val="BoxListBulletChar"/>
    <w:rsid w:val="00683E1E"/>
    <w:pPr>
      <w:keepNext/>
      <w:numPr>
        <w:numId w:val="6"/>
      </w:numPr>
      <w:spacing w:before="100" w:line="260" w:lineRule="atLeast"/>
    </w:pPr>
    <w:rPr>
      <w:rFonts w:ascii="Arial" w:hAnsi="Arial"/>
      <w:sz w:val="20"/>
    </w:rPr>
  </w:style>
  <w:style w:type="paragraph" w:customStyle="1" w:styleId="BoxListBullet2">
    <w:name w:val="Box List Bullet 2"/>
    <w:basedOn w:val="BoxListBullet"/>
    <w:link w:val="BoxListBullet2Char"/>
    <w:rsid w:val="00683E1E"/>
    <w:pPr>
      <w:numPr>
        <w:numId w:val="3"/>
      </w:numPr>
      <w:ind w:left="568" w:hanging="284"/>
    </w:pPr>
  </w:style>
  <w:style w:type="paragraph" w:customStyle="1" w:styleId="BoxListNumber">
    <w:name w:val="Box List Number"/>
    <w:basedOn w:val="BodyText"/>
    <w:rsid w:val="00683E1E"/>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683E1E"/>
    <w:pPr>
      <w:numPr>
        <w:ilvl w:val="1"/>
      </w:numPr>
      <w:ind w:left="681" w:hanging="397"/>
    </w:pPr>
  </w:style>
  <w:style w:type="paragraph" w:customStyle="1" w:styleId="BoxQuote">
    <w:name w:val="Box Quote"/>
    <w:basedOn w:val="BodyText"/>
    <w:next w:val="Box"/>
    <w:qFormat/>
    <w:rsid w:val="00683E1E"/>
    <w:pPr>
      <w:keepNext/>
      <w:spacing w:before="60" w:line="240" w:lineRule="exact"/>
      <w:ind w:left="284"/>
    </w:pPr>
    <w:rPr>
      <w:rFonts w:ascii="Arial" w:hAnsi="Arial"/>
      <w:sz w:val="18"/>
    </w:rPr>
  </w:style>
  <w:style w:type="paragraph" w:customStyle="1" w:styleId="BoxSource">
    <w:name w:val="Box Source"/>
    <w:basedOn w:val="Source"/>
    <w:next w:val="BodyText"/>
    <w:rsid w:val="00683E1E"/>
    <w:pPr>
      <w:spacing w:before="120"/>
    </w:pPr>
  </w:style>
  <w:style w:type="paragraph" w:customStyle="1" w:styleId="BoxSpace">
    <w:name w:val="Box Space"/>
    <w:basedOn w:val="BodyText"/>
    <w:rsid w:val="00DA56CA"/>
    <w:pPr>
      <w:keepNext/>
      <w:spacing w:before="360" w:line="80" w:lineRule="exact"/>
      <w:jc w:val="left"/>
    </w:pPr>
  </w:style>
  <w:style w:type="paragraph" w:customStyle="1" w:styleId="BoxSubtitle">
    <w:name w:val="Box Subtitle"/>
    <w:basedOn w:val="BoxTitle"/>
    <w:next w:val="Normal"/>
    <w:rsid w:val="00683E1E"/>
    <w:pPr>
      <w:spacing w:after="80" w:line="200" w:lineRule="exact"/>
      <w:ind w:firstLine="0"/>
    </w:pPr>
    <w:rPr>
      <w:b w:val="0"/>
      <w:sz w:val="20"/>
    </w:rPr>
  </w:style>
  <w:style w:type="paragraph" w:customStyle="1" w:styleId="BoxTitle">
    <w:name w:val="Box Title"/>
    <w:basedOn w:val="Caption"/>
    <w:next w:val="BoxSubtitle"/>
    <w:rsid w:val="00683E1E"/>
    <w:pPr>
      <w:spacing w:before="120" w:after="0"/>
    </w:pPr>
  </w:style>
  <w:style w:type="paragraph" w:styleId="Caption">
    <w:name w:val="caption"/>
    <w:basedOn w:val="Normal"/>
    <w:next w:val="BodyText"/>
    <w:rsid w:val="00683E1E"/>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683E1E"/>
    <w:pPr>
      <w:spacing w:line="280" w:lineRule="atLeast"/>
      <w:ind w:left="907"/>
    </w:pPr>
    <w:rPr>
      <w:rFonts w:ascii="Arial" w:hAnsi="Arial"/>
      <w:b/>
      <w:sz w:val="20"/>
    </w:rPr>
  </w:style>
  <w:style w:type="character" w:customStyle="1" w:styleId="DocumentInfo">
    <w:name w:val="Document Info"/>
    <w:basedOn w:val="DefaultParagraphFont"/>
    <w:semiHidden/>
    <w:rsid w:val="00683E1E"/>
    <w:rPr>
      <w:rFonts w:ascii="Arial" w:hAnsi="Arial"/>
      <w:sz w:val="14"/>
    </w:rPr>
  </w:style>
  <w:style w:type="paragraph" w:styleId="Footer">
    <w:name w:val="footer"/>
    <w:basedOn w:val="BodyText"/>
    <w:link w:val="FooterChar"/>
    <w:rsid w:val="00683E1E"/>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683E1E"/>
    <w:rPr>
      <w:b/>
      <w:color w:val="FF0000"/>
      <w:sz w:val="24"/>
      <w:u w:val="dotted"/>
    </w:rPr>
  </w:style>
  <w:style w:type="paragraph" w:customStyle="1" w:styleId="BoxContinued">
    <w:name w:val="Box Continued"/>
    <w:basedOn w:val="BodyText"/>
    <w:next w:val="BodyText"/>
    <w:semiHidden/>
    <w:rsid w:val="00683E1E"/>
    <w:pPr>
      <w:spacing w:before="180" w:line="220" w:lineRule="exact"/>
      <w:jc w:val="right"/>
    </w:pPr>
    <w:rPr>
      <w:rFonts w:ascii="Arial" w:hAnsi="Arial"/>
      <w:sz w:val="18"/>
    </w:rPr>
  </w:style>
  <w:style w:type="paragraph" w:customStyle="1" w:styleId="Figure">
    <w:name w:val="Figure"/>
    <w:basedOn w:val="BodyText"/>
    <w:rsid w:val="00683E1E"/>
    <w:pPr>
      <w:keepNext/>
      <w:spacing w:before="120" w:after="120" w:line="240" w:lineRule="atLeast"/>
      <w:jc w:val="center"/>
    </w:pPr>
  </w:style>
  <w:style w:type="paragraph" w:customStyle="1" w:styleId="FigureTitle">
    <w:name w:val="Figure Title"/>
    <w:basedOn w:val="Caption"/>
    <w:next w:val="Subtitle"/>
    <w:link w:val="FigureTitleChar"/>
    <w:rsid w:val="00683E1E"/>
    <w:pPr>
      <w:spacing w:before="120"/>
    </w:pPr>
  </w:style>
  <w:style w:type="paragraph" w:styleId="Subtitle">
    <w:name w:val="Subtitle"/>
    <w:basedOn w:val="Caption"/>
    <w:link w:val="SubtitleChar"/>
    <w:qFormat/>
    <w:rsid w:val="00683E1E"/>
    <w:pPr>
      <w:spacing w:before="0" w:line="200" w:lineRule="exact"/>
      <w:ind w:firstLine="0"/>
    </w:pPr>
    <w:rPr>
      <w:b w:val="0"/>
      <w:sz w:val="20"/>
    </w:rPr>
  </w:style>
  <w:style w:type="paragraph" w:customStyle="1" w:styleId="Finding">
    <w:name w:val="Finding"/>
    <w:basedOn w:val="BodyText"/>
    <w:rsid w:val="00683E1E"/>
    <w:pPr>
      <w:keepLines/>
      <w:spacing w:before="120" w:line="280" w:lineRule="atLeast"/>
    </w:pPr>
    <w:rPr>
      <w:rFonts w:ascii="Arial" w:hAnsi="Arial"/>
      <w:sz w:val="22"/>
    </w:rPr>
  </w:style>
  <w:style w:type="paragraph" w:customStyle="1" w:styleId="FindingBullet">
    <w:name w:val="Finding Bullet"/>
    <w:basedOn w:val="Finding"/>
    <w:rsid w:val="00683E1E"/>
    <w:pPr>
      <w:numPr>
        <w:numId w:val="7"/>
      </w:numPr>
      <w:spacing w:before="80"/>
    </w:pPr>
  </w:style>
  <w:style w:type="paragraph" w:customStyle="1" w:styleId="FindingNoTitle">
    <w:name w:val="Finding NoTitle"/>
    <w:basedOn w:val="Finding"/>
    <w:rsid w:val="00683E1E"/>
    <w:pPr>
      <w:spacing w:before="240"/>
    </w:pPr>
  </w:style>
  <w:style w:type="paragraph" w:customStyle="1" w:styleId="FindingTitle">
    <w:name w:val="Finding Title"/>
    <w:basedOn w:val="RecTitle"/>
    <w:next w:val="Finding"/>
    <w:rsid w:val="00683E1E"/>
  </w:style>
  <w:style w:type="paragraph" w:customStyle="1" w:styleId="FooterEnd">
    <w:name w:val="Footer End"/>
    <w:basedOn w:val="Footer"/>
    <w:rsid w:val="00683E1E"/>
    <w:pPr>
      <w:spacing w:before="0" w:line="20" w:lineRule="exact"/>
    </w:pPr>
  </w:style>
  <w:style w:type="character" w:styleId="FootnoteReference">
    <w:name w:val="footnote reference"/>
    <w:basedOn w:val="DefaultParagraphFont"/>
    <w:semiHidden/>
    <w:rsid w:val="00683E1E"/>
    <w:rPr>
      <w:rFonts w:ascii="Times New Roman" w:hAnsi="Times New Roman"/>
      <w:position w:val="6"/>
      <w:sz w:val="20"/>
      <w:vertAlign w:val="baseline"/>
    </w:rPr>
  </w:style>
  <w:style w:type="paragraph" w:styleId="FootnoteText">
    <w:name w:val="footnote text"/>
    <w:basedOn w:val="BodyText"/>
    <w:rsid w:val="00683E1E"/>
    <w:pPr>
      <w:tabs>
        <w:tab w:val="left" w:pos="284"/>
      </w:tabs>
      <w:spacing w:before="80" w:line="240" w:lineRule="exact"/>
      <w:ind w:left="284" w:hanging="284"/>
    </w:pPr>
    <w:rPr>
      <w:sz w:val="20"/>
    </w:rPr>
  </w:style>
  <w:style w:type="paragraph" w:styleId="Header">
    <w:name w:val="header"/>
    <w:basedOn w:val="BodyText"/>
    <w:rsid w:val="00683E1E"/>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683E1E"/>
    <w:pPr>
      <w:spacing w:line="20" w:lineRule="exact"/>
    </w:pPr>
    <w:rPr>
      <w:sz w:val="16"/>
    </w:rPr>
  </w:style>
  <w:style w:type="paragraph" w:customStyle="1" w:styleId="HeaderEven">
    <w:name w:val="Header Even"/>
    <w:basedOn w:val="Header"/>
    <w:semiHidden/>
    <w:rsid w:val="00683E1E"/>
  </w:style>
  <w:style w:type="paragraph" w:customStyle="1" w:styleId="HeaderOdd">
    <w:name w:val="Header Odd"/>
    <w:basedOn w:val="Header"/>
    <w:semiHidden/>
    <w:rsid w:val="00683E1E"/>
  </w:style>
  <w:style w:type="paragraph" w:customStyle="1" w:styleId="InformationRequest">
    <w:name w:val="Information Request"/>
    <w:basedOn w:val="Finding"/>
    <w:next w:val="BodyText"/>
    <w:rsid w:val="00683E1E"/>
    <w:rPr>
      <w:i/>
    </w:rPr>
  </w:style>
  <w:style w:type="paragraph" w:styleId="ListBullet">
    <w:name w:val="List Bullet"/>
    <w:basedOn w:val="BodyText"/>
    <w:rsid w:val="00683E1E"/>
    <w:pPr>
      <w:numPr>
        <w:numId w:val="5"/>
      </w:numPr>
      <w:spacing w:before="120"/>
    </w:pPr>
  </w:style>
  <w:style w:type="paragraph" w:styleId="ListBullet2">
    <w:name w:val="List Bullet 2"/>
    <w:basedOn w:val="BodyText"/>
    <w:rsid w:val="00683E1E"/>
    <w:pPr>
      <w:numPr>
        <w:numId w:val="2"/>
      </w:numPr>
      <w:spacing w:before="120"/>
    </w:pPr>
  </w:style>
  <w:style w:type="paragraph" w:styleId="ListBullet3">
    <w:name w:val="List Bullet 3"/>
    <w:basedOn w:val="BodyText"/>
    <w:rsid w:val="00683E1E"/>
    <w:pPr>
      <w:numPr>
        <w:numId w:val="1"/>
      </w:numPr>
      <w:spacing w:before="120"/>
      <w:ind w:left="1020" w:hanging="340"/>
    </w:pPr>
  </w:style>
  <w:style w:type="paragraph" w:styleId="ListNumber">
    <w:name w:val="List Number"/>
    <w:basedOn w:val="BodyText"/>
    <w:rsid w:val="00683E1E"/>
    <w:pPr>
      <w:numPr>
        <w:numId w:val="13"/>
      </w:numPr>
      <w:spacing w:before="120"/>
    </w:pPr>
  </w:style>
  <w:style w:type="paragraph" w:styleId="ListNumber2">
    <w:name w:val="List Number 2"/>
    <w:basedOn w:val="ListNumber"/>
    <w:rsid w:val="00683E1E"/>
    <w:pPr>
      <w:numPr>
        <w:ilvl w:val="1"/>
      </w:numPr>
    </w:pPr>
  </w:style>
  <w:style w:type="paragraph" w:styleId="ListNumber3">
    <w:name w:val="List Number 3"/>
    <w:basedOn w:val="ListNumber2"/>
    <w:rsid w:val="00683E1E"/>
    <w:pPr>
      <w:numPr>
        <w:ilvl w:val="2"/>
      </w:numPr>
    </w:pPr>
  </w:style>
  <w:style w:type="paragraph" w:customStyle="1" w:styleId="Note">
    <w:name w:val="Note"/>
    <w:basedOn w:val="BodyText"/>
    <w:next w:val="BodyText"/>
    <w:link w:val="NoteChar"/>
    <w:rsid w:val="00683E1E"/>
    <w:pPr>
      <w:keepLines/>
      <w:spacing w:before="80" w:line="220" w:lineRule="exact"/>
    </w:pPr>
    <w:rPr>
      <w:rFonts w:ascii="Arial" w:hAnsi="Arial"/>
      <w:sz w:val="18"/>
    </w:rPr>
  </w:style>
  <w:style w:type="character" w:customStyle="1" w:styleId="NoteLabel">
    <w:name w:val="Note Label"/>
    <w:basedOn w:val="DefaultParagraphFont"/>
    <w:rsid w:val="00683E1E"/>
    <w:rPr>
      <w:rFonts w:ascii="Arial" w:hAnsi="Arial"/>
      <w:b/>
      <w:position w:val="6"/>
      <w:sz w:val="18"/>
    </w:rPr>
  </w:style>
  <w:style w:type="character" w:styleId="PageNumber">
    <w:name w:val="page number"/>
    <w:basedOn w:val="DefaultParagraphFont"/>
    <w:rsid w:val="00683E1E"/>
    <w:rPr>
      <w:rFonts w:ascii="Arial" w:hAnsi="Arial"/>
      <w:b/>
      <w:sz w:val="16"/>
    </w:rPr>
  </w:style>
  <w:style w:type="paragraph" w:customStyle="1" w:styleId="PartDivider">
    <w:name w:val="Part Divider"/>
    <w:basedOn w:val="BodyText"/>
    <w:next w:val="BodyText"/>
    <w:semiHidden/>
    <w:rsid w:val="00683E1E"/>
    <w:pPr>
      <w:spacing w:before="0" w:line="40" w:lineRule="exact"/>
      <w:jc w:val="right"/>
    </w:pPr>
    <w:rPr>
      <w:smallCaps/>
      <w:sz w:val="16"/>
    </w:rPr>
  </w:style>
  <w:style w:type="paragraph" w:customStyle="1" w:styleId="PartNumber">
    <w:name w:val="Part Number"/>
    <w:basedOn w:val="BodyText"/>
    <w:next w:val="BodyText"/>
    <w:semiHidden/>
    <w:rsid w:val="00683E1E"/>
    <w:pPr>
      <w:spacing w:before="4000" w:line="320" w:lineRule="exact"/>
      <w:ind w:left="6634"/>
      <w:jc w:val="right"/>
    </w:pPr>
    <w:rPr>
      <w:smallCaps/>
      <w:spacing w:val="60"/>
      <w:sz w:val="32"/>
    </w:rPr>
  </w:style>
  <w:style w:type="paragraph" w:customStyle="1" w:styleId="PartTitle">
    <w:name w:val="Part Title"/>
    <w:basedOn w:val="BodyText"/>
    <w:semiHidden/>
    <w:rsid w:val="00683E1E"/>
    <w:pPr>
      <w:spacing w:before="160" w:after="1360" w:line="520" w:lineRule="exact"/>
      <w:ind w:right="2381"/>
      <w:jc w:val="right"/>
    </w:pPr>
    <w:rPr>
      <w:smallCaps/>
      <w:sz w:val="52"/>
    </w:rPr>
  </w:style>
  <w:style w:type="paragraph" w:styleId="Quote">
    <w:name w:val="Quote"/>
    <w:basedOn w:val="BodyText"/>
    <w:next w:val="BodyText"/>
    <w:qFormat/>
    <w:rsid w:val="00683E1E"/>
    <w:pPr>
      <w:spacing w:before="120" w:line="280" w:lineRule="exact"/>
      <w:ind w:left="340"/>
    </w:pPr>
    <w:rPr>
      <w:sz w:val="22"/>
    </w:rPr>
  </w:style>
  <w:style w:type="paragraph" w:customStyle="1" w:styleId="Rec">
    <w:name w:val="Rec"/>
    <w:basedOn w:val="BodyText"/>
    <w:qFormat/>
    <w:rsid w:val="00683E1E"/>
    <w:pPr>
      <w:keepLines/>
      <w:spacing w:before="120" w:line="280" w:lineRule="atLeast"/>
    </w:pPr>
    <w:rPr>
      <w:rFonts w:ascii="Arial" w:hAnsi="Arial"/>
      <w:sz w:val="22"/>
    </w:rPr>
  </w:style>
  <w:style w:type="paragraph" w:customStyle="1" w:styleId="RecBullet">
    <w:name w:val="Rec Bullet"/>
    <w:basedOn w:val="Rec"/>
    <w:rsid w:val="00683E1E"/>
    <w:pPr>
      <w:numPr>
        <w:numId w:val="8"/>
      </w:numPr>
      <w:spacing w:before="80"/>
    </w:pPr>
  </w:style>
  <w:style w:type="paragraph" w:customStyle="1" w:styleId="RecTitle">
    <w:name w:val="Rec Title"/>
    <w:basedOn w:val="BodyText"/>
    <w:next w:val="Rec"/>
    <w:qFormat/>
    <w:rsid w:val="00683E1E"/>
    <w:pPr>
      <w:keepNext/>
      <w:keepLines/>
      <w:spacing w:line="280" w:lineRule="atLeast"/>
    </w:pPr>
    <w:rPr>
      <w:rFonts w:ascii="Arial" w:hAnsi="Arial"/>
      <w:caps/>
      <w:sz w:val="18"/>
    </w:rPr>
  </w:style>
  <w:style w:type="paragraph" w:customStyle="1" w:styleId="RecB">
    <w:name w:val="RecB"/>
    <w:basedOn w:val="Normal"/>
    <w:rsid w:val="00683E1E"/>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683E1E"/>
    <w:pPr>
      <w:numPr>
        <w:numId w:val="9"/>
      </w:numPr>
      <w:spacing w:before="80"/>
    </w:pPr>
  </w:style>
  <w:style w:type="paragraph" w:customStyle="1" w:styleId="RecBNoTitle">
    <w:name w:val="RecB NoTitle"/>
    <w:basedOn w:val="RecB"/>
    <w:rsid w:val="00683E1E"/>
    <w:pPr>
      <w:spacing w:before="240"/>
    </w:pPr>
  </w:style>
  <w:style w:type="paragraph" w:customStyle="1" w:styleId="Reference">
    <w:name w:val="Reference"/>
    <w:basedOn w:val="BodyText"/>
    <w:link w:val="ReferenceChar"/>
    <w:rsid w:val="00683E1E"/>
    <w:pPr>
      <w:spacing w:before="120"/>
      <w:ind w:left="340" w:hanging="340"/>
    </w:pPr>
  </w:style>
  <w:style w:type="paragraph" w:customStyle="1" w:styleId="SideNote">
    <w:name w:val="Side Note"/>
    <w:basedOn w:val="BodyText"/>
    <w:next w:val="BodyText"/>
    <w:semiHidden/>
    <w:rsid w:val="00683E1E"/>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683E1E"/>
    <w:pPr>
      <w:framePr w:wrap="around"/>
      <w:numPr>
        <w:numId w:val="4"/>
      </w:numPr>
      <w:tabs>
        <w:tab w:val="left" w:pos="227"/>
      </w:tabs>
    </w:pPr>
  </w:style>
  <w:style w:type="paragraph" w:customStyle="1" w:styleId="SideNoteGraphic">
    <w:name w:val="Side Note Graphic"/>
    <w:basedOn w:val="SideNote"/>
    <w:next w:val="BodyText"/>
    <w:semiHidden/>
    <w:rsid w:val="00683E1E"/>
    <w:pPr>
      <w:framePr w:wrap="around"/>
    </w:pPr>
  </w:style>
  <w:style w:type="paragraph" w:customStyle="1" w:styleId="Source">
    <w:name w:val="Source"/>
    <w:basedOn w:val="Normal"/>
    <w:next w:val="BodyText"/>
    <w:link w:val="SourceChar"/>
    <w:rsid w:val="00683E1E"/>
    <w:pPr>
      <w:keepLines/>
      <w:spacing w:before="80" w:line="220" w:lineRule="exact"/>
      <w:jc w:val="both"/>
    </w:pPr>
    <w:rPr>
      <w:rFonts w:ascii="Arial" w:hAnsi="Arial"/>
      <w:sz w:val="18"/>
      <w:szCs w:val="20"/>
    </w:rPr>
  </w:style>
  <w:style w:type="paragraph" w:customStyle="1" w:styleId="TableBodyText">
    <w:name w:val="Table Body Text"/>
    <w:basedOn w:val="BodyText"/>
    <w:link w:val="TableBodyTextChar"/>
    <w:rsid w:val="00683E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683E1E"/>
    <w:pPr>
      <w:numPr>
        <w:numId w:val="10"/>
      </w:numPr>
      <w:jc w:val="left"/>
    </w:pPr>
  </w:style>
  <w:style w:type="paragraph" w:customStyle="1" w:styleId="TableColumnHeading">
    <w:name w:val="Table Column Heading"/>
    <w:basedOn w:val="TableBodyText"/>
    <w:rsid w:val="00683E1E"/>
    <w:pPr>
      <w:spacing w:before="80" w:after="80"/>
    </w:pPr>
    <w:rPr>
      <w:i/>
    </w:rPr>
  </w:style>
  <w:style w:type="paragraph" w:styleId="TableofFigures">
    <w:name w:val="table of figures"/>
    <w:basedOn w:val="TOC3"/>
    <w:next w:val="BodyText"/>
    <w:semiHidden/>
    <w:rsid w:val="00683E1E"/>
    <w:pPr>
      <w:ind w:left="737" w:hanging="737"/>
    </w:pPr>
  </w:style>
  <w:style w:type="paragraph" w:styleId="TOC3">
    <w:name w:val="toc 3"/>
    <w:basedOn w:val="TOC2"/>
    <w:rsid w:val="00683E1E"/>
    <w:pPr>
      <w:spacing w:before="60"/>
      <w:ind w:left="1190" w:hanging="680"/>
    </w:pPr>
  </w:style>
  <w:style w:type="paragraph" w:customStyle="1" w:styleId="TableTitle">
    <w:name w:val="Table Title"/>
    <w:basedOn w:val="Caption"/>
    <w:next w:val="Subtitle"/>
    <w:qFormat/>
    <w:rsid w:val="00683E1E"/>
    <w:pPr>
      <w:spacing w:before="120"/>
    </w:pPr>
  </w:style>
  <w:style w:type="paragraph" w:customStyle="1" w:styleId="TableUnitsRow">
    <w:name w:val="Table Units Row"/>
    <w:basedOn w:val="TableBodyText"/>
    <w:rsid w:val="00683E1E"/>
    <w:pPr>
      <w:spacing w:before="40"/>
    </w:pPr>
  </w:style>
  <w:style w:type="paragraph" w:styleId="TOC1">
    <w:name w:val="toc 1"/>
    <w:basedOn w:val="Normal"/>
    <w:next w:val="TOC2"/>
    <w:link w:val="TOC1Char"/>
    <w:rsid w:val="00683E1E"/>
    <w:pPr>
      <w:tabs>
        <w:tab w:val="right" w:pos="8789"/>
      </w:tabs>
      <w:spacing w:before="120" w:line="320" w:lineRule="exact"/>
      <w:ind w:left="510" w:right="851" w:hanging="510"/>
    </w:pPr>
    <w:rPr>
      <w:rFonts w:ascii="Arial" w:hAnsi="Arial"/>
      <w:b/>
      <w:sz w:val="26"/>
      <w:szCs w:val="26"/>
      <w:lang w:eastAsia="en-US"/>
    </w:rPr>
  </w:style>
  <w:style w:type="paragraph" w:styleId="TOC2">
    <w:name w:val="toc 2"/>
    <w:basedOn w:val="TOC1"/>
    <w:rsid w:val="00683E1E"/>
    <w:pPr>
      <w:ind w:left="1134" w:hanging="624"/>
    </w:pPr>
    <w:rPr>
      <w:b w:val="0"/>
    </w:rPr>
  </w:style>
  <w:style w:type="paragraph" w:styleId="TOC4">
    <w:name w:val="toc 4"/>
    <w:basedOn w:val="TOC3"/>
    <w:semiHidden/>
    <w:rsid w:val="00683E1E"/>
    <w:pPr>
      <w:ind w:left="1191" w:firstLine="0"/>
    </w:pPr>
  </w:style>
  <w:style w:type="paragraph" w:customStyle="1" w:styleId="Jurisdictioncommentsbodytext">
    <w:name w:val="Jurisdiction comments body text"/>
    <w:rsid w:val="00683E1E"/>
    <w:pPr>
      <w:spacing w:after="140"/>
      <w:jc w:val="both"/>
    </w:pPr>
    <w:rPr>
      <w:rFonts w:ascii="Arial" w:hAnsi="Arial"/>
      <w:sz w:val="24"/>
      <w:lang w:eastAsia="en-US"/>
    </w:rPr>
  </w:style>
  <w:style w:type="paragraph" w:customStyle="1" w:styleId="Continued">
    <w:name w:val="Continued"/>
    <w:basedOn w:val="BoxContinued"/>
    <w:next w:val="BodyText"/>
    <w:link w:val="ContinuedChar"/>
    <w:rsid w:val="00683E1E"/>
  </w:style>
  <w:style w:type="paragraph" w:customStyle="1" w:styleId="BoxHeading1">
    <w:name w:val="Box Heading 1"/>
    <w:basedOn w:val="BodyText"/>
    <w:next w:val="Box"/>
    <w:rsid w:val="00683E1E"/>
    <w:pPr>
      <w:keepNext/>
      <w:spacing w:before="200" w:line="280" w:lineRule="atLeast"/>
    </w:pPr>
    <w:rPr>
      <w:rFonts w:ascii="Arial" w:hAnsi="Arial"/>
      <w:b/>
      <w:sz w:val="22"/>
    </w:rPr>
  </w:style>
  <w:style w:type="paragraph" w:customStyle="1" w:styleId="BoxHeading2">
    <w:name w:val="Box Heading 2"/>
    <w:basedOn w:val="BoxHeading1"/>
    <w:next w:val="Normal"/>
    <w:rsid w:val="00683E1E"/>
    <w:rPr>
      <w:b w:val="0"/>
      <w:i/>
    </w:rPr>
  </w:style>
  <w:style w:type="character" w:customStyle="1" w:styleId="ContinuedChar">
    <w:name w:val="Continued Char"/>
    <w:link w:val="Continued"/>
    <w:rsid w:val="009D236F"/>
    <w:rPr>
      <w:rFonts w:ascii="Arial" w:hAnsi="Arial"/>
      <w:sz w:val="18"/>
    </w:rPr>
  </w:style>
  <w:style w:type="table" w:styleId="TableGrid">
    <w:name w:val="Table Grid"/>
    <w:basedOn w:val="TableNormal"/>
    <w:rsid w:val="00683E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Jurisdictioncommentsheading">
    <w:name w:val="Jurisdiction comments heading"/>
    <w:rsid w:val="00683E1E"/>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683E1E"/>
    <w:pPr>
      <w:numPr>
        <w:numId w:val="12"/>
      </w:numPr>
      <w:spacing w:after="140"/>
      <w:jc w:val="both"/>
    </w:pPr>
    <w:rPr>
      <w:rFonts w:ascii="Arial" w:hAnsi="Arial"/>
      <w:sz w:val="24"/>
      <w:lang w:eastAsia="en-US"/>
    </w:rPr>
  </w:style>
  <w:style w:type="paragraph" w:customStyle="1" w:styleId="SOC">
    <w:name w:val="SOC"/>
    <w:basedOn w:val="BodyText"/>
    <w:rsid w:val="0066785F"/>
    <w:pPr>
      <w:spacing w:before="0" w:after="140" w:line="240" w:lineRule="auto"/>
    </w:pPr>
    <w:rPr>
      <w:rFonts w:ascii="Arial" w:hAnsi="Arial"/>
    </w:rPr>
  </w:style>
  <w:style w:type="paragraph" w:styleId="BalloonText">
    <w:name w:val="Balloon Text"/>
    <w:basedOn w:val="Normal"/>
    <w:link w:val="BalloonTextChar"/>
    <w:rsid w:val="00683E1E"/>
    <w:rPr>
      <w:rFonts w:ascii="Tahoma" w:hAnsi="Tahoma" w:cs="Tahoma"/>
      <w:sz w:val="16"/>
      <w:szCs w:val="16"/>
    </w:rPr>
  </w:style>
  <w:style w:type="paragraph" w:styleId="CommentSubject">
    <w:name w:val="annotation subject"/>
    <w:basedOn w:val="CommentText"/>
    <w:next w:val="CommentText"/>
    <w:semiHidden/>
    <w:rsid w:val="004E3A2B"/>
    <w:pPr>
      <w:spacing w:before="0" w:line="240" w:lineRule="auto"/>
      <w:ind w:left="0" w:firstLine="0"/>
    </w:pPr>
    <w:rPr>
      <w:b/>
      <w:bCs/>
    </w:rPr>
  </w:style>
  <w:style w:type="character" w:customStyle="1" w:styleId="NoteChar">
    <w:name w:val="Note Char"/>
    <w:link w:val="Note"/>
    <w:rsid w:val="00663B9A"/>
    <w:rPr>
      <w:rFonts w:ascii="Arial" w:hAnsi="Arial"/>
      <w:sz w:val="18"/>
    </w:rPr>
  </w:style>
  <w:style w:type="character" w:customStyle="1" w:styleId="SourceChar">
    <w:name w:val="Source Char"/>
    <w:basedOn w:val="NoteChar"/>
    <w:link w:val="Source"/>
    <w:rsid w:val="00663B9A"/>
    <w:rPr>
      <w:rFonts w:ascii="Arial" w:hAnsi="Arial"/>
      <w:sz w:val="18"/>
    </w:rPr>
  </w:style>
  <w:style w:type="character" w:customStyle="1" w:styleId="FigureTitleChar">
    <w:name w:val="Figure Title Char"/>
    <w:link w:val="FigureTitle"/>
    <w:rsid w:val="00663B9A"/>
    <w:rPr>
      <w:rFonts w:ascii="Arial" w:hAnsi="Arial"/>
      <w:b/>
      <w:sz w:val="24"/>
      <w:szCs w:val="24"/>
    </w:rPr>
  </w:style>
  <w:style w:type="character" w:customStyle="1" w:styleId="BoxChar">
    <w:name w:val="Box Char"/>
    <w:link w:val="Box"/>
    <w:rsid w:val="003B68FC"/>
    <w:rPr>
      <w:rFonts w:ascii="Arial" w:hAnsi="Arial"/>
    </w:rPr>
  </w:style>
  <w:style w:type="character" w:styleId="Hyperlink">
    <w:name w:val="Hyperlink"/>
    <w:uiPriority w:val="99"/>
    <w:rsid w:val="00066632"/>
    <w:rPr>
      <w:color w:val="0000FF"/>
      <w:u w:val="single"/>
    </w:rPr>
  </w:style>
  <w:style w:type="character" w:customStyle="1" w:styleId="Heading4Char">
    <w:name w:val="Heading 4 Char"/>
    <w:link w:val="Heading4"/>
    <w:rsid w:val="00601BD5"/>
    <w:rPr>
      <w:rFonts w:ascii="Arial" w:hAnsi="Arial"/>
      <w:sz w:val="24"/>
    </w:rPr>
  </w:style>
  <w:style w:type="paragraph" w:customStyle="1" w:styleId="DocInfo">
    <w:name w:val="Doc Info"/>
    <w:basedOn w:val="Normal"/>
    <w:next w:val="Normal"/>
    <w:rsid w:val="0066785F"/>
    <w:pPr>
      <w:jc w:val="center"/>
    </w:pPr>
    <w:rPr>
      <w:rFonts w:ascii="Arial" w:hAnsi="Arial"/>
      <w:sz w:val="14"/>
    </w:rPr>
  </w:style>
  <w:style w:type="character" w:customStyle="1" w:styleId="ReferenceChar">
    <w:name w:val="Reference Char"/>
    <w:link w:val="Reference"/>
    <w:rsid w:val="001014BF"/>
    <w:rPr>
      <w:sz w:val="24"/>
    </w:rPr>
  </w:style>
  <w:style w:type="character" w:styleId="FollowedHyperlink">
    <w:name w:val="FollowedHyperlink"/>
    <w:rsid w:val="000F6D72"/>
    <w:rPr>
      <w:color w:val="800080"/>
      <w:u w:val="single"/>
    </w:rPr>
  </w:style>
  <w:style w:type="paragraph" w:styleId="DocumentMap">
    <w:name w:val="Document Map"/>
    <w:basedOn w:val="Normal"/>
    <w:semiHidden/>
    <w:rsid w:val="00F7006B"/>
    <w:pPr>
      <w:shd w:val="clear" w:color="auto" w:fill="000080"/>
    </w:pPr>
    <w:rPr>
      <w:rFonts w:ascii="Tahoma" w:hAnsi="Tahoma" w:cs="Tahoma"/>
      <w:sz w:val="20"/>
      <w:szCs w:val="20"/>
    </w:rPr>
  </w:style>
  <w:style w:type="paragraph" w:styleId="NormalWeb">
    <w:name w:val="Normal (Web)"/>
    <w:basedOn w:val="Normal"/>
    <w:rsid w:val="00F42E9B"/>
  </w:style>
  <w:style w:type="paragraph" w:customStyle="1" w:styleId="RecBBullet2">
    <w:name w:val="RecB Bullet 2"/>
    <w:basedOn w:val="ListBullet2"/>
    <w:semiHidden/>
    <w:rsid w:val="00683E1E"/>
    <w:pPr>
      <w:pBdr>
        <w:left w:val="single" w:sz="24" w:space="29" w:color="C0C0C0"/>
      </w:pBdr>
    </w:pPr>
    <w:rPr>
      <w:b/>
      <w:i/>
    </w:rPr>
  </w:style>
  <w:style w:type="character" w:customStyle="1" w:styleId="BalloonTextChar">
    <w:name w:val="Balloon Text Char"/>
    <w:basedOn w:val="DefaultParagraphFont"/>
    <w:link w:val="BalloonText"/>
    <w:rsid w:val="00683E1E"/>
    <w:rPr>
      <w:rFonts w:ascii="Tahoma" w:hAnsi="Tahoma" w:cs="Tahoma"/>
      <w:sz w:val="16"/>
      <w:szCs w:val="16"/>
    </w:rPr>
  </w:style>
  <w:style w:type="character" w:customStyle="1" w:styleId="SubtitleChar">
    <w:name w:val="Subtitle Char"/>
    <w:basedOn w:val="DefaultParagraphFont"/>
    <w:link w:val="Subtitle"/>
    <w:rsid w:val="00683E1E"/>
    <w:rPr>
      <w:rFonts w:ascii="Arial" w:hAnsi="Arial"/>
      <w:szCs w:val="24"/>
    </w:rPr>
  </w:style>
  <w:style w:type="paragraph" w:customStyle="1" w:styleId="BoxListBullet3">
    <w:name w:val="Box List Bullet 3"/>
    <w:basedOn w:val="ListBullet3"/>
    <w:rsid w:val="00683E1E"/>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683E1E"/>
    <w:rPr>
      <w:i/>
      <w:iCs/>
    </w:rPr>
  </w:style>
  <w:style w:type="paragraph" w:customStyle="1" w:styleId="BoxQuoteBullet">
    <w:name w:val="Box Quote Bullet"/>
    <w:basedOn w:val="BoxQuote"/>
    <w:next w:val="Box"/>
    <w:rsid w:val="00683E1E"/>
    <w:pPr>
      <w:numPr>
        <w:numId w:val="15"/>
      </w:numPr>
      <w:ind w:left="568" w:hanging="284"/>
    </w:pPr>
  </w:style>
  <w:style w:type="paragraph" w:customStyle="1" w:styleId="InformationRequestBullet">
    <w:name w:val="Information Request Bullet"/>
    <w:basedOn w:val="ListBullet"/>
    <w:next w:val="BodyText"/>
    <w:rsid w:val="00683E1E"/>
    <w:pPr>
      <w:numPr>
        <w:numId w:val="16"/>
      </w:numPr>
      <w:spacing w:before="80" w:line="280" w:lineRule="atLeast"/>
      <w:ind w:left="357" w:hanging="357"/>
    </w:pPr>
    <w:rPr>
      <w:rFonts w:ascii="Arial" w:hAnsi="Arial"/>
      <w:i/>
      <w:sz w:val="22"/>
    </w:rPr>
  </w:style>
  <w:style w:type="character" w:customStyle="1" w:styleId="CommentTextChar">
    <w:name w:val="Comment Text Char"/>
    <w:basedOn w:val="DefaultParagraphFont"/>
    <w:link w:val="CommentText"/>
    <w:semiHidden/>
    <w:rsid w:val="005C54DA"/>
    <w:rPr>
      <w:szCs w:val="24"/>
    </w:rPr>
  </w:style>
  <w:style w:type="paragraph" w:styleId="Revision">
    <w:name w:val="Revision"/>
    <w:hidden/>
    <w:uiPriority w:val="99"/>
    <w:semiHidden/>
    <w:rsid w:val="00422E2C"/>
    <w:rPr>
      <w:sz w:val="26"/>
      <w:szCs w:val="24"/>
    </w:rPr>
  </w:style>
  <w:style w:type="paragraph" w:customStyle="1" w:styleId="BoxSpaceAbove">
    <w:name w:val="Box Space Above"/>
    <w:basedOn w:val="BodyText"/>
    <w:rsid w:val="00683E1E"/>
    <w:pPr>
      <w:keepNext/>
      <w:spacing w:before="360" w:line="80" w:lineRule="exact"/>
      <w:jc w:val="left"/>
    </w:pPr>
  </w:style>
  <w:style w:type="paragraph" w:customStyle="1" w:styleId="BoxSpaceBelow">
    <w:name w:val="Box Space Below"/>
    <w:basedOn w:val="Box"/>
    <w:rsid w:val="00683E1E"/>
    <w:pPr>
      <w:keepNext w:val="0"/>
      <w:spacing w:before="60" w:after="60" w:line="80" w:lineRule="exact"/>
    </w:pPr>
    <w:rPr>
      <w:sz w:val="14"/>
    </w:rPr>
  </w:style>
  <w:style w:type="paragraph" w:customStyle="1" w:styleId="Default">
    <w:name w:val="Default"/>
    <w:rsid w:val="00751EA8"/>
    <w:pPr>
      <w:autoSpaceDE w:val="0"/>
      <w:autoSpaceDN w:val="0"/>
      <w:adjustRightInd w:val="0"/>
    </w:pPr>
    <w:rPr>
      <w:rFonts w:ascii="Frutiger LT Std 45 Light" w:hAnsi="Frutiger LT Std 45 Light" w:cs="Frutiger LT Std 45 Light"/>
      <w:color w:val="000000"/>
      <w:sz w:val="24"/>
      <w:szCs w:val="24"/>
    </w:rPr>
  </w:style>
  <w:style w:type="character" w:customStyle="1" w:styleId="Heading3Char">
    <w:name w:val="Heading 3 Char"/>
    <w:basedOn w:val="DefaultParagraphFont"/>
    <w:link w:val="Heading3"/>
    <w:rsid w:val="00112967"/>
    <w:rPr>
      <w:rFonts w:ascii="Arial" w:hAnsi="Arial"/>
      <w:b/>
      <w:sz w:val="26"/>
    </w:rPr>
  </w:style>
  <w:style w:type="character" w:customStyle="1" w:styleId="BodyTextChar">
    <w:name w:val="Body Text Char"/>
    <w:basedOn w:val="DefaultParagraphFont"/>
    <w:link w:val="BodyText"/>
    <w:rsid w:val="00683E1E"/>
    <w:rPr>
      <w:sz w:val="24"/>
    </w:rPr>
  </w:style>
  <w:style w:type="character" w:customStyle="1" w:styleId="BoxListBullet2Char">
    <w:name w:val="Box List Bullet 2 Char"/>
    <w:basedOn w:val="BoxChar"/>
    <w:link w:val="BoxListBullet2"/>
    <w:rsid w:val="00394397"/>
    <w:rPr>
      <w:rFonts w:ascii="Arial" w:hAnsi="Arial"/>
    </w:rPr>
  </w:style>
  <w:style w:type="character" w:customStyle="1" w:styleId="BoxListBulletChar">
    <w:name w:val="Box List Bullet Char"/>
    <w:basedOn w:val="BoxChar"/>
    <w:link w:val="BoxListBullet"/>
    <w:rsid w:val="00394397"/>
    <w:rPr>
      <w:rFonts w:ascii="Arial" w:hAnsi="Arial"/>
    </w:rPr>
  </w:style>
  <w:style w:type="paragraph" w:customStyle="1" w:styleId="KeyPointsListBullet">
    <w:name w:val="Key Points List Bullet"/>
    <w:basedOn w:val="Normal"/>
    <w:qFormat/>
    <w:rsid w:val="00683E1E"/>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683E1E"/>
    <w:pPr>
      <w:numPr>
        <w:numId w:val="19"/>
      </w:numPr>
      <w:ind w:left="568" w:hanging="284"/>
    </w:pPr>
  </w:style>
  <w:style w:type="paragraph" w:customStyle="1" w:styleId="InformationRequestTitle">
    <w:name w:val="Information Request Title"/>
    <w:basedOn w:val="FindingTitle"/>
    <w:next w:val="InformationRequest"/>
    <w:rsid w:val="00683E1E"/>
    <w:rPr>
      <w:i/>
    </w:rPr>
  </w:style>
  <w:style w:type="paragraph" w:customStyle="1" w:styleId="Space">
    <w:name w:val="Space"/>
    <w:basedOn w:val="Normal"/>
    <w:rsid w:val="00683E1E"/>
    <w:pPr>
      <w:keepNext/>
      <w:spacing w:line="120" w:lineRule="exact"/>
      <w:jc w:val="both"/>
    </w:pPr>
    <w:rPr>
      <w:rFonts w:ascii="Arial" w:hAnsi="Arial"/>
      <w:sz w:val="20"/>
      <w:szCs w:val="20"/>
    </w:rPr>
  </w:style>
  <w:style w:type="paragraph" w:customStyle="1" w:styleId="Heading1nochapterno">
    <w:name w:val="Heading 1 (no chapter no.)"/>
    <w:basedOn w:val="Heading1"/>
    <w:rsid w:val="00683E1E"/>
    <w:pPr>
      <w:spacing w:before="0"/>
      <w:ind w:left="0" w:firstLine="0"/>
    </w:pPr>
  </w:style>
  <w:style w:type="paragraph" w:customStyle="1" w:styleId="Heading2nosectionno">
    <w:name w:val="Heading 2 (no section no.)"/>
    <w:basedOn w:val="Heading2"/>
    <w:rsid w:val="00683E1E"/>
    <w:pPr>
      <w:ind w:left="0" w:firstLine="0"/>
    </w:pPr>
  </w:style>
  <w:style w:type="character" w:customStyle="1" w:styleId="Heading5Char">
    <w:name w:val="Heading 5 Char"/>
    <w:basedOn w:val="DefaultParagraphFont"/>
    <w:link w:val="Heading5"/>
    <w:rsid w:val="00683E1E"/>
    <w:rPr>
      <w:rFonts w:ascii="Arial" w:hAnsi="Arial"/>
      <w:i/>
      <w:sz w:val="22"/>
    </w:rPr>
  </w:style>
  <w:style w:type="paragraph" w:customStyle="1" w:styleId="Figurespace">
    <w:name w:val="Figure space"/>
    <w:basedOn w:val="Box"/>
    <w:rsid w:val="00683E1E"/>
    <w:pPr>
      <w:spacing w:before="0" w:line="120" w:lineRule="exact"/>
    </w:pPr>
  </w:style>
  <w:style w:type="paragraph" w:customStyle="1" w:styleId="FooterDraftReport">
    <w:name w:val="FooterDraftReport"/>
    <w:basedOn w:val="Footer"/>
    <w:link w:val="FooterDraftReportChar"/>
    <w:rsid w:val="00683E1E"/>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683E1E"/>
    <w:rPr>
      <w:rFonts w:ascii="Arial" w:hAnsi="Arial"/>
      <w:caps/>
      <w:spacing w:val="-4"/>
      <w:sz w:val="16"/>
    </w:rPr>
  </w:style>
  <w:style w:type="character" w:customStyle="1" w:styleId="FooterDraftReportChar">
    <w:name w:val="FooterDraftReport Char"/>
    <w:basedOn w:val="FooterChar"/>
    <w:link w:val="FooterDraftReport"/>
    <w:rsid w:val="00683E1E"/>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683E1E"/>
    <w:rPr>
      <w:rFonts w:ascii="Arial" w:hAnsi="Arial"/>
      <w:b/>
      <w:sz w:val="26"/>
      <w:szCs w:val="26"/>
      <w:lang w:eastAsia="en-US"/>
    </w:rPr>
  </w:style>
  <w:style w:type="paragraph" w:customStyle="1" w:styleId="Heading1NotTOC">
    <w:name w:val="Heading 1 Not TOC"/>
    <w:basedOn w:val="Heading1"/>
    <w:next w:val="BodyText"/>
    <w:rsid w:val="00BC49F4"/>
    <w:rPr>
      <w:kern w:val="28"/>
      <w:szCs w:val="26"/>
      <w:lang w:eastAsia="en-US"/>
    </w:rPr>
  </w:style>
  <w:style w:type="character" w:customStyle="1" w:styleId="TableBodyTextChar">
    <w:name w:val="Table Body Text Char"/>
    <w:link w:val="TableBodyText"/>
    <w:rsid w:val="0000489F"/>
    <w:rPr>
      <w:rFonts w:ascii="Arial" w:hAnsi="Arial"/>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683E1E"/>
    <w:rPr>
      <w:sz w:val="24"/>
      <w:szCs w:val="24"/>
    </w:rPr>
  </w:style>
  <w:style w:type="paragraph" w:styleId="Heading1">
    <w:name w:val="heading 1"/>
    <w:basedOn w:val="BodyText"/>
    <w:next w:val="BodyText"/>
    <w:rsid w:val="00683E1E"/>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683E1E"/>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683E1E"/>
    <w:pPr>
      <w:spacing w:before="560" w:line="320" w:lineRule="exact"/>
      <w:ind w:left="0" w:firstLine="0"/>
      <w:outlineLvl w:val="2"/>
    </w:pPr>
    <w:rPr>
      <w:sz w:val="26"/>
    </w:rPr>
  </w:style>
  <w:style w:type="paragraph" w:styleId="Heading4">
    <w:name w:val="heading 4"/>
    <w:basedOn w:val="Heading3"/>
    <w:next w:val="BodyText"/>
    <w:link w:val="Heading4Char"/>
    <w:qFormat/>
    <w:rsid w:val="00683E1E"/>
    <w:pPr>
      <w:spacing w:before="480"/>
      <w:outlineLvl w:val="3"/>
    </w:pPr>
    <w:rPr>
      <w:b w:val="0"/>
      <w:sz w:val="24"/>
    </w:rPr>
  </w:style>
  <w:style w:type="paragraph" w:styleId="Heading5">
    <w:name w:val="heading 5"/>
    <w:basedOn w:val="Heading4"/>
    <w:next w:val="BodyText"/>
    <w:link w:val="Heading5Char"/>
    <w:qFormat/>
    <w:rsid w:val="00683E1E"/>
    <w:pPr>
      <w:outlineLvl w:val="4"/>
    </w:pPr>
    <w:rPr>
      <w:i/>
      <w:sz w:val="22"/>
    </w:rPr>
  </w:style>
  <w:style w:type="paragraph" w:styleId="Heading6">
    <w:name w:val="heading 6"/>
    <w:basedOn w:val="BodyText"/>
    <w:next w:val="BodyText"/>
    <w:rsid w:val="00683E1E"/>
    <w:pPr>
      <w:spacing w:after="60"/>
      <w:jc w:val="left"/>
      <w:outlineLvl w:val="5"/>
    </w:pPr>
    <w:rPr>
      <w:i/>
      <w:sz w:val="22"/>
    </w:rPr>
  </w:style>
  <w:style w:type="paragraph" w:styleId="Heading7">
    <w:name w:val="heading 7"/>
    <w:basedOn w:val="BodyText"/>
    <w:next w:val="BodyText"/>
    <w:rsid w:val="00683E1E"/>
    <w:pPr>
      <w:spacing w:after="60" w:line="240" w:lineRule="auto"/>
      <w:jc w:val="left"/>
      <w:outlineLvl w:val="6"/>
    </w:pPr>
    <w:rPr>
      <w:rFonts w:ascii="Arial" w:hAnsi="Arial"/>
      <w:sz w:val="20"/>
    </w:rPr>
  </w:style>
  <w:style w:type="paragraph" w:styleId="Heading8">
    <w:name w:val="heading 8"/>
    <w:basedOn w:val="BodyText"/>
    <w:next w:val="BodyText"/>
    <w:rsid w:val="00683E1E"/>
    <w:pPr>
      <w:spacing w:after="60" w:line="240" w:lineRule="auto"/>
      <w:jc w:val="left"/>
      <w:outlineLvl w:val="7"/>
    </w:pPr>
    <w:rPr>
      <w:rFonts w:ascii="Arial" w:hAnsi="Arial"/>
      <w:i/>
      <w:sz w:val="20"/>
    </w:rPr>
  </w:style>
  <w:style w:type="paragraph" w:styleId="Heading9">
    <w:name w:val="heading 9"/>
    <w:basedOn w:val="BodyText"/>
    <w:next w:val="BodyText"/>
    <w:rsid w:val="00683E1E"/>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683E1E"/>
    <w:pPr>
      <w:spacing w:before="240" w:line="300" w:lineRule="atLeast"/>
      <w:jc w:val="both"/>
    </w:pPr>
    <w:rPr>
      <w:sz w:val="24"/>
    </w:rPr>
  </w:style>
  <w:style w:type="paragraph" w:customStyle="1" w:styleId="Chapter">
    <w:name w:val="Chapter"/>
    <w:basedOn w:val="Heading1"/>
    <w:next w:val="BodyText"/>
    <w:semiHidden/>
    <w:rsid w:val="00683E1E"/>
    <w:pPr>
      <w:ind w:left="0" w:firstLine="0"/>
      <w:outlineLvl w:val="9"/>
    </w:pPr>
  </w:style>
  <w:style w:type="paragraph" w:customStyle="1" w:styleId="SequenceInfo">
    <w:name w:val="Sequence Info"/>
    <w:basedOn w:val="BodyText"/>
    <w:semiHidden/>
    <w:rsid w:val="00683E1E"/>
    <w:rPr>
      <w:vanish/>
      <w:sz w:val="16"/>
    </w:rPr>
  </w:style>
  <w:style w:type="character" w:styleId="CommentReference">
    <w:name w:val="annotation reference"/>
    <w:basedOn w:val="DefaultParagraphFont"/>
    <w:rsid w:val="00683E1E"/>
    <w:rPr>
      <w:b/>
      <w:vanish/>
      <w:color w:val="FF00FF"/>
      <w:sz w:val="20"/>
    </w:rPr>
  </w:style>
  <w:style w:type="paragraph" w:styleId="CommentText">
    <w:name w:val="annotation text"/>
    <w:basedOn w:val="Normal"/>
    <w:link w:val="CommentTextChar"/>
    <w:semiHidden/>
    <w:rsid w:val="00683E1E"/>
    <w:pPr>
      <w:spacing w:before="120" w:line="240" w:lineRule="atLeast"/>
      <w:ind w:left="567" w:hanging="567"/>
    </w:pPr>
    <w:rPr>
      <w:sz w:val="20"/>
    </w:rPr>
  </w:style>
  <w:style w:type="paragraph" w:customStyle="1" w:styleId="Abbreviation">
    <w:name w:val="Abbreviation"/>
    <w:basedOn w:val="BodyText"/>
    <w:rsid w:val="00683E1E"/>
    <w:pPr>
      <w:spacing w:before="120"/>
      <w:ind w:left="2381" w:hanging="2381"/>
      <w:jc w:val="left"/>
    </w:pPr>
  </w:style>
  <w:style w:type="paragraph" w:customStyle="1" w:styleId="Box">
    <w:name w:val="Box"/>
    <w:basedOn w:val="BodyText"/>
    <w:link w:val="BoxChar"/>
    <w:qFormat/>
    <w:rsid w:val="00683E1E"/>
    <w:pPr>
      <w:keepNext/>
      <w:spacing w:before="120" w:line="260" w:lineRule="atLeast"/>
    </w:pPr>
    <w:rPr>
      <w:rFonts w:ascii="Arial" w:hAnsi="Arial"/>
      <w:sz w:val="20"/>
    </w:rPr>
  </w:style>
  <w:style w:type="paragraph" w:customStyle="1" w:styleId="QuoteBullet">
    <w:name w:val="Quote Bullet"/>
    <w:basedOn w:val="Quote"/>
    <w:rsid w:val="00683E1E"/>
    <w:pPr>
      <w:numPr>
        <w:numId w:val="11"/>
      </w:numPr>
    </w:pPr>
  </w:style>
  <w:style w:type="paragraph" w:customStyle="1" w:styleId="BoxListBullet">
    <w:name w:val="Box List Bullet"/>
    <w:basedOn w:val="BodyText"/>
    <w:link w:val="BoxListBulletChar"/>
    <w:rsid w:val="00683E1E"/>
    <w:pPr>
      <w:keepNext/>
      <w:numPr>
        <w:numId w:val="6"/>
      </w:numPr>
      <w:spacing w:before="100" w:line="260" w:lineRule="atLeast"/>
    </w:pPr>
    <w:rPr>
      <w:rFonts w:ascii="Arial" w:hAnsi="Arial"/>
      <w:sz w:val="20"/>
    </w:rPr>
  </w:style>
  <w:style w:type="paragraph" w:customStyle="1" w:styleId="BoxListBullet2">
    <w:name w:val="Box List Bullet 2"/>
    <w:basedOn w:val="BoxListBullet"/>
    <w:link w:val="BoxListBullet2Char"/>
    <w:rsid w:val="00683E1E"/>
    <w:pPr>
      <w:numPr>
        <w:numId w:val="3"/>
      </w:numPr>
      <w:ind w:left="568" w:hanging="284"/>
    </w:pPr>
  </w:style>
  <w:style w:type="paragraph" w:customStyle="1" w:styleId="BoxListNumber">
    <w:name w:val="Box List Number"/>
    <w:basedOn w:val="BodyText"/>
    <w:rsid w:val="00683E1E"/>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683E1E"/>
    <w:pPr>
      <w:numPr>
        <w:ilvl w:val="1"/>
      </w:numPr>
      <w:ind w:left="681" w:hanging="397"/>
    </w:pPr>
  </w:style>
  <w:style w:type="paragraph" w:customStyle="1" w:styleId="BoxQuote">
    <w:name w:val="Box Quote"/>
    <w:basedOn w:val="BodyText"/>
    <w:next w:val="Box"/>
    <w:qFormat/>
    <w:rsid w:val="00683E1E"/>
    <w:pPr>
      <w:keepNext/>
      <w:spacing w:before="60" w:line="240" w:lineRule="exact"/>
      <w:ind w:left="284"/>
    </w:pPr>
    <w:rPr>
      <w:rFonts w:ascii="Arial" w:hAnsi="Arial"/>
      <w:sz w:val="18"/>
    </w:rPr>
  </w:style>
  <w:style w:type="paragraph" w:customStyle="1" w:styleId="BoxSource">
    <w:name w:val="Box Source"/>
    <w:basedOn w:val="Source"/>
    <w:next w:val="BodyText"/>
    <w:rsid w:val="00683E1E"/>
    <w:pPr>
      <w:spacing w:before="120"/>
    </w:pPr>
  </w:style>
  <w:style w:type="paragraph" w:customStyle="1" w:styleId="BoxSpace">
    <w:name w:val="Box Space"/>
    <w:basedOn w:val="BodyText"/>
    <w:rsid w:val="00DA56CA"/>
    <w:pPr>
      <w:keepNext/>
      <w:spacing w:before="360" w:line="80" w:lineRule="exact"/>
      <w:jc w:val="left"/>
    </w:pPr>
  </w:style>
  <w:style w:type="paragraph" w:customStyle="1" w:styleId="BoxSubtitle">
    <w:name w:val="Box Subtitle"/>
    <w:basedOn w:val="BoxTitle"/>
    <w:next w:val="Normal"/>
    <w:rsid w:val="00683E1E"/>
    <w:pPr>
      <w:spacing w:after="80" w:line="200" w:lineRule="exact"/>
      <w:ind w:firstLine="0"/>
    </w:pPr>
    <w:rPr>
      <w:b w:val="0"/>
      <w:sz w:val="20"/>
    </w:rPr>
  </w:style>
  <w:style w:type="paragraph" w:customStyle="1" w:styleId="BoxTitle">
    <w:name w:val="Box Title"/>
    <w:basedOn w:val="Caption"/>
    <w:next w:val="BoxSubtitle"/>
    <w:rsid w:val="00683E1E"/>
    <w:pPr>
      <w:spacing w:before="120" w:after="0"/>
    </w:pPr>
  </w:style>
  <w:style w:type="paragraph" w:styleId="Caption">
    <w:name w:val="caption"/>
    <w:basedOn w:val="Normal"/>
    <w:next w:val="BodyText"/>
    <w:rsid w:val="00683E1E"/>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683E1E"/>
    <w:pPr>
      <w:spacing w:line="280" w:lineRule="atLeast"/>
      <w:ind w:left="907"/>
    </w:pPr>
    <w:rPr>
      <w:rFonts w:ascii="Arial" w:hAnsi="Arial"/>
      <w:b/>
      <w:sz w:val="20"/>
    </w:rPr>
  </w:style>
  <w:style w:type="character" w:customStyle="1" w:styleId="DocumentInfo">
    <w:name w:val="Document Info"/>
    <w:basedOn w:val="DefaultParagraphFont"/>
    <w:semiHidden/>
    <w:rsid w:val="00683E1E"/>
    <w:rPr>
      <w:rFonts w:ascii="Arial" w:hAnsi="Arial"/>
      <w:sz w:val="14"/>
    </w:rPr>
  </w:style>
  <w:style w:type="paragraph" w:styleId="Footer">
    <w:name w:val="footer"/>
    <w:basedOn w:val="BodyText"/>
    <w:link w:val="FooterChar"/>
    <w:rsid w:val="00683E1E"/>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683E1E"/>
    <w:rPr>
      <w:b/>
      <w:color w:val="FF0000"/>
      <w:sz w:val="24"/>
      <w:u w:val="dotted"/>
    </w:rPr>
  </w:style>
  <w:style w:type="paragraph" w:customStyle="1" w:styleId="BoxContinued">
    <w:name w:val="Box Continued"/>
    <w:basedOn w:val="BodyText"/>
    <w:next w:val="BodyText"/>
    <w:semiHidden/>
    <w:rsid w:val="00683E1E"/>
    <w:pPr>
      <w:spacing w:before="180" w:line="220" w:lineRule="exact"/>
      <w:jc w:val="right"/>
    </w:pPr>
    <w:rPr>
      <w:rFonts w:ascii="Arial" w:hAnsi="Arial"/>
      <w:sz w:val="18"/>
    </w:rPr>
  </w:style>
  <w:style w:type="paragraph" w:customStyle="1" w:styleId="Figure">
    <w:name w:val="Figure"/>
    <w:basedOn w:val="BodyText"/>
    <w:rsid w:val="00683E1E"/>
    <w:pPr>
      <w:keepNext/>
      <w:spacing w:before="120" w:after="120" w:line="240" w:lineRule="atLeast"/>
      <w:jc w:val="center"/>
    </w:pPr>
  </w:style>
  <w:style w:type="paragraph" w:customStyle="1" w:styleId="FigureTitle">
    <w:name w:val="Figure Title"/>
    <w:basedOn w:val="Caption"/>
    <w:next w:val="Subtitle"/>
    <w:link w:val="FigureTitleChar"/>
    <w:rsid w:val="00683E1E"/>
    <w:pPr>
      <w:spacing w:before="120"/>
    </w:pPr>
  </w:style>
  <w:style w:type="paragraph" w:styleId="Subtitle">
    <w:name w:val="Subtitle"/>
    <w:basedOn w:val="Caption"/>
    <w:link w:val="SubtitleChar"/>
    <w:qFormat/>
    <w:rsid w:val="00683E1E"/>
    <w:pPr>
      <w:spacing w:before="0" w:line="200" w:lineRule="exact"/>
      <w:ind w:firstLine="0"/>
    </w:pPr>
    <w:rPr>
      <w:b w:val="0"/>
      <w:sz w:val="20"/>
    </w:rPr>
  </w:style>
  <w:style w:type="paragraph" w:customStyle="1" w:styleId="Finding">
    <w:name w:val="Finding"/>
    <w:basedOn w:val="BodyText"/>
    <w:rsid w:val="00683E1E"/>
    <w:pPr>
      <w:keepLines/>
      <w:spacing w:before="120" w:line="280" w:lineRule="atLeast"/>
    </w:pPr>
    <w:rPr>
      <w:rFonts w:ascii="Arial" w:hAnsi="Arial"/>
      <w:sz w:val="22"/>
    </w:rPr>
  </w:style>
  <w:style w:type="paragraph" w:customStyle="1" w:styleId="FindingBullet">
    <w:name w:val="Finding Bullet"/>
    <w:basedOn w:val="Finding"/>
    <w:rsid w:val="00683E1E"/>
    <w:pPr>
      <w:numPr>
        <w:numId w:val="7"/>
      </w:numPr>
      <w:spacing w:before="80"/>
    </w:pPr>
  </w:style>
  <w:style w:type="paragraph" w:customStyle="1" w:styleId="FindingNoTitle">
    <w:name w:val="Finding NoTitle"/>
    <w:basedOn w:val="Finding"/>
    <w:rsid w:val="00683E1E"/>
    <w:pPr>
      <w:spacing w:before="240"/>
    </w:pPr>
  </w:style>
  <w:style w:type="paragraph" w:customStyle="1" w:styleId="FindingTitle">
    <w:name w:val="Finding Title"/>
    <w:basedOn w:val="RecTitle"/>
    <w:next w:val="Finding"/>
    <w:rsid w:val="00683E1E"/>
  </w:style>
  <w:style w:type="paragraph" w:customStyle="1" w:styleId="FooterEnd">
    <w:name w:val="Footer End"/>
    <w:basedOn w:val="Footer"/>
    <w:rsid w:val="00683E1E"/>
    <w:pPr>
      <w:spacing w:before="0" w:line="20" w:lineRule="exact"/>
    </w:pPr>
  </w:style>
  <w:style w:type="character" w:styleId="FootnoteReference">
    <w:name w:val="footnote reference"/>
    <w:basedOn w:val="DefaultParagraphFont"/>
    <w:semiHidden/>
    <w:rsid w:val="00683E1E"/>
    <w:rPr>
      <w:rFonts w:ascii="Times New Roman" w:hAnsi="Times New Roman"/>
      <w:position w:val="6"/>
      <w:sz w:val="20"/>
      <w:vertAlign w:val="baseline"/>
    </w:rPr>
  </w:style>
  <w:style w:type="paragraph" w:styleId="FootnoteText">
    <w:name w:val="footnote text"/>
    <w:basedOn w:val="BodyText"/>
    <w:rsid w:val="00683E1E"/>
    <w:pPr>
      <w:tabs>
        <w:tab w:val="left" w:pos="284"/>
      </w:tabs>
      <w:spacing w:before="80" w:line="240" w:lineRule="exact"/>
      <w:ind w:left="284" w:hanging="284"/>
    </w:pPr>
    <w:rPr>
      <w:sz w:val="20"/>
    </w:rPr>
  </w:style>
  <w:style w:type="paragraph" w:styleId="Header">
    <w:name w:val="header"/>
    <w:basedOn w:val="BodyText"/>
    <w:rsid w:val="00683E1E"/>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683E1E"/>
    <w:pPr>
      <w:spacing w:line="20" w:lineRule="exact"/>
    </w:pPr>
    <w:rPr>
      <w:sz w:val="16"/>
    </w:rPr>
  </w:style>
  <w:style w:type="paragraph" w:customStyle="1" w:styleId="HeaderEven">
    <w:name w:val="Header Even"/>
    <w:basedOn w:val="Header"/>
    <w:semiHidden/>
    <w:rsid w:val="00683E1E"/>
  </w:style>
  <w:style w:type="paragraph" w:customStyle="1" w:styleId="HeaderOdd">
    <w:name w:val="Header Odd"/>
    <w:basedOn w:val="Header"/>
    <w:semiHidden/>
    <w:rsid w:val="00683E1E"/>
  </w:style>
  <w:style w:type="paragraph" w:customStyle="1" w:styleId="InformationRequest">
    <w:name w:val="Information Request"/>
    <w:basedOn w:val="Finding"/>
    <w:next w:val="BodyText"/>
    <w:rsid w:val="00683E1E"/>
    <w:rPr>
      <w:i/>
    </w:rPr>
  </w:style>
  <w:style w:type="paragraph" w:styleId="ListBullet">
    <w:name w:val="List Bullet"/>
    <w:basedOn w:val="BodyText"/>
    <w:rsid w:val="00683E1E"/>
    <w:pPr>
      <w:numPr>
        <w:numId w:val="5"/>
      </w:numPr>
      <w:spacing w:before="120"/>
    </w:pPr>
  </w:style>
  <w:style w:type="paragraph" w:styleId="ListBullet2">
    <w:name w:val="List Bullet 2"/>
    <w:basedOn w:val="BodyText"/>
    <w:rsid w:val="00683E1E"/>
    <w:pPr>
      <w:numPr>
        <w:numId w:val="2"/>
      </w:numPr>
      <w:spacing w:before="120"/>
    </w:pPr>
  </w:style>
  <w:style w:type="paragraph" w:styleId="ListBullet3">
    <w:name w:val="List Bullet 3"/>
    <w:basedOn w:val="BodyText"/>
    <w:rsid w:val="00683E1E"/>
    <w:pPr>
      <w:numPr>
        <w:numId w:val="1"/>
      </w:numPr>
      <w:spacing w:before="120"/>
      <w:ind w:left="1020" w:hanging="340"/>
    </w:pPr>
  </w:style>
  <w:style w:type="paragraph" w:styleId="ListNumber">
    <w:name w:val="List Number"/>
    <w:basedOn w:val="BodyText"/>
    <w:rsid w:val="00683E1E"/>
    <w:pPr>
      <w:numPr>
        <w:numId w:val="13"/>
      </w:numPr>
      <w:spacing w:before="120"/>
    </w:pPr>
  </w:style>
  <w:style w:type="paragraph" w:styleId="ListNumber2">
    <w:name w:val="List Number 2"/>
    <w:basedOn w:val="ListNumber"/>
    <w:rsid w:val="00683E1E"/>
    <w:pPr>
      <w:numPr>
        <w:ilvl w:val="1"/>
      </w:numPr>
    </w:pPr>
  </w:style>
  <w:style w:type="paragraph" w:styleId="ListNumber3">
    <w:name w:val="List Number 3"/>
    <w:basedOn w:val="ListNumber2"/>
    <w:rsid w:val="00683E1E"/>
    <w:pPr>
      <w:numPr>
        <w:ilvl w:val="2"/>
      </w:numPr>
    </w:pPr>
  </w:style>
  <w:style w:type="paragraph" w:customStyle="1" w:styleId="Note">
    <w:name w:val="Note"/>
    <w:basedOn w:val="BodyText"/>
    <w:next w:val="BodyText"/>
    <w:link w:val="NoteChar"/>
    <w:rsid w:val="00683E1E"/>
    <w:pPr>
      <w:keepLines/>
      <w:spacing w:before="80" w:line="220" w:lineRule="exact"/>
    </w:pPr>
    <w:rPr>
      <w:rFonts w:ascii="Arial" w:hAnsi="Arial"/>
      <w:sz w:val="18"/>
    </w:rPr>
  </w:style>
  <w:style w:type="character" w:customStyle="1" w:styleId="NoteLabel">
    <w:name w:val="Note Label"/>
    <w:basedOn w:val="DefaultParagraphFont"/>
    <w:rsid w:val="00683E1E"/>
    <w:rPr>
      <w:rFonts w:ascii="Arial" w:hAnsi="Arial"/>
      <w:b/>
      <w:position w:val="6"/>
      <w:sz w:val="18"/>
    </w:rPr>
  </w:style>
  <w:style w:type="character" w:styleId="PageNumber">
    <w:name w:val="page number"/>
    <w:basedOn w:val="DefaultParagraphFont"/>
    <w:rsid w:val="00683E1E"/>
    <w:rPr>
      <w:rFonts w:ascii="Arial" w:hAnsi="Arial"/>
      <w:b/>
      <w:sz w:val="16"/>
    </w:rPr>
  </w:style>
  <w:style w:type="paragraph" w:customStyle="1" w:styleId="PartDivider">
    <w:name w:val="Part Divider"/>
    <w:basedOn w:val="BodyText"/>
    <w:next w:val="BodyText"/>
    <w:semiHidden/>
    <w:rsid w:val="00683E1E"/>
    <w:pPr>
      <w:spacing w:before="0" w:line="40" w:lineRule="exact"/>
      <w:jc w:val="right"/>
    </w:pPr>
    <w:rPr>
      <w:smallCaps/>
      <w:sz w:val="16"/>
    </w:rPr>
  </w:style>
  <w:style w:type="paragraph" w:customStyle="1" w:styleId="PartNumber">
    <w:name w:val="Part Number"/>
    <w:basedOn w:val="BodyText"/>
    <w:next w:val="BodyText"/>
    <w:semiHidden/>
    <w:rsid w:val="00683E1E"/>
    <w:pPr>
      <w:spacing w:before="4000" w:line="320" w:lineRule="exact"/>
      <w:ind w:left="6634"/>
      <w:jc w:val="right"/>
    </w:pPr>
    <w:rPr>
      <w:smallCaps/>
      <w:spacing w:val="60"/>
      <w:sz w:val="32"/>
    </w:rPr>
  </w:style>
  <w:style w:type="paragraph" w:customStyle="1" w:styleId="PartTitle">
    <w:name w:val="Part Title"/>
    <w:basedOn w:val="BodyText"/>
    <w:semiHidden/>
    <w:rsid w:val="00683E1E"/>
    <w:pPr>
      <w:spacing w:before="160" w:after="1360" w:line="520" w:lineRule="exact"/>
      <w:ind w:right="2381"/>
      <w:jc w:val="right"/>
    </w:pPr>
    <w:rPr>
      <w:smallCaps/>
      <w:sz w:val="52"/>
    </w:rPr>
  </w:style>
  <w:style w:type="paragraph" w:styleId="Quote">
    <w:name w:val="Quote"/>
    <w:basedOn w:val="BodyText"/>
    <w:next w:val="BodyText"/>
    <w:qFormat/>
    <w:rsid w:val="00683E1E"/>
    <w:pPr>
      <w:spacing w:before="120" w:line="280" w:lineRule="exact"/>
      <w:ind w:left="340"/>
    </w:pPr>
    <w:rPr>
      <w:sz w:val="22"/>
    </w:rPr>
  </w:style>
  <w:style w:type="paragraph" w:customStyle="1" w:styleId="Rec">
    <w:name w:val="Rec"/>
    <w:basedOn w:val="BodyText"/>
    <w:qFormat/>
    <w:rsid w:val="00683E1E"/>
    <w:pPr>
      <w:keepLines/>
      <w:spacing w:before="120" w:line="280" w:lineRule="atLeast"/>
    </w:pPr>
    <w:rPr>
      <w:rFonts w:ascii="Arial" w:hAnsi="Arial"/>
      <w:sz w:val="22"/>
    </w:rPr>
  </w:style>
  <w:style w:type="paragraph" w:customStyle="1" w:styleId="RecBullet">
    <w:name w:val="Rec Bullet"/>
    <w:basedOn w:val="Rec"/>
    <w:rsid w:val="00683E1E"/>
    <w:pPr>
      <w:numPr>
        <w:numId w:val="8"/>
      </w:numPr>
      <w:spacing w:before="80"/>
    </w:pPr>
  </w:style>
  <w:style w:type="paragraph" w:customStyle="1" w:styleId="RecTitle">
    <w:name w:val="Rec Title"/>
    <w:basedOn w:val="BodyText"/>
    <w:next w:val="Rec"/>
    <w:qFormat/>
    <w:rsid w:val="00683E1E"/>
    <w:pPr>
      <w:keepNext/>
      <w:keepLines/>
      <w:spacing w:line="280" w:lineRule="atLeast"/>
    </w:pPr>
    <w:rPr>
      <w:rFonts w:ascii="Arial" w:hAnsi="Arial"/>
      <w:caps/>
      <w:sz w:val="18"/>
    </w:rPr>
  </w:style>
  <w:style w:type="paragraph" w:customStyle="1" w:styleId="RecB">
    <w:name w:val="RecB"/>
    <w:basedOn w:val="Normal"/>
    <w:rsid w:val="00683E1E"/>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683E1E"/>
    <w:pPr>
      <w:numPr>
        <w:numId w:val="9"/>
      </w:numPr>
      <w:spacing w:before="80"/>
    </w:pPr>
  </w:style>
  <w:style w:type="paragraph" w:customStyle="1" w:styleId="RecBNoTitle">
    <w:name w:val="RecB NoTitle"/>
    <w:basedOn w:val="RecB"/>
    <w:rsid w:val="00683E1E"/>
    <w:pPr>
      <w:spacing w:before="240"/>
    </w:pPr>
  </w:style>
  <w:style w:type="paragraph" w:customStyle="1" w:styleId="Reference">
    <w:name w:val="Reference"/>
    <w:basedOn w:val="BodyText"/>
    <w:link w:val="ReferenceChar"/>
    <w:rsid w:val="00683E1E"/>
    <w:pPr>
      <w:spacing w:before="120"/>
      <w:ind w:left="340" w:hanging="340"/>
    </w:pPr>
  </w:style>
  <w:style w:type="paragraph" w:customStyle="1" w:styleId="SideNote">
    <w:name w:val="Side Note"/>
    <w:basedOn w:val="BodyText"/>
    <w:next w:val="BodyText"/>
    <w:semiHidden/>
    <w:rsid w:val="00683E1E"/>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683E1E"/>
    <w:pPr>
      <w:framePr w:wrap="around"/>
      <w:numPr>
        <w:numId w:val="4"/>
      </w:numPr>
      <w:tabs>
        <w:tab w:val="left" w:pos="227"/>
      </w:tabs>
    </w:pPr>
  </w:style>
  <w:style w:type="paragraph" w:customStyle="1" w:styleId="SideNoteGraphic">
    <w:name w:val="Side Note Graphic"/>
    <w:basedOn w:val="SideNote"/>
    <w:next w:val="BodyText"/>
    <w:semiHidden/>
    <w:rsid w:val="00683E1E"/>
    <w:pPr>
      <w:framePr w:wrap="around"/>
    </w:pPr>
  </w:style>
  <w:style w:type="paragraph" w:customStyle="1" w:styleId="Source">
    <w:name w:val="Source"/>
    <w:basedOn w:val="Normal"/>
    <w:next w:val="BodyText"/>
    <w:link w:val="SourceChar"/>
    <w:rsid w:val="00683E1E"/>
    <w:pPr>
      <w:keepLines/>
      <w:spacing w:before="80" w:line="220" w:lineRule="exact"/>
      <w:jc w:val="both"/>
    </w:pPr>
    <w:rPr>
      <w:rFonts w:ascii="Arial" w:hAnsi="Arial"/>
      <w:sz w:val="18"/>
      <w:szCs w:val="20"/>
    </w:rPr>
  </w:style>
  <w:style w:type="paragraph" w:customStyle="1" w:styleId="TableBodyText">
    <w:name w:val="Table Body Text"/>
    <w:basedOn w:val="BodyText"/>
    <w:link w:val="TableBodyTextChar"/>
    <w:rsid w:val="00683E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683E1E"/>
    <w:pPr>
      <w:numPr>
        <w:numId w:val="10"/>
      </w:numPr>
      <w:jc w:val="left"/>
    </w:pPr>
  </w:style>
  <w:style w:type="paragraph" w:customStyle="1" w:styleId="TableColumnHeading">
    <w:name w:val="Table Column Heading"/>
    <w:basedOn w:val="TableBodyText"/>
    <w:rsid w:val="00683E1E"/>
    <w:pPr>
      <w:spacing w:before="80" w:after="80"/>
    </w:pPr>
    <w:rPr>
      <w:i/>
    </w:rPr>
  </w:style>
  <w:style w:type="paragraph" w:styleId="TableofFigures">
    <w:name w:val="table of figures"/>
    <w:basedOn w:val="TOC3"/>
    <w:next w:val="BodyText"/>
    <w:semiHidden/>
    <w:rsid w:val="00683E1E"/>
    <w:pPr>
      <w:ind w:left="737" w:hanging="737"/>
    </w:pPr>
  </w:style>
  <w:style w:type="paragraph" w:styleId="TOC3">
    <w:name w:val="toc 3"/>
    <w:basedOn w:val="TOC2"/>
    <w:rsid w:val="00683E1E"/>
    <w:pPr>
      <w:spacing w:before="60"/>
      <w:ind w:left="1190" w:hanging="680"/>
    </w:pPr>
  </w:style>
  <w:style w:type="paragraph" w:customStyle="1" w:styleId="TableTitle">
    <w:name w:val="Table Title"/>
    <w:basedOn w:val="Caption"/>
    <w:next w:val="Subtitle"/>
    <w:qFormat/>
    <w:rsid w:val="00683E1E"/>
    <w:pPr>
      <w:spacing w:before="120"/>
    </w:pPr>
  </w:style>
  <w:style w:type="paragraph" w:customStyle="1" w:styleId="TableUnitsRow">
    <w:name w:val="Table Units Row"/>
    <w:basedOn w:val="TableBodyText"/>
    <w:rsid w:val="00683E1E"/>
    <w:pPr>
      <w:spacing w:before="40"/>
    </w:pPr>
  </w:style>
  <w:style w:type="paragraph" w:styleId="TOC1">
    <w:name w:val="toc 1"/>
    <w:basedOn w:val="Normal"/>
    <w:next w:val="TOC2"/>
    <w:link w:val="TOC1Char"/>
    <w:rsid w:val="00683E1E"/>
    <w:pPr>
      <w:tabs>
        <w:tab w:val="right" w:pos="8789"/>
      </w:tabs>
      <w:spacing w:before="120" w:line="320" w:lineRule="exact"/>
      <w:ind w:left="510" w:right="851" w:hanging="510"/>
    </w:pPr>
    <w:rPr>
      <w:rFonts w:ascii="Arial" w:hAnsi="Arial"/>
      <w:b/>
      <w:sz w:val="26"/>
      <w:szCs w:val="26"/>
      <w:lang w:eastAsia="en-US"/>
    </w:rPr>
  </w:style>
  <w:style w:type="paragraph" w:styleId="TOC2">
    <w:name w:val="toc 2"/>
    <w:basedOn w:val="TOC1"/>
    <w:rsid w:val="00683E1E"/>
    <w:pPr>
      <w:ind w:left="1134" w:hanging="624"/>
    </w:pPr>
    <w:rPr>
      <w:b w:val="0"/>
    </w:rPr>
  </w:style>
  <w:style w:type="paragraph" w:styleId="TOC4">
    <w:name w:val="toc 4"/>
    <w:basedOn w:val="TOC3"/>
    <w:semiHidden/>
    <w:rsid w:val="00683E1E"/>
    <w:pPr>
      <w:ind w:left="1191" w:firstLine="0"/>
    </w:pPr>
  </w:style>
  <w:style w:type="paragraph" w:customStyle="1" w:styleId="Jurisdictioncommentsbodytext">
    <w:name w:val="Jurisdiction comments body text"/>
    <w:rsid w:val="00683E1E"/>
    <w:pPr>
      <w:spacing w:after="140"/>
      <w:jc w:val="both"/>
    </w:pPr>
    <w:rPr>
      <w:rFonts w:ascii="Arial" w:hAnsi="Arial"/>
      <w:sz w:val="24"/>
      <w:lang w:eastAsia="en-US"/>
    </w:rPr>
  </w:style>
  <w:style w:type="paragraph" w:customStyle="1" w:styleId="Continued">
    <w:name w:val="Continued"/>
    <w:basedOn w:val="BoxContinued"/>
    <w:next w:val="BodyText"/>
    <w:link w:val="ContinuedChar"/>
    <w:rsid w:val="00683E1E"/>
  </w:style>
  <w:style w:type="paragraph" w:customStyle="1" w:styleId="BoxHeading1">
    <w:name w:val="Box Heading 1"/>
    <w:basedOn w:val="BodyText"/>
    <w:next w:val="Box"/>
    <w:rsid w:val="00683E1E"/>
    <w:pPr>
      <w:keepNext/>
      <w:spacing w:before="200" w:line="280" w:lineRule="atLeast"/>
    </w:pPr>
    <w:rPr>
      <w:rFonts w:ascii="Arial" w:hAnsi="Arial"/>
      <w:b/>
      <w:sz w:val="22"/>
    </w:rPr>
  </w:style>
  <w:style w:type="paragraph" w:customStyle="1" w:styleId="BoxHeading2">
    <w:name w:val="Box Heading 2"/>
    <w:basedOn w:val="BoxHeading1"/>
    <w:next w:val="Normal"/>
    <w:rsid w:val="00683E1E"/>
    <w:rPr>
      <w:b w:val="0"/>
      <w:i/>
    </w:rPr>
  </w:style>
  <w:style w:type="character" w:customStyle="1" w:styleId="ContinuedChar">
    <w:name w:val="Continued Char"/>
    <w:link w:val="Continued"/>
    <w:rsid w:val="009D236F"/>
    <w:rPr>
      <w:rFonts w:ascii="Arial" w:hAnsi="Arial"/>
      <w:sz w:val="18"/>
    </w:rPr>
  </w:style>
  <w:style w:type="table" w:styleId="TableGrid">
    <w:name w:val="Table Grid"/>
    <w:basedOn w:val="TableNormal"/>
    <w:rsid w:val="00683E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Jurisdictioncommentsheading">
    <w:name w:val="Jurisdiction comments heading"/>
    <w:rsid w:val="00683E1E"/>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683E1E"/>
    <w:pPr>
      <w:numPr>
        <w:numId w:val="12"/>
      </w:numPr>
      <w:spacing w:after="140"/>
      <w:jc w:val="both"/>
    </w:pPr>
    <w:rPr>
      <w:rFonts w:ascii="Arial" w:hAnsi="Arial"/>
      <w:sz w:val="24"/>
      <w:lang w:eastAsia="en-US"/>
    </w:rPr>
  </w:style>
  <w:style w:type="paragraph" w:customStyle="1" w:styleId="SOC">
    <w:name w:val="SOC"/>
    <w:basedOn w:val="BodyText"/>
    <w:rsid w:val="0066785F"/>
    <w:pPr>
      <w:spacing w:before="0" w:after="140" w:line="240" w:lineRule="auto"/>
    </w:pPr>
    <w:rPr>
      <w:rFonts w:ascii="Arial" w:hAnsi="Arial"/>
    </w:rPr>
  </w:style>
  <w:style w:type="paragraph" w:styleId="BalloonText">
    <w:name w:val="Balloon Text"/>
    <w:basedOn w:val="Normal"/>
    <w:link w:val="BalloonTextChar"/>
    <w:rsid w:val="00683E1E"/>
    <w:rPr>
      <w:rFonts w:ascii="Tahoma" w:hAnsi="Tahoma" w:cs="Tahoma"/>
      <w:sz w:val="16"/>
      <w:szCs w:val="16"/>
    </w:rPr>
  </w:style>
  <w:style w:type="paragraph" w:styleId="CommentSubject">
    <w:name w:val="annotation subject"/>
    <w:basedOn w:val="CommentText"/>
    <w:next w:val="CommentText"/>
    <w:semiHidden/>
    <w:rsid w:val="004E3A2B"/>
    <w:pPr>
      <w:spacing w:before="0" w:line="240" w:lineRule="auto"/>
      <w:ind w:left="0" w:firstLine="0"/>
    </w:pPr>
    <w:rPr>
      <w:b/>
      <w:bCs/>
    </w:rPr>
  </w:style>
  <w:style w:type="character" w:customStyle="1" w:styleId="NoteChar">
    <w:name w:val="Note Char"/>
    <w:link w:val="Note"/>
    <w:rsid w:val="00663B9A"/>
    <w:rPr>
      <w:rFonts w:ascii="Arial" w:hAnsi="Arial"/>
      <w:sz w:val="18"/>
    </w:rPr>
  </w:style>
  <w:style w:type="character" w:customStyle="1" w:styleId="SourceChar">
    <w:name w:val="Source Char"/>
    <w:basedOn w:val="NoteChar"/>
    <w:link w:val="Source"/>
    <w:rsid w:val="00663B9A"/>
    <w:rPr>
      <w:rFonts w:ascii="Arial" w:hAnsi="Arial"/>
      <w:sz w:val="18"/>
    </w:rPr>
  </w:style>
  <w:style w:type="character" w:customStyle="1" w:styleId="FigureTitleChar">
    <w:name w:val="Figure Title Char"/>
    <w:link w:val="FigureTitle"/>
    <w:rsid w:val="00663B9A"/>
    <w:rPr>
      <w:rFonts w:ascii="Arial" w:hAnsi="Arial"/>
      <w:b/>
      <w:sz w:val="24"/>
      <w:szCs w:val="24"/>
    </w:rPr>
  </w:style>
  <w:style w:type="character" w:customStyle="1" w:styleId="BoxChar">
    <w:name w:val="Box Char"/>
    <w:link w:val="Box"/>
    <w:rsid w:val="003B68FC"/>
    <w:rPr>
      <w:rFonts w:ascii="Arial" w:hAnsi="Arial"/>
    </w:rPr>
  </w:style>
  <w:style w:type="character" w:styleId="Hyperlink">
    <w:name w:val="Hyperlink"/>
    <w:uiPriority w:val="99"/>
    <w:rsid w:val="00066632"/>
    <w:rPr>
      <w:color w:val="0000FF"/>
      <w:u w:val="single"/>
    </w:rPr>
  </w:style>
  <w:style w:type="character" w:customStyle="1" w:styleId="Heading4Char">
    <w:name w:val="Heading 4 Char"/>
    <w:link w:val="Heading4"/>
    <w:rsid w:val="00601BD5"/>
    <w:rPr>
      <w:rFonts w:ascii="Arial" w:hAnsi="Arial"/>
      <w:sz w:val="24"/>
    </w:rPr>
  </w:style>
  <w:style w:type="paragraph" w:customStyle="1" w:styleId="DocInfo">
    <w:name w:val="Doc Info"/>
    <w:basedOn w:val="Normal"/>
    <w:next w:val="Normal"/>
    <w:rsid w:val="0066785F"/>
    <w:pPr>
      <w:jc w:val="center"/>
    </w:pPr>
    <w:rPr>
      <w:rFonts w:ascii="Arial" w:hAnsi="Arial"/>
      <w:sz w:val="14"/>
    </w:rPr>
  </w:style>
  <w:style w:type="character" w:customStyle="1" w:styleId="ReferenceChar">
    <w:name w:val="Reference Char"/>
    <w:link w:val="Reference"/>
    <w:rsid w:val="001014BF"/>
    <w:rPr>
      <w:sz w:val="24"/>
    </w:rPr>
  </w:style>
  <w:style w:type="character" w:styleId="FollowedHyperlink">
    <w:name w:val="FollowedHyperlink"/>
    <w:rsid w:val="000F6D72"/>
    <w:rPr>
      <w:color w:val="800080"/>
      <w:u w:val="single"/>
    </w:rPr>
  </w:style>
  <w:style w:type="paragraph" w:styleId="DocumentMap">
    <w:name w:val="Document Map"/>
    <w:basedOn w:val="Normal"/>
    <w:semiHidden/>
    <w:rsid w:val="00F7006B"/>
    <w:pPr>
      <w:shd w:val="clear" w:color="auto" w:fill="000080"/>
    </w:pPr>
    <w:rPr>
      <w:rFonts w:ascii="Tahoma" w:hAnsi="Tahoma" w:cs="Tahoma"/>
      <w:sz w:val="20"/>
      <w:szCs w:val="20"/>
    </w:rPr>
  </w:style>
  <w:style w:type="paragraph" w:styleId="NormalWeb">
    <w:name w:val="Normal (Web)"/>
    <w:basedOn w:val="Normal"/>
    <w:rsid w:val="00F42E9B"/>
  </w:style>
  <w:style w:type="paragraph" w:customStyle="1" w:styleId="RecBBullet2">
    <w:name w:val="RecB Bullet 2"/>
    <w:basedOn w:val="ListBullet2"/>
    <w:semiHidden/>
    <w:rsid w:val="00683E1E"/>
    <w:pPr>
      <w:pBdr>
        <w:left w:val="single" w:sz="24" w:space="29" w:color="C0C0C0"/>
      </w:pBdr>
    </w:pPr>
    <w:rPr>
      <w:b/>
      <w:i/>
    </w:rPr>
  </w:style>
  <w:style w:type="character" w:customStyle="1" w:styleId="BalloonTextChar">
    <w:name w:val="Balloon Text Char"/>
    <w:basedOn w:val="DefaultParagraphFont"/>
    <w:link w:val="BalloonText"/>
    <w:rsid w:val="00683E1E"/>
    <w:rPr>
      <w:rFonts w:ascii="Tahoma" w:hAnsi="Tahoma" w:cs="Tahoma"/>
      <w:sz w:val="16"/>
      <w:szCs w:val="16"/>
    </w:rPr>
  </w:style>
  <w:style w:type="character" w:customStyle="1" w:styleId="SubtitleChar">
    <w:name w:val="Subtitle Char"/>
    <w:basedOn w:val="DefaultParagraphFont"/>
    <w:link w:val="Subtitle"/>
    <w:rsid w:val="00683E1E"/>
    <w:rPr>
      <w:rFonts w:ascii="Arial" w:hAnsi="Arial"/>
      <w:szCs w:val="24"/>
    </w:rPr>
  </w:style>
  <w:style w:type="paragraph" w:customStyle="1" w:styleId="BoxListBullet3">
    <w:name w:val="Box List Bullet 3"/>
    <w:basedOn w:val="ListBullet3"/>
    <w:rsid w:val="00683E1E"/>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683E1E"/>
    <w:rPr>
      <w:i/>
      <w:iCs/>
    </w:rPr>
  </w:style>
  <w:style w:type="paragraph" w:customStyle="1" w:styleId="BoxQuoteBullet">
    <w:name w:val="Box Quote Bullet"/>
    <w:basedOn w:val="BoxQuote"/>
    <w:next w:val="Box"/>
    <w:rsid w:val="00683E1E"/>
    <w:pPr>
      <w:numPr>
        <w:numId w:val="15"/>
      </w:numPr>
      <w:ind w:left="568" w:hanging="284"/>
    </w:pPr>
  </w:style>
  <w:style w:type="paragraph" w:customStyle="1" w:styleId="InformationRequestBullet">
    <w:name w:val="Information Request Bullet"/>
    <w:basedOn w:val="ListBullet"/>
    <w:next w:val="BodyText"/>
    <w:rsid w:val="00683E1E"/>
    <w:pPr>
      <w:numPr>
        <w:numId w:val="16"/>
      </w:numPr>
      <w:spacing w:before="80" w:line="280" w:lineRule="atLeast"/>
      <w:ind w:left="357" w:hanging="357"/>
    </w:pPr>
    <w:rPr>
      <w:rFonts w:ascii="Arial" w:hAnsi="Arial"/>
      <w:i/>
      <w:sz w:val="22"/>
    </w:rPr>
  </w:style>
  <w:style w:type="character" w:customStyle="1" w:styleId="CommentTextChar">
    <w:name w:val="Comment Text Char"/>
    <w:basedOn w:val="DefaultParagraphFont"/>
    <w:link w:val="CommentText"/>
    <w:semiHidden/>
    <w:rsid w:val="005C54DA"/>
    <w:rPr>
      <w:szCs w:val="24"/>
    </w:rPr>
  </w:style>
  <w:style w:type="paragraph" w:styleId="Revision">
    <w:name w:val="Revision"/>
    <w:hidden/>
    <w:uiPriority w:val="99"/>
    <w:semiHidden/>
    <w:rsid w:val="00422E2C"/>
    <w:rPr>
      <w:sz w:val="26"/>
      <w:szCs w:val="24"/>
    </w:rPr>
  </w:style>
  <w:style w:type="paragraph" w:customStyle="1" w:styleId="BoxSpaceAbove">
    <w:name w:val="Box Space Above"/>
    <w:basedOn w:val="BodyText"/>
    <w:rsid w:val="00683E1E"/>
    <w:pPr>
      <w:keepNext/>
      <w:spacing w:before="360" w:line="80" w:lineRule="exact"/>
      <w:jc w:val="left"/>
    </w:pPr>
  </w:style>
  <w:style w:type="paragraph" w:customStyle="1" w:styleId="BoxSpaceBelow">
    <w:name w:val="Box Space Below"/>
    <w:basedOn w:val="Box"/>
    <w:rsid w:val="00683E1E"/>
    <w:pPr>
      <w:keepNext w:val="0"/>
      <w:spacing w:before="60" w:after="60" w:line="80" w:lineRule="exact"/>
    </w:pPr>
    <w:rPr>
      <w:sz w:val="14"/>
    </w:rPr>
  </w:style>
  <w:style w:type="paragraph" w:customStyle="1" w:styleId="Default">
    <w:name w:val="Default"/>
    <w:rsid w:val="00751EA8"/>
    <w:pPr>
      <w:autoSpaceDE w:val="0"/>
      <w:autoSpaceDN w:val="0"/>
      <w:adjustRightInd w:val="0"/>
    </w:pPr>
    <w:rPr>
      <w:rFonts w:ascii="Frutiger LT Std 45 Light" w:hAnsi="Frutiger LT Std 45 Light" w:cs="Frutiger LT Std 45 Light"/>
      <w:color w:val="000000"/>
      <w:sz w:val="24"/>
      <w:szCs w:val="24"/>
    </w:rPr>
  </w:style>
  <w:style w:type="character" w:customStyle="1" w:styleId="Heading3Char">
    <w:name w:val="Heading 3 Char"/>
    <w:basedOn w:val="DefaultParagraphFont"/>
    <w:link w:val="Heading3"/>
    <w:rsid w:val="00112967"/>
    <w:rPr>
      <w:rFonts w:ascii="Arial" w:hAnsi="Arial"/>
      <w:b/>
      <w:sz w:val="26"/>
    </w:rPr>
  </w:style>
  <w:style w:type="character" w:customStyle="1" w:styleId="BodyTextChar">
    <w:name w:val="Body Text Char"/>
    <w:basedOn w:val="DefaultParagraphFont"/>
    <w:link w:val="BodyText"/>
    <w:rsid w:val="00683E1E"/>
    <w:rPr>
      <w:sz w:val="24"/>
    </w:rPr>
  </w:style>
  <w:style w:type="character" w:customStyle="1" w:styleId="BoxListBullet2Char">
    <w:name w:val="Box List Bullet 2 Char"/>
    <w:basedOn w:val="BoxChar"/>
    <w:link w:val="BoxListBullet2"/>
    <w:rsid w:val="00394397"/>
    <w:rPr>
      <w:rFonts w:ascii="Arial" w:hAnsi="Arial"/>
    </w:rPr>
  </w:style>
  <w:style w:type="character" w:customStyle="1" w:styleId="BoxListBulletChar">
    <w:name w:val="Box List Bullet Char"/>
    <w:basedOn w:val="BoxChar"/>
    <w:link w:val="BoxListBullet"/>
    <w:rsid w:val="00394397"/>
    <w:rPr>
      <w:rFonts w:ascii="Arial" w:hAnsi="Arial"/>
    </w:rPr>
  </w:style>
  <w:style w:type="paragraph" w:customStyle="1" w:styleId="KeyPointsListBullet">
    <w:name w:val="Key Points List Bullet"/>
    <w:basedOn w:val="Normal"/>
    <w:qFormat/>
    <w:rsid w:val="00683E1E"/>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683E1E"/>
    <w:pPr>
      <w:numPr>
        <w:numId w:val="19"/>
      </w:numPr>
      <w:ind w:left="568" w:hanging="284"/>
    </w:pPr>
  </w:style>
  <w:style w:type="paragraph" w:customStyle="1" w:styleId="InformationRequestTitle">
    <w:name w:val="Information Request Title"/>
    <w:basedOn w:val="FindingTitle"/>
    <w:next w:val="InformationRequest"/>
    <w:rsid w:val="00683E1E"/>
    <w:rPr>
      <w:i/>
    </w:rPr>
  </w:style>
  <w:style w:type="paragraph" w:customStyle="1" w:styleId="Space">
    <w:name w:val="Space"/>
    <w:basedOn w:val="Normal"/>
    <w:rsid w:val="00683E1E"/>
    <w:pPr>
      <w:keepNext/>
      <w:spacing w:line="120" w:lineRule="exact"/>
      <w:jc w:val="both"/>
    </w:pPr>
    <w:rPr>
      <w:rFonts w:ascii="Arial" w:hAnsi="Arial"/>
      <w:sz w:val="20"/>
      <w:szCs w:val="20"/>
    </w:rPr>
  </w:style>
  <w:style w:type="paragraph" w:customStyle="1" w:styleId="Heading1nochapterno">
    <w:name w:val="Heading 1 (no chapter no.)"/>
    <w:basedOn w:val="Heading1"/>
    <w:rsid w:val="00683E1E"/>
    <w:pPr>
      <w:spacing w:before="0"/>
      <w:ind w:left="0" w:firstLine="0"/>
    </w:pPr>
  </w:style>
  <w:style w:type="paragraph" w:customStyle="1" w:styleId="Heading2nosectionno">
    <w:name w:val="Heading 2 (no section no.)"/>
    <w:basedOn w:val="Heading2"/>
    <w:rsid w:val="00683E1E"/>
    <w:pPr>
      <w:ind w:left="0" w:firstLine="0"/>
    </w:pPr>
  </w:style>
  <w:style w:type="character" w:customStyle="1" w:styleId="Heading5Char">
    <w:name w:val="Heading 5 Char"/>
    <w:basedOn w:val="DefaultParagraphFont"/>
    <w:link w:val="Heading5"/>
    <w:rsid w:val="00683E1E"/>
    <w:rPr>
      <w:rFonts w:ascii="Arial" w:hAnsi="Arial"/>
      <w:i/>
      <w:sz w:val="22"/>
    </w:rPr>
  </w:style>
  <w:style w:type="paragraph" w:customStyle="1" w:styleId="Figurespace">
    <w:name w:val="Figure space"/>
    <w:basedOn w:val="Box"/>
    <w:rsid w:val="00683E1E"/>
    <w:pPr>
      <w:spacing w:before="0" w:line="120" w:lineRule="exact"/>
    </w:pPr>
  </w:style>
  <w:style w:type="paragraph" w:customStyle="1" w:styleId="FooterDraftReport">
    <w:name w:val="FooterDraftReport"/>
    <w:basedOn w:val="Footer"/>
    <w:link w:val="FooterDraftReportChar"/>
    <w:rsid w:val="00683E1E"/>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683E1E"/>
    <w:rPr>
      <w:rFonts w:ascii="Arial" w:hAnsi="Arial"/>
      <w:caps/>
      <w:spacing w:val="-4"/>
      <w:sz w:val="16"/>
    </w:rPr>
  </w:style>
  <w:style w:type="character" w:customStyle="1" w:styleId="FooterDraftReportChar">
    <w:name w:val="FooterDraftReport Char"/>
    <w:basedOn w:val="FooterChar"/>
    <w:link w:val="FooterDraftReport"/>
    <w:rsid w:val="00683E1E"/>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683E1E"/>
    <w:rPr>
      <w:rFonts w:ascii="Arial" w:hAnsi="Arial"/>
      <w:b/>
      <w:sz w:val="26"/>
      <w:szCs w:val="26"/>
      <w:lang w:eastAsia="en-US"/>
    </w:rPr>
  </w:style>
  <w:style w:type="paragraph" w:customStyle="1" w:styleId="Heading1NotTOC">
    <w:name w:val="Heading 1 Not TOC"/>
    <w:basedOn w:val="Heading1"/>
    <w:next w:val="BodyText"/>
    <w:rsid w:val="00BC49F4"/>
    <w:rPr>
      <w:kern w:val="28"/>
      <w:szCs w:val="26"/>
      <w:lang w:eastAsia="en-US"/>
    </w:rPr>
  </w:style>
  <w:style w:type="character" w:customStyle="1" w:styleId="TableBodyTextChar">
    <w:name w:val="Table Body Text Char"/>
    <w:link w:val="TableBodyText"/>
    <w:rsid w:val="0000489F"/>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5505">
      <w:bodyDiv w:val="1"/>
      <w:marLeft w:val="0"/>
      <w:marRight w:val="0"/>
      <w:marTop w:val="0"/>
      <w:marBottom w:val="0"/>
      <w:divBdr>
        <w:top w:val="none" w:sz="0" w:space="0" w:color="auto"/>
        <w:left w:val="none" w:sz="0" w:space="0" w:color="auto"/>
        <w:bottom w:val="none" w:sz="0" w:space="0" w:color="auto"/>
        <w:right w:val="none" w:sz="0" w:space="0" w:color="auto"/>
      </w:divBdr>
    </w:div>
    <w:div w:id="80757552">
      <w:bodyDiv w:val="1"/>
      <w:marLeft w:val="0"/>
      <w:marRight w:val="0"/>
      <w:marTop w:val="0"/>
      <w:marBottom w:val="0"/>
      <w:divBdr>
        <w:top w:val="none" w:sz="0" w:space="0" w:color="auto"/>
        <w:left w:val="none" w:sz="0" w:space="0" w:color="auto"/>
        <w:bottom w:val="none" w:sz="0" w:space="0" w:color="auto"/>
        <w:right w:val="none" w:sz="0" w:space="0" w:color="auto"/>
      </w:divBdr>
    </w:div>
    <w:div w:id="455804617">
      <w:bodyDiv w:val="1"/>
      <w:marLeft w:val="0"/>
      <w:marRight w:val="0"/>
      <w:marTop w:val="0"/>
      <w:marBottom w:val="0"/>
      <w:divBdr>
        <w:top w:val="none" w:sz="0" w:space="0" w:color="auto"/>
        <w:left w:val="none" w:sz="0" w:space="0" w:color="auto"/>
        <w:bottom w:val="none" w:sz="0" w:space="0" w:color="auto"/>
        <w:right w:val="none" w:sz="0" w:space="0" w:color="auto"/>
      </w:divBdr>
    </w:div>
    <w:div w:id="763384676">
      <w:bodyDiv w:val="1"/>
      <w:marLeft w:val="0"/>
      <w:marRight w:val="0"/>
      <w:marTop w:val="0"/>
      <w:marBottom w:val="0"/>
      <w:divBdr>
        <w:top w:val="none" w:sz="0" w:space="0" w:color="auto"/>
        <w:left w:val="none" w:sz="0" w:space="0" w:color="auto"/>
        <w:bottom w:val="none" w:sz="0" w:space="0" w:color="auto"/>
        <w:right w:val="none" w:sz="0" w:space="0" w:color="auto"/>
      </w:divBdr>
    </w:div>
    <w:div w:id="852498075">
      <w:bodyDiv w:val="1"/>
      <w:marLeft w:val="0"/>
      <w:marRight w:val="0"/>
      <w:marTop w:val="0"/>
      <w:marBottom w:val="0"/>
      <w:divBdr>
        <w:top w:val="none" w:sz="0" w:space="0" w:color="auto"/>
        <w:left w:val="none" w:sz="0" w:space="0" w:color="auto"/>
        <w:bottom w:val="none" w:sz="0" w:space="0" w:color="auto"/>
        <w:right w:val="none" w:sz="0" w:space="0" w:color="auto"/>
      </w:divBdr>
    </w:div>
    <w:div w:id="925528944">
      <w:bodyDiv w:val="1"/>
      <w:marLeft w:val="0"/>
      <w:marRight w:val="0"/>
      <w:marTop w:val="0"/>
      <w:marBottom w:val="0"/>
      <w:divBdr>
        <w:top w:val="none" w:sz="0" w:space="0" w:color="auto"/>
        <w:left w:val="none" w:sz="0" w:space="0" w:color="auto"/>
        <w:bottom w:val="none" w:sz="0" w:space="0" w:color="auto"/>
        <w:right w:val="none" w:sz="0" w:space="0" w:color="auto"/>
      </w:divBdr>
    </w:div>
    <w:div w:id="951741487">
      <w:bodyDiv w:val="1"/>
      <w:marLeft w:val="0"/>
      <w:marRight w:val="0"/>
      <w:marTop w:val="0"/>
      <w:marBottom w:val="0"/>
      <w:divBdr>
        <w:top w:val="none" w:sz="0" w:space="0" w:color="auto"/>
        <w:left w:val="none" w:sz="0" w:space="0" w:color="auto"/>
        <w:bottom w:val="none" w:sz="0" w:space="0" w:color="auto"/>
        <w:right w:val="none" w:sz="0" w:space="0" w:color="auto"/>
      </w:divBdr>
    </w:div>
    <w:div w:id="1052390673">
      <w:bodyDiv w:val="1"/>
      <w:marLeft w:val="0"/>
      <w:marRight w:val="0"/>
      <w:marTop w:val="0"/>
      <w:marBottom w:val="0"/>
      <w:divBdr>
        <w:top w:val="none" w:sz="0" w:space="0" w:color="auto"/>
        <w:left w:val="none" w:sz="0" w:space="0" w:color="auto"/>
        <w:bottom w:val="none" w:sz="0" w:space="0" w:color="auto"/>
        <w:right w:val="none" w:sz="0" w:space="0" w:color="auto"/>
      </w:divBdr>
    </w:div>
    <w:div w:id="1194924144">
      <w:bodyDiv w:val="1"/>
      <w:marLeft w:val="0"/>
      <w:marRight w:val="0"/>
      <w:marTop w:val="0"/>
      <w:marBottom w:val="0"/>
      <w:divBdr>
        <w:top w:val="none" w:sz="0" w:space="0" w:color="auto"/>
        <w:left w:val="none" w:sz="0" w:space="0" w:color="auto"/>
        <w:bottom w:val="none" w:sz="0" w:space="0" w:color="auto"/>
        <w:right w:val="none" w:sz="0" w:space="0" w:color="auto"/>
      </w:divBdr>
    </w:div>
    <w:div w:id="1256523297">
      <w:bodyDiv w:val="1"/>
      <w:marLeft w:val="0"/>
      <w:marRight w:val="0"/>
      <w:marTop w:val="0"/>
      <w:marBottom w:val="0"/>
      <w:divBdr>
        <w:top w:val="none" w:sz="0" w:space="0" w:color="auto"/>
        <w:left w:val="none" w:sz="0" w:space="0" w:color="auto"/>
        <w:bottom w:val="none" w:sz="0" w:space="0" w:color="auto"/>
        <w:right w:val="none" w:sz="0" w:space="0" w:color="auto"/>
      </w:divBdr>
    </w:div>
    <w:div w:id="1281179432">
      <w:bodyDiv w:val="1"/>
      <w:marLeft w:val="0"/>
      <w:marRight w:val="0"/>
      <w:marTop w:val="0"/>
      <w:marBottom w:val="0"/>
      <w:divBdr>
        <w:top w:val="none" w:sz="0" w:space="0" w:color="auto"/>
        <w:left w:val="none" w:sz="0" w:space="0" w:color="auto"/>
        <w:bottom w:val="none" w:sz="0" w:space="0" w:color="auto"/>
        <w:right w:val="none" w:sz="0" w:space="0" w:color="auto"/>
      </w:divBdr>
    </w:div>
    <w:div w:id="1302618207">
      <w:bodyDiv w:val="1"/>
      <w:marLeft w:val="0"/>
      <w:marRight w:val="0"/>
      <w:marTop w:val="0"/>
      <w:marBottom w:val="0"/>
      <w:divBdr>
        <w:top w:val="none" w:sz="0" w:space="0" w:color="auto"/>
        <w:left w:val="none" w:sz="0" w:space="0" w:color="auto"/>
        <w:bottom w:val="none" w:sz="0" w:space="0" w:color="auto"/>
        <w:right w:val="none" w:sz="0" w:space="0" w:color="auto"/>
      </w:divBdr>
    </w:div>
    <w:div w:id="1343389651">
      <w:bodyDiv w:val="1"/>
      <w:marLeft w:val="0"/>
      <w:marRight w:val="0"/>
      <w:marTop w:val="0"/>
      <w:marBottom w:val="0"/>
      <w:divBdr>
        <w:top w:val="none" w:sz="0" w:space="0" w:color="auto"/>
        <w:left w:val="none" w:sz="0" w:space="0" w:color="auto"/>
        <w:bottom w:val="none" w:sz="0" w:space="0" w:color="auto"/>
        <w:right w:val="none" w:sz="0" w:space="0" w:color="auto"/>
      </w:divBdr>
    </w:div>
    <w:div w:id="1589541336">
      <w:bodyDiv w:val="1"/>
      <w:marLeft w:val="0"/>
      <w:marRight w:val="0"/>
      <w:marTop w:val="0"/>
      <w:marBottom w:val="0"/>
      <w:divBdr>
        <w:top w:val="none" w:sz="0" w:space="0" w:color="auto"/>
        <w:left w:val="none" w:sz="0" w:space="0" w:color="auto"/>
        <w:bottom w:val="none" w:sz="0" w:space="0" w:color="auto"/>
        <w:right w:val="none" w:sz="0" w:space="0" w:color="auto"/>
      </w:divBdr>
    </w:div>
    <w:div w:id="1742481140">
      <w:bodyDiv w:val="1"/>
      <w:marLeft w:val="0"/>
      <w:marRight w:val="0"/>
      <w:marTop w:val="0"/>
      <w:marBottom w:val="0"/>
      <w:divBdr>
        <w:top w:val="none" w:sz="0" w:space="0" w:color="auto"/>
        <w:left w:val="none" w:sz="0" w:space="0" w:color="auto"/>
        <w:bottom w:val="none" w:sz="0" w:space="0" w:color="auto"/>
        <w:right w:val="none" w:sz="0" w:space="0" w:color="auto"/>
      </w:divBdr>
    </w:div>
    <w:div w:id="1957445088">
      <w:bodyDiv w:val="1"/>
      <w:marLeft w:val="0"/>
      <w:marRight w:val="0"/>
      <w:marTop w:val="0"/>
      <w:marBottom w:val="0"/>
      <w:divBdr>
        <w:top w:val="none" w:sz="0" w:space="0" w:color="auto"/>
        <w:left w:val="none" w:sz="0" w:space="0" w:color="auto"/>
        <w:bottom w:val="none" w:sz="0" w:space="0" w:color="auto"/>
        <w:right w:val="none" w:sz="0" w:space="0" w:color="auto"/>
      </w:divBdr>
    </w:div>
    <w:div w:id="1959676030">
      <w:bodyDiv w:val="1"/>
      <w:marLeft w:val="0"/>
      <w:marRight w:val="0"/>
      <w:marTop w:val="0"/>
      <w:marBottom w:val="0"/>
      <w:divBdr>
        <w:top w:val="none" w:sz="0" w:space="0" w:color="auto"/>
        <w:left w:val="none" w:sz="0" w:space="0" w:color="auto"/>
        <w:bottom w:val="none" w:sz="0" w:space="0" w:color="auto"/>
        <w:right w:val="none" w:sz="0" w:space="0" w:color="auto"/>
      </w:divBdr>
      <w:divsChild>
        <w:div w:id="345332375">
          <w:marLeft w:val="0"/>
          <w:marRight w:val="0"/>
          <w:marTop w:val="0"/>
          <w:marBottom w:val="0"/>
          <w:divBdr>
            <w:top w:val="none" w:sz="0" w:space="0" w:color="auto"/>
            <w:left w:val="none" w:sz="0" w:space="0" w:color="auto"/>
            <w:bottom w:val="none" w:sz="0" w:space="0" w:color="auto"/>
            <w:right w:val="none" w:sz="0" w:space="0" w:color="auto"/>
          </w:divBdr>
          <w:divsChild>
            <w:div w:id="1833519206">
              <w:marLeft w:val="0"/>
              <w:marRight w:val="0"/>
              <w:marTop w:val="0"/>
              <w:marBottom w:val="0"/>
              <w:divBdr>
                <w:top w:val="none" w:sz="0" w:space="0" w:color="auto"/>
                <w:left w:val="none" w:sz="0" w:space="0" w:color="auto"/>
                <w:bottom w:val="none" w:sz="0" w:space="0" w:color="auto"/>
                <w:right w:val="none" w:sz="0" w:space="0" w:color="auto"/>
              </w:divBdr>
              <w:divsChild>
                <w:div w:id="1955358323">
                  <w:marLeft w:val="0"/>
                  <w:marRight w:val="0"/>
                  <w:marTop w:val="0"/>
                  <w:marBottom w:val="0"/>
                  <w:divBdr>
                    <w:top w:val="none" w:sz="0" w:space="0" w:color="auto"/>
                    <w:left w:val="none" w:sz="0" w:space="0" w:color="auto"/>
                    <w:bottom w:val="none" w:sz="0" w:space="0" w:color="auto"/>
                    <w:right w:val="none" w:sz="0" w:space="0" w:color="auto"/>
                  </w:divBdr>
                  <w:divsChild>
                    <w:div w:id="1359552247">
                      <w:marLeft w:val="0"/>
                      <w:marRight w:val="0"/>
                      <w:marTop w:val="0"/>
                      <w:marBottom w:val="0"/>
                      <w:divBdr>
                        <w:top w:val="none" w:sz="0" w:space="0" w:color="auto"/>
                        <w:left w:val="none" w:sz="0" w:space="0" w:color="auto"/>
                        <w:bottom w:val="none" w:sz="0" w:space="0" w:color="auto"/>
                        <w:right w:val="none" w:sz="0" w:space="0" w:color="auto"/>
                      </w:divBdr>
                      <w:divsChild>
                        <w:div w:id="1604218303">
                          <w:marLeft w:val="0"/>
                          <w:marRight w:val="0"/>
                          <w:marTop w:val="0"/>
                          <w:marBottom w:val="0"/>
                          <w:divBdr>
                            <w:top w:val="none" w:sz="0" w:space="0" w:color="auto"/>
                            <w:left w:val="none" w:sz="0" w:space="0" w:color="auto"/>
                            <w:bottom w:val="none" w:sz="0" w:space="0" w:color="auto"/>
                            <w:right w:val="none" w:sz="0" w:space="0" w:color="auto"/>
                          </w:divBdr>
                          <w:divsChild>
                            <w:div w:id="721295844">
                              <w:marLeft w:val="0"/>
                              <w:marRight w:val="0"/>
                              <w:marTop w:val="0"/>
                              <w:marBottom w:val="0"/>
                              <w:divBdr>
                                <w:top w:val="none" w:sz="0" w:space="0" w:color="auto"/>
                                <w:left w:val="none" w:sz="0" w:space="0" w:color="auto"/>
                                <w:bottom w:val="none" w:sz="0" w:space="0" w:color="auto"/>
                                <w:right w:val="none" w:sz="0" w:space="0" w:color="auto"/>
                              </w:divBdr>
                              <w:divsChild>
                                <w:div w:id="278413071">
                                  <w:marLeft w:val="0"/>
                                  <w:marRight w:val="0"/>
                                  <w:marTop w:val="0"/>
                                  <w:marBottom w:val="0"/>
                                  <w:divBdr>
                                    <w:top w:val="none" w:sz="0" w:space="0" w:color="auto"/>
                                    <w:left w:val="none" w:sz="0" w:space="0" w:color="auto"/>
                                    <w:bottom w:val="none" w:sz="0" w:space="0" w:color="auto"/>
                                    <w:right w:val="none" w:sz="0" w:space="0" w:color="auto"/>
                                  </w:divBdr>
                                  <w:divsChild>
                                    <w:div w:id="2110931382">
                                      <w:marLeft w:val="0"/>
                                      <w:marRight w:val="0"/>
                                      <w:marTop w:val="0"/>
                                      <w:marBottom w:val="0"/>
                                      <w:divBdr>
                                        <w:top w:val="none" w:sz="0" w:space="0" w:color="auto"/>
                                        <w:left w:val="none" w:sz="0" w:space="0" w:color="auto"/>
                                        <w:bottom w:val="none" w:sz="0" w:space="0" w:color="auto"/>
                                        <w:right w:val="none" w:sz="0" w:space="0" w:color="auto"/>
                                      </w:divBdr>
                                      <w:divsChild>
                                        <w:div w:id="499778687">
                                          <w:marLeft w:val="0"/>
                                          <w:marRight w:val="-14400"/>
                                          <w:marTop w:val="0"/>
                                          <w:marBottom w:val="0"/>
                                          <w:divBdr>
                                            <w:top w:val="none" w:sz="0" w:space="0" w:color="auto"/>
                                            <w:left w:val="none" w:sz="0" w:space="0" w:color="auto"/>
                                            <w:bottom w:val="none" w:sz="0" w:space="0" w:color="auto"/>
                                            <w:right w:val="none" w:sz="0" w:space="0" w:color="auto"/>
                                          </w:divBdr>
                                          <w:divsChild>
                                            <w:div w:id="744838644">
                                              <w:marLeft w:val="0"/>
                                              <w:marRight w:val="0"/>
                                              <w:marTop w:val="0"/>
                                              <w:marBottom w:val="0"/>
                                              <w:divBdr>
                                                <w:top w:val="none" w:sz="0" w:space="0" w:color="auto"/>
                                                <w:left w:val="none" w:sz="0" w:space="0" w:color="auto"/>
                                                <w:bottom w:val="none" w:sz="0" w:space="0" w:color="auto"/>
                                                <w:right w:val="none" w:sz="0" w:space="0" w:color="auto"/>
                                              </w:divBdr>
                                              <w:divsChild>
                                                <w:div w:id="567882620">
                                                  <w:marLeft w:val="0"/>
                                                  <w:marRight w:val="0"/>
                                                  <w:marTop w:val="0"/>
                                                  <w:marBottom w:val="0"/>
                                                  <w:divBdr>
                                                    <w:top w:val="none" w:sz="0" w:space="0" w:color="auto"/>
                                                    <w:left w:val="none" w:sz="0" w:space="0" w:color="auto"/>
                                                    <w:bottom w:val="none" w:sz="0" w:space="0" w:color="auto"/>
                                                    <w:right w:val="none" w:sz="0" w:space="0" w:color="auto"/>
                                                  </w:divBdr>
                                                  <w:divsChild>
                                                    <w:div w:id="1978101488">
                                                      <w:marLeft w:val="0"/>
                                                      <w:marRight w:val="0"/>
                                                      <w:marTop w:val="0"/>
                                                      <w:marBottom w:val="360"/>
                                                      <w:divBdr>
                                                        <w:top w:val="none" w:sz="0" w:space="0" w:color="auto"/>
                                                        <w:left w:val="none" w:sz="0" w:space="0" w:color="auto"/>
                                                        <w:bottom w:val="none" w:sz="0" w:space="0" w:color="auto"/>
                                                        <w:right w:val="none" w:sz="0" w:space="0" w:color="auto"/>
                                                      </w:divBdr>
                                                      <w:divsChild>
                                                        <w:div w:id="1416584945">
                                                          <w:marLeft w:val="0"/>
                                                          <w:marRight w:val="0"/>
                                                          <w:marTop w:val="0"/>
                                                          <w:marBottom w:val="0"/>
                                                          <w:divBdr>
                                                            <w:top w:val="none" w:sz="0" w:space="0" w:color="auto"/>
                                                            <w:left w:val="none" w:sz="0" w:space="0" w:color="auto"/>
                                                            <w:bottom w:val="none" w:sz="0" w:space="0" w:color="auto"/>
                                                            <w:right w:val="none" w:sz="0" w:space="0" w:color="auto"/>
                                                          </w:divBdr>
                                                          <w:divsChild>
                                                            <w:div w:id="586882569">
                                                              <w:marLeft w:val="0"/>
                                                              <w:marRight w:val="0"/>
                                                              <w:marTop w:val="0"/>
                                                              <w:marBottom w:val="0"/>
                                                              <w:divBdr>
                                                                <w:top w:val="none" w:sz="0" w:space="0" w:color="auto"/>
                                                                <w:left w:val="none" w:sz="0" w:space="0" w:color="auto"/>
                                                                <w:bottom w:val="none" w:sz="0" w:space="0" w:color="auto"/>
                                                                <w:right w:val="none" w:sz="0" w:space="0" w:color="auto"/>
                                                              </w:divBdr>
                                                              <w:divsChild>
                                                                <w:div w:id="425350324">
                                                                  <w:marLeft w:val="0"/>
                                                                  <w:marRight w:val="0"/>
                                                                  <w:marTop w:val="0"/>
                                                                  <w:marBottom w:val="0"/>
                                                                  <w:divBdr>
                                                                    <w:top w:val="none" w:sz="0" w:space="0" w:color="auto"/>
                                                                    <w:left w:val="none" w:sz="0" w:space="0" w:color="auto"/>
                                                                    <w:bottom w:val="none" w:sz="0" w:space="0" w:color="auto"/>
                                                                    <w:right w:val="none" w:sz="0" w:space="0" w:color="auto"/>
                                                                  </w:divBdr>
                                                                  <w:divsChild>
                                                                    <w:div w:id="565994517">
                                                                      <w:marLeft w:val="0"/>
                                                                      <w:marRight w:val="0"/>
                                                                      <w:marTop w:val="0"/>
                                                                      <w:marBottom w:val="180"/>
                                                                      <w:divBdr>
                                                                        <w:top w:val="none" w:sz="0" w:space="0" w:color="auto"/>
                                                                        <w:left w:val="none" w:sz="0" w:space="0" w:color="auto"/>
                                                                        <w:bottom w:val="none" w:sz="0" w:space="0" w:color="auto"/>
                                                                        <w:right w:val="none" w:sz="0" w:space="0" w:color="auto"/>
                                                                      </w:divBdr>
                                                                      <w:divsChild>
                                                                        <w:div w:id="90510705">
                                                                          <w:marLeft w:val="0"/>
                                                                          <w:marRight w:val="0"/>
                                                                          <w:marTop w:val="0"/>
                                                                          <w:marBottom w:val="0"/>
                                                                          <w:divBdr>
                                                                            <w:top w:val="none" w:sz="0" w:space="0" w:color="auto"/>
                                                                            <w:left w:val="none" w:sz="0" w:space="0" w:color="auto"/>
                                                                            <w:bottom w:val="none" w:sz="0" w:space="0" w:color="auto"/>
                                                                            <w:right w:val="none" w:sz="0" w:space="0" w:color="auto"/>
                                                                          </w:divBdr>
                                                                          <w:divsChild>
                                                                            <w:div w:id="72714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image" Target="media/image31.emf"/><Relationship Id="rId21" Type="http://schemas.openxmlformats.org/officeDocument/2006/relationships/image" Target="media/image13.emf"/><Relationship Id="rId34" Type="http://schemas.openxmlformats.org/officeDocument/2006/relationships/image" Target="media/image26.emf"/><Relationship Id="rId42" Type="http://schemas.openxmlformats.org/officeDocument/2006/relationships/image" Target="media/image34.emf"/><Relationship Id="rId47" Type="http://schemas.openxmlformats.org/officeDocument/2006/relationships/image" Target="media/image39.emf"/><Relationship Id="rId50" Type="http://schemas.openxmlformats.org/officeDocument/2006/relationships/image" Target="media/image42.emf"/><Relationship Id="rId55" Type="http://schemas.openxmlformats.org/officeDocument/2006/relationships/image" Target="media/image47.emf"/><Relationship Id="rId63" Type="http://schemas.openxmlformats.org/officeDocument/2006/relationships/image" Target="media/image55.emf"/><Relationship Id="rId68" Type="http://schemas.openxmlformats.org/officeDocument/2006/relationships/image" Target="media/image60.emf"/><Relationship Id="rId76" Type="http://schemas.openxmlformats.org/officeDocument/2006/relationships/footer" Target="footer2.xml"/><Relationship Id="rId7" Type="http://schemas.openxmlformats.org/officeDocument/2006/relationships/footnotes" Target="footnotes.xml"/><Relationship Id="rId71" Type="http://schemas.openxmlformats.org/officeDocument/2006/relationships/image" Target="media/image63.emf"/><Relationship Id="rId2" Type="http://schemas.openxmlformats.org/officeDocument/2006/relationships/numbering" Target="numbering.xml"/><Relationship Id="rId16" Type="http://schemas.openxmlformats.org/officeDocument/2006/relationships/image" Target="media/image8.emf"/><Relationship Id="rId29" Type="http://schemas.openxmlformats.org/officeDocument/2006/relationships/image" Target="media/image21.emf"/><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image" Target="media/image29.emf"/><Relationship Id="rId40" Type="http://schemas.openxmlformats.org/officeDocument/2006/relationships/image" Target="media/image32.emf"/><Relationship Id="rId45" Type="http://schemas.openxmlformats.org/officeDocument/2006/relationships/image" Target="media/image37.emf"/><Relationship Id="rId53" Type="http://schemas.openxmlformats.org/officeDocument/2006/relationships/image" Target="media/image45.emf"/><Relationship Id="rId58" Type="http://schemas.openxmlformats.org/officeDocument/2006/relationships/image" Target="media/image50.emf"/><Relationship Id="rId66" Type="http://schemas.openxmlformats.org/officeDocument/2006/relationships/image" Target="media/image58.emf"/><Relationship Id="rId7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emf"/><Relationship Id="rId49" Type="http://schemas.openxmlformats.org/officeDocument/2006/relationships/image" Target="media/image41.emf"/><Relationship Id="rId57" Type="http://schemas.openxmlformats.org/officeDocument/2006/relationships/image" Target="media/image49.emf"/><Relationship Id="rId61" Type="http://schemas.openxmlformats.org/officeDocument/2006/relationships/image" Target="media/image53.emf"/><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4" Type="http://schemas.openxmlformats.org/officeDocument/2006/relationships/image" Target="media/image36.emf"/><Relationship Id="rId52" Type="http://schemas.openxmlformats.org/officeDocument/2006/relationships/image" Target="media/image44.emf"/><Relationship Id="rId60" Type="http://schemas.openxmlformats.org/officeDocument/2006/relationships/image" Target="media/image52.emf"/><Relationship Id="rId65" Type="http://schemas.openxmlformats.org/officeDocument/2006/relationships/image" Target="media/image57.emf"/><Relationship Id="rId73" Type="http://schemas.openxmlformats.org/officeDocument/2006/relationships/header" Target="header1.xml"/><Relationship Id="rId78"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 Id="rId43" Type="http://schemas.openxmlformats.org/officeDocument/2006/relationships/image" Target="media/image35.emf"/><Relationship Id="rId48" Type="http://schemas.openxmlformats.org/officeDocument/2006/relationships/image" Target="media/image40.emf"/><Relationship Id="rId56" Type="http://schemas.openxmlformats.org/officeDocument/2006/relationships/image" Target="media/image48.emf"/><Relationship Id="rId64" Type="http://schemas.openxmlformats.org/officeDocument/2006/relationships/image" Target="media/image56.emf"/><Relationship Id="rId69" Type="http://schemas.openxmlformats.org/officeDocument/2006/relationships/image" Target="media/image61.emf"/><Relationship Id="rId77"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image" Target="media/image43.emf"/><Relationship Id="rId72" Type="http://schemas.openxmlformats.org/officeDocument/2006/relationships/image" Target="media/image64.emf"/><Relationship Id="rId3" Type="http://schemas.openxmlformats.org/officeDocument/2006/relationships/styles" Target="styl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image" Target="media/image30.emf"/><Relationship Id="rId46" Type="http://schemas.openxmlformats.org/officeDocument/2006/relationships/image" Target="media/image38.emf"/><Relationship Id="rId59" Type="http://schemas.openxmlformats.org/officeDocument/2006/relationships/image" Target="media/image51.emf"/><Relationship Id="rId67" Type="http://schemas.openxmlformats.org/officeDocument/2006/relationships/image" Target="media/image59.emf"/><Relationship Id="rId20" Type="http://schemas.openxmlformats.org/officeDocument/2006/relationships/image" Target="media/image12.emf"/><Relationship Id="rId41" Type="http://schemas.openxmlformats.org/officeDocument/2006/relationships/image" Target="media/image33.emf"/><Relationship Id="rId54" Type="http://schemas.openxmlformats.org/officeDocument/2006/relationships/image" Target="media/image46.emf"/><Relationship Id="rId62" Type="http://schemas.openxmlformats.org/officeDocument/2006/relationships/image" Target="media/image54.emf"/><Relationship Id="rId70" Type="http://schemas.openxmlformats.org/officeDocument/2006/relationships/image" Target="media/image62.emf"/><Relationship Id="rId75"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cdonald\AppData\Local\Microsoft\Windows\Temporary%20Internet%20Files\Content.MSO\E18C6D16.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3C4E27-44D8-4252-B659-EEC8F6ACB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E18C6D16</Template>
  <TotalTime>189</TotalTime>
  <Pages>103</Pages>
  <Words>26711</Words>
  <Characters>152128</Characters>
  <Application>Microsoft Office Word</Application>
  <DocSecurity>0</DocSecurity>
  <Lines>1267</Lines>
  <Paragraphs>356</Paragraphs>
  <ScaleCrop>false</ScaleCrop>
  <HeadingPairs>
    <vt:vector size="2" baseType="variant">
      <vt:variant>
        <vt:lpstr>Title</vt:lpstr>
      </vt:variant>
      <vt:variant>
        <vt:i4>1</vt:i4>
      </vt:variant>
    </vt:vector>
  </HeadingPairs>
  <TitlesOfParts>
    <vt:vector size="1" baseType="lpstr">
      <vt:lpstr>Chapter 5 Vocational education and training - Report on Government Services 2015</vt:lpstr>
    </vt:vector>
  </TitlesOfParts>
  <Company>Productivity Commission</Company>
  <LinksUpToDate>false</LinksUpToDate>
  <CharactersWithSpaces>178483</CharactersWithSpaces>
  <SharedDoc>false</SharedDoc>
  <HLinks>
    <vt:vector size="48" baseType="variant">
      <vt:variant>
        <vt:i4>1179707</vt:i4>
      </vt:variant>
      <vt:variant>
        <vt:i4>44</vt:i4>
      </vt:variant>
      <vt:variant>
        <vt:i4>0</vt:i4>
      </vt:variant>
      <vt:variant>
        <vt:i4>5</vt:i4>
      </vt:variant>
      <vt:variant>
        <vt:lpwstr/>
      </vt:variant>
      <vt:variant>
        <vt:lpwstr>_Toc274747920</vt:lpwstr>
      </vt:variant>
      <vt:variant>
        <vt:i4>1114171</vt:i4>
      </vt:variant>
      <vt:variant>
        <vt:i4>38</vt:i4>
      </vt:variant>
      <vt:variant>
        <vt:i4>0</vt:i4>
      </vt:variant>
      <vt:variant>
        <vt:i4>5</vt:i4>
      </vt:variant>
      <vt:variant>
        <vt:lpwstr/>
      </vt:variant>
      <vt:variant>
        <vt:lpwstr>_Toc274747919</vt:lpwstr>
      </vt:variant>
      <vt:variant>
        <vt:i4>1114171</vt:i4>
      </vt:variant>
      <vt:variant>
        <vt:i4>32</vt:i4>
      </vt:variant>
      <vt:variant>
        <vt:i4>0</vt:i4>
      </vt:variant>
      <vt:variant>
        <vt:i4>5</vt:i4>
      </vt:variant>
      <vt:variant>
        <vt:lpwstr/>
      </vt:variant>
      <vt:variant>
        <vt:lpwstr>_Toc274747918</vt:lpwstr>
      </vt:variant>
      <vt:variant>
        <vt:i4>1114171</vt:i4>
      </vt:variant>
      <vt:variant>
        <vt:i4>26</vt:i4>
      </vt:variant>
      <vt:variant>
        <vt:i4>0</vt:i4>
      </vt:variant>
      <vt:variant>
        <vt:i4>5</vt:i4>
      </vt:variant>
      <vt:variant>
        <vt:lpwstr/>
      </vt:variant>
      <vt:variant>
        <vt:lpwstr>_Toc274747917</vt:lpwstr>
      </vt:variant>
      <vt:variant>
        <vt:i4>1114171</vt:i4>
      </vt:variant>
      <vt:variant>
        <vt:i4>20</vt:i4>
      </vt:variant>
      <vt:variant>
        <vt:i4>0</vt:i4>
      </vt:variant>
      <vt:variant>
        <vt:i4>5</vt:i4>
      </vt:variant>
      <vt:variant>
        <vt:lpwstr/>
      </vt:variant>
      <vt:variant>
        <vt:lpwstr>_Toc274747916</vt:lpwstr>
      </vt:variant>
      <vt:variant>
        <vt:i4>1114171</vt:i4>
      </vt:variant>
      <vt:variant>
        <vt:i4>14</vt:i4>
      </vt:variant>
      <vt:variant>
        <vt:i4>0</vt:i4>
      </vt:variant>
      <vt:variant>
        <vt:i4>5</vt:i4>
      </vt:variant>
      <vt:variant>
        <vt:lpwstr/>
      </vt:variant>
      <vt:variant>
        <vt:lpwstr>_Toc274747915</vt:lpwstr>
      </vt:variant>
      <vt:variant>
        <vt:i4>1114171</vt:i4>
      </vt:variant>
      <vt:variant>
        <vt:i4>8</vt:i4>
      </vt:variant>
      <vt:variant>
        <vt:i4>0</vt:i4>
      </vt:variant>
      <vt:variant>
        <vt:i4>5</vt:i4>
      </vt:variant>
      <vt:variant>
        <vt:lpwstr/>
      </vt:variant>
      <vt:variant>
        <vt:lpwstr>_Toc274747914</vt:lpwstr>
      </vt:variant>
      <vt:variant>
        <vt:i4>1114171</vt:i4>
      </vt:variant>
      <vt:variant>
        <vt:i4>2</vt:i4>
      </vt:variant>
      <vt:variant>
        <vt:i4>0</vt:i4>
      </vt:variant>
      <vt:variant>
        <vt:i4>5</vt:i4>
      </vt:variant>
      <vt:variant>
        <vt:lpwstr/>
      </vt:variant>
      <vt:variant>
        <vt:lpwstr>_Toc274747913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5 Vocational education and training - Report on Government Services 2015</dc:title>
  <dc:subject/>
  <dc:creator>Steering Committee for the Review of Government Service Provision</dc:creator>
  <dc:description/>
  <cp:lastModifiedBy>Mignot, Helen</cp:lastModifiedBy>
  <cp:revision>35</cp:revision>
  <cp:lastPrinted>2014-12-24T00:39:00Z</cp:lastPrinted>
  <dcterms:created xsi:type="dcterms:W3CDTF">2014-12-02T04:10:00Z</dcterms:created>
  <dcterms:modified xsi:type="dcterms:W3CDTF">2015-01-22T01:35:00Z</dcterms:modified>
</cp:coreProperties>
</file>